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3261"/>
      </w:tblGrid>
      <w:tr w:rsidR="004713B8" w:rsidRPr="004B1427" w14:paraId="7BE450E0" w14:textId="77777777" w:rsidTr="00AF4A0D">
        <w:trPr>
          <w:trHeight w:val="1134"/>
        </w:trPr>
        <w:tc>
          <w:tcPr>
            <w:tcW w:w="6662" w:type="dxa"/>
          </w:tcPr>
          <w:p w14:paraId="0C2D2E0D" w14:textId="77777777" w:rsidR="004713B8" w:rsidRPr="004B1427" w:rsidRDefault="004713B8" w:rsidP="00CD34AE">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4B1427">
              <w:rPr>
                <w:rFonts w:cstheme="minorHAnsi"/>
                <w:b/>
                <w:bCs/>
                <w:sz w:val="32"/>
                <w:szCs w:val="32"/>
                <w:lang w:eastAsia="zh-CN"/>
              </w:rPr>
              <w:t>Консультативная группа по развитию электросвязи (КГРЭ)</w:t>
            </w:r>
          </w:p>
          <w:p w14:paraId="3C4C6D5C" w14:textId="393B7163" w:rsidR="004713B8" w:rsidRPr="004B1427" w:rsidRDefault="004713B8" w:rsidP="00CD1F3E">
            <w:pPr>
              <w:widowControl w:val="0"/>
              <w:tabs>
                <w:tab w:val="clear" w:pos="794"/>
                <w:tab w:val="clear" w:pos="1191"/>
                <w:tab w:val="clear" w:pos="1588"/>
                <w:tab w:val="clear" w:pos="1985"/>
              </w:tabs>
              <w:overflowPunct/>
              <w:autoSpaceDE/>
              <w:autoSpaceDN/>
              <w:adjustRightInd/>
              <w:spacing w:after="120"/>
              <w:textAlignment w:val="auto"/>
              <w:rPr>
                <w:rFonts w:cstheme="minorHAnsi"/>
                <w:b/>
                <w:position w:val="6"/>
                <w:sz w:val="26"/>
                <w:szCs w:val="26"/>
                <w:lang w:eastAsia="zh-CN"/>
              </w:rPr>
            </w:pPr>
            <w:r w:rsidRPr="004B1427">
              <w:rPr>
                <w:rFonts w:cstheme="minorHAnsi"/>
                <w:b/>
                <w:bCs/>
                <w:sz w:val="24"/>
                <w:szCs w:val="24"/>
                <w:lang w:eastAsia="zh-CN"/>
              </w:rPr>
              <w:t>2</w:t>
            </w:r>
            <w:r w:rsidR="00CD1F3E" w:rsidRPr="004B1427">
              <w:rPr>
                <w:rFonts w:cstheme="minorHAnsi"/>
                <w:b/>
                <w:bCs/>
                <w:sz w:val="24"/>
                <w:szCs w:val="24"/>
                <w:lang w:eastAsia="zh-CN"/>
              </w:rPr>
              <w:t>5</w:t>
            </w:r>
            <w:r w:rsidRPr="004B1427">
              <w:rPr>
                <w:rFonts w:cstheme="minorHAnsi"/>
                <w:b/>
                <w:bCs/>
                <w:sz w:val="24"/>
                <w:szCs w:val="24"/>
                <w:lang w:eastAsia="zh-CN"/>
              </w:rPr>
              <w:t xml:space="preserve">-е собрание, </w:t>
            </w:r>
            <w:r w:rsidRPr="004B1427">
              <w:rPr>
                <w:b/>
                <w:bCs/>
                <w:sz w:val="24"/>
                <w:szCs w:val="24"/>
              </w:rPr>
              <w:t xml:space="preserve">Женева, </w:t>
            </w:r>
            <w:r w:rsidR="000C3C12" w:rsidRPr="004B1427">
              <w:rPr>
                <w:b/>
                <w:bCs/>
                <w:sz w:val="24"/>
                <w:szCs w:val="24"/>
              </w:rPr>
              <w:t>2−5 июня</w:t>
            </w:r>
            <w:r w:rsidR="00CD1F3E" w:rsidRPr="004B1427">
              <w:rPr>
                <w:b/>
                <w:bCs/>
                <w:sz w:val="24"/>
                <w:szCs w:val="24"/>
              </w:rPr>
              <w:t xml:space="preserve"> 20</w:t>
            </w:r>
            <w:r w:rsidR="002502FE" w:rsidRPr="004B1427">
              <w:rPr>
                <w:b/>
                <w:bCs/>
                <w:sz w:val="24"/>
                <w:szCs w:val="24"/>
              </w:rPr>
              <w:t>20 года</w:t>
            </w:r>
          </w:p>
        </w:tc>
        <w:tc>
          <w:tcPr>
            <w:tcW w:w="3261" w:type="dxa"/>
            <w:vAlign w:val="center"/>
          </w:tcPr>
          <w:p w14:paraId="5B0C2495" w14:textId="77777777" w:rsidR="004713B8" w:rsidRPr="004B1427" w:rsidRDefault="00B24169" w:rsidP="00B24169">
            <w:pPr>
              <w:widowControl w:val="0"/>
              <w:spacing w:before="40"/>
              <w:jc w:val="right"/>
            </w:pPr>
            <w:r w:rsidRPr="004B1427">
              <w:rPr>
                <w:noProof/>
                <w:color w:val="3399FF"/>
                <w:lang w:eastAsia="ru-RU"/>
              </w:rPr>
              <w:drawing>
                <wp:inline distT="0" distB="0" distL="0" distR="0" wp14:anchorId="7D714750" wp14:editId="7DC9C8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D34AE" w:rsidRPr="004B1427" w14:paraId="24E97DAB" w14:textId="77777777" w:rsidTr="00CD34AE">
        <w:tc>
          <w:tcPr>
            <w:tcW w:w="6662" w:type="dxa"/>
            <w:tcBorders>
              <w:top w:val="single" w:sz="12" w:space="0" w:color="auto"/>
            </w:tcBorders>
          </w:tcPr>
          <w:p w14:paraId="00FF9F09" w14:textId="77777777" w:rsidR="00CD34AE" w:rsidRPr="004B1427" w:rsidRDefault="00CD34AE" w:rsidP="00CD34AE">
            <w:pPr>
              <w:widowControl w:val="0"/>
              <w:spacing w:before="0"/>
              <w:rPr>
                <w:rFonts w:ascii="Verdana" w:hAnsi="Verdana"/>
                <w:b/>
                <w:smallCaps/>
                <w:sz w:val="18"/>
                <w:szCs w:val="18"/>
              </w:rPr>
            </w:pPr>
          </w:p>
        </w:tc>
        <w:tc>
          <w:tcPr>
            <w:tcW w:w="3261" w:type="dxa"/>
            <w:tcBorders>
              <w:top w:val="single" w:sz="12" w:space="0" w:color="auto"/>
            </w:tcBorders>
          </w:tcPr>
          <w:p w14:paraId="6984C0E8" w14:textId="77777777" w:rsidR="00CD34AE" w:rsidRPr="004B1427" w:rsidRDefault="00CD34AE" w:rsidP="00CD34AE">
            <w:pPr>
              <w:widowControl w:val="0"/>
              <w:spacing w:before="0"/>
              <w:rPr>
                <w:rFonts w:ascii="Verdana" w:hAnsi="Verdana"/>
                <w:sz w:val="18"/>
                <w:szCs w:val="18"/>
              </w:rPr>
            </w:pPr>
          </w:p>
        </w:tc>
      </w:tr>
      <w:tr w:rsidR="00CD34AE" w:rsidRPr="004B1427" w14:paraId="3C6678D8" w14:textId="77777777" w:rsidTr="00CD34AE">
        <w:trPr>
          <w:trHeight w:val="300"/>
        </w:trPr>
        <w:tc>
          <w:tcPr>
            <w:tcW w:w="6662" w:type="dxa"/>
          </w:tcPr>
          <w:p w14:paraId="2C86D1F4" w14:textId="77777777" w:rsidR="00CD34AE" w:rsidRPr="004B1427" w:rsidRDefault="00CD34AE" w:rsidP="00CD34AE">
            <w:pPr>
              <w:widowControl w:val="0"/>
              <w:spacing w:before="0"/>
              <w:rPr>
                <w:rFonts w:ascii="Verdana" w:hAnsi="Verdana"/>
                <w:b/>
                <w:bCs/>
                <w:smallCaps/>
                <w:sz w:val="18"/>
                <w:szCs w:val="18"/>
              </w:rPr>
            </w:pPr>
          </w:p>
        </w:tc>
        <w:tc>
          <w:tcPr>
            <w:tcW w:w="3261" w:type="dxa"/>
          </w:tcPr>
          <w:p w14:paraId="4B314665" w14:textId="4B3230BE" w:rsidR="00CD34AE" w:rsidRPr="004B1427" w:rsidRDefault="00AF4A0D" w:rsidP="00AF4A0D">
            <w:pPr>
              <w:widowControl w:val="0"/>
              <w:spacing w:before="0"/>
              <w:rPr>
                <w:rFonts w:ascii="Verdana" w:hAnsi="Verdana"/>
                <w:b/>
                <w:bCs/>
              </w:rPr>
            </w:pPr>
            <w:r>
              <w:rPr>
                <w:rFonts w:cstheme="minorHAnsi"/>
                <w:b/>
                <w:bCs/>
              </w:rPr>
              <w:t>Пересмотр 2</w:t>
            </w:r>
            <w:r>
              <w:rPr>
                <w:rFonts w:cstheme="minorHAnsi"/>
                <w:b/>
                <w:bCs/>
              </w:rPr>
              <w:br/>
            </w:r>
            <w:r w:rsidR="003E6E87" w:rsidRPr="004B1427">
              <w:rPr>
                <w:rFonts w:cstheme="minorHAnsi"/>
                <w:b/>
                <w:bCs/>
              </w:rPr>
              <w:t>Документ</w:t>
            </w:r>
            <w:r>
              <w:rPr>
                <w:rFonts w:cstheme="minorHAnsi"/>
                <w:b/>
                <w:bCs/>
              </w:rPr>
              <w:t>а</w:t>
            </w:r>
            <w:r w:rsidR="003E6E87" w:rsidRPr="004B1427">
              <w:rPr>
                <w:rFonts w:cstheme="minorHAnsi"/>
                <w:b/>
                <w:bCs/>
              </w:rPr>
              <w:t xml:space="preserve"> </w:t>
            </w:r>
            <w:bookmarkStart w:id="0" w:name="DocRef1"/>
            <w:bookmarkEnd w:id="0"/>
            <w:r w:rsidR="003E6E87" w:rsidRPr="004B1427">
              <w:rPr>
                <w:rFonts w:cstheme="minorHAnsi"/>
                <w:b/>
                <w:bCs/>
              </w:rPr>
              <w:t>TDAG</w:t>
            </w:r>
            <w:r w:rsidR="0040328D" w:rsidRPr="004B1427">
              <w:rPr>
                <w:rFonts w:cstheme="minorHAnsi"/>
                <w:b/>
                <w:bCs/>
              </w:rPr>
              <w:t>-</w:t>
            </w:r>
            <w:r w:rsidR="002502FE" w:rsidRPr="004B1427">
              <w:rPr>
                <w:rFonts w:cstheme="minorHAnsi"/>
                <w:b/>
                <w:bCs/>
              </w:rPr>
              <w:t>20</w:t>
            </w:r>
            <w:r w:rsidR="003E6E87" w:rsidRPr="004B1427">
              <w:rPr>
                <w:rFonts w:cstheme="minorHAnsi"/>
                <w:b/>
                <w:bCs/>
              </w:rPr>
              <w:t>/</w:t>
            </w:r>
            <w:bookmarkStart w:id="1" w:name="DocNo1"/>
            <w:bookmarkEnd w:id="1"/>
            <w:r>
              <w:rPr>
                <w:rFonts w:cstheme="minorHAnsi"/>
                <w:b/>
                <w:bCs/>
              </w:rPr>
              <w:t>5</w:t>
            </w:r>
            <w:r w:rsidR="00FD7284" w:rsidRPr="004B1427">
              <w:rPr>
                <w:rFonts w:cstheme="minorHAnsi"/>
                <w:b/>
                <w:bCs/>
              </w:rPr>
              <w:t>9</w:t>
            </w:r>
            <w:r w:rsidR="003E6E87" w:rsidRPr="004B1427">
              <w:rPr>
                <w:rFonts w:cstheme="minorHAnsi"/>
                <w:b/>
                <w:bCs/>
              </w:rPr>
              <w:t>-R</w:t>
            </w:r>
          </w:p>
        </w:tc>
      </w:tr>
      <w:tr w:rsidR="00CD34AE" w:rsidRPr="004B1427" w14:paraId="2B6F66FD" w14:textId="77777777" w:rsidTr="00CD34AE">
        <w:trPr>
          <w:trHeight w:val="300"/>
        </w:trPr>
        <w:tc>
          <w:tcPr>
            <w:tcW w:w="6662" w:type="dxa"/>
          </w:tcPr>
          <w:p w14:paraId="4236BC61" w14:textId="77777777" w:rsidR="00CD34AE" w:rsidRPr="004B1427" w:rsidRDefault="00CD34AE" w:rsidP="00CD34AE">
            <w:pPr>
              <w:spacing w:before="0"/>
              <w:rPr>
                <w:b/>
                <w:bCs/>
                <w:smallCaps/>
                <w:szCs w:val="24"/>
              </w:rPr>
            </w:pPr>
          </w:p>
        </w:tc>
        <w:tc>
          <w:tcPr>
            <w:tcW w:w="3261" w:type="dxa"/>
          </w:tcPr>
          <w:p w14:paraId="48E59AC6" w14:textId="52E3BADA" w:rsidR="00CD34AE" w:rsidRPr="004B1427" w:rsidRDefault="00AF4A0D" w:rsidP="00AF4A0D">
            <w:pPr>
              <w:widowControl w:val="0"/>
              <w:spacing w:before="0"/>
              <w:rPr>
                <w:rFonts w:ascii="Verdana" w:hAnsi="Verdana"/>
                <w:b/>
                <w:bCs/>
              </w:rPr>
            </w:pPr>
            <w:bookmarkStart w:id="2" w:name="CreationDate"/>
            <w:bookmarkEnd w:id="2"/>
            <w:r>
              <w:rPr>
                <w:b/>
                <w:bCs/>
              </w:rPr>
              <w:t>17</w:t>
            </w:r>
            <w:r w:rsidR="00FD7284" w:rsidRPr="004B1427">
              <w:rPr>
                <w:b/>
                <w:bCs/>
              </w:rPr>
              <w:t xml:space="preserve"> </w:t>
            </w:r>
            <w:r>
              <w:rPr>
                <w:b/>
                <w:bCs/>
              </w:rPr>
              <w:t>августа</w:t>
            </w:r>
            <w:r w:rsidR="00A73D91" w:rsidRPr="004B1427">
              <w:rPr>
                <w:b/>
                <w:bCs/>
              </w:rPr>
              <w:t xml:space="preserve"> 20</w:t>
            </w:r>
            <w:r w:rsidR="002502FE" w:rsidRPr="004B1427">
              <w:rPr>
                <w:b/>
                <w:bCs/>
              </w:rPr>
              <w:t>20</w:t>
            </w:r>
            <w:r w:rsidR="00A73D91" w:rsidRPr="004B1427">
              <w:rPr>
                <w:b/>
                <w:bCs/>
              </w:rPr>
              <w:t xml:space="preserve"> года</w:t>
            </w:r>
          </w:p>
        </w:tc>
      </w:tr>
      <w:tr w:rsidR="00CD34AE" w:rsidRPr="004B1427" w14:paraId="55854D1A" w14:textId="77777777" w:rsidTr="00CD34AE">
        <w:trPr>
          <w:trHeight w:val="300"/>
        </w:trPr>
        <w:tc>
          <w:tcPr>
            <w:tcW w:w="6662" w:type="dxa"/>
          </w:tcPr>
          <w:p w14:paraId="6BCEAF34" w14:textId="77777777" w:rsidR="00CD34AE" w:rsidRPr="004B1427" w:rsidRDefault="00CD34AE" w:rsidP="00CD34AE">
            <w:pPr>
              <w:widowControl w:val="0"/>
              <w:spacing w:before="0"/>
              <w:rPr>
                <w:rFonts w:ascii="Verdana" w:hAnsi="Verdana"/>
                <w:b/>
                <w:bCs/>
                <w:smallCaps/>
                <w:sz w:val="18"/>
                <w:szCs w:val="18"/>
              </w:rPr>
            </w:pPr>
          </w:p>
        </w:tc>
        <w:tc>
          <w:tcPr>
            <w:tcW w:w="3261" w:type="dxa"/>
          </w:tcPr>
          <w:p w14:paraId="7324600A" w14:textId="34F9CACA" w:rsidR="00CD34AE" w:rsidRPr="004B1427" w:rsidRDefault="003E6E87" w:rsidP="00CD34AE">
            <w:pPr>
              <w:widowControl w:val="0"/>
              <w:spacing w:before="0"/>
              <w:rPr>
                <w:rFonts w:ascii="Verdana" w:hAnsi="Verdana"/>
                <w:b/>
                <w:bCs/>
              </w:rPr>
            </w:pPr>
            <w:r w:rsidRPr="004B1427">
              <w:rPr>
                <w:rFonts w:cstheme="minorHAnsi"/>
                <w:b/>
                <w:bCs/>
              </w:rPr>
              <w:t>Оригинал:</w:t>
            </w:r>
            <w:bookmarkStart w:id="3" w:name="Original"/>
            <w:bookmarkEnd w:id="3"/>
            <w:r w:rsidR="00A73D91" w:rsidRPr="004B1427">
              <w:rPr>
                <w:rFonts w:cstheme="minorHAnsi"/>
                <w:b/>
                <w:bCs/>
              </w:rPr>
              <w:t xml:space="preserve"> </w:t>
            </w:r>
            <w:r w:rsidR="00FD7284" w:rsidRPr="004B1427">
              <w:rPr>
                <w:rFonts w:cstheme="minorHAnsi"/>
                <w:b/>
                <w:bCs/>
              </w:rPr>
              <w:t>английский</w:t>
            </w:r>
          </w:p>
        </w:tc>
      </w:tr>
      <w:tr w:rsidR="00CD34AE" w:rsidRPr="004B1427" w14:paraId="71374119" w14:textId="77777777" w:rsidTr="00CD34AE">
        <w:trPr>
          <w:trHeight w:val="850"/>
        </w:trPr>
        <w:tc>
          <w:tcPr>
            <w:tcW w:w="9923" w:type="dxa"/>
            <w:gridSpan w:val="2"/>
          </w:tcPr>
          <w:p w14:paraId="75EBC6D1" w14:textId="1AC1EA67" w:rsidR="00CD34AE" w:rsidRPr="004B1427" w:rsidRDefault="00AF4A0D" w:rsidP="004143D5">
            <w:pPr>
              <w:pStyle w:val="Source"/>
              <w:framePr w:hSpace="0" w:wrap="auto" w:vAnchor="margin" w:hAnchor="text" w:yAlign="inline"/>
            </w:pPr>
            <w:bookmarkStart w:id="4" w:name="Source"/>
            <w:bookmarkEnd w:id="4"/>
            <w:r w:rsidRPr="00AF4A0D">
              <w:t>Председатель Консультативной группы по развитию электросвязи (КГРЭ)</w:t>
            </w:r>
          </w:p>
        </w:tc>
      </w:tr>
      <w:tr w:rsidR="00CD34AE" w:rsidRPr="004B1427" w14:paraId="1BC0A471" w14:textId="77777777" w:rsidTr="00270876">
        <w:tc>
          <w:tcPr>
            <w:tcW w:w="9923" w:type="dxa"/>
            <w:gridSpan w:val="2"/>
          </w:tcPr>
          <w:p w14:paraId="6FC961FA" w14:textId="5A7F608A" w:rsidR="00CD34AE" w:rsidRPr="004B1427" w:rsidRDefault="00AF4A0D" w:rsidP="00FD7284">
            <w:pPr>
              <w:pStyle w:val="Title1"/>
            </w:pPr>
            <w:bookmarkStart w:id="5" w:name="Title"/>
            <w:bookmarkEnd w:id="5"/>
            <w:r w:rsidRPr="00AF4A0D">
              <w:rPr>
                <w:color w:val="000000"/>
              </w:rPr>
              <w:t>ОТЧЕТ О ДВАДЦАТЬ пЯТОМ СОБРАНИИ КГРЭ</w:t>
            </w:r>
          </w:p>
        </w:tc>
      </w:tr>
    </w:tbl>
    <w:p w14:paraId="2B507108" w14:textId="77777777" w:rsidR="00AF4A0D" w:rsidRPr="00AF4A0D" w:rsidRDefault="00AF4A0D" w:rsidP="00083D22">
      <w:pPr>
        <w:pStyle w:val="Headingb"/>
        <w:spacing w:before="240"/>
      </w:pPr>
      <w:r w:rsidRPr="00AF4A0D">
        <w:t>ВВЕДЕНИЕ И ОСНОВНЫЕ РЕЗУЛЬТАТЫ</w:t>
      </w:r>
    </w:p>
    <w:p w14:paraId="480CFCAC" w14:textId="4E52F561" w:rsidR="00AF4A0D" w:rsidRPr="00AF4A0D" w:rsidRDefault="00AF4A0D" w:rsidP="00AF4A0D">
      <w:bookmarkStart w:id="6" w:name="lt_pId021"/>
      <w:r w:rsidRPr="00AF4A0D">
        <w:t>Двадцать пятое собрание Консультативной группы по развитию электросвязи (КГРЭ) проходило в виртуальном режиме со 2 по 5 июня 2020 года под председательством г-жи Роксаны Макэлвейн Веббер. На собрании присутствовали 383 участника: 304 делегата, представлявших 100</w:t>
      </w:r>
      <w:r w:rsidRPr="00AF4A0D">
        <w:rPr>
          <w:lang w:val="en-GB"/>
        </w:rPr>
        <w:t> </w:t>
      </w:r>
      <w:r w:rsidRPr="00AF4A0D">
        <w:t>Государств-Членов, 66 Членов Сектора МСЭ-</w:t>
      </w:r>
      <w:r w:rsidRPr="00AF4A0D">
        <w:rPr>
          <w:lang w:val="en-GB"/>
        </w:rPr>
        <w:t>D</w:t>
      </w:r>
      <w:r w:rsidRPr="00AF4A0D">
        <w:t>, две Академических организации и несколько объединений, являющихся наблюдателями. На собрании присутствовали</w:t>
      </w:r>
      <w:r w:rsidRPr="00AF4A0D">
        <w:rPr>
          <w:vertAlign w:val="superscript"/>
          <w:lang w:val="en-US"/>
        </w:rPr>
        <w:footnoteReference w:id="1"/>
      </w:r>
      <w:r w:rsidRPr="00AF4A0D">
        <w:t xml:space="preserve"> заместители Председателя К</w:t>
      </w:r>
      <w:r w:rsidR="00153DC3">
        <w:t>ГРЭ г</w:t>
      </w:r>
      <w:r w:rsidR="00153DC3">
        <w:noBreakHyphen/>
        <w:t>н </w:t>
      </w:r>
      <w:r w:rsidRPr="00AF4A0D">
        <w:t>Кристофер Кемей (Кения), г-н Абдулкарим Олойеде (Нигерия), г-н Аль-Ансари Альмашакбех (Иордания), г-н Тарик Аламри (Саудовская Аравия), г-н Кишор Бабу Йеррабалла (Индия), г-н Нгуен Куен (Вьетнам), г-н Арсений Плосский (Российская Федерация), г-жа Айчурок Маралбек кызы (Кыргызская Республика), г-н Вим Рюлленс (Нидерланды) и г-жа Бланка Гонсалес (Испания), а также председатели исследовательских комиссий МСЭ-</w:t>
      </w:r>
      <w:r w:rsidRPr="00AF4A0D">
        <w:rPr>
          <w:lang w:val="en-GB"/>
        </w:rPr>
        <w:t>D</w:t>
      </w:r>
      <w:r w:rsidRPr="00AF4A0D">
        <w:t>: Председатель 1-й Исследовательской комиссии г</w:t>
      </w:r>
      <w:r w:rsidR="00153DC3">
        <w:noBreakHyphen/>
      </w:r>
      <w:r w:rsidRPr="00AF4A0D">
        <w:t>жа</w:t>
      </w:r>
      <w:r w:rsidRPr="00AF4A0D">
        <w:rPr>
          <w:lang w:val="en-GB"/>
        </w:rPr>
        <w:t> </w:t>
      </w:r>
      <w:r w:rsidRPr="00AF4A0D">
        <w:t>Регина-Флёр Ассуму-Бессу (Кот-д'Ивуар) и Председатель 2</w:t>
      </w:r>
      <w:r w:rsidR="00153DC3">
        <w:t>-й Исследовательской комиссии г</w:t>
      </w:r>
      <w:r w:rsidR="00153DC3">
        <w:noBreakHyphen/>
      </w:r>
      <w:r w:rsidRPr="00AF4A0D">
        <w:t>н</w:t>
      </w:r>
      <w:r w:rsidRPr="00AF4A0D">
        <w:rPr>
          <w:lang w:val="en-GB"/>
        </w:rPr>
        <w:t> </w:t>
      </w:r>
      <w:r w:rsidRPr="00AF4A0D">
        <w:t>Ахмад Реза Шарафат (Исламская Республика Иран). Участники КГРЭ рассмотрели 56 письменных вкладов, 16 из которых были представлены членами МСЭ.</w:t>
      </w:r>
    </w:p>
    <w:p w14:paraId="3546383D" w14:textId="6325C827" w:rsidR="00AF4A0D" w:rsidRPr="00AF4A0D" w:rsidRDefault="00AF4A0D" w:rsidP="00083D22">
      <w:pPr>
        <w:pStyle w:val="Heading1"/>
        <w:spacing w:before="360"/>
      </w:pPr>
      <w:bookmarkStart w:id="8" w:name="lt_pId028"/>
      <w:bookmarkEnd w:id="6"/>
      <w:r w:rsidRPr="00AF4A0D">
        <w:t>1</w:t>
      </w:r>
      <w:r w:rsidRPr="00AF4A0D">
        <w:tab/>
        <w:t>Выступление Генерального секретаря</w:t>
      </w:r>
      <w:bookmarkEnd w:id="8"/>
    </w:p>
    <w:p w14:paraId="61E84942" w14:textId="77777777" w:rsidR="00AF4A0D" w:rsidRPr="00AF4A0D" w:rsidRDefault="00AF4A0D" w:rsidP="00AF4A0D">
      <w:bookmarkStart w:id="9" w:name="lt_pId029"/>
      <w:r w:rsidRPr="00AF4A0D">
        <w:t xml:space="preserve">Генеральный секретарь МСЭ г-н Хоулинь Чжао открыл 25-е собрание Консультативной группы по развитию электросвязи 2 июня 2020 года и поблагодарил участников за то, что они поддержали предложение и согласились провести собрание в виртуальном режиме, и за предварительную подготовку в рамках серии веб-диалогов КГРЭ. </w:t>
      </w:r>
      <w:bookmarkEnd w:id="9"/>
    </w:p>
    <w:p w14:paraId="274F65A9" w14:textId="77777777" w:rsidR="00AF4A0D" w:rsidRPr="00AF4A0D" w:rsidRDefault="00AF4A0D" w:rsidP="00AF4A0D">
      <w:bookmarkStart w:id="10" w:name="lt_pId030"/>
      <w:r w:rsidRPr="00AF4A0D">
        <w:t>Освещая основные моменты повестки дня, в том числе Четырехгодичный скользящий оперативный план МСЭ-</w:t>
      </w:r>
      <w:r w:rsidRPr="00AF4A0D">
        <w:rPr>
          <w:lang w:val="en-GB"/>
        </w:rPr>
        <w:t>D</w:t>
      </w:r>
      <w:r w:rsidRPr="00AF4A0D">
        <w:t>, вклад МСЭ-</w:t>
      </w:r>
      <w:r w:rsidRPr="00AF4A0D">
        <w:rPr>
          <w:lang w:val="en-GB"/>
        </w:rPr>
        <w:t>D</w:t>
      </w:r>
      <w:r w:rsidRPr="00AF4A0D">
        <w:t xml:space="preserve"> в осуществление Плана действий ВВУИО и Повестки дня в области устойчивого развития на период до 2030 года, сотрудничество с другими Секторами и Молодежную стратегию МСЭ-</w:t>
      </w:r>
      <w:r w:rsidRPr="00AF4A0D">
        <w:rPr>
          <w:lang w:val="en-GB"/>
        </w:rPr>
        <w:t>D</w:t>
      </w:r>
      <w:r w:rsidRPr="00AF4A0D">
        <w:t>, Генеральный секретарь заявил: "Вы проведете обзор касающихся работы МСЭ-</w:t>
      </w:r>
      <w:r w:rsidRPr="00AF4A0D">
        <w:rPr>
          <w:lang w:val="en-GB"/>
        </w:rPr>
        <w:t>D</w:t>
      </w:r>
      <w:r w:rsidRPr="00AF4A0D">
        <w:t xml:space="preserve"> итогов ВКР-19, конференции, которая открыла новые возможности для людей в сообществах, обслуживаемых в недостаточной степени, и в сельских и отдаленных районах, где проживает бóльшая часть тех, кто не имеет соединений. Вы также представите руководящие указания в </w:t>
      </w:r>
      <w:r w:rsidRPr="00AF4A0D">
        <w:lastRenderedPageBreak/>
        <w:t>отношении процесса подготовки ВКРЭ-21, всемирной конференции по развитию электросвязи, которая пройдет на африканской земле впервые с момента учреждения Сектора развития".</w:t>
      </w:r>
    </w:p>
    <w:p w14:paraId="2BFBC176" w14:textId="77777777" w:rsidR="00AF4A0D" w:rsidRPr="00AF4A0D" w:rsidRDefault="00AF4A0D" w:rsidP="00AF4A0D">
      <w:bookmarkStart w:id="11" w:name="lt_pId036"/>
      <w:bookmarkEnd w:id="10"/>
      <w:r w:rsidRPr="00AF4A0D">
        <w:t xml:space="preserve">Г-н Чжао сообщил участникам о важном видеообращении Генерального секретаря Организации Объединенных Наций, сделанном по случаю Всемирного дня электросвязи и информационного общества 2020 года, в котором тот заявил: "Информационно-коммуникационные технологии являются мощными инструментами для решения самых насущных проблем мира. Международное сотрудничество в области цифровых технологий необходимо, чтобы помочь победить </w:t>
      </w:r>
      <w:r w:rsidRPr="00AF4A0D">
        <w:rPr>
          <w:lang w:val="en-GB"/>
        </w:rPr>
        <w:t>COVID</w:t>
      </w:r>
      <w:r w:rsidRPr="00AF4A0D">
        <w:t>-19 и выполнить Повестку дня в области устойчивого развития на период до 2030 года".</w:t>
      </w:r>
    </w:p>
    <w:p w14:paraId="7439A721" w14:textId="77777777" w:rsidR="00AF4A0D" w:rsidRPr="00AF4A0D" w:rsidRDefault="00AF4A0D" w:rsidP="00AF4A0D">
      <w:bookmarkStart w:id="12" w:name="lt_pId039"/>
      <w:bookmarkEnd w:id="11"/>
      <w:r w:rsidRPr="00AF4A0D">
        <w:t xml:space="preserve">Г-н Чжао напомнил участникам, что для достижения Целей в области устойчивого развития (ЦУР) осталось всего десять лет и теперь работа МСЭ в области развития важна как никогда. "Миру нужны ЦУР, а ЦУР нужны ИКТ. Сегодняшний кризис напоминает нам о том, насколько мы все взаимосвязаны и насколько велики трудности и вызовы, которые мы должны преодолеть, в частности сократив цифровой разрыв. Мощность процесса цифровой трансформации, происходящей на наших глазах, сейчас больше, чем когда-либо прежде. Мы в МСЭ должны воспользоваться представившейся нам возможностью, чтобы ускорить развитие цифрового общества и способствовать развитию потенциала ИКТ, в том числе инвестируя в цифровую инфраструктуру, чтобы никто не был забыт во время и после </w:t>
      </w:r>
      <w:r w:rsidRPr="00AF4A0D">
        <w:rPr>
          <w:lang w:val="en-GB"/>
        </w:rPr>
        <w:t>COVID</w:t>
      </w:r>
      <w:r w:rsidRPr="00AF4A0D">
        <w:t>-19", – сказал он.</w:t>
      </w:r>
    </w:p>
    <w:p w14:paraId="62CD7FF7" w14:textId="77777777" w:rsidR="00AF4A0D" w:rsidRPr="00AF4A0D" w:rsidRDefault="00AF4A0D" w:rsidP="00AF4A0D">
      <w:bookmarkStart w:id="13" w:name="lt_pId044"/>
      <w:bookmarkEnd w:id="12"/>
      <w:r w:rsidRPr="00AF4A0D">
        <w:t xml:space="preserve">Генеральный секретарь поблагодарил БРЭ за все его усилия по преодолению кризиса, вызванного </w:t>
      </w:r>
      <w:r w:rsidRPr="00AF4A0D">
        <w:rPr>
          <w:lang w:val="en-GB"/>
        </w:rPr>
        <w:t>COVID</w:t>
      </w:r>
      <w:r w:rsidRPr="00AF4A0D">
        <w:t>-19, начиная с запуска Глобальной платформы по обеспечению устойчивости сетей и публикации новых руководящих указаний для содействия странам в разработке национальных планов по электросвязи в чрезвычайных ситуациях до работы по обеспечению безопасности детей в онлайновой среде и возможностей дистанционного обучения.</w:t>
      </w:r>
      <w:bookmarkEnd w:id="13"/>
    </w:p>
    <w:p w14:paraId="00B324FD" w14:textId="5E05CB2B" w:rsidR="00AF4A0D" w:rsidRPr="00AF4A0D" w:rsidRDefault="00AF4A0D" w:rsidP="00083D22">
      <w:pPr>
        <w:pStyle w:val="Heading1"/>
        <w:spacing w:before="360"/>
      </w:pPr>
      <w:bookmarkStart w:id="14" w:name="lt_pId045"/>
      <w:r w:rsidRPr="00AF4A0D">
        <w:t>2</w:t>
      </w:r>
      <w:r w:rsidRPr="00AF4A0D">
        <w:tab/>
        <w:t xml:space="preserve">Выступление Директора Бюро развития электросвязи </w:t>
      </w:r>
      <w:bookmarkEnd w:id="14"/>
    </w:p>
    <w:p w14:paraId="739EB3DB" w14:textId="77777777" w:rsidR="00AF4A0D" w:rsidRPr="00AF4A0D" w:rsidRDefault="00AF4A0D" w:rsidP="00AF4A0D">
      <w:bookmarkStart w:id="15" w:name="lt_pId046"/>
      <w:r w:rsidRPr="00AF4A0D">
        <w:t>Директор БРЭ г-жа Дорин Богдан-Мартин приветствовала коллег и членов КГРЭ на первом в истории виртуальном собрании этой группы. Директор вновь заявила о своей идее создания БРЭ, которое прислушивается к мнению членов, выявляет и использует новые возможности, создает новые альянсы, взаимодействует с традиционными, многолетними партнерами, а также привлекает и готовит новых партнеров и делает все, чтобы они видели реальную ценность в сотрудничестве с БРЭ. КГРЭ играет центральную роль в предоставлении взвешенных экспертных рекомендаций, касающихся того, как двигаться в этом направлении.</w:t>
      </w:r>
    </w:p>
    <w:p w14:paraId="2A66D05F" w14:textId="77777777" w:rsidR="00AF4A0D" w:rsidRPr="00AF4A0D" w:rsidRDefault="00AF4A0D" w:rsidP="00AF4A0D">
      <w:bookmarkStart w:id="16" w:name="lt_pId049"/>
      <w:bookmarkEnd w:id="15"/>
      <w:r w:rsidRPr="00AF4A0D">
        <w:t xml:space="preserve">Пандемия </w:t>
      </w:r>
      <w:r w:rsidRPr="00AF4A0D">
        <w:rPr>
          <w:lang w:val="en-GB"/>
        </w:rPr>
        <w:t>COVID</w:t>
      </w:r>
      <w:r w:rsidRPr="00AF4A0D">
        <w:t xml:space="preserve"> привела к серьезным изменениям, которые потребовали инновационных и эффективных решений. БРЭ начало использовать новые инструменты и подходы для оказания услуг в партнерстве со все большим числом организаций и в условиях все более широкого международного сотрудничества.</w:t>
      </w:r>
    </w:p>
    <w:p w14:paraId="45549C9C" w14:textId="77777777" w:rsidR="00AF4A0D" w:rsidRPr="00AF4A0D" w:rsidRDefault="00AF4A0D" w:rsidP="00AF4A0D">
      <w:r w:rsidRPr="00AF4A0D">
        <w:t>Однако есть несколько миллиардов человек, которые до сих пор "</w:t>
      </w:r>
      <w:r w:rsidRPr="00514943">
        <w:rPr>
          <w:i/>
        </w:rPr>
        <w:t>не имеют возможности установления соединений или испытывают трудности при установлении соединений, потому что они слишком медленные, слишком дорогостоящие и слишком ненадежные и не могут существенно изменить жизнь во время этого кризиса</w:t>
      </w:r>
      <w:r w:rsidRPr="00AF4A0D">
        <w:t xml:space="preserve">". Мир после </w:t>
      </w:r>
      <w:r w:rsidRPr="00AF4A0D">
        <w:rPr>
          <w:lang w:val="en-GB"/>
        </w:rPr>
        <w:t>COVID</w:t>
      </w:r>
      <w:r w:rsidRPr="00AF4A0D">
        <w:t xml:space="preserve"> должен быть основан на открытой возможности установления соединений для всех, широкополосном доступе для всех.</w:t>
      </w:r>
    </w:p>
    <w:p w14:paraId="5A08ED2E" w14:textId="4B8811EA" w:rsidR="00AF4A0D" w:rsidRPr="00AF4A0D" w:rsidRDefault="00AF4A0D" w:rsidP="00AF4A0D">
      <w:bookmarkStart w:id="17" w:name="lt_pId053"/>
      <w:bookmarkEnd w:id="16"/>
      <w:r w:rsidRPr="00AF4A0D">
        <w:t>БРЭ занимается подготовкой к Всемирной конференции по развитию электросвязи 2021 года (ВКРЭ</w:t>
      </w:r>
      <w:r w:rsidR="00514943">
        <w:noBreakHyphen/>
      </w:r>
      <w:r w:rsidRPr="00AF4A0D">
        <w:t>21), и КГРЭ является форумом, на котором Бюро должно сообщить о принятых в связи с этим мерах и достигнутых результатах. Стратегические приоритеты будут определять направления усилий БРЭ, способствуя повышению эффективности работы Бюро; решению важных для регионов задач благодаря более тесному сотрудничеству с региональными отделениями, а также с учреждениями системы ООН; уделению большего внимания работе с партнерами; развитию потенциал</w:t>
      </w:r>
      <w:r w:rsidR="00083D22">
        <w:t>а</w:t>
      </w:r>
      <w:r w:rsidRPr="00AF4A0D">
        <w:t xml:space="preserve"> персонала за счет внутренних мероприятий по созданию потенциала; и обеспечению интеллектуального лидерства на основе укрепления возможностей сбора статистики и анализа данных.</w:t>
      </w:r>
    </w:p>
    <w:p w14:paraId="237FD5C1" w14:textId="77777777" w:rsidR="00AF4A0D" w:rsidRPr="00AF4A0D" w:rsidRDefault="00AF4A0D" w:rsidP="00AF4A0D">
      <w:bookmarkStart w:id="18" w:name="lt_pId059"/>
      <w:bookmarkEnd w:id="17"/>
      <w:r w:rsidRPr="00AF4A0D">
        <w:lastRenderedPageBreak/>
        <w:t xml:space="preserve">Что касается партнерств, Директор особо отметила, среди многих других, партнерскую инициативу ЮНИСЕФ и МСЭ </w:t>
      </w:r>
      <w:r w:rsidRPr="00AF4A0D">
        <w:rPr>
          <w:lang w:val="en-GB"/>
        </w:rPr>
        <w:t>GIGA</w:t>
      </w:r>
      <w:r w:rsidRPr="00AF4A0D">
        <w:t xml:space="preserve">, целью которой является подключение всех школ в мире к интернету; партнерство "РАВНЫЕ" для обеспечения цифрового гендерного равенства, в котором участвуют более 90 партнеров со всего мира и сооснователями которого являются Структура "ООН-женщины", Ассоциация </w:t>
      </w:r>
      <w:r w:rsidRPr="00AF4A0D">
        <w:rPr>
          <w:lang w:val="en-GB"/>
        </w:rPr>
        <w:t>GSM</w:t>
      </w:r>
      <w:r w:rsidRPr="00AF4A0D">
        <w:t>, Международный торговый центр (МТЦ) и Университет ООН; а также усилия в отношении молодежи и подготовку проекта Молодежной стратегии БРЭ.</w:t>
      </w:r>
    </w:p>
    <w:p w14:paraId="7A3810FF" w14:textId="77777777" w:rsidR="00AF4A0D" w:rsidRPr="00AF4A0D" w:rsidRDefault="00AF4A0D" w:rsidP="00AF4A0D">
      <w:r w:rsidRPr="00AF4A0D">
        <w:t>БРЭ пропагандирует среди правительств Государств-Членов, компаний частного сектора, гражданского общества, ООН и других заинтересованных сторон важность реальной возможности установления соединений. Как известно, нельзя упустить свой шанс в большой кризис. Сектор должен воспользоваться этой уникальной возможностью и использовать наилучшим образом это небывалое усиление политической воли: "</w:t>
      </w:r>
      <w:r w:rsidRPr="00514943">
        <w:rPr>
          <w:i/>
        </w:rPr>
        <w:t>Может быть, нам никогда больше не представится шанс извлечь выгоду из такого пристального внимания, которое правительства уделяют сейчас цифровым сетям и услугам</w:t>
      </w:r>
      <w:r w:rsidRPr="00AF4A0D">
        <w:t>".</w:t>
      </w:r>
    </w:p>
    <w:p w14:paraId="53F0F634" w14:textId="77777777" w:rsidR="00AF4A0D" w:rsidRPr="00AF4A0D" w:rsidRDefault="00AF4A0D" w:rsidP="00AF4A0D">
      <w:bookmarkStart w:id="19" w:name="lt_pId065"/>
      <w:bookmarkEnd w:id="18"/>
      <w:r w:rsidRPr="00AF4A0D">
        <w:t>ВКРЭ дает уникальный шанс сделать огромный шаг в соединении тех, кто лишен соединения, и налаживании сотрудничества между государственными органами и отраслью в рамках глобальной "стройки века", чтобы как можно быстрее добиться результатов и использовать цифровой потенциал для достижения ЦУР.</w:t>
      </w:r>
    </w:p>
    <w:p w14:paraId="5E221490" w14:textId="77777777" w:rsidR="00AF4A0D" w:rsidRPr="00AF4A0D" w:rsidRDefault="00AF4A0D" w:rsidP="00AF4A0D">
      <w:r w:rsidRPr="00AF4A0D">
        <w:t>БРЭ, соответствующее своему целевому назначению, и модернизированная ВКРЭ "</w:t>
      </w:r>
      <w:r w:rsidRPr="00514943">
        <w:rPr>
          <w:i/>
        </w:rPr>
        <w:t>могут быть основными движущими силами для реального и быстрого прогресса на пути к миру, в котором у каждого есть возможность установления соединений и каждому открывается его шанс</w:t>
      </w:r>
      <w:r w:rsidRPr="00AF4A0D">
        <w:t>".</w:t>
      </w:r>
    </w:p>
    <w:bookmarkEnd w:id="19"/>
    <w:p w14:paraId="5C7BB2D3" w14:textId="469BEF8F" w:rsidR="00AF4A0D" w:rsidRPr="00AF4A0D" w:rsidRDefault="00940E03" w:rsidP="00083D22">
      <w:pPr>
        <w:pStyle w:val="Heading1"/>
        <w:spacing w:before="360"/>
      </w:pPr>
      <w:r w:rsidRPr="00940E03">
        <w:t>3</w:t>
      </w:r>
      <w:r w:rsidRPr="00940E03">
        <w:tab/>
      </w:r>
      <w:r w:rsidR="00AF4A0D" w:rsidRPr="00AF4A0D">
        <w:t>Вступительные замечания Председателя КГРЭ</w:t>
      </w:r>
    </w:p>
    <w:p w14:paraId="108832AE" w14:textId="77777777" w:rsidR="00AF4A0D" w:rsidRPr="00AF4A0D" w:rsidRDefault="00AF4A0D" w:rsidP="00AF4A0D">
      <w:bookmarkStart w:id="20" w:name="lt_pId068"/>
      <w:r w:rsidRPr="00AF4A0D">
        <w:t>В своих вступительных замечаниях Председатель КГРЭ г-жа Роксанна Макэлвейн Веббер (</w:t>
      </w:r>
      <w:r w:rsidRPr="00AF4A0D">
        <w:rPr>
          <w:b/>
          <w:bCs/>
        </w:rPr>
        <w:t>Соединенные Штаты Америки</w:t>
      </w:r>
      <w:r w:rsidRPr="00AF4A0D">
        <w:t>) отметила, что КГРЭ-20 – первое собрание, проходящее в виртуальном режиме, за 28 лет существования МСЭ-</w:t>
      </w:r>
      <w:r w:rsidRPr="00AF4A0D">
        <w:rPr>
          <w:lang w:val="en-GB"/>
        </w:rPr>
        <w:t>D</w:t>
      </w:r>
      <w:r w:rsidRPr="00AF4A0D">
        <w:t>, после чего от имени членов и всех участников она поблагодарила БРЭ за впечатляющую всестороннюю текущую работу, направленную на то, чтобы привести Бюро в соответствие с целевым назначением.</w:t>
      </w:r>
      <w:bookmarkEnd w:id="20"/>
    </w:p>
    <w:p w14:paraId="540CF183" w14:textId="77777777" w:rsidR="00AF4A0D" w:rsidRPr="00AF4A0D" w:rsidRDefault="00AF4A0D" w:rsidP="00AF4A0D">
      <w:bookmarkStart w:id="21" w:name="lt_pId069"/>
      <w:r w:rsidRPr="00AF4A0D">
        <w:t>Она отметила, что КГРЭ-20 будет обсуждать прошлую, настоящую и будущую деятельность БРЭ, в том числе инициативы Бюро. Принимая во внимание наличие 56 вкладов для рассмотрения и обсуждения, она назвала следующие цели собрания: рассмотреть все вклады; одобрить Оперативный план; достичь консенсуса в отношении механизма рассмотрения вклада Сектора развития в Стратегический план МСЭ и создать основу для подготовки к ВКРЭ-21. Что касается последнего, она отметила, что КГРЭ на своем собрании 2018 года – первом в этом цикле – приняла решение перенести создание рабочих групп по подготовке ближе к Всемирной конференции по развитию электросвязи 2021 года. Пришло время созвать такие группы, и их создание – важный элемент настоящего собрания.</w:t>
      </w:r>
    </w:p>
    <w:p w14:paraId="0F9A0031" w14:textId="77777777" w:rsidR="00AF4A0D" w:rsidRPr="00AF4A0D" w:rsidRDefault="00AF4A0D" w:rsidP="00AF4A0D">
      <w:bookmarkStart w:id="22" w:name="lt_pId076"/>
      <w:bookmarkEnd w:id="21"/>
      <w:r w:rsidRPr="00AF4A0D">
        <w:t>По ее мнению, и ВКРЭ, и КГРЭ должны справиться с административным вкладом членов, и этот вклад должен быть преобразован во что-то, что поможет соединить тех, кто не имеет соединений. Она выразила надежду, что участники ВКРЭ и КГРЭ получат информацию и – и это главное – уедут, зная о мире больше, чем раньше. Она хотела бы надеяться, что ВКРЭ-21 будет посвящена развивающимся странам, лидерам и обсуждению крупных сдвигов и успехов со времени последней ВКРЭ, особенно достигнутого прогресса и хода работы в развивающихся странах.</w:t>
      </w:r>
    </w:p>
    <w:p w14:paraId="220603DC" w14:textId="77777777" w:rsidR="00AF4A0D" w:rsidRPr="00AF4A0D" w:rsidRDefault="00AF4A0D" w:rsidP="00AF4A0D">
      <w:bookmarkStart w:id="23" w:name="lt_pId080"/>
      <w:bookmarkEnd w:id="22"/>
      <w:r w:rsidRPr="00AF4A0D">
        <w:t xml:space="preserve">Она вновь выразила надежду, что в процессе подготовки ВКРЭ и на самой Конференции развивающиеся страны получат возможность изложить свои взгляды как субъекты глобального мира связи и определить стоящие перед ними вызовы и что наши коллективные усилия расширят их успехи, перспективы и помогут преодолеть эти вызовы. Тем, кто хочет и может преодолеть эти вызовы, проще сделать это, ясно сформулировав свою позицию. Цели ВКРЭ – давать информацию и получать ее от другого, при этом главной целью ВКРЭ является принятие мер для решения вызовов, о </w:t>
      </w:r>
      <w:r w:rsidRPr="00AF4A0D">
        <w:lastRenderedPageBreak/>
        <w:t>которых будет заявлено, с опорой на понимание фактов и обстоятельств, а также позиций каждой развивающейся страны. В основе этого лежат данные, которые БРЭ предоставляет членам и которые помогают нам лучше понять обстоятельства каждого из нас.</w:t>
      </w:r>
    </w:p>
    <w:p w14:paraId="5BCEE144" w14:textId="77777777" w:rsidR="00AF4A0D" w:rsidRPr="00AF4A0D" w:rsidRDefault="00AF4A0D" w:rsidP="00AF4A0D">
      <w:bookmarkStart w:id="24" w:name="lt_pId084"/>
      <w:bookmarkEnd w:id="23"/>
      <w:r w:rsidRPr="00AF4A0D">
        <w:t>В заключение она отметила, что МСЭ – уникальная организация, которая отличается всемирным охватом и глобальным членским составом, включающим как страны, так и компании отрасли, и что Члены МСЭ-</w:t>
      </w:r>
      <w:r w:rsidRPr="00AF4A0D">
        <w:rPr>
          <w:lang w:val="en-GB"/>
        </w:rPr>
        <w:t>D</w:t>
      </w:r>
      <w:r w:rsidRPr="00AF4A0D">
        <w:t xml:space="preserve"> могут сделать гораздо больше вместе, чем порознь. </w:t>
      </w:r>
      <w:bookmarkEnd w:id="24"/>
    </w:p>
    <w:p w14:paraId="2AA4DF72" w14:textId="708EF8AA" w:rsidR="00AF4A0D" w:rsidRPr="00AF4A0D" w:rsidRDefault="00940E03" w:rsidP="00083D22">
      <w:pPr>
        <w:pStyle w:val="Heading1"/>
        <w:spacing w:before="360"/>
      </w:pPr>
      <w:bookmarkStart w:id="25" w:name="lt_pId085"/>
      <w:r w:rsidRPr="00940E03">
        <w:t>4</w:t>
      </w:r>
      <w:r w:rsidRPr="00940E03">
        <w:tab/>
      </w:r>
      <w:r w:rsidR="00AF4A0D" w:rsidRPr="00AF4A0D">
        <w:t xml:space="preserve">Повестка дня, план распределения времени и назначения в КГРЭ </w:t>
      </w:r>
      <w:bookmarkEnd w:id="25"/>
    </w:p>
    <w:p w14:paraId="121CE7EB" w14:textId="77777777" w:rsidR="00AF4A0D" w:rsidRPr="00AF4A0D" w:rsidRDefault="00AF4A0D" w:rsidP="00AF4A0D">
      <w:bookmarkStart w:id="26" w:name="lt_pId086"/>
      <w:r w:rsidRPr="00AF4A0D">
        <w:t xml:space="preserve">Повестка дня собрания и план распределения времени содержатся в </w:t>
      </w:r>
      <w:hyperlink r:id="rId9" w:history="1">
        <w:r w:rsidRPr="00AF4A0D">
          <w:rPr>
            <w:rStyle w:val="Hyperlink"/>
          </w:rPr>
          <w:t>Документах 1</w:t>
        </w:r>
      </w:hyperlink>
      <w:r w:rsidRPr="00AF4A0D">
        <w:t xml:space="preserve"> и </w:t>
      </w:r>
      <w:hyperlink r:id="rId10" w:history="1">
        <w:r w:rsidRPr="00AF4A0D">
          <w:rPr>
            <w:rStyle w:val="Hyperlink"/>
            <w:lang w:val="en-GB"/>
          </w:rPr>
          <w:t>DT</w:t>
        </w:r>
        <w:r w:rsidRPr="00AF4A0D">
          <w:rPr>
            <w:rStyle w:val="Hyperlink"/>
          </w:rPr>
          <w:t>/1</w:t>
        </w:r>
      </w:hyperlink>
      <w:r w:rsidRPr="00AF4A0D">
        <w:t xml:space="preserve"> соответственно и рассматривались вместе. Было решено исключить из повестки дня два пункта: "Отчет о ходе работы по Индексу МСЭ" и "Отчет о состоянии дел по обзору регионального присутствия", поскольку оба пункта будут обсуждаться Советом и принятие каких-либо решений по ним относится к его компетенции. </w:t>
      </w:r>
      <w:bookmarkEnd w:id="26"/>
    </w:p>
    <w:p w14:paraId="79F9CB21" w14:textId="77777777" w:rsidR="00AF4A0D" w:rsidRPr="00AF4A0D" w:rsidRDefault="00AF4A0D" w:rsidP="00AF4A0D">
      <w:bookmarkStart w:id="27" w:name="lt_pId089"/>
      <w:r w:rsidRPr="00AF4A0D">
        <w:t xml:space="preserve">В </w:t>
      </w:r>
      <w:hyperlink r:id="rId11" w:history="1">
        <w:r w:rsidRPr="00AF4A0D">
          <w:rPr>
            <w:rStyle w:val="Hyperlink"/>
          </w:rPr>
          <w:t xml:space="preserve">Документе </w:t>
        </w:r>
        <w:r w:rsidRPr="00AF4A0D">
          <w:rPr>
            <w:rStyle w:val="Hyperlink"/>
            <w:lang w:val="en-GB"/>
          </w:rPr>
          <w:t>DT</w:t>
        </w:r>
        <w:r w:rsidRPr="00AF4A0D">
          <w:rPr>
            <w:rStyle w:val="Hyperlink"/>
          </w:rPr>
          <w:t>/3</w:t>
        </w:r>
      </w:hyperlink>
      <w:r w:rsidRPr="00AF4A0D">
        <w:t xml:space="preserve"> излагаются руководящие указания для участников о том, как будет проводиться виртуальное собрание КГРЭ. Полностью виртуальное собрание КГРЭ с устным переводом на все шесть языков Союза будет проходить впервые. МСЭ обладает значительным опытом в организации мероприятий с дистанционным участием, однако виртуальное собрание такого масштаба и важности с использованием платформы </w:t>
      </w:r>
      <w:r w:rsidRPr="00940E03">
        <w:rPr>
          <w:i/>
          <w:lang w:val="en-GB"/>
        </w:rPr>
        <w:t>Interprefy</w:t>
      </w:r>
      <w:r w:rsidRPr="00AF4A0D">
        <w:t xml:space="preserve"> не имеет прецедентов. Приветствуются отзывы участников, которые помогут улучшить инструменты проведения виртуальных собраний в будущем. </w:t>
      </w:r>
      <w:bookmarkEnd w:id="27"/>
    </w:p>
    <w:p w14:paraId="7EF2A9FE" w14:textId="77777777" w:rsidR="00AF4A0D" w:rsidRPr="00AF4A0D" w:rsidRDefault="00AF4A0D" w:rsidP="00AF4A0D">
      <w:bookmarkStart w:id="28" w:name="lt_pId093"/>
      <w:r w:rsidRPr="00AF4A0D">
        <w:t xml:space="preserve">Представленный Председателем </w:t>
      </w:r>
      <w:hyperlink r:id="rId12" w:history="1">
        <w:r w:rsidRPr="00AF4A0D">
          <w:rPr>
            <w:rStyle w:val="Hyperlink"/>
          </w:rPr>
          <w:t xml:space="preserve">Документ </w:t>
        </w:r>
        <w:r w:rsidRPr="00AF4A0D">
          <w:rPr>
            <w:rStyle w:val="Hyperlink"/>
            <w:lang w:val="en-GB"/>
          </w:rPr>
          <w:t>DT</w:t>
        </w:r>
        <w:r w:rsidRPr="00AF4A0D">
          <w:rPr>
            <w:rStyle w:val="Hyperlink"/>
          </w:rPr>
          <w:t>/4</w:t>
        </w:r>
      </w:hyperlink>
      <w:r w:rsidRPr="00AF4A0D">
        <w:t xml:space="preserve"> содержит описание КГРЭ и сфер ее ответственности, отзывы по итогам веб-диалогов КГРЭ по реформированию ВКРЭ, а также пункты, рекомендуемые к рассмотрению КГРЭ-21</w:t>
      </w:r>
      <w:r w:rsidRPr="00940E03">
        <w:rPr>
          <w:rStyle w:val="FootnoteReference"/>
        </w:rPr>
        <w:footnoteReference w:id="2"/>
      </w:r>
      <w:r w:rsidRPr="00AF4A0D">
        <w:t>.</w:t>
      </w:r>
      <w:bookmarkEnd w:id="28"/>
    </w:p>
    <w:p w14:paraId="3E7082F7" w14:textId="77777777" w:rsidR="00AF4A0D" w:rsidRPr="00AF4A0D" w:rsidRDefault="00AF4A0D" w:rsidP="00940E03">
      <w:pPr>
        <w:spacing w:after="120"/>
      </w:pPr>
      <w:bookmarkStart w:id="30" w:name="lt_pId094"/>
      <w:r w:rsidRPr="00AF4A0D">
        <w:t>Все документы собрания, упомянутые в настоящем отчете, были представлены от имени Директора БРЭ, если не указано иное.</w:t>
      </w:r>
      <w:bookmarkEnd w:id="30"/>
    </w:p>
    <w:tbl>
      <w:tblPr>
        <w:tblStyle w:val="TableGrid"/>
        <w:tblW w:w="0" w:type="auto"/>
        <w:tblLook w:val="04A0" w:firstRow="1" w:lastRow="0" w:firstColumn="1" w:lastColumn="0" w:noHBand="0" w:noVBand="1"/>
      </w:tblPr>
      <w:tblGrid>
        <w:gridCol w:w="9628"/>
      </w:tblGrid>
      <w:tr w:rsidR="00AF4A0D" w:rsidRPr="003C4627" w14:paraId="74672FDA" w14:textId="77777777" w:rsidTr="00AF4A0D">
        <w:tc>
          <w:tcPr>
            <w:tcW w:w="9629" w:type="dxa"/>
          </w:tcPr>
          <w:p w14:paraId="7D5D03C9" w14:textId="77777777" w:rsidR="00AF4A0D" w:rsidRPr="003C4627" w:rsidRDefault="00AF4A0D" w:rsidP="003C4627">
            <w:pPr>
              <w:spacing w:after="120"/>
              <w:rPr>
                <w:sz w:val="22"/>
              </w:rPr>
            </w:pPr>
            <w:bookmarkStart w:id="31" w:name="lt_pId095"/>
            <w:r w:rsidRPr="003C4627">
              <w:rPr>
                <w:sz w:val="22"/>
              </w:rPr>
              <w:t xml:space="preserve">Повестка дня была принята с изменением. План распределения времени был принят без изменений. Руководящие указания по проведению виртуального собрания КГРЭ-20 и Документ DT/4 были приняты к сведению в качестве информационных документов. </w:t>
            </w:r>
            <w:bookmarkEnd w:id="31"/>
          </w:p>
        </w:tc>
      </w:tr>
    </w:tbl>
    <w:p w14:paraId="35A3A586" w14:textId="51A74595" w:rsidR="00AF4A0D" w:rsidRPr="00AF4A0D" w:rsidRDefault="00940E03" w:rsidP="00940E03">
      <w:pPr>
        <w:pStyle w:val="Heading2"/>
      </w:pPr>
      <w:bookmarkStart w:id="32" w:name="lt_pId098"/>
      <w:r w:rsidRPr="00940E03">
        <w:t>4.1</w:t>
      </w:r>
      <w:r w:rsidRPr="00940E03">
        <w:tab/>
      </w:r>
      <w:r w:rsidR="00AF4A0D" w:rsidRPr="00AF4A0D">
        <w:t>Назначение нового заместителя Председателя КГРЭ на вакантную должность</w:t>
      </w:r>
      <w:bookmarkEnd w:id="32"/>
    </w:p>
    <w:p w14:paraId="6211CBBC" w14:textId="77777777" w:rsidR="00AF4A0D" w:rsidRPr="00AF4A0D" w:rsidRDefault="00AF4A0D" w:rsidP="00940E03">
      <w:pPr>
        <w:spacing w:after="120"/>
      </w:pPr>
      <w:bookmarkStart w:id="33" w:name="lt_pId099"/>
      <w:r w:rsidRPr="00AF4A0D">
        <w:t>КГРЭ выразила признательность</w:t>
      </w:r>
      <w:r w:rsidRPr="00AF4A0D">
        <w:rPr>
          <w:lang w:val="en-GB"/>
        </w:rPr>
        <w:t> </w:t>
      </w:r>
      <w:r w:rsidRPr="00AF4A0D">
        <w:t>покидающему свой пост заместителю Председателя от региона Северной и Южной Америки г-ну Уго Дарио Мигелю (</w:t>
      </w:r>
      <w:r w:rsidRPr="00AF4A0D">
        <w:rPr>
          <w:b/>
          <w:bCs/>
        </w:rPr>
        <w:t>Аргентина</w:t>
      </w:r>
      <w:r w:rsidRPr="00AF4A0D">
        <w:t xml:space="preserve">), который был назначен на ВКРЭ-17. Затем КГРЭ рассмотрела </w:t>
      </w:r>
      <w:hyperlink r:id="rId13" w:history="1">
        <w:r w:rsidRPr="00AF4A0D">
          <w:rPr>
            <w:rStyle w:val="Hyperlink"/>
          </w:rPr>
          <w:t>Документ 38</w:t>
        </w:r>
      </w:hyperlink>
      <w:r w:rsidRPr="00AF4A0D">
        <w:t xml:space="preserve">, содержащий письмо администрации </w:t>
      </w:r>
      <w:r w:rsidRPr="00AF4A0D">
        <w:rPr>
          <w:b/>
          <w:bCs/>
        </w:rPr>
        <w:t>Аргентины</w:t>
      </w:r>
      <w:r w:rsidRPr="00AF4A0D">
        <w:t xml:space="preserve"> в поддержку своего кандидата на эту вакантную должность. </w:t>
      </w:r>
      <w:bookmarkEnd w:id="33"/>
    </w:p>
    <w:tbl>
      <w:tblPr>
        <w:tblStyle w:val="TableGrid"/>
        <w:tblW w:w="0" w:type="auto"/>
        <w:tblLook w:val="04A0" w:firstRow="1" w:lastRow="0" w:firstColumn="1" w:lastColumn="0" w:noHBand="0" w:noVBand="1"/>
      </w:tblPr>
      <w:tblGrid>
        <w:gridCol w:w="9628"/>
      </w:tblGrid>
      <w:tr w:rsidR="00AF4A0D" w:rsidRPr="001E04BA" w14:paraId="2C800A2B" w14:textId="77777777" w:rsidTr="00AF4A0D">
        <w:tc>
          <w:tcPr>
            <w:tcW w:w="9629" w:type="dxa"/>
          </w:tcPr>
          <w:p w14:paraId="5FC1E521" w14:textId="77777777" w:rsidR="00AF4A0D" w:rsidRPr="001E04BA" w:rsidRDefault="00AF4A0D" w:rsidP="001E04BA">
            <w:pPr>
              <w:spacing w:after="120"/>
              <w:rPr>
                <w:sz w:val="22"/>
              </w:rPr>
            </w:pPr>
            <w:bookmarkStart w:id="34" w:name="lt_pId101"/>
            <w:r w:rsidRPr="001E04BA">
              <w:rPr>
                <w:sz w:val="22"/>
              </w:rPr>
              <w:t xml:space="preserve">КГРЭ путем аккламации назначила </w:t>
            </w:r>
            <w:r w:rsidRPr="001E04BA">
              <w:rPr>
                <w:b/>
                <w:sz w:val="22"/>
              </w:rPr>
              <w:t>г-на Николаса Караваски</w:t>
            </w:r>
            <w:r w:rsidRPr="001E04BA">
              <w:rPr>
                <w:sz w:val="22"/>
              </w:rPr>
              <w:t xml:space="preserve"> заместителем Председателя КГРЭ вместо г-на Уго Дарио Мигеля.</w:t>
            </w:r>
            <w:bookmarkEnd w:id="34"/>
          </w:p>
        </w:tc>
      </w:tr>
    </w:tbl>
    <w:p w14:paraId="4712CBAB" w14:textId="38B173ED" w:rsidR="00AF4A0D" w:rsidRPr="00AF4A0D" w:rsidRDefault="00940E03" w:rsidP="00083D22">
      <w:pPr>
        <w:pStyle w:val="Heading1"/>
        <w:spacing w:before="360"/>
      </w:pPr>
      <w:r w:rsidRPr="00940E03">
        <w:t>5</w:t>
      </w:r>
      <w:r w:rsidRPr="00940E03">
        <w:tab/>
      </w:r>
      <w:r w:rsidR="00AF4A0D" w:rsidRPr="00AF4A0D">
        <w:t>Итоги ВКР-19, касающиеся работы МСЭ-</w:t>
      </w:r>
      <w:r w:rsidR="00AF4A0D" w:rsidRPr="00AF4A0D">
        <w:rPr>
          <w:lang w:val="en-GB"/>
        </w:rPr>
        <w:t>D</w:t>
      </w:r>
    </w:p>
    <w:p w14:paraId="371C33DE" w14:textId="4F7F2680" w:rsidR="00AF4A0D" w:rsidRPr="00AF4A0D" w:rsidRDefault="00AF4A0D" w:rsidP="00AF4A0D">
      <w:bookmarkStart w:id="35" w:name="lt_pId103"/>
      <w:r w:rsidRPr="00AF4A0D">
        <w:t>Всемирная конференция радиосвязи 2019 года (ВКР-19) проходила в Шарм-эль-Шейхе, Египет, с 28</w:t>
      </w:r>
      <w:r w:rsidR="00940E03">
        <w:rPr>
          <w:lang w:val="en-US"/>
        </w:rPr>
        <w:t> </w:t>
      </w:r>
      <w:r w:rsidRPr="00AF4A0D">
        <w:t>октября по 22 ноября 2019 года; ей предшествовала Ассамблея радиосвязи 2019 года (АР-19), которая проходила там же с 21 по 25 октября 2019 года.</w:t>
      </w:r>
      <w:r w:rsidRPr="00AF4A0D">
        <w:rPr>
          <w:lang w:val="en-GB"/>
        </w:rPr>
        <w:t> </w:t>
      </w:r>
      <w:r w:rsidRPr="00AF4A0D">
        <w:t>После этих мероприятий состоялась первая сессия Подготовительного собрания к Конференции для Всемирной конференции радиосвязи 2023</w:t>
      </w:r>
      <w:r w:rsidR="00940E03">
        <w:rPr>
          <w:lang w:val="en-US"/>
        </w:rPr>
        <w:t> </w:t>
      </w:r>
      <w:r w:rsidRPr="00AF4A0D">
        <w:t>года (ВКР-23)</w:t>
      </w:r>
      <w:bookmarkStart w:id="36" w:name="lt_pId104"/>
      <w:bookmarkEnd w:id="35"/>
      <w:r w:rsidRPr="00AF4A0D">
        <w:t>.</w:t>
      </w:r>
      <w:bookmarkEnd w:id="36"/>
      <w:r w:rsidRPr="00AF4A0D">
        <w:t xml:space="preserve"> </w:t>
      </w:r>
    </w:p>
    <w:p w14:paraId="4FFE8FD5" w14:textId="7D905049" w:rsidR="00AF4A0D" w:rsidRPr="00AF4A0D" w:rsidRDefault="00AF4A0D" w:rsidP="00AF4A0D">
      <w:bookmarkStart w:id="37" w:name="lt_pId105"/>
      <w:r w:rsidRPr="00AF4A0D">
        <w:lastRenderedPageBreak/>
        <w:t>ВКР-19 рассмотрела вопросы распределения частот, совместного использования частот и связанных с этим регламентарных процедур для эффективного использования орбитально-частотного ресурса, а также приняла ряд решений, касающихся работы МСЭ-</w:t>
      </w:r>
      <w:r w:rsidRPr="00AF4A0D">
        <w:rPr>
          <w:lang w:val="en-GB"/>
        </w:rPr>
        <w:t>D</w:t>
      </w:r>
      <w:r w:rsidRPr="00AF4A0D">
        <w:t>.</w:t>
      </w:r>
      <w:bookmarkEnd w:id="37"/>
      <w:r w:rsidRPr="00AF4A0D">
        <w:t xml:space="preserve"> </w:t>
      </w:r>
      <w:bookmarkStart w:id="38" w:name="lt_pId106"/>
      <w:r w:rsidRPr="00AF4A0D">
        <w:t xml:space="preserve">Директор Бюро радиосвязи (БР) г-н Марио Маневич представил </w:t>
      </w:r>
      <w:hyperlink r:id="rId14" w:history="1">
        <w:r w:rsidRPr="00AF4A0D">
          <w:rPr>
            <w:rStyle w:val="Hyperlink"/>
          </w:rPr>
          <w:t>Документ 4</w:t>
        </w:r>
      </w:hyperlink>
      <w:r w:rsidRPr="00AF4A0D">
        <w:t xml:space="preserve">, в котором обобщаются результаты этих мероприятий и приводятся перечни </w:t>
      </w:r>
      <w:r w:rsidR="00F42B12">
        <w:t>р</w:t>
      </w:r>
      <w:r w:rsidRPr="00AF4A0D">
        <w:t xml:space="preserve">езолюций АР и </w:t>
      </w:r>
      <w:proofErr w:type="spellStart"/>
      <w:r w:rsidRPr="00AF4A0D">
        <w:t>ВКР</w:t>
      </w:r>
      <w:proofErr w:type="spellEnd"/>
      <w:r w:rsidRPr="00AF4A0D">
        <w:t>, по которым требуется сотрудничество со стороны МСЭ-</w:t>
      </w:r>
      <w:r w:rsidRPr="00AF4A0D">
        <w:rPr>
          <w:lang w:val="en-GB"/>
        </w:rPr>
        <w:t>D</w:t>
      </w:r>
      <w:r w:rsidRPr="00AF4A0D">
        <w:t>. В</w:t>
      </w:r>
      <w:r w:rsidR="00B7484D">
        <w:t> </w:t>
      </w:r>
      <w:r w:rsidRPr="00AF4A0D">
        <w:t xml:space="preserve">Приложении к Документу 4 содержатся </w:t>
      </w:r>
      <w:r w:rsidR="00F42B12">
        <w:t>р</w:t>
      </w:r>
      <w:r w:rsidRPr="00AF4A0D">
        <w:t xml:space="preserve">езолюции и </w:t>
      </w:r>
      <w:r w:rsidR="00F42B12">
        <w:t>р</w:t>
      </w:r>
      <w:r w:rsidRPr="00AF4A0D">
        <w:t xml:space="preserve">екомендации </w:t>
      </w:r>
      <w:proofErr w:type="spellStart"/>
      <w:r w:rsidRPr="00AF4A0D">
        <w:t>ВКР</w:t>
      </w:r>
      <w:proofErr w:type="spellEnd"/>
      <w:r w:rsidRPr="00AF4A0D">
        <w:t>, представляющие особый интерес для развивающихся стран</w:t>
      </w:r>
      <w:bookmarkStart w:id="39" w:name="lt_pId107"/>
      <w:bookmarkEnd w:id="38"/>
      <w:r w:rsidRPr="00AF4A0D">
        <w:t>.</w:t>
      </w:r>
      <w:bookmarkEnd w:id="39"/>
    </w:p>
    <w:p w14:paraId="73E0C374" w14:textId="77777777" w:rsidR="00AF4A0D" w:rsidRPr="00AF4A0D" w:rsidRDefault="00AF4A0D" w:rsidP="00AF4A0D">
      <w:bookmarkStart w:id="40" w:name="lt_pId108"/>
      <w:r w:rsidRPr="00AF4A0D">
        <w:t xml:space="preserve">Так, ВКР-19 приняла решения по новым и пересмотренным распределениям радиочастотного спектра и регламентарным процедурам, касающимся, в частности, </w:t>
      </w:r>
      <w:r w:rsidRPr="00AF4A0D">
        <w:rPr>
          <w:lang w:val="en-GB"/>
        </w:rPr>
        <w:t>IMT</w:t>
      </w:r>
      <w:r w:rsidRPr="00AF4A0D">
        <w:t>-2020 (известной под торговым названием 5</w:t>
      </w:r>
      <w:r w:rsidRPr="00AF4A0D">
        <w:rPr>
          <w:lang w:val="en-GB"/>
        </w:rPr>
        <w:t>G</w:t>
      </w:r>
      <w:r w:rsidRPr="00AF4A0D">
        <w:t>), службы космических исследований и спутниковой службы исследования Земли (ССИЗ), крупных группировок негеостационарных спутников, станций на высотных платформах (</w:t>
      </w:r>
      <w:r w:rsidRPr="00AF4A0D">
        <w:rPr>
          <w:lang w:val="en-GB"/>
        </w:rPr>
        <w:t>HAPS</w:t>
      </w:r>
      <w:r w:rsidRPr="00AF4A0D">
        <w:t xml:space="preserve">), которые, как ожидается, обеспечат возможность установления соединений в сельских районах, </w:t>
      </w:r>
      <w:r w:rsidRPr="00AF4A0D">
        <w:rPr>
          <w:lang w:val="en-GB"/>
        </w:rPr>
        <w:t>RLAN</w:t>
      </w:r>
      <w:r w:rsidRPr="00AF4A0D">
        <w:t xml:space="preserve"> (сети </w:t>
      </w:r>
      <w:r w:rsidRPr="00AF4A0D">
        <w:rPr>
          <w:lang w:val="en-GB"/>
        </w:rPr>
        <w:t>Wi</w:t>
      </w:r>
      <w:r w:rsidRPr="00AF4A0D">
        <w:t>-</w:t>
      </w:r>
      <w:r w:rsidRPr="00AF4A0D">
        <w:rPr>
          <w:lang w:val="en-GB"/>
        </w:rPr>
        <w:t>Fi</w:t>
      </w:r>
      <w:r w:rsidRPr="00AF4A0D">
        <w:t>), систем железнодорожной радиосвязи между поездом и путевыми устройствами (</w:t>
      </w:r>
      <w:r w:rsidRPr="00AF4A0D">
        <w:rPr>
          <w:lang w:val="en-GB"/>
        </w:rPr>
        <w:t>RSTT</w:t>
      </w:r>
      <w:r w:rsidRPr="00AF4A0D">
        <w:t>), интеллектуальных транспортных систем (ИТС) и Глобальной морской системы для случаев бедствия и обеспечения безопасности (ГМСББ).</w:t>
      </w:r>
    </w:p>
    <w:p w14:paraId="10B73A9F" w14:textId="53777854" w:rsidR="00AF4A0D" w:rsidRPr="00AF4A0D" w:rsidRDefault="00AF4A0D" w:rsidP="00AF4A0D">
      <w:pPr>
        <w:rPr>
          <w:iCs/>
        </w:rPr>
      </w:pPr>
      <w:bookmarkStart w:id="41" w:name="lt_pId109"/>
      <w:bookmarkEnd w:id="40"/>
      <w:r w:rsidRPr="00AF4A0D">
        <w:rPr>
          <w:iCs/>
        </w:rPr>
        <w:t>ВКР-19 также приняла Декларацию, способствующую гендерному равенству, равноправию и равному соотношению мужчин и женщин в работе Сектора радиосвязи (МСЭ-</w:t>
      </w:r>
      <w:r w:rsidRPr="00AF4A0D">
        <w:rPr>
          <w:iCs/>
          <w:lang w:val="en-GB"/>
        </w:rPr>
        <w:t>R</w:t>
      </w:r>
      <w:r w:rsidRPr="00AF4A0D">
        <w:rPr>
          <w:iCs/>
        </w:rPr>
        <w:t xml:space="preserve">). Директор БР проинформировал КГРЭ о том, что на виртуальном собрании Консультативной группы по радиосвязи (КГР) 25–27 мая 2020 года была учреждена работающая по переписке Группа по подготовке </w:t>
      </w:r>
      <w:r w:rsidR="00F42B12">
        <w:rPr>
          <w:iCs/>
        </w:rPr>
        <w:t>р</w:t>
      </w:r>
      <w:r w:rsidRPr="00AF4A0D">
        <w:rPr>
          <w:iCs/>
        </w:rPr>
        <w:t>езолюции МСЭ-</w:t>
      </w:r>
      <w:r w:rsidRPr="00AF4A0D">
        <w:rPr>
          <w:iCs/>
          <w:lang w:val="en-GB"/>
        </w:rPr>
        <w:t>R</w:t>
      </w:r>
      <w:r w:rsidRPr="00AF4A0D">
        <w:rPr>
          <w:iCs/>
        </w:rPr>
        <w:t xml:space="preserve"> по гендерному равенству и равноправию для Ассамблеи 2023 года, к сотрудничеству с которой приглашен МСЭ-</w:t>
      </w:r>
      <w:r w:rsidRPr="00AF4A0D">
        <w:rPr>
          <w:iCs/>
          <w:lang w:val="en-GB"/>
        </w:rPr>
        <w:t>D</w:t>
      </w:r>
      <w:r w:rsidRPr="00AF4A0D">
        <w:rPr>
          <w:iCs/>
        </w:rPr>
        <w:t xml:space="preserve">. Внимание делегатов было также обращено на важную Резолюцию 559, которая открывает возможность развивающимся странам пользоваться орбитальными позициями. </w:t>
      </w:r>
    </w:p>
    <w:p w14:paraId="60509471" w14:textId="77777777" w:rsidR="00AF4A0D" w:rsidRPr="00AF4A0D" w:rsidRDefault="00AF4A0D" w:rsidP="00AF4A0D">
      <w:pPr>
        <w:rPr>
          <w:iCs/>
        </w:rPr>
      </w:pPr>
      <w:bookmarkStart w:id="42" w:name="lt_pId112"/>
      <w:bookmarkEnd w:id="41"/>
      <w:r w:rsidRPr="00AF4A0D">
        <w:rPr>
          <w:iCs/>
        </w:rPr>
        <w:t>Особое внимание было уделено укреплению сотрудничества Бюро развития электросвязи и Бюро радиосвязи, в частности, в рамках инициатив по созданию потенциала, вопросов, связанных с использованием спектра и радиосвязи, и постоянных усилий, направленных на удовлетворение ожиданий членов МСЭ. Со своей стороны БР активизировало поддержку усилий МСЭ-</w:t>
      </w:r>
      <w:r w:rsidRPr="00AF4A0D">
        <w:rPr>
          <w:iCs/>
          <w:lang w:val="en-GB"/>
        </w:rPr>
        <w:t>D</w:t>
      </w:r>
      <w:r w:rsidRPr="00AF4A0D">
        <w:rPr>
          <w:iCs/>
        </w:rPr>
        <w:t xml:space="preserve"> по созданию потенциала, например в плане проведения ежегодных учебных программ по спутниковой связи, и продолжит это плодотворное сотрудничество с БРЭ. </w:t>
      </w:r>
    </w:p>
    <w:bookmarkEnd w:id="42"/>
    <w:p w14:paraId="0E5B931D" w14:textId="77777777" w:rsidR="00AF4A0D" w:rsidRPr="00AF4A0D" w:rsidRDefault="00AF4A0D" w:rsidP="00940E03">
      <w:pPr>
        <w:spacing w:after="120"/>
        <w:rPr>
          <w:iCs/>
        </w:rPr>
      </w:pPr>
      <w:r w:rsidRPr="00AF4A0D">
        <w:rPr>
          <w:iCs/>
        </w:rPr>
        <w:t xml:space="preserve">Участники обратили внимание на важность Рекомендаций АР и ВКР и на то, как информировать развивающиеся страны о вопросах, поднимаемых на собраниях БР, в том числе о планах размещения частот для </w:t>
      </w:r>
      <w:r w:rsidRPr="00AF4A0D">
        <w:rPr>
          <w:iCs/>
          <w:lang w:val="en-GB"/>
        </w:rPr>
        <w:t>IMT</w:t>
      </w:r>
      <w:r w:rsidRPr="00AF4A0D">
        <w:rPr>
          <w:iCs/>
        </w:rPr>
        <w:t xml:space="preserve"> и новых радиочастотах, которые становятся доступными, о влиянии цифрового дивиденда и важности рассмотрения электромагнитных полей на частотах 5</w:t>
      </w:r>
      <w:r w:rsidRPr="00AF4A0D">
        <w:rPr>
          <w:iCs/>
          <w:lang w:val="en-GB"/>
        </w:rPr>
        <w:t>G</w:t>
      </w:r>
      <w:r w:rsidRPr="00AF4A0D">
        <w:rPr>
          <w:iCs/>
        </w:rPr>
        <w:t>. Также была принята к сведению работа по этим вопросам, проводимая исследовательскими комиссиями МСЭ-</w:t>
      </w:r>
      <w:r w:rsidRPr="00AF4A0D">
        <w:rPr>
          <w:iCs/>
          <w:lang w:val="en-GB"/>
        </w:rPr>
        <w:t>D</w:t>
      </w:r>
      <w:r w:rsidRPr="00AF4A0D">
        <w:rPr>
          <w:iCs/>
        </w:rPr>
        <w:t>, в том числе в рамках Резолюции 9, и участники призвали к дальнейшему сотрудничеству этих двух Секторов.</w:t>
      </w:r>
    </w:p>
    <w:tbl>
      <w:tblPr>
        <w:tblStyle w:val="TableGrid"/>
        <w:tblW w:w="0" w:type="auto"/>
        <w:tblLook w:val="04A0" w:firstRow="1" w:lastRow="0" w:firstColumn="1" w:lastColumn="0" w:noHBand="0" w:noVBand="1"/>
      </w:tblPr>
      <w:tblGrid>
        <w:gridCol w:w="9628"/>
      </w:tblGrid>
      <w:tr w:rsidR="00AF4A0D" w:rsidRPr="001E04BA" w14:paraId="05AAD4D2" w14:textId="77777777" w:rsidTr="00AF4A0D">
        <w:tc>
          <w:tcPr>
            <w:tcW w:w="9629" w:type="dxa"/>
          </w:tcPr>
          <w:p w14:paraId="6A276DC3" w14:textId="77777777" w:rsidR="00AF4A0D" w:rsidRPr="001E04BA" w:rsidRDefault="00AF4A0D" w:rsidP="001E04BA">
            <w:pPr>
              <w:spacing w:after="120"/>
              <w:rPr>
                <w:sz w:val="22"/>
              </w:rPr>
            </w:pPr>
            <w:bookmarkStart w:id="43" w:name="lt_pId116"/>
            <w:r w:rsidRPr="001E04BA">
              <w:rPr>
                <w:sz w:val="22"/>
              </w:rPr>
              <w:t>КГРЭ выразила признательность за этот документ и приняла к сведению тесное сотрудничество БРЭ и БР, особенно в плане постоянных усилий по созданию потенциала, а также в плане поддержки развивающихся стран в выполнении решений ВКР-19 и АР-19 и подготовке к ВКР-23. КГРЭ приняла к сведению, что работа по вопросам, касающимся спектра, продолжает представлять большой интерес для развивающихся стран и что многие регионы подчеркивают ее важность. Кроме того, участники приняли к сведению необходимость внимательно рассмотреть вопросы ЭМП, связанные с IMT-2020 (5G).</w:t>
            </w:r>
            <w:bookmarkEnd w:id="43"/>
          </w:p>
        </w:tc>
      </w:tr>
    </w:tbl>
    <w:p w14:paraId="05B31CE3" w14:textId="4C0910F1" w:rsidR="00AF4A0D" w:rsidRPr="00AF4A0D" w:rsidRDefault="00940E03" w:rsidP="00083D22">
      <w:pPr>
        <w:pStyle w:val="Heading1"/>
        <w:spacing w:before="360"/>
      </w:pPr>
      <w:bookmarkStart w:id="44" w:name="lt_pId119"/>
      <w:r w:rsidRPr="00940E03">
        <w:t>6</w:t>
      </w:r>
      <w:r w:rsidRPr="00940E03">
        <w:tab/>
      </w:r>
      <w:r w:rsidR="00AF4A0D" w:rsidRPr="00AF4A0D">
        <w:t>Проект Оперативного плана МСЭ на 2021−2024 годы</w:t>
      </w:r>
      <w:bookmarkEnd w:id="44"/>
    </w:p>
    <w:p w14:paraId="4367E477" w14:textId="77777777" w:rsidR="00AF4A0D" w:rsidRPr="00AF4A0D" w:rsidRDefault="00AF4A0D" w:rsidP="00AF4A0D">
      <w:bookmarkStart w:id="45" w:name="lt_pId120"/>
      <w:r w:rsidRPr="00AF4A0D">
        <w:t xml:space="preserve">Проект Оперативного плана на 2021–2024 годы, представленный в </w:t>
      </w:r>
      <w:hyperlink r:id="rId15" w:history="1">
        <w:r w:rsidRPr="00AF4A0D">
          <w:rPr>
            <w:rStyle w:val="Hyperlink"/>
          </w:rPr>
          <w:t>Документе 6</w:t>
        </w:r>
      </w:hyperlink>
      <w:r w:rsidRPr="00AF4A0D">
        <w:t xml:space="preserve">, является первой попыткой составить сводный Оперативный план для "Единого МСЭ". План направлен на реализацию пяти стратегических целей и 18 стратегических задач Союза. Его структура соответствует структуре </w:t>
      </w:r>
      <w:r w:rsidRPr="00AF4A0D">
        <w:lastRenderedPageBreak/>
        <w:t>Стратегического и Финансового планов на 2020−2023 годы, утвержденных Полномочной конференцией 2018 года.</w:t>
      </w:r>
    </w:p>
    <w:p w14:paraId="03B48552" w14:textId="77777777" w:rsidR="00AF4A0D" w:rsidRPr="00AF4A0D" w:rsidRDefault="00AF4A0D" w:rsidP="00AF4A0D">
      <w:r w:rsidRPr="00AF4A0D">
        <w:t>Восемнадцать стратегических задач включают шесть межсекторальных задач, три задачи Сектора радиосвязи, пять задач Сектора стандартизации электросвязи и четыре задачи Сектора развития электросвязи. В проекте Оперативного плана также содержится информация о ресурсах, выделенных на достижение 17 Целей в области устойчивого развития.</w:t>
      </w:r>
    </w:p>
    <w:p w14:paraId="3F6B5755" w14:textId="77777777" w:rsidR="00AF4A0D" w:rsidRPr="00940E03" w:rsidRDefault="00AF4A0D" w:rsidP="00AF4A0D">
      <w:bookmarkStart w:id="46" w:name="lt_pId125"/>
      <w:bookmarkEnd w:id="45"/>
      <w:r w:rsidRPr="00AF4A0D">
        <w:t>Проект Оперативного плана состоит из трех частей. В части 1 содержится краткое обобщение. В части 2 представлен Отчет о проделанной работе за 2019 год и Оперативный план на 2021–2024 годы на уровне задач. По каждой задаче приводятся следующие сведения</w:t>
      </w:r>
      <w:bookmarkStart w:id="47" w:name="lt_pId128"/>
      <w:bookmarkEnd w:id="46"/>
      <w:r w:rsidRPr="00940E03">
        <w:t>:</w:t>
      </w:r>
      <w:bookmarkEnd w:id="47"/>
      <w:r w:rsidRPr="00940E03">
        <w:t xml:space="preserve"> </w:t>
      </w:r>
    </w:p>
    <w:p w14:paraId="140228BB" w14:textId="22382AC0" w:rsidR="00AF4A0D" w:rsidRPr="00AF4A0D" w:rsidRDefault="00940E03" w:rsidP="00940E03">
      <w:pPr>
        <w:pStyle w:val="enumlev1"/>
      </w:pPr>
      <w:bookmarkStart w:id="48" w:name="lt_pId129"/>
      <w:r w:rsidRPr="00940E03">
        <w:t>−</w:t>
      </w:r>
      <w:r w:rsidRPr="00940E03">
        <w:tab/>
      </w:r>
      <w:r w:rsidR="00AF4A0D" w:rsidRPr="00AF4A0D">
        <w:t>описание задачи и краткая информация о распределении затрат на 2019 год и на 2021</w:t>
      </w:r>
      <w:r w:rsidR="00B7484D">
        <w:rPr>
          <w:rFonts w:cs="Calibri"/>
        </w:rPr>
        <w:t>−</w:t>
      </w:r>
      <w:r w:rsidR="00AF4A0D" w:rsidRPr="00AF4A0D">
        <w:t>2024</w:t>
      </w:r>
      <w:r w:rsidR="00B7484D">
        <w:t> </w:t>
      </w:r>
      <w:r w:rsidR="00AF4A0D" w:rsidRPr="00AF4A0D">
        <w:t>годы;</w:t>
      </w:r>
    </w:p>
    <w:p w14:paraId="31E14109" w14:textId="3E6C0ADE" w:rsidR="00AF4A0D" w:rsidRPr="00AF4A0D" w:rsidRDefault="00940E03" w:rsidP="00940E03">
      <w:pPr>
        <w:pStyle w:val="enumlev1"/>
      </w:pPr>
      <w:r w:rsidRPr="00940E03">
        <w:t>−</w:t>
      </w:r>
      <w:r w:rsidRPr="00940E03">
        <w:tab/>
      </w:r>
      <w:r w:rsidR="00AF4A0D" w:rsidRPr="00AF4A0D">
        <w:t>отчет о проделанной работе за 2019 год, включая изложение достижений, оценок и факторов риска;</w:t>
      </w:r>
    </w:p>
    <w:p w14:paraId="2988CB77" w14:textId="5A6DFEE8" w:rsidR="00AF4A0D" w:rsidRPr="00AF4A0D" w:rsidRDefault="00940E03" w:rsidP="00940E03">
      <w:pPr>
        <w:pStyle w:val="enumlev1"/>
      </w:pPr>
      <w:r w:rsidRPr="00940E03">
        <w:t>−</w:t>
      </w:r>
      <w:r w:rsidRPr="00940E03">
        <w:tab/>
      </w:r>
      <w:r w:rsidR="00AF4A0D" w:rsidRPr="00AF4A0D">
        <w:t>изложение основных ожидаемых результатов, оценок и ключевых показателей риска на 2021 год.</w:t>
      </w:r>
    </w:p>
    <w:p w14:paraId="7FF25BDC" w14:textId="77777777" w:rsidR="00AF4A0D" w:rsidRPr="00AF4A0D" w:rsidRDefault="00AF4A0D" w:rsidP="00AF4A0D">
      <w:bookmarkStart w:id="49" w:name="lt_pId132"/>
      <w:bookmarkEnd w:id="48"/>
      <w:r w:rsidRPr="00AF4A0D">
        <w:t>В части 3 изложена некоторая дополнительная информация о намеченных результатах деятельности и ЦУР.</w:t>
      </w:r>
    </w:p>
    <w:p w14:paraId="0FBAF9A4" w14:textId="77777777" w:rsidR="00AF4A0D" w:rsidRPr="00AF4A0D" w:rsidRDefault="00AF4A0D" w:rsidP="00AF4A0D">
      <w:r w:rsidRPr="00AF4A0D">
        <w:t>На 2021–2024 годы для МСЭ-</w:t>
      </w:r>
      <w:r w:rsidRPr="00AF4A0D">
        <w:rPr>
          <w:lang w:val="en-GB"/>
        </w:rPr>
        <w:t>D</w:t>
      </w:r>
      <w:r w:rsidRPr="00AF4A0D">
        <w:t xml:space="preserve"> предусмотрено четыре задачи, на долю которых приходится 35,15% от общего объема ресурсов, запланированных Союзом на этот период:</w:t>
      </w:r>
    </w:p>
    <w:p w14:paraId="1307BFA7" w14:textId="77777777" w:rsidR="00AF4A0D" w:rsidRPr="00AF4A0D" w:rsidRDefault="00AF4A0D" w:rsidP="00AF4A0D">
      <w:pPr>
        <w:rPr>
          <w:b/>
        </w:rPr>
      </w:pPr>
      <w:bookmarkStart w:id="50" w:name="lt_pId134"/>
      <w:bookmarkEnd w:id="49"/>
      <w:r w:rsidRPr="00AF4A0D">
        <w:rPr>
          <w:b/>
        </w:rPr>
        <w:t xml:space="preserve">Задача </w:t>
      </w:r>
      <w:r w:rsidRPr="00AF4A0D">
        <w:rPr>
          <w:b/>
          <w:lang w:val="en-GB"/>
        </w:rPr>
        <w:t>D</w:t>
      </w:r>
      <w:r w:rsidRPr="00AF4A0D">
        <w:rPr>
          <w:b/>
        </w:rPr>
        <w:t xml:space="preserve">.1 – </w:t>
      </w:r>
      <w:bookmarkStart w:id="51" w:name="lt_pId135"/>
      <w:bookmarkEnd w:id="50"/>
      <w:r w:rsidRPr="00AF4A0D">
        <w:rPr>
          <w:b/>
        </w:rPr>
        <w:t>Координация</w:t>
      </w:r>
      <w:r w:rsidRPr="00AF4A0D">
        <w:rPr>
          <w:bCs/>
        </w:rPr>
        <w:t>:</w:t>
      </w:r>
      <w:r w:rsidRPr="00AF4A0D">
        <w:rPr>
          <w:b/>
        </w:rPr>
        <w:t xml:space="preserve"> </w:t>
      </w:r>
      <w:r w:rsidRPr="00AF4A0D">
        <w:rPr>
          <w:bCs/>
        </w:rPr>
        <w:t>Содействовать международному сотрудничеству и согласию по вопросам развития электросвязи/ИКТ.</w:t>
      </w:r>
      <w:bookmarkEnd w:id="51"/>
      <w:r w:rsidRPr="00AF4A0D">
        <w:rPr>
          <w:b/>
          <w:bCs/>
        </w:rPr>
        <w:t xml:space="preserve"> </w:t>
      </w:r>
    </w:p>
    <w:p w14:paraId="2B50308D" w14:textId="77777777" w:rsidR="00AF4A0D" w:rsidRPr="00AF4A0D" w:rsidRDefault="00AF4A0D" w:rsidP="00AF4A0D">
      <w:bookmarkStart w:id="52" w:name="lt_pId136"/>
      <w:r w:rsidRPr="00AF4A0D">
        <w:rPr>
          <w:b/>
        </w:rPr>
        <w:t xml:space="preserve">Задача </w:t>
      </w:r>
      <w:r w:rsidRPr="00AF4A0D">
        <w:rPr>
          <w:b/>
          <w:lang w:val="en-GB"/>
        </w:rPr>
        <w:t>D</w:t>
      </w:r>
      <w:r w:rsidRPr="00AF4A0D">
        <w:rPr>
          <w:b/>
        </w:rPr>
        <w:t xml:space="preserve">.2 – </w:t>
      </w:r>
      <w:bookmarkStart w:id="53" w:name="lt_pId137"/>
      <w:bookmarkEnd w:id="52"/>
      <w:r w:rsidRPr="00AF4A0D">
        <w:rPr>
          <w:b/>
        </w:rPr>
        <w:t>Современная и безопасная инфраструктура электросвязи/ИКТ</w:t>
      </w:r>
      <w:r w:rsidRPr="00AF4A0D">
        <w:rPr>
          <w:bCs/>
        </w:rPr>
        <w:t>: Содействовать развитию инфраструктуры и услуг, в том числе формированию доверия и обеспечению безопасности при использовании электросвязи/ИКТ</w:t>
      </w:r>
      <w:r w:rsidRPr="00AF4A0D">
        <w:t>.</w:t>
      </w:r>
      <w:bookmarkEnd w:id="53"/>
      <w:r w:rsidRPr="00AF4A0D">
        <w:t xml:space="preserve"> </w:t>
      </w:r>
    </w:p>
    <w:p w14:paraId="3E63649E" w14:textId="77777777" w:rsidR="00AF4A0D" w:rsidRPr="00AF4A0D" w:rsidRDefault="00AF4A0D" w:rsidP="00AF4A0D">
      <w:bookmarkStart w:id="54" w:name="lt_pId138"/>
      <w:r w:rsidRPr="00AF4A0D">
        <w:rPr>
          <w:b/>
        </w:rPr>
        <w:t xml:space="preserve">Задача </w:t>
      </w:r>
      <w:r w:rsidRPr="00AF4A0D">
        <w:rPr>
          <w:b/>
          <w:lang w:val="en-GB"/>
        </w:rPr>
        <w:t>D</w:t>
      </w:r>
      <w:r w:rsidRPr="00AF4A0D">
        <w:rPr>
          <w:b/>
        </w:rPr>
        <w:t>.3 – Благоприятная среда</w:t>
      </w:r>
      <w:r w:rsidRPr="00AF4A0D">
        <w:rPr>
          <w:bCs/>
        </w:rPr>
        <w:t>: Содействовать созданию благоприятной политической и регуляторной среды, способствующей устойчивому развитию электросвязи/ИКТ</w:t>
      </w:r>
      <w:bookmarkStart w:id="55" w:name="lt_pId139"/>
      <w:bookmarkEnd w:id="54"/>
      <w:r w:rsidRPr="00AF4A0D">
        <w:t>.</w:t>
      </w:r>
      <w:bookmarkEnd w:id="55"/>
      <w:r w:rsidRPr="00AF4A0D">
        <w:t xml:space="preserve"> </w:t>
      </w:r>
    </w:p>
    <w:p w14:paraId="0617E19C" w14:textId="77777777" w:rsidR="00AF4A0D" w:rsidRPr="00AF4A0D" w:rsidRDefault="00AF4A0D" w:rsidP="00940E03">
      <w:pPr>
        <w:spacing w:after="120"/>
        <w:rPr>
          <w:b/>
        </w:rPr>
      </w:pPr>
      <w:bookmarkStart w:id="56" w:name="lt_pId140"/>
      <w:r w:rsidRPr="00AF4A0D">
        <w:rPr>
          <w:b/>
        </w:rPr>
        <w:t xml:space="preserve">Задача </w:t>
      </w:r>
      <w:r w:rsidRPr="00AF4A0D">
        <w:rPr>
          <w:b/>
          <w:lang w:val="en-GB"/>
        </w:rPr>
        <w:t>D</w:t>
      </w:r>
      <w:r w:rsidRPr="00AF4A0D">
        <w:rPr>
          <w:b/>
        </w:rPr>
        <w:t>.4 – Открытое информационное общество</w:t>
      </w:r>
      <w:r w:rsidRPr="00AF4A0D">
        <w:rPr>
          <w:bCs/>
        </w:rPr>
        <w:t>: Содействовать развитию и использованию электросвязи/ИКТ и приложений с целью расширения возможностей людей и общества для</w:t>
      </w:r>
      <w:r w:rsidRPr="00AF4A0D">
        <w:rPr>
          <w:bCs/>
          <w:lang w:val="en-GB"/>
        </w:rPr>
        <w:t> </w:t>
      </w:r>
      <w:r w:rsidRPr="00AF4A0D">
        <w:rPr>
          <w:bCs/>
        </w:rPr>
        <w:t>социально-экономического развития и защиты окружающей среды</w:t>
      </w:r>
      <w:bookmarkStart w:id="57" w:name="lt_pId141"/>
      <w:bookmarkEnd w:id="56"/>
      <w:r w:rsidRPr="00AF4A0D">
        <w:t>.</w:t>
      </w:r>
      <w:bookmarkEnd w:id="57"/>
    </w:p>
    <w:tbl>
      <w:tblPr>
        <w:tblStyle w:val="TableGrid"/>
        <w:tblW w:w="0" w:type="auto"/>
        <w:tblLook w:val="04A0" w:firstRow="1" w:lastRow="0" w:firstColumn="1" w:lastColumn="0" w:noHBand="0" w:noVBand="1"/>
      </w:tblPr>
      <w:tblGrid>
        <w:gridCol w:w="9628"/>
      </w:tblGrid>
      <w:tr w:rsidR="00AF4A0D" w:rsidRPr="001E04BA" w14:paraId="3F89CD07" w14:textId="77777777" w:rsidTr="00AF4A0D">
        <w:tc>
          <w:tcPr>
            <w:tcW w:w="9629" w:type="dxa"/>
          </w:tcPr>
          <w:p w14:paraId="5D36D9D6" w14:textId="77777777" w:rsidR="00AF4A0D" w:rsidRPr="001E04BA" w:rsidRDefault="00AF4A0D" w:rsidP="001E04BA">
            <w:pPr>
              <w:spacing w:after="120"/>
              <w:rPr>
                <w:sz w:val="22"/>
              </w:rPr>
            </w:pPr>
            <w:bookmarkStart w:id="58" w:name="lt_pId142"/>
            <w:r w:rsidRPr="001E04BA">
              <w:rPr>
                <w:sz w:val="22"/>
              </w:rPr>
              <w:t>КГРЭ приняла к сведению проект Оперативного плана на 2021–2024 годы и его новый формат и одобрила его содержание. БРЭ согласилось представить информацию об оценке рисков для ее включения в план на 2021 год.</w:t>
            </w:r>
          </w:p>
          <w:p w14:paraId="1C4FE17A" w14:textId="77777777" w:rsidR="00AF4A0D" w:rsidRPr="001E04BA" w:rsidRDefault="00AF4A0D" w:rsidP="001E04BA">
            <w:pPr>
              <w:spacing w:after="120"/>
              <w:rPr>
                <w:sz w:val="22"/>
              </w:rPr>
            </w:pPr>
            <w:r w:rsidRPr="001E04BA">
              <w:rPr>
                <w:sz w:val="22"/>
              </w:rPr>
              <w:t>БРЭ с вниманием отнеслось к замечаниям и согласилось включить дополнительные ссылки и более подробную информацию в план на 2021 год.</w:t>
            </w:r>
            <w:bookmarkEnd w:id="58"/>
          </w:p>
        </w:tc>
      </w:tr>
    </w:tbl>
    <w:p w14:paraId="248B58DD" w14:textId="02654E4E" w:rsidR="00AF4A0D" w:rsidRPr="00AF4A0D" w:rsidRDefault="00AF4A0D" w:rsidP="00AF4A0D">
      <w:bookmarkStart w:id="59" w:name="lt_pId145"/>
      <w:r w:rsidRPr="00AF4A0D">
        <w:rPr>
          <w:b/>
          <w:bCs/>
        </w:rPr>
        <w:t>Гвинейская Республика</w:t>
      </w:r>
      <w:r w:rsidRPr="00AF4A0D">
        <w:t xml:space="preserve"> в </w:t>
      </w:r>
      <w:hyperlink r:id="rId16" w:history="1">
        <w:r w:rsidRPr="00AF4A0D">
          <w:rPr>
            <w:rStyle w:val="Hyperlink"/>
          </w:rPr>
          <w:t>Документе 17</w:t>
        </w:r>
      </w:hyperlink>
      <w:r w:rsidRPr="00AF4A0D">
        <w:t xml:space="preserve"> обращает внимание на помощь развивающимся странам. Что касается выполнения Стратегического и Оперативного планов МСЭ-</w:t>
      </w:r>
      <w:r w:rsidRPr="00AF4A0D">
        <w:rPr>
          <w:lang w:val="en-GB"/>
        </w:rPr>
        <w:t>D</w:t>
      </w:r>
      <w:r w:rsidRPr="00AF4A0D">
        <w:t xml:space="preserve"> в соответствии с </w:t>
      </w:r>
      <w:r w:rsidR="00F42B12">
        <w:t>р</w:t>
      </w:r>
      <w:r w:rsidRPr="00AF4A0D">
        <w:t xml:space="preserve">езолюциями, принятыми </w:t>
      </w:r>
      <w:proofErr w:type="spellStart"/>
      <w:r w:rsidRPr="00AF4A0D">
        <w:t>ВКРЭ</w:t>
      </w:r>
      <w:proofErr w:type="spellEnd"/>
      <w:r w:rsidRPr="00AF4A0D">
        <w:t>-17, Гвинея призывает предложить конкретную специальную программу для развивающихся стран, особенно наименее развитых стран (НРС), развивающихся стран, не имеющих выхода к морю (ЛЛДС), и малых островных развивающихся государств (СИДС).</w:t>
      </w:r>
    </w:p>
    <w:p w14:paraId="10DCEF87" w14:textId="7249F62C" w:rsidR="00AF4A0D" w:rsidRPr="00AF4A0D" w:rsidRDefault="00AF4A0D" w:rsidP="00AF4A0D">
      <w:r w:rsidRPr="00AF4A0D">
        <w:t xml:space="preserve">Такая программа должна включать разработку карты выполнения </w:t>
      </w:r>
      <w:r w:rsidR="00F42B12">
        <w:t>р</w:t>
      </w:r>
      <w:r w:rsidRPr="00AF4A0D">
        <w:t>езолюций, относящихся к странам этих категорий, оказание помощи соответствующим Государствам-Членам в построении дорожных карт и политики развития инфраструктуры электросвязи/ИКТ, включая переход от аналоговых технологий к цифровым, организацию соответствующих семинаров и семинаров-</w:t>
      </w:r>
      <w:r w:rsidRPr="00AF4A0D">
        <w:lastRenderedPageBreak/>
        <w:t>практикумов для укрепления мер по созданию потенциала, а также облегчение доступа к учреждениям финансирования для содействия развитию инфраструктуры.</w:t>
      </w:r>
    </w:p>
    <w:p w14:paraId="06DDCE56" w14:textId="77777777" w:rsidR="00AF4A0D" w:rsidRPr="00AF4A0D" w:rsidRDefault="00AF4A0D" w:rsidP="00940E03">
      <w:pPr>
        <w:spacing w:after="120"/>
      </w:pPr>
      <w:bookmarkStart w:id="60" w:name="lt_pId148"/>
      <w:bookmarkEnd w:id="59"/>
      <w:r w:rsidRPr="00AF4A0D">
        <w:t xml:space="preserve">В своем вкладе в </w:t>
      </w:r>
      <w:hyperlink r:id="rId17" w:history="1">
        <w:r w:rsidRPr="00AF4A0D">
          <w:rPr>
            <w:rStyle w:val="Hyperlink"/>
          </w:rPr>
          <w:t>Документе 30</w:t>
        </w:r>
      </w:hyperlink>
      <w:r w:rsidRPr="00AF4A0D">
        <w:t xml:space="preserve"> </w:t>
      </w:r>
      <w:r w:rsidRPr="00AF4A0D">
        <w:rPr>
          <w:b/>
          <w:bCs/>
        </w:rPr>
        <w:t>Соединенное Королевство</w:t>
      </w:r>
      <w:r w:rsidRPr="00AF4A0D">
        <w:t xml:space="preserve"> призывает БРЭ повысить значение статистических материалов МСЭ путем предоставления более конкретной информации о проблемах развивающихся стран, не имеющих выхода к морю, и малых островных развивающихся государств, с тем чтобы Союз мог лучше понимать стоящие перед этими группами стран вопросы и содействовать развитию более эффективных и адаптивных подходов в области расширения возможности установления приемлемых в ценовом отношении соединений. В своем предложении Соединенное Королевство ссылается на Резолюцию 131 (Пересм. Дубай, 2018 г.) Полномочной конференции об измерении информационно-коммуникационных технологий для построения объединяющего и открытого для всех информационного общества, на Резолюцию 23 (Пересм. Буэнос-Айрес, 2017 г.) ВКРЭ о доступе к интернету и его доступности для развивающихся стран, а также принципах начисления платы за международные интернет-соединения и на Резолюцию 16 (Пересм. Буэнос-Айрес, 2017 г.) о специальных действиях и мерах для наименее развитых стран, малых островных развивающихся государств, развивающихся стран, не имеющих выхода к морю, и стран с переходной экономикой.</w:t>
      </w:r>
      <w:bookmarkEnd w:id="60"/>
    </w:p>
    <w:tbl>
      <w:tblPr>
        <w:tblStyle w:val="TableGrid"/>
        <w:tblW w:w="0" w:type="auto"/>
        <w:tblLook w:val="04A0" w:firstRow="1" w:lastRow="0" w:firstColumn="1" w:lastColumn="0" w:noHBand="0" w:noVBand="1"/>
      </w:tblPr>
      <w:tblGrid>
        <w:gridCol w:w="9628"/>
      </w:tblGrid>
      <w:tr w:rsidR="00AF4A0D" w:rsidRPr="001E04BA" w14:paraId="16146A9B" w14:textId="77777777" w:rsidTr="00AF4A0D">
        <w:tc>
          <w:tcPr>
            <w:tcW w:w="9629" w:type="dxa"/>
          </w:tcPr>
          <w:p w14:paraId="064166E1" w14:textId="77777777" w:rsidR="00AF4A0D" w:rsidRPr="001E04BA" w:rsidRDefault="00AF4A0D" w:rsidP="001E04BA">
            <w:pPr>
              <w:spacing w:after="120"/>
              <w:rPr>
                <w:sz w:val="22"/>
              </w:rPr>
            </w:pPr>
            <w:bookmarkStart w:id="61" w:name="lt_pId152"/>
            <w:r w:rsidRPr="001E04BA">
              <w:rPr>
                <w:sz w:val="22"/>
              </w:rPr>
              <w:t>Это предложение было поддержано участниками КГРЭ. КГРЭ также признала необходимость получения от МСЭ легкодоступной и точной информации и приветствовала нововведения БРЭ, направленные на улучшение использования этой информации и доступа к ней, а также на сохранение многолетней репутации Бюро как источника статистических данных по электросвязи.</w:t>
            </w:r>
            <w:bookmarkEnd w:id="61"/>
          </w:p>
        </w:tc>
      </w:tr>
    </w:tbl>
    <w:bookmarkStart w:id="62" w:name="lt_pId154"/>
    <w:p w14:paraId="284A7DDF" w14:textId="77777777" w:rsidR="00AF4A0D" w:rsidRPr="00AF4A0D" w:rsidRDefault="00AF4A0D" w:rsidP="00AF4A0D">
      <w:r w:rsidRPr="00AF4A0D">
        <w:fldChar w:fldCharType="begin"/>
      </w:r>
      <w:r w:rsidRPr="00AF4A0D">
        <w:instrText xml:space="preserve"> HYPERLINK "https://www.itu.int/md/D18-TDAG25.2-C-0031/" </w:instrText>
      </w:r>
      <w:r w:rsidRPr="00AF4A0D">
        <w:fldChar w:fldCharType="separate"/>
      </w:r>
      <w:r w:rsidRPr="00AF4A0D">
        <w:rPr>
          <w:rStyle w:val="Hyperlink"/>
        </w:rPr>
        <w:t>Документ 31</w:t>
      </w:r>
      <w:r w:rsidRPr="00AF4A0D">
        <w:fldChar w:fldCharType="end"/>
      </w:r>
      <w:r w:rsidRPr="00AF4A0D">
        <w:t xml:space="preserve">: </w:t>
      </w:r>
      <w:r w:rsidRPr="00AF4A0D">
        <w:rPr>
          <w:b/>
          <w:bCs/>
        </w:rPr>
        <w:t>Соединенное Королевство</w:t>
      </w:r>
      <w:r w:rsidRPr="00AF4A0D">
        <w:t xml:space="preserve"> во вкладе, посвященном улучшению доступа к ресурсам МСЭ, связанным с цифровым разрывом, предлагает КГРЭ обратиться к БРЭ с просьбой принять ряд мер, чтобы возглавить усилия по развитию ресурсов для улучшения составления и представления данных МСЭ, делая более доступными тематический передовой опыт, программы по созданию потенциала в сфере регуляторной политики и их результаты, подготовленные МСЭ Рекомендации и исследования, а также другие ресурсы МСЭ, касающиеся преодоления цифрового разрыва.</w:t>
      </w:r>
    </w:p>
    <w:p w14:paraId="4CCBAB61" w14:textId="77777777" w:rsidR="00AF4A0D" w:rsidRPr="00AF4A0D" w:rsidRDefault="00AF4A0D" w:rsidP="00940E03">
      <w:pPr>
        <w:spacing w:after="120"/>
      </w:pPr>
      <w:bookmarkStart w:id="63" w:name="lt_pId156"/>
      <w:bookmarkEnd w:id="62"/>
      <w:r w:rsidRPr="00AF4A0D">
        <w:t xml:space="preserve">Предлагается, чтобы разработанные ресурсы приносили пользу заинтересованным сторонам, особенно в том, что касается выбора политических решений в области регулирования, для содействия обеспечению приемлемого в ценовом отношении доступа к услугам электросвязи. Уникальная ценная коллекция нормативно-правовой информации может помочь в обеспечении более приемлемой в ценовом отношении широкополосной связи, чтобы сократить цифровой разрыв и улучшить базовую возможность установления соединений, а пандемия </w:t>
      </w:r>
      <w:r w:rsidRPr="00AF4A0D">
        <w:rPr>
          <w:lang w:val="en-US"/>
        </w:rPr>
        <w:t>COVID</w:t>
      </w:r>
      <w:r w:rsidRPr="00AF4A0D">
        <w:t>-19 показала, какое значение доступ к цифровым услугам имеет для всех, кроме тех, у кого этого доступа нет. Тот факт, что эти материалы распространяются через веб-сайты МСЭ и Сектора, может затруднить доступ к ним, однако это можно улучшить, увязав их с другой информацией. Задача данного вклада – сделать эту коллекцию материалов мирового уровня более доступной.</w:t>
      </w:r>
      <w:bookmarkEnd w:id="63"/>
    </w:p>
    <w:tbl>
      <w:tblPr>
        <w:tblStyle w:val="TableGrid"/>
        <w:tblW w:w="0" w:type="auto"/>
        <w:tblLook w:val="04A0" w:firstRow="1" w:lastRow="0" w:firstColumn="1" w:lastColumn="0" w:noHBand="0" w:noVBand="1"/>
      </w:tblPr>
      <w:tblGrid>
        <w:gridCol w:w="9628"/>
      </w:tblGrid>
      <w:tr w:rsidR="00AF4A0D" w:rsidRPr="001E04BA" w14:paraId="41AC58A5" w14:textId="77777777" w:rsidTr="00AF4A0D">
        <w:tc>
          <w:tcPr>
            <w:tcW w:w="9629" w:type="dxa"/>
          </w:tcPr>
          <w:p w14:paraId="3C7A7A23" w14:textId="77777777" w:rsidR="00AF4A0D" w:rsidRPr="001E04BA" w:rsidRDefault="00AF4A0D" w:rsidP="001E04BA">
            <w:pPr>
              <w:spacing w:after="120"/>
              <w:rPr>
                <w:sz w:val="22"/>
              </w:rPr>
            </w:pPr>
            <w:bookmarkStart w:id="64" w:name="lt_pId160"/>
            <w:r w:rsidRPr="001E04BA">
              <w:rPr>
                <w:sz w:val="22"/>
              </w:rPr>
              <w:t>КГРЭ с интересом приняла к сведению этот документ и дала ему высокую оценку, признав необходимость подчеркнуть, насколько важно сделать информацию и передовой опыт, касающиеся преодоления цифрового разрыва, более доступными, контекстуальными и полезными, а также отметив необходимость создания благоприятной среды для преодоления цифрового разрыва, сведения воедино всех соответствующих материалов, в том числе материалов региональных организаций, материалов по политике и регулированию и материалов по созданию потенциала.</w:t>
            </w:r>
            <w:bookmarkEnd w:id="64"/>
          </w:p>
        </w:tc>
      </w:tr>
    </w:tbl>
    <w:bookmarkStart w:id="65" w:name="lt_pId161"/>
    <w:p w14:paraId="0BD19A2C" w14:textId="599998E8" w:rsidR="00AF4A0D" w:rsidRPr="00AF4A0D" w:rsidRDefault="00AF4A0D" w:rsidP="00AF4A0D">
      <w:pPr>
        <w:rPr>
          <w:b/>
        </w:rPr>
      </w:pPr>
      <w:r w:rsidRPr="00AF4A0D">
        <w:fldChar w:fldCharType="begin"/>
      </w:r>
      <w:r w:rsidRPr="00AF4A0D">
        <w:instrText xml:space="preserve"> HYPERLINK "https://www.itu.int/md/D18-TDAG25.2-C-0032/" </w:instrText>
      </w:r>
      <w:r w:rsidRPr="00AF4A0D">
        <w:fldChar w:fldCharType="separate"/>
      </w:r>
      <w:r w:rsidRPr="00AF4A0D">
        <w:rPr>
          <w:rStyle w:val="Hyperlink"/>
        </w:rPr>
        <w:t>Документ 32</w:t>
      </w:r>
      <w:r w:rsidRPr="00AF4A0D">
        <w:fldChar w:fldCharType="end"/>
      </w:r>
      <w:r w:rsidRPr="00AF4A0D">
        <w:t xml:space="preserve">: Во вкладе </w:t>
      </w:r>
      <w:r w:rsidRPr="00AF4A0D">
        <w:rPr>
          <w:b/>
          <w:bCs/>
        </w:rPr>
        <w:t>Кубы</w:t>
      </w:r>
      <w:r w:rsidRPr="00AF4A0D">
        <w:t xml:space="preserve"> о примерах передового опыта и доступе к ИКТ говорится о том, как проекты на местах, способствующие внедрению информационно-коммуникационных технологий (ИКТ) в сельских и труднодоступных населенных пунктах, могут преобразовывать вызовы в возможности. Куба рассказала о стартовавшем в 1987 году общественном проекте под названием </w:t>
      </w:r>
      <w:r w:rsidRPr="00AF4A0D">
        <w:lastRenderedPageBreak/>
        <w:t>"Молодежный клуб компьютеризации и электроники" ("</w:t>
      </w:r>
      <w:r w:rsidRPr="00AF4A0D">
        <w:rPr>
          <w:lang w:val="en-GB"/>
        </w:rPr>
        <w:t>Joven</w:t>
      </w:r>
      <w:r w:rsidRPr="00AF4A0D">
        <w:t xml:space="preserve"> </w:t>
      </w:r>
      <w:r w:rsidRPr="00AF4A0D">
        <w:rPr>
          <w:lang w:val="en-GB"/>
        </w:rPr>
        <w:t>Club</w:t>
      </w:r>
      <w:r w:rsidRPr="00AF4A0D">
        <w:t xml:space="preserve"> </w:t>
      </w:r>
      <w:r w:rsidRPr="00AF4A0D">
        <w:rPr>
          <w:lang w:val="en-GB"/>
        </w:rPr>
        <w:t>de</w:t>
      </w:r>
      <w:r w:rsidRPr="00AF4A0D">
        <w:t xml:space="preserve"> </w:t>
      </w:r>
      <w:r w:rsidRPr="00AF4A0D">
        <w:rPr>
          <w:lang w:val="en-GB"/>
        </w:rPr>
        <w:t>Computaci</w:t>
      </w:r>
      <w:r w:rsidRPr="00AF4A0D">
        <w:t>ó</w:t>
      </w:r>
      <w:r w:rsidRPr="00AF4A0D">
        <w:rPr>
          <w:lang w:val="en-GB"/>
        </w:rPr>
        <w:t>n</w:t>
      </w:r>
      <w:r w:rsidRPr="00AF4A0D">
        <w:t xml:space="preserve"> </w:t>
      </w:r>
      <w:r w:rsidRPr="00AF4A0D">
        <w:rPr>
          <w:lang w:val="en-GB"/>
        </w:rPr>
        <w:t>y</w:t>
      </w:r>
      <w:r w:rsidRPr="00AF4A0D">
        <w:t xml:space="preserve"> </w:t>
      </w:r>
      <w:r w:rsidRPr="00AF4A0D">
        <w:rPr>
          <w:lang w:val="en-GB"/>
        </w:rPr>
        <w:t>Electr</w:t>
      </w:r>
      <w:r w:rsidRPr="00AF4A0D">
        <w:t>ó</w:t>
      </w:r>
      <w:r w:rsidRPr="00AF4A0D">
        <w:rPr>
          <w:lang w:val="en-GB"/>
        </w:rPr>
        <w:t>nica</w:t>
      </w:r>
      <w:r w:rsidRPr="00AF4A0D">
        <w:t>") и его роли в подготовке и обучении в области ИКТ путем предоставления людям возможности развивать навыки цифровой грамотности на базовом и среднем уровнях</w:t>
      </w:r>
      <w:bookmarkEnd w:id="65"/>
      <w:r w:rsidR="00940E03">
        <w:t>.</w:t>
      </w:r>
    </w:p>
    <w:p w14:paraId="03143080" w14:textId="77777777" w:rsidR="00AF4A0D" w:rsidRPr="00AF4A0D" w:rsidRDefault="00AF4A0D" w:rsidP="00940E03">
      <w:pPr>
        <w:spacing w:after="120"/>
        <w:rPr>
          <w:lang w:val="en-US"/>
        </w:rPr>
      </w:pPr>
      <w:bookmarkStart w:id="66" w:name="lt_pId165"/>
      <w:r w:rsidRPr="00AF4A0D">
        <w:t xml:space="preserve">В частности, предлагается оценить возможности синергии с академическими, финансовыми и коммерческими организациями в целях создания в сельских и труднодоступных населенных пунктах центров подготовки, призванных содействовать обучению и повышению уровня знаний в области информационно-коммуникационных технологий, а также расширять возможность установления соединений. </w:t>
      </w:r>
      <w:r w:rsidRPr="00AF4A0D">
        <w:rPr>
          <w:lang w:val="en-GB"/>
        </w:rPr>
        <w:t xml:space="preserve">Основной задачей является </w:t>
      </w:r>
      <w:r w:rsidRPr="00AF4A0D">
        <w:t>содействие</w:t>
      </w:r>
      <w:r w:rsidRPr="00AF4A0D">
        <w:rPr>
          <w:lang w:val="en-GB"/>
        </w:rPr>
        <w:t xml:space="preserve"> цифров</w:t>
      </w:r>
      <w:r w:rsidRPr="00AF4A0D">
        <w:t>ой</w:t>
      </w:r>
      <w:r w:rsidRPr="00AF4A0D">
        <w:rPr>
          <w:lang w:val="en-GB"/>
        </w:rPr>
        <w:t xml:space="preserve"> трансформаци</w:t>
      </w:r>
      <w:r w:rsidRPr="00AF4A0D">
        <w:t>и</w:t>
      </w:r>
      <w:r w:rsidRPr="00AF4A0D">
        <w:rPr>
          <w:lang w:val="en-GB"/>
        </w:rPr>
        <w:t>.</w:t>
      </w:r>
      <w:bookmarkEnd w:id="66"/>
    </w:p>
    <w:tbl>
      <w:tblPr>
        <w:tblStyle w:val="TableGrid"/>
        <w:tblW w:w="0" w:type="auto"/>
        <w:tblLook w:val="04A0" w:firstRow="1" w:lastRow="0" w:firstColumn="1" w:lastColumn="0" w:noHBand="0" w:noVBand="1"/>
      </w:tblPr>
      <w:tblGrid>
        <w:gridCol w:w="9628"/>
      </w:tblGrid>
      <w:tr w:rsidR="00AF4A0D" w:rsidRPr="001E04BA" w14:paraId="558D5D70" w14:textId="77777777" w:rsidTr="00AF4A0D">
        <w:tc>
          <w:tcPr>
            <w:tcW w:w="9629" w:type="dxa"/>
          </w:tcPr>
          <w:p w14:paraId="38955FEA" w14:textId="77777777" w:rsidR="00AF4A0D" w:rsidRPr="001E04BA" w:rsidRDefault="00AF4A0D" w:rsidP="001E04BA">
            <w:pPr>
              <w:spacing w:after="120"/>
              <w:rPr>
                <w:sz w:val="22"/>
              </w:rPr>
            </w:pPr>
            <w:bookmarkStart w:id="67" w:name="lt_pId167"/>
            <w:r w:rsidRPr="001E04BA">
              <w:rPr>
                <w:sz w:val="22"/>
              </w:rPr>
              <w:t>КГРЭ поблагодарила Кубу за привлечение внимания членов МСЭ к этой многолетней работе по повышению цифровой грамотности, без которой невозможно реализовать возможности установления соединений.</w:t>
            </w:r>
            <w:bookmarkEnd w:id="67"/>
          </w:p>
        </w:tc>
      </w:tr>
    </w:tbl>
    <w:p w14:paraId="2B4682D5" w14:textId="77777777" w:rsidR="00AF4A0D" w:rsidRPr="00AF4A0D" w:rsidRDefault="00AF4A0D" w:rsidP="00940E03">
      <w:pPr>
        <w:spacing w:after="120"/>
      </w:pPr>
      <w:bookmarkStart w:id="68" w:name="lt_pId168"/>
      <w:r w:rsidRPr="00AF4A0D">
        <w:rPr>
          <w:bCs/>
        </w:rPr>
        <w:t xml:space="preserve">В </w:t>
      </w:r>
      <w:hyperlink r:id="rId18" w:history="1">
        <w:r w:rsidRPr="00AF4A0D">
          <w:rPr>
            <w:rStyle w:val="Hyperlink"/>
            <w:bCs/>
          </w:rPr>
          <w:t>Документе 39</w:t>
        </w:r>
      </w:hyperlink>
      <w:r w:rsidRPr="00AF4A0D">
        <w:rPr>
          <w:bCs/>
        </w:rPr>
        <w:t xml:space="preserve"> </w:t>
      </w:r>
      <w:r w:rsidRPr="00AF4A0D">
        <w:rPr>
          <w:b/>
        </w:rPr>
        <w:t xml:space="preserve">Бразилия </w:t>
      </w:r>
      <w:r w:rsidRPr="00AF4A0D">
        <w:rPr>
          <w:bCs/>
        </w:rPr>
        <w:t>предлагает провести кампанию по распространению соответствующих вспомогательных материалов, опубликованных МСЭ, через региональные и зональные отделения МСЭ, поскольку некоторые члены не осведомлены о наличии этих материалов. Среди недавних публикаций, упоминаемых во вкладе Бразилии, Руководящие указания МСЭ по разработке национальных планов в области электросвязи в чрезвычайных ситуациях, подготовленные МСЭ региональные мониторинги электронных отходов в арабских государствах и странах Латинской Америки, комплект материалов МСЭ по бизнес-планированию инфраструктуры ИКТ, карты широкополосной связи МСЭ, руководящие указания на основе примеров передового опыта по теме "Ускоренное обеспечение возможности установления цифрового соединения для всех", экономический вклад широкополосной связи, цифровизации и регулирования в сфере ИКТ, а также серия МСЭ "Измерение цифрового развития</w:t>
      </w:r>
      <w:bookmarkStart w:id="69" w:name="lt_pId176"/>
      <w:bookmarkEnd w:id="68"/>
      <w:r w:rsidRPr="00AF4A0D">
        <w:rPr>
          <w:bCs/>
        </w:rPr>
        <w:t>"</w:t>
      </w:r>
      <w:r w:rsidRPr="00AF4A0D">
        <w:t>.</w:t>
      </w:r>
      <w:bookmarkEnd w:id="69"/>
    </w:p>
    <w:tbl>
      <w:tblPr>
        <w:tblStyle w:val="TableGrid"/>
        <w:tblW w:w="0" w:type="auto"/>
        <w:tblLook w:val="04A0" w:firstRow="1" w:lastRow="0" w:firstColumn="1" w:lastColumn="0" w:noHBand="0" w:noVBand="1"/>
      </w:tblPr>
      <w:tblGrid>
        <w:gridCol w:w="9628"/>
      </w:tblGrid>
      <w:tr w:rsidR="00AF4A0D" w:rsidRPr="001E04BA" w14:paraId="21C548DE" w14:textId="77777777" w:rsidTr="00AF4A0D">
        <w:tc>
          <w:tcPr>
            <w:tcW w:w="9629" w:type="dxa"/>
          </w:tcPr>
          <w:p w14:paraId="4B15E37E" w14:textId="77777777" w:rsidR="00AF4A0D" w:rsidRPr="001E04BA" w:rsidRDefault="00AF4A0D" w:rsidP="001E04BA">
            <w:pPr>
              <w:spacing w:after="120"/>
              <w:rPr>
                <w:sz w:val="22"/>
              </w:rPr>
            </w:pPr>
            <w:bookmarkStart w:id="70" w:name="lt_pId177"/>
            <w:r w:rsidRPr="001E04BA">
              <w:rPr>
                <w:sz w:val="22"/>
              </w:rPr>
              <w:t>КГРЭ подчеркнула важность обмена информацией и приветствовала предложение о распространении публикаций МСЭ-D через региональные и зональные отделения МСЭ, отметив также важность распространения материалов на языках МСЭ, используемых в регионах.</w:t>
            </w:r>
            <w:bookmarkEnd w:id="70"/>
          </w:p>
        </w:tc>
      </w:tr>
    </w:tbl>
    <w:p w14:paraId="28893C4D" w14:textId="36C174F3" w:rsidR="00AF4A0D" w:rsidRPr="00AF4A0D" w:rsidRDefault="00734A82" w:rsidP="00083D22">
      <w:pPr>
        <w:pStyle w:val="Heading1"/>
        <w:spacing w:before="360"/>
      </w:pPr>
      <w:bookmarkStart w:id="71" w:name="lt_pId178"/>
      <w:r w:rsidRPr="00734A82">
        <w:t>7</w:t>
      </w:r>
      <w:r w:rsidRPr="00734A82">
        <w:tab/>
      </w:r>
      <w:r w:rsidR="00AF4A0D" w:rsidRPr="00AF4A0D">
        <w:t>Отчет о выполнении Стратегического плана и Оперативного плана МСЭ-</w:t>
      </w:r>
      <w:r w:rsidR="00AF4A0D" w:rsidRPr="00AF4A0D">
        <w:rPr>
          <w:lang w:val="en-GB"/>
        </w:rPr>
        <w:t>D</w:t>
      </w:r>
      <w:r w:rsidR="00AF4A0D" w:rsidRPr="00AF4A0D">
        <w:t xml:space="preserve"> на 2019 год, </w:t>
      </w:r>
      <w:r w:rsidR="00AF4A0D" w:rsidRPr="00AF4A0D">
        <w:br/>
        <w:t xml:space="preserve">в том числе программ, региональных инициатив и основных </w:t>
      </w:r>
      <w:bookmarkEnd w:id="71"/>
      <w:r w:rsidR="00AF4A0D" w:rsidRPr="00AF4A0D">
        <w:t>видов деятельности</w:t>
      </w:r>
    </w:p>
    <w:bookmarkStart w:id="72" w:name="lt_pId179"/>
    <w:p w14:paraId="33DB0CAC" w14:textId="36B44A57" w:rsidR="00AF4A0D" w:rsidRPr="00AF4A0D" w:rsidRDefault="00AF4A0D" w:rsidP="00AF4A0D">
      <w:r w:rsidRPr="00AF4A0D">
        <w:fldChar w:fldCharType="begin"/>
      </w:r>
      <w:r w:rsidRPr="00AF4A0D">
        <w:instrText xml:space="preserve"> HYPERLINK "https://www.itu.int/md/D18-TDAG25.2-C-0002/" </w:instrText>
      </w:r>
      <w:r w:rsidRPr="00AF4A0D">
        <w:fldChar w:fldCharType="separate"/>
      </w:r>
      <w:r w:rsidRPr="00AF4A0D">
        <w:rPr>
          <w:rStyle w:val="Hyperlink"/>
        </w:rPr>
        <w:t>Документ 2</w:t>
      </w:r>
      <w:r w:rsidRPr="00AF4A0D">
        <w:fldChar w:fldCharType="end"/>
      </w:r>
      <w:r w:rsidRPr="00AF4A0D">
        <w:t>:</w:t>
      </w:r>
      <w:bookmarkEnd w:id="72"/>
      <w:r w:rsidRPr="00AF4A0D">
        <w:t xml:space="preserve"> </w:t>
      </w:r>
      <w:bookmarkStart w:id="73" w:name="lt_pId180"/>
      <w:r w:rsidRPr="00AF4A0D">
        <w:t>В настоящем отчете представлены некоторые ключевые результаты 2019 года по каждому из тематических приоритетов, характеризующие ход выполнения Плана действий Буэнос-Айреса. Во введении освещается путь перемен, на который вступило БРЭ с целью создания Бюро, которое продолжит сохранять свою влиятельность и будет способно идти в ногу с быстро меняющимися условиями в сфере развития, в которой оно действует. В отчете излагается цель БРЭ</w:t>
      </w:r>
      <w:r w:rsidR="004A59F0">
        <w:t> </w:t>
      </w:r>
      <w:r w:rsidRPr="00AF4A0D">
        <w:t>– быть Бюро, которое чутко реагирует на потребности Государств-Членов и Членов Сектора и может продемонстрировать эффективность и результативность своей работы, быть БРЭ, которое отвечает своему целевому назначению</w:t>
      </w:r>
      <w:bookmarkStart w:id="74" w:name="lt_pId183"/>
      <w:bookmarkEnd w:id="73"/>
      <w:r w:rsidRPr="00AF4A0D">
        <w:t>.</w:t>
      </w:r>
      <w:bookmarkEnd w:id="74"/>
      <w:r w:rsidRPr="00AF4A0D">
        <w:t xml:space="preserve"> </w:t>
      </w:r>
    </w:p>
    <w:p w14:paraId="7581ECE3" w14:textId="313ACB04" w:rsidR="00AF4A0D" w:rsidRPr="00AF4A0D" w:rsidRDefault="00AF4A0D" w:rsidP="00AF4A0D">
      <w:bookmarkStart w:id="75" w:name="lt_pId184"/>
      <w:r w:rsidRPr="00AF4A0D">
        <w:t>Были представлены ключевые достижения за 2019 год по каждому из десяти тематических приоритетов МСЭ-</w:t>
      </w:r>
      <w:r w:rsidRPr="00AF4A0D">
        <w:rPr>
          <w:lang w:val="en-GB"/>
        </w:rPr>
        <w:t>D</w:t>
      </w:r>
      <w:r w:rsidRPr="00AF4A0D">
        <w:t>: развитие потенциала, кибербезопасность, охват цифровыми технологиями, экосистемы цифровых инноваций, цифровые услуги и приложения, электросвязь в чрезвычайных ситуациях, окружающая среда, сети и цифровая инфраструктура, политика и регулирование, статистика. Затем последовала презентация, посвященная региональным инициативам, и было сделано объявление о предстоящем создании Международного центра цифровых инноваций (</w:t>
      </w:r>
      <w:r w:rsidRPr="00AF4A0D">
        <w:rPr>
          <w:lang w:val="en-GB"/>
        </w:rPr>
        <w:t>I</w:t>
      </w:r>
      <w:r w:rsidR="00DF747E">
        <w:noBreakHyphen/>
      </w:r>
      <w:r w:rsidRPr="00AF4A0D">
        <w:rPr>
          <w:lang w:val="en-GB"/>
        </w:rPr>
        <w:t>CoDI</w:t>
      </w:r>
      <w:r w:rsidRPr="00AF4A0D">
        <w:t xml:space="preserve">). </w:t>
      </w:r>
    </w:p>
    <w:p w14:paraId="1469A878" w14:textId="1A6AD36C" w:rsidR="00AF4A0D" w:rsidRPr="00DF747E" w:rsidRDefault="00DF747E" w:rsidP="00DF747E">
      <w:pPr>
        <w:pStyle w:val="Heading2"/>
      </w:pPr>
      <w:bookmarkStart w:id="76" w:name="lt_pId187"/>
      <w:bookmarkEnd w:id="75"/>
      <w:r w:rsidRPr="00DF747E">
        <w:lastRenderedPageBreak/>
        <w:t>7.1</w:t>
      </w:r>
      <w:r w:rsidRPr="00DF747E">
        <w:tab/>
      </w:r>
      <w:r w:rsidR="00AF4A0D" w:rsidRPr="00AF4A0D">
        <w:t>Обзор</w:t>
      </w:r>
      <w:r w:rsidR="00AF4A0D" w:rsidRPr="00DF747E">
        <w:t xml:space="preserve"> десят</w:t>
      </w:r>
      <w:r w:rsidR="00AF4A0D" w:rsidRPr="00AF4A0D">
        <w:t>и</w:t>
      </w:r>
      <w:r w:rsidR="00AF4A0D" w:rsidRPr="00DF747E">
        <w:t xml:space="preserve"> тематических приоритетов </w:t>
      </w:r>
      <w:bookmarkEnd w:id="76"/>
    </w:p>
    <w:p w14:paraId="3470BB91" w14:textId="77777777" w:rsidR="00AF4A0D" w:rsidRPr="00AF4A0D" w:rsidRDefault="00AF4A0D" w:rsidP="00DF747E">
      <w:pPr>
        <w:pStyle w:val="Headingb"/>
      </w:pPr>
      <w:bookmarkStart w:id="77" w:name="lt_pId188"/>
      <w:r w:rsidRPr="00AF4A0D">
        <w:t>Развитие потенциала</w:t>
      </w:r>
      <w:bookmarkEnd w:id="77"/>
    </w:p>
    <w:p w14:paraId="63D87773" w14:textId="421A2E7A" w:rsidR="00AF4A0D" w:rsidRPr="00AF4A0D" w:rsidRDefault="00AF4A0D" w:rsidP="00AF4A0D">
      <w:bookmarkStart w:id="78" w:name="lt_pId189"/>
      <w:r w:rsidRPr="00AF4A0D">
        <w:t>Основная задача в рамках этого тематического приоритета – развитие навыков для цифровой экономики посредством обучения, проведения мероприятий, предоставления ресурсов знаний и инструментов для директивных органов и других заинтересованных сторон. Платформа электронного</w:t>
      </w:r>
      <w:r w:rsidR="004A59F0">
        <w:t> </w:t>
      </w:r>
      <w:r w:rsidRPr="00AF4A0D">
        <w:t>обучения Академии МСЭ открывает доступ к учебной деятельности более чем для 10</w:t>
      </w:r>
      <w:r w:rsidR="004A59F0">
        <w:t> </w:t>
      </w:r>
      <w:r w:rsidRPr="00AF4A0D">
        <w:t>000</w:t>
      </w:r>
      <w:r w:rsidR="004A59F0">
        <w:t> </w:t>
      </w:r>
      <w:r w:rsidRPr="00AF4A0D">
        <w:t>пользователей; помимо этого, ежегодно более 5 000 человек проходят более 100 учебных курсов благодаря партнерам, таким как сеть центров профессионального мастерства. В рамках инициативы "Центры цифровой трансформации" (</w:t>
      </w:r>
      <w:r w:rsidRPr="00AF4A0D">
        <w:rPr>
          <w:lang w:val="en-GB"/>
        </w:rPr>
        <w:t>DTC</w:t>
      </w:r>
      <w:r w:rsidRPr="00AF4A0D">
        <w:t>), выдвинутой в 2019 году, предлагается подготовка на базовом и среднем уровнях для обслуживаемых в недостаточной степени сообществ и маргинализированных групп населения. Директивным органам при проведении национальной оценки уровня навыков также будут полезны публикация "Анализ цифровых навыков" и Руководство по оценке цифровых навыков.</w:t>
      </w:r>
    </w:p>
    <w:p w14:paraId="026B6573" w14:textId="77777777" w:rsidR="00AF4A0D" w:rsidRPr="00AF4A0D" w:rsidRDefault="00AF4A0D" w:rsidP="00DF747E">
      <w:pPr>
        <w:pStyle w:val="Headingb"/>
      </w:pPr>
      <w:bookmarkStart w:id="79" w:name="lt_pId193"/>
      <w:bookmarkEnd w:id="78"/>
      <w:r w:rsidRPr="00AF4A0D">
        <w:t xml:space="preserve">Кибербезопасность </w:t>
      </w:r>
      <w:bookmarkEnd w:id="79"/>
    </w:p>
    <w:p w14:paraId="6D1FAB1E" w14:textId="1710A740" w:rsidR="00AF4A0D" w:rsidRPr="00AF4A0D" w:rsidRDefault="00AF4A0D" w:rsidP="00AF4A0D">
      <w:bookmarkStart w:id="80" w:name="lt_pId194"/>
      <w:r w:rsidRPr="00AF4A0D">
        <w:t>В рамках приоритетной области, связанной с кибербезопасностью, основное внимание уделяется возможностям обеспечения безопасности для всех стран. Этот тематический приоритет МСЭ направлен на создание национальных стратегий и разработку национальных планов реагирования на киберинциденты (37 стран в 2019 г</w:t>
      </w:r>
      <w:r w:rsidR="004A59F0">
        <w:t>.</w:t>
      </w:r>
      <w:r w:rsidRPr="00AF4A0D">
        <w:t>) и уменьшение киберугроз путем развития потенциала. Свидетельством приверженности МСЭ кибербезопасности во всем мире является Глобальный индекс кибербезопасности (</w:t>
      </w:r>
      <w:r w:rsidRPr="00AF4A0D">
        <w:rPr>
          <w:lang w:val="en-GB"/>
        </w:rPr>
        <w:t>GCI</w:t>
      </w:r>
      <w:r w:rsidRPr="00AF4A0D">
        <w:t>) МСЭ, для следующего издания которого было получено больше ответов на обновленный вопросник, а также продолжающаяся работа по защите ребенка в онлайновой среде и разработка ключевых руководящих указаний для родителей, представителей отрасли и директивных органов.</w:t>
      </w:r>
    </w:p>
    <w:p w14:paraId="72F47C88" w14:textId="77777777" w:rsidR="00AF4A0D" w:rsidRPr="00AF4A0D" w:rsidRDefault="00AF4A0D" w:rsidP="00DF747E">
      <w:pPr>
        <w:pStyle w:val="Headingb"/>
      </w:pPr>
      <w:bookmarkStart w:id="81" w:name="lt_pId197"/>
      <w:bookmarkEnd w:id="80"/>
      <w:r w:rsidRPr="00AF4A0D">
        <w:t>Охват цифровыми технологиями</w:t>
      </w:r>
      <w:bookmarkEnd w:id="81"/>
    </w:p>
    <w:p w14:paraId="285A6E0F" w14:textId="34A7E79F" w:rsidR="00AF4A0D" w:rsidRPr="00AF4A0D" w:rsidRDefault="00AF4A0D" w:rsidP="00AF4A0D">
      <w:bookmarkStart w:id="82" w:name="lt_pId198"/>
      <w:r w:rsidRPr="00AF4A0D">
        <w:rPr>
          <w:bCs/>
        </w:rPr>
        <w:t>Охват цифровыми технологиями</w:t>
      </w:r>
      <w:r w:rsidRPr="00AF4A0D">
        <w:rPr>
          <w:b/>
        </w:rPr>
        <w:t xml:space="preserve"> </w:t>
      </w:r>
      <w:r w:rsidRPr="00AF4A0D">
        <w:t>имеет целью обеспечение открытого для всех, равного доступа к ИКТ и их использования путем разработки соответствующих политик и стратегий, повышения осведомленности, обмена передовым опытом, создания потенциала, внедрения процессов и услуг. Помимо поддержки местных сообществ, этот тематический приоритет направлен на поддержку людей с ограниченными возможностями, женщин, детей и представителей коренных народов посредством реализации многосторонних инициатив и осуществления работы групп по разработке масштабируемых дорожных карт и соответствующих видов деятельности. Сюда относятся программы по созданию потенциала для женщин и детей, самостоятельное онлайновое обучение по вопросам доступности ИКТ, африканские и американские проекты "Девушки могут писать коды", проведение праздничных мероприятий по случаю Дня "Девушки в ИКТ" во всем мире, проведение конкурсов "Женщины в технологиях", создание нового талисмана защиты ребенка в онлайновой среде, саммит будущих молодых мыслителей, платформа знаний "Доступная Европа", а также</w:t>
      </w:r>
      <w:r w:rsidRPr="00AF4A0D">
        <w:rPr>
          <w:lang w:val="en-GB"/>
        </w:rPr>
        <w:t> </w:t>
      </w:r>
      <w:r w:rsidRPr="00AF4A0D">
        <w:t>комплект материалов по безопасным устройствам и системам прослушивания.</w:t>
      </w:r>
    </w:p>
    <w:p w14:paraId="303D0AA5" w14:textId="77777777" w:rsidR="00AF4A0D" w:rsidRPr="00AF4A0D" w:rsidRDefault="00AF4A0D" w:rsidP="00DF747E">
      <w:pPr>
        <w:pStyle w:val="Headingb"/>
      </w:pPr>
      <w:bookmarkStart w:id="83" w:name="lt_pId201"/>
      <w:bookmarkEnd w:id="82"/>
      <w:r w:rsidRPr="00AF4A0D">
        <w:t xml:space="preserve">Экосистемы цифровых инноваций </w:t>
      </w:r>
      <w:bookmarkEnd w:id="83"/>
    </w:p>
    <w:p w14:paraId="30CE2393" w14:textId="77777777" w:rsidR="00AF4A0D" w:rsidRPr="00AF4A0D" w:rsidRDefault="00AF4A0D" w:rsidP="00AF4A0D">
      <w:bookmarkStart w:id="84" w:name="lt_pId202"/>
      <w:r w:rsidRPr="00AF4A0D">
        <w:t xml:space="preserve">Несмотря на огромные инвестиции в экосистему ИКТ, многие сообщества не получают выгоды от социально-экономического воздействия ИКТ. МСЭ добавляет тематический приоритет инноваций в повестку дня по преодолению цифрового разрыва. КГРЭ была проинформирована о том, что существует разрыв в знаниях в экосистеме инноваций, которая требует новых подходов и нового мышления, чтобы использовать существующие технологии и создать политику, обеспечивающую устойчивость экосистемы. Вопросы сотрудничества, вовлечения заинтересованных сторон, органического роста и цифровизации секторов также требуют глубокого погружения. Для того чтобы преодолеть этот разрыв, БРЭ реализует несколько инициатив, среди которых региональные форумы по вопросам инноваций в Египте и Бразилии, проекты в Южно-Африканской Республике и </w:t>
      </w:r>
      <w:r w:rsidRPr="00AF4A0D">
        <w:lastRenderedPageBreak/>
        <w:t>Саудовской Аравии по поддержке Арабской сети технологических инкубаторов, а также создание глобального потенциала с помощью онлайновых курсов на всех официальных языках МСЭ. Кроме того, страновые оценки дают возможность сформулировать четкие руководящие указания и рекомендации в отношении вопросов, требующих решения на местном, субнациональном и национальном уровнях.</w:t>
      </w:r>
    </w:p>
    <w:p w14:paraId="6F378AC0" w14:textId="77777777" w:rsidR="00AF4A0D" w:rsidRPr="00AF4A0D" w:rsidRDefault="00AF4A0D" w:rsidP="00DF747E">
      <w:pPr>
        <w:pStyle w:val="Headingb"/>
      </w:pPr>
      <w:bookmarkStart w:id="85" w:name="lt_pId209"/>
      <w:bookmarkEnd w:id="84"/>
      <w:r w:rsidRPr="00AF4A0D">
        <w:t>Цифровые услуги и приложения</w:t>
      </w:r>
      <w:bookmarkEnd w:id="85"/>
    </w:p>
    <w:p w14:paraId="40D2EB79" w14:textId="77777777" w:rsidR="00AF4A0D" w:rsidRPr="00AF4A0D" w:rsidRDefault="00AF4A0D" w:rsidP="00AF4A0D">
      <w:bookmarkStart w:id="86" w:name="lt_pId210"/>
      <w:r w:rsidRPr="00AF4A0D">
        <w:t>Этот тематический приоритет направлен на содействие переходу к цифровому обществу и цифровой трансформации конкретных секторов, включая секторы здравоохранения, сельского хозяйства, образования и государственных услуг. В рамках этого тематического приоритета осуществляется поддержка стран и ведется разработка стратегий цифровых секторов для подготовки национальных стратегий цифрового сельского хозяйства в Индии, Монголии, на Вануату и Мальдивских Островах, а также разработка программы семинаров-практикумов по созданию потенциала в области цифрового здравоохранения в 14 странах Африки, причем все материалы публикуются в интернете на платформах ВОЗ и МСЭ.</w:t>
      </w:r>
    </w:p>
    <w:p w14:paraId="76A06762" w14:textId="77777777" w:rsidR="00AF4A0D" w:rsidRPr="00AF4A0D" w:rsidRDefault="00AF4A0D" w:rsidP="00AF4A0D">
      <w:bookmarkStart w:id="87" w:name="lt_pId212"/>
      <w:bookmarkEnd w:id="86"/>
      <w:r w:rsidRPr="00AF4A0D">
        <w:t>Центр знаний и инноваций в области мобильного здравоохранения, совместный проект МСЭ, ВОЗ, Европейского союза и других структур, служит источником руководящих указаний и инструментов обмена знаниями и помогает странам в расширении цифрового здравоохранения в Европе, являясь моделью, которая может быть воспроизведена в других регионах. В ходе пилотного проекта "умных" деревень в рамках общегосударственного подхода к цифровой трансформации сельских районов, а также в ходе продолжающихся совместных проектов МСЭ и ВОЗ в области мобильного здравоохранения был выявлен передовой опыт в сферах цифрового здравоохранения и сельского хозяйства, а также опыт применения модели "умных" деревень, информация о котором распространяется в отчетах и публикациях.</w:t>
      </w:r>
    </w:p>
    <w:p w14:paraId="02AB000F" w14:textId="77777777" w:rsidR="00AF4A0D" w:rsidRPr="00AF4A0D" w:rsidRDefault="00AF4A0D" w:rsidP="00DF747E">
      <w:pPr>
        <w:pStyle w:val="Headingb"/>
      </w:pPr>
      <w:bookmarkStart w:id="88" w:name="lt_pId214"/>
      <w:bookmarkEnd w:id="87"/>
      <w:r w:rsidRPr="00AF4A0D">
        <w:t xml:space="preserve">Электросвязь в чрезвычайных ситуациях </w:t>
      </w:r>
      <w:bookmarkEnd w:id="88"/>
    </w:p>
    <w:p w14:paraId="752DF0D3" w14:textId="77777777" w:rsidR="00AF4A0D" w:rsidRPr="00AF4A0D" w:rsidRDefault="00AF4A0D" w:rsidP="00AF4A0D">
      <w:bookmarkStart w:id="89" w:name="lt_pId215"/>
      <w:r w:rsidRPr="00AF4A0D">
        <w:t xml:space="preserve">Тематический приоритет, относящийся к электросвязи в чрезвычайных ситуациях, направлен на использование ИКТ для повышения устойчивости, необходимой при подготовке к реагированию, участию в реагировании и смягчении последствий, чтобы опасные природные явления, в том числе пандемии, не приводили к бедствиям. Важным достижением можно назвать выпуск </w:t>
      </w:r>
      <w:hyperlink r:id="rId19" w:history="1">
        <w:r w:rsidRPr="00AF4A0D">
          <w:rPr>
            <w:rStyle w:val="Hyperlink"/>
          </w:rPr>
          <w:t>Руководящих указаний МСЭ по разработке национальных планов в области электросвязи в чрезвычайных ситуациях</w:t>
        </w:r>
      </w:hyperlink>
      <w:r w:rsidRPr="00AF4A0D">
        <w:t>, которые помогают в подготовке национальной базы для использования ИКТ на всех этапах управления операциями в случае бедствий. Еще одним достижением является Руководство по "настольному" моделированию сценариев чрезвычайных ситуаций для проверки возможностей людей и технологий, используемых для реагирования в случае стихийных бедствий.</w:t>
      </w:r>
    </w:p>
    <w:p w14:paraId="7E7CC364" w14:textId="77777777" w:rsidR="00AF4A0D" w:rsidRPr="00AF4A0D" w:rsidRDefault="00AF4A0D" w:rsidP="00AF4A0D">
      <w:bookmarkStart w:id="90" w:name="lt_pId218"/>
      <w:bookmarkEnd w:id="89"/>
      <w:r w:rsidRPr="00AF4A0D">
        <w:t xml:space="preserve">Онлайновые модули по использованию Руководящих указаний будут размещены на веб-сайте Академии МСЭ. Для расширения деятельности Союза в области электросвязи в чрезвычайных ситуациях, а также для поддержки и улучшения координации с сообществом спутниковой связи и гуманитарными организациями МСЭ стал главным членом </w:t>
      </w:r>
      <w:hyperlink r:id="rId20" w:history="1">
        <w:r w:rsidRPr="00AF4A0D">
          <w:rPr>
            <w:rStyle w:val="Hyperlink"/>
          </w:rPr>
          <w:t>Хартии по установлению соединений в критических ситуациях (</w:t>
        </w:r>
        <w:r w:rsidRPr="00AF4A0D">
          <w:rPr>
            <w:rStyle w:val="Hyperlink"/>
            <w:lang w:val="en-GB"/>
          </w:rPr>
          <w:t>CCC</w:t>
        </w:r>
        <w:r w:rsidRPr="00AF4A0D">
          <w:rPr>
            <w:rStyle w:val="Hyperlink"/>
          </w:rPr>
          <w:t>)</w:t>
        </w:r>
      </w:hyperlink>
      <w:r w:rsidRPr="00AF4A0D">
        <w:t>, чтобы в случае бедствий продолжать оказывать Государствам-Членам помощь в плане обеспечения возможности установления спутниковых соединений.</w:t>
      </w:r>
    </w:p>
    <w:p w14:paraId="1360C419" w14:textId="77777777" w:rsidR="00AF4A0D" w:rsidRPr="00AF4A0D" w:rsidRDefault="00AF4A0D" w:rsidP="00667E2A">
      <w:pPr>
        <w:pStyle w:val="Headingb"/>
      </w:pPr>
      <w:bookmarkStart w:id="91" w:name="lt_pId220"/>
      <w:bookmarkEnd w:id="90"/>
      <w:r w:rsidRPr="00AF4A0D">
        <w:t xml:space="preserve">Окружающая среда </w:t>
      </w:r>
      <w:bookmarkEnd w:id="91"/>
    </w:p>
    <w:p w14:paraId="024FB4CC" w14:textId="77777777" w:rsidR="00AF4A0D" w:rsidRPr="00AF4A0D" w:rsidRDefault="00AF4A0D" w:rsidP="00AF4A0D">
      <w:pPr>
        <w:rPr>
          <w:bCs/>
        </w:rPr>
      </w:pPr>
      <w:bookmarkStart w:id="92" w:name="lt_pId221"/>
      <w:r w:rsidRPr="00AF4A0D">
        <w:rPr>
          <w:bCs/>
        </w:rPr>
        <w:t>КГРЭ была проинформирована о том, что Секторы МСЭ совместно участвуют в Партнерстве по циркуляционной электронике для разработки дорожных карт, чтобы придать отрасли электрического и электронного оборудования более циркуляционный характер, начиная с этапа проектирования до этапа возврата</w:t>
      </w:r>
      <w:r w:rsidRPr="00AF4A0D">
        <w:t xml:space="preserve"> </w:t>
      </w:r>
      <w:r w:rsidRPr="00AF4A0D">
        <w:rPr>
          <w:bCs/>
        </w:rPr>
        <w:t xml:space="preserve">по окончании срока службы, и поддерживают страны в вопросах национальной политики. Документ "Глобальный мониторинг электронных отходов, 2020 год", в котором содержится всеобъемлющий обзор глобальной статистики по электронным отходам, разъяснение и толкование данных, будет продолжать служить источником дополнительной информации об </w:t>
      </w:r>
      <w:r w:rsidRPr="00AF4A0D">
        <w:rPr>
          <w:bCs/>
        </w:rPr>
        <w:lastRenderedPageBreak/>
        <w:t>усугубляющейся проблеме электронных отходов. В настоящее время готовятся региональные мониторинги электронных отходов.</w:t>
      </w:r>
    </w:p>
    <w:p w14:paraId="46D7B50D" w14:textId="77777777" w:rsidR="00AF4A0D" w:rsidRPr="00AF4A0D" w:rsidRDefault="00AF4A0D" w:rsidP="00667E2A">
      <w:pPr>
        <w:pStyle w:val="Headingb"/>
      </w:pPr>
      <w:bookmarkStart w:id="93" w:name="lt_pId224"/>
      <w:bookmarkEnd w:id="92"/>
      <w:r w:rsidRPr="00AF4A0D">
        <w:t>Сети и цифровая инфраструктура</w:t>
      </w:r>
      <w:bookmarkEnd w:id="93"/>
    </w:p>
    <w:p w14:paraId="5C497D61" w14:textId="77777777" w:rsidR="00AF4A0D" w:rsidRPr="00AF4A0D" w:rsidRDefault="00AF4A0D" w:rsidP="00AF4A0D">
      <w:pPr>
        <w:rPr>
          <w:bCs/>
        </w:rPr>
      </w:pPr>
      <w:bookmarkStart w:id="94" w:name="lt_pId225"/>
      <w:r w:rsidRPr="00AF4A0D">
        <w:rPr>
          <w:bCs/>
        </w:rPr>
        <w:t>Важно обеспечить возможность установления надежных соединений для всех. К ключевым достижениям относятся карты широкополосной связи, способствующие лучшему пониманию сетевой инфраструктуры и связанных с ней вариантов инвестирования для оценки возможности установления соединений повсюду в мире. Карты МСЭ предоставляют информацию, полученную более чем от 440 операторов и 24 000 пунктов доступа по всему миру. Кроме того, в комплекте материалов МСЭ по бизнес-планированию инфраструктуры ИКТ регуляторным и директивным органам предоставляется четкая и практичная методика точной экономической оценки предлагаемых планов создания и развертывания инфраструктуры широкополосной связи.</w:t>
      </w:r>
      <w:bookmarkEnd w:id="94"/>
    </w:p>
    <w:p w14:paraId="0A5BD1ED" w14:textId="77777777" w:rsidR="00AF4A0D" w:rsidRPr="00AF4A0D" w:rsidRDefault="00AF4A0D" w:rsidP="00667E2A">
      <w:pPr>
        <w:pStyle w:val="Headingb"/>
      </w:pPr>
      <w:bookmarkStart w:id="95" w:name="lt_pId229"/>
      <w:r w:rsidRPr="00AF4A0D">
        <w:t>Политика и регулирование</w:t>
      </w:r>
      <w:bookmarkEnd w:id="95"/>
    </w:p>
    <w:p w14:paraId="7F9122D9" w14:textId="392F3102" w:rsidR="00AF4A0D" w:rsidRPr="00AF4A0D" w:rsidRDefault="00AF4A0D" w:rsidP="00AF4A0D">
      <w:pPr>
        <w:rPr>
          <w:bCs/>
        </w:rPr>
      </w:pPr>
      <w:bookmarkStart w:id="96" w:name="lt_pId230"/>
      <w:r w:rsidRPr="00AF4A0D">
        <w:rPr>
          <w:bCs/>
        </w:rPr>
        <w:t xml:space="preserve">Проведенный в Порт-Виле по любезному приглашению правительства Вануату 19-й Глобальный симпозиум для регуляторных органов (ГСР-19) собрал 320 участников более чем из 64 стран. Учебные занятия были посвящены вопросам сотрудничества, взаимодействия и повышения осведомленности представителей директивных и регуляторных органов. Недавно созданная глобальная платформа по обеспечению устойчивости сетей дает членам МСЭ возможность получать информацию о политических и регуляторных вариантах действий и мерах реагирования в связи с пандемией </w:t>
      </w:r>
      <w:r w:rsidRPr="00AF4A0D">
        <w:rPr>
          <w:bCs/>
          <w:lang w:val="en-GB"/>
        </w:rPr>
        <w:t>COVID</w:t>
      </w:r>
      <w:r w:rsidR="00667E2A">
        <w:rPr>
          <w:bCs/>
        </w:rPr>
        <w:noBreakHyphen/>
      </w:r>
      <w:r w:rsidRPr="00AF4A0D">
        <w:rPr>
          <w:bCs/>
        </w:rPr>
        <w:t xml:space="preserve">19, делиться такой информацией и обсуждать ее. Применительно к нормативно-правовым базам продолжают использоваться Комплект материалов по регулированию в области ИКТ, а также показатели данных и соответствующие публикации, например серия отчетов, в которой содержится количественная оценка положительного воздействия широкополосной связи на экономику; Инструмент отслеживания нормативно-правовой базы в области ИКТ МСЭ; отчет "Глобальные регуляторные перспективы в области ИКТ"; представленный на ГСР-19 опорный показатель </w:t>
      </w:r>
      <w:r w:rsidRPr="00AF4A0D">
        <w:rPr>
          <w:bCs/>
          <w:lang w:val="en-GB"/>
        </w:rPr>
        <w:t>G</w:t>
      </w:r>
      <w:r w:rsidRPr="00AF4A0D">
        <w:rPr>
          <w:bCs/>
        </w:rPr>
        <w:t>5 – новый инструмент моделирования системы и инструментов регулирования, который предлагает совместные межсекторальные решения для ускорения обеспечения эффективного регулирования в области цифровой трансформации; новые справочник и платформа по цифровому регулированию, которые будут представлены в 2020 году.</w:t>
      </w:r>
    </w:p>
    <w:p w14:paraId="7DF2D00C" w14:textId="77777777" w:rsidR="00AF4A0D" w:rsidRPr="00AF4A0D" w:rsidRDefault="00AF4A0D" w:rsidP="00667E2A">
      <w:pPr>
        <w:pStyle w:val="Headingb"/>
      </w:pPr>
      <w:bookmarkStart w:id="97" w:name="lt_pId238"/>
      <w:bookmarkEnd w:id="96"/>
      <w:r w:rsidRPr="00AF4A0D">
        <w:t>Статисти</w:t>
      </w:r>
      <w:bookmarkEnd w:id="97"/>
      <w:r w:rsidRPr="00AF4A0D">
        <w:t>ческие данные</w:t>
      </w:r>
    </w:p>
    <w:p w14:paraId="672447E1" w14:textId="77777777" w:rsidR="00AF4A0D" w:rsidRPr="00AF4A0D" w:rsidRDefault="00AF4A0D" w:rsidP="00AF4A0D">
      <w:bookmarkStart w:id="98" w:name="lt_pId239"/>
      <w:r w:rsidRPr="00AF4A0D">
        <w:t xml:space="preserve">Основная задача в рамках тематического приоритета, относящегося к статистическим данным, – поддержка политики по преодолению </w:t>
      </w:r>
      <w:r w:rsidRPr="00AF4A0D">
        <w:rPr>
          <w:bCs/>
        </w:rPr>
        <w:t>цифрового</w:t>
      </w:r>
      <w:r w:rsidRPr="00AF4A0D">
        <w:t xml:space="preserve"> разрыва путем проведения исследований, сбора данных, моделирования, создания потенциала и партнерских отношений. Среди недавних достижений в рамках этого тематического приоритета публикация ряда статистических процессов и аналитических отчетов, дающих представление о состоянии цифрового разрыва в мире и внутри стран. Особо следует отметить Базу данных МСЭ по всемирным показателям в области электросвязи/ИКТ (июнь и декабрь 2019 г.) и серию "Измерение цифрового развития", в частности публикации "Факты и цифры" и "Тенденции в динамике цен на услуги ИКТ". Готовятся к выпуску пособия для администраций по сбору и анализу данных в сфере ИКТ и соответствующие онлайновые курсы. Среди них Пособие МСЭ по количественной оценке доступа к ИКТ и их использования на уровне домашних хозяйств и отдельных лиц и Справочник по сбору административных данных в области электросвязи/ИКТ. Что касается сотрудничества, МСЭ участвует в нескольких инициативах в области больших данных, качества и стандартов данных, а также данных для целей развития. Кроме того, в планах МСЭ совместное проведение мероприятий в рамках ВВУИО и Всемирного форума по вопросам данных, а также организация Симпозиума по всемирным показателям в области электросвязи/ИКТ.</w:t>
      </w:r>
    </w:p>
    <w:p w14:paraId="75E675C0" w14:textId="4DC9F548" w:rsidR="00AF4A0D" w:rsidRPr="00667E2A" w:rsidRDefault="00667E2A" w:rsidP="00667E2A">
      <w:pPr>
        <w:pStyle w:val="Heading2"/>
      </w:pPr>
      <w:bookmarkStart w:id="99" w:name="lt_pId249"/>
      <w:bookmarkEnd w:id="98"/>
      <w:r w:rsidRPr="00667E2A">
        <w:lastRenderedPageBreak/>
        <w:t>7.2</w:t>
      </w:r>
      <w:r w:rsidRPr="00667E2A">
        <w:tab/>
      </w:r>
      <w:r w:rsidR="00AF4A0D" w:rsidRPr="00AF4A0D">
        <w:t>Обзор</w:t>
      </w:r>
      <w:r w:rsidR="00AF4A0D" w:rsidRPr="00667E2A">
        <w:t xml:space="preserve"> </w:t>
      </w:r>
      <w:r w:rsidR="00AF4A0D" w:rsidRPr="00AF4A0D">
        <w:t>региональных</w:t>
      </w:r>
      <w:r w:rsidR="00AF4A0D" w:rsidRPr="00667E2A">
        <w:t xml:space="preserve"> </w:t>
      </w:r>
      <w:r w:rsidR="00AF4A0D" w:rsidRPr="00AF4A0D">
        <w:t>инициатив</w:t>
      </w:r>
      <w:bookmarkEnd w:id="99"/>
    </w:p>
    <w:p w14:paraId="25403FFC" w14:textId="77777777" w:rsidR="00AF4A0D" w:rsidRPr="00AF4A0D" w:rsidRDefault="00AF4A0D" w:rsidP="00667E2A">
      <w:pPr>
        <w:pStyle w:val="Headingb"/>
      </w:pPr>
      <w:r w:rsidRPr="00AF4A0D">
        <w:t>Африка</w:t>
      </w:r>
    </w:p>
    <w:p w14:paraId="2CE37C7E" w14:textId="77777777" w:rsidR="00AF4A0D" w:rsidRPr="00AF4A0D" w:rsidRDefault="00AF4A0D" w:rsidP="00AF4A0D">
      <w:bookmarkStart w:id="100" w:name="lt_pId251"/>
      <w:r w:rsidRPr="00AF4A0D">
        <w:t>КГРЭ была проинформирована о том, что несколько текущих видов деятельности, в том числе тесное сотрудничество с центрами профессионального мастерства МСЭ, играют значимую роль в проектах, связанных со всеми региональными инициативами для Африки, особенно в области цифровой экономики, и способствуют инновациям и укреплению доверия и безопасности при использовании электросвязи и ИКТ. Половина проектов реализуется в странах, где основной заинтересованной стороной является Государство-Член, а остальные – на региональном уровне за счет средств партнеров. Например, Африканский центр цифровой трансформации проектировался в качестве основы для цифровых инноваций и соответствующей деятельности в Южно-Африканской Республике, однако извлеченные уроки и передовой опыт будут распространяться на другие страны, желающие открыть такой центр. МСЭ следует стратегии, ориентированной на более масштабные и целесообразные проекты, такие как программа МСЭ–МОТ по содействию созданию достойных рабочих мест для молодежи и приобретению молодежью цифровых навыков в цифровой экономике Африки, реализуемая совместно с Африканским союзом, и Инициатива в области политики и регулирования для цифровой Африки, реализуемая при поддержке Европейского союза. Региональное отделение для Африки продолжает изучать синергии между проектами для усиления их воздействия.</w:t>
      </w:r>
    </w:p>
    <w:p w14:paraId="2E2BAE5D" w14:textId="77777777" w:rsidR="00AF4A0D" w:rsidRPr="00AF4A0D" w:rsidRDefault="00AF4A0D" w:rsidP="00667E2A">
      <w:pPr>
        <w:pStyle w:val="Headingb"/>
      </w:pPr>
      <w:bookmarkStart w:id="101" w:name="lt_pId256"/>
      <w:bookmarkEnd w:id="100"/>
      <w:r w:rsidRPr="00AF4A0D">
        <w:t xml:space="preserve">Северная и Южная Америка </w:t>
      </w:r>
      <w:bookmarkEnd w:id="101"/>
    </w:p>
    <w:p w14:paraId="5CCCEF4A" w14:textId="77777777" w:rsidR="00AF4A0D" w:rsidRPr="00AF4A0D" w:rsidRDefault="00AF4A0D" w:rsidP="00AF4A0D">
      <w:bookmarkStart w:id="102" w:name="lt_pId257"/>
      <w:r w:rsidRPr="00AF4A0D">
        <w:t>КГРЭ была проинформирована о том, что Региональное отделение для Северной и Южной Америки предоставляет сведения о развитии электросвязи Государствам-Членам из региона Северной и Южной Америки, прежде всего развивающимся странам, и продолжает работать и развивать прочные связи с ними. К проектам и деятельности, касающимся вопросов связи для снижения риска бедствий и управления операциями при бедствиях, относятся национальные планы электросвязи в чрезвычайных ситуациях, подготовка к стихийным бедствиям и смягчение их последствий, а также обеспечение работы других систем реагирования на чрезвычайные ситуации на базе местных радиостанций. К проектам и деятельности, касающимся другой деятельности на региональном уровне, относятся консультирование и оказание содействия администрациям в использовании цифровых и коллективных сетей.</w:t>
      </w:r>
    </w:p>
    <w:p w14:paraId="3D04CAFE" w14:textId="77777777" w:rsidR="00AF4A0D" w:rsidRPr="00AF4A0D" w:rsidRDefault="00AF4A0D" w:rsidP="00667E2A">
      <w:pPr>
        <w:pStyle w:val="Headingb"/>
      </w:pPr>
      <w:bookmarkStart w:id="103" w:name="lt_pId260"/>
      <w:bookmarkEnd w:id="102"/>
      <w:r w:rsidRPr="00AF4A0D">
        <w:t xml:space="preserve">Арабские государства </w:t>
      </w:r>
      <w:bookmarkEnd w:id="103"/>
    </w:p>
    <w:p w14:paraId="7BEC3555" w14:textId="77777777" w:rsidR="00AF4A0D" w:rsidRPr="00AF4A0D" w:rsidRDefault="00AF4A0D" w:rsidP="00AF4A0D">
      <w:bookmarkStart w:id="104" w:name="lt_pId261"/>
      <w:r w:rsidRPr="00AF4A0D">
        <w:t xml:space="preserve">КГРЭ была проинформирована о том, что региональные инициативы арабских государств включают работу с Государствами-Членами по вопросам изменения климата, кибербезопасности, всеобщего охвата цифровыми услугами, интернета вещей и инновационных проектов; все они привлекли партнеров по финансированию. Удалось привлечь финансирование для четырех из десяти предложенных проектов, тогда как для остальных проектов, которые относятся к таким тематическим приоритетам, как электросвязь в чрезвычайных ситуациях, политика и регулирование, а также охват цифровыми технологиями, финансирование все еще привлекается. Помимо этих проектов, Государствам-Членам оперативно принесла результаты прочая деятельность Регионального отделения, связанная с региональными инициативами. </w:t>
      </w:r>
    </w:p>
    <w:p w14:paraId="2FC6ED86" w14:textId="77777777" w:rsidR="00AF4A0D" w:rsidRPr="00AF4A0D" w:rsidRDefault="00AF4A0D" w:rsidP="00667E2A">
      <w:pPr>
        <w:pStyle w:val="Headingb"/>
      </w:pPr>
      <w:bookmarkStart w:id="105" w:name="lt_pId264"/>
      <w:bookmarkEnd w:id="104"/>
      <w:r w:rsidRPr="00AF4A0D">
        <w:t xml:space="preserve">Азиатско-Тихоокеанский регион </w:t>
      </w:r>
      <w:bookmarkEnd w:id="105"/>
    </w:p>
    <w:p w14:paraId="7D92FA07" w14:textId="77777777" w:rsidR="00AF4A0D" w:rsidRPr="00AF4A0D" w:rsidRDefault="00AF4A0D" w:rsidP="00AF4A0D">
      <w:bookmarkStart w:id="106" w:name="lt_pId265"/>
      <w:r w:rsidRPr="00AF4A0D">
        <w:t xml:space="preserve">КГРЭ была проинформирована о том, что Региональное отделение тесно сотрудничает с учреждениями системы ООН и региональными организациями с целью достижения синергии и получения финансирования для реализации региональных инициатив, отвечающих возникающим потребностям и запросам Государств-Членов. В частности, сообщалось, что проект по обеспечению возможности установления спутниковых соединений в Тихоокеанском регионе был успешно реализован и необходимые средства связи были развернуты в восьми странах региона. Что касается политики и регулирования, Региональное отделение проводит Глобальную инициативу по охвату </w:t>
      </w:r>
      <w:r w:rsidRPr="00AF4A0D">
        <w:lastRenderedPageBreak/>
        <w:t>финансовыми услугами в Китае при финансовой поддержке Фонда Билла и Мелинды Гейтс. Что касается цифровых услуг, МСЭ выступает партнером в проектах по поддержке развития электронного сельского хозяйства, а для удовлетворения возникающих потребностей в стратегиях цифрового правительства во всем регионе Региональное отделение осуществляет финансируемые проекты в области цифровых услуг, регулирования, политики, инфраструктуры, кибербезопасности и защиты ребенка в онлайновой среде.</w:t>
      </w:r>
    </w:p>
    <w:p w14:paraId="0A8EE245" w14:textId="77777777" w:rsidR="00AF4A0D" w:rsidRPr="00AF4A0D" w:rsidRDefault="00AF4A0D" w:rsidP="00667E2A">
      <w:pPr>
        <w:pStyle w:val="Headingb"/>
      </w:pPr>
      <w:bookmarkStart w:id="107" w:name="lt_pId269"/>
      <w:bookmarkEnd w:id="106"/>
      <w:r w:rsidRPr="00AF4A0D">
        <w:t xml:space="preserve">Содружество Независимых Государств </w:t>
      </w:r>
      <w:bookmarkEnd w:id="107"/>
    </w:p>
    <w:p w14:paraId="268B3122" w14:textId="77777777" w:rsidR="00AF4A0D" w:rsidRPr="00AF4A0D" w:rsidRDefault="00AF4A0D" w:rsidP="00AF4A0D">
      <w:bookmarkStart w:id="108" w:name="lt_pId270"/>
      <w:r w:rsidRPr="00AF4A0D">
        <w:t>КГРЭ была проинформирована о том, что Региональное отделение для СНГ работает над тематическими приоритетами и реализует региональные инициативы и проекты в Оперативном плане: в частности, были разработаны рекомендации по внедрению технических решений, систем электронного здравоохранения, профессиональной подготовки и образовательных курсов. Кроме того, ведется разработка учебных курсов для женщин. Проводятся масштабные исследования регуляторной политики в регионе; ведется создание центра эксплуатационной безопасности и тестирования. Был инициирован диалог с Государствами-Членами по вопросу мониторинга экологического состояния, наличия и рационального использования природных ресурсов; был начат проект по формированию партнерств по охране окружающей среды: согласно поступившему документу, вторая фаза проекта проходит с участием Академических организаций и Членов Сектора в качестве партнеров.</w:t>
      </w:r>
    </w:p>
    <w:p w14:paraId="44E8A471" w14:textId="77777777" w:rsidR="00AF4A0D" w:rsidRPr="00AF4A0D" w:rsidRDefault="00AF4A0D" w:rsidP="00667E2A">
      <w:pPr>
        <w:pStyle w:val="Headingb"/>
      </w:pPr>
      <w:bookmarkStart w:id="109" w:name="lt_pId274"/>
      <w:bookmarkEnd w:id="108"/>
      <w:r w:rsidRPr="00AF4A0D">
        <w:t xml:space="preserve">Европа </w:t>
      </w:r>
      <w:bookmarkEnd w:id="109"/>
    </w:p>
    <w:p w14:paraId="2BF95AA5" w14:textId="44C9391D" w:rsidR="00AF4A0D" w:rsidRPr="00AF4A0D" w:rsidRDefault="00AF4A0D" w:rsidP="00AF4A0D">
      <w:bookmarkStart w:id="110" w:name="lt_pId275"/>
      <w:r w:rsidRPr="00AF4A0D">
        <w:t>КГРЭ была проинформирована о том, что Региональное о</w:t>
      </w:r>
      <w:r w:rsidR="00667E2A">
        <w:t xml:space="preserve">тделение для Европы, работая в </w:t>
      </w:r>
      <w:r w:rsidRPr="00AF4A0D">
        <w:t>тесном взаимодействии с другими учреждениями системы ООН, укрепило сотрудничество со всеми европейскими учреждениями и Европейской комиссией. Сообщалось, что региональная деятельность включает оказание технической помощи, проведение форумов, семинаров, семинаров-практикумов и предоставление возможностей профессиональной подготовки в центрах профессионального мастерства МСЭ. Кроме того, сообщалось о такой деятельности, как проведение региональных исследований и оценок для выявления возможностей разработки проектов, в том числе некоторых масштабных проектов, предусматривающих инвестирование в системы здравоохранения, проекта по созданию Центра знаний для Европы, проектов "Доступная Европа", а также о неустанных усилиях по координации сбора средств для поддержки Государств-Членов и доноров в реализации проектов по кибербезопасности, охвату цифровыми технологиями и инновациям.</w:t>
      </w:r>
    </w:p>
    <w:p w14:paraId="18172C62" w14:textId="77777777" w:rsidR="00AF4A0D" w:rsidRPr="00AF4A0D" w:rsidRDefault="00AF4A0D" w:rsidP="00667E2A">
      <w:pPr>
        <w:pStyle w:val="Headingb"/>
        <w:rPr>
          <w:bCs/>
        </w:rPr>
      </w:pPr>
      <w:bookmarkStart w:id="111" w:name="lt_pId278"/>
      <w:bookmarkEnd w:id="110"/>
      <w:r w:rsidRPr="00AF4A0D">
        <w:t xml:space="preserve">Международный центр цифровых инноваций </w:t>
      </w:r>
      <w:bookmarkEnd w:id="111"/>
    </w:p>
    <w:p w14:paraId="4C0E672B" w14:textId="77777777" w:rsidR="00AF4A0D" w:rsidRPr="00AF4A0D" w:rsidRDefault="00AF4A0D" w:rsidP="00AF4A0D">
      <w:bookmarkStart w:id="112" w:name="lt_pId279"/>
      <w:r w:rsidRPr="00AF4A0D">
        <w:t>КГРЭ была проинформирована о предстоящем подписании соглашения с Регуляторным органом электросвязи Объединенных Арабских Эмиратов о создании Международного центра цифровых инноваций (</w:t>
      </w:r>
      <w:r w:rsidRPr="00AF4A0D">
        <w:rPr>
          <w:lang w:val="en-GB"/>
        </w:rPr>
        <w:t>I</w:t>
      </w:r>
      <w:r w:rsidRPr="00AF4A0D">
        <w:t>-</w:t>
      </w:r>
      <w:r w:rsidRPr="00AF4A0D">
        <w:rPr>
          <w:lang w:val="en-GB"/>
        </w:rPr>
        <w:t>CoDI</w:t>
      </w:r>
      <w:r w:rsidRPr="00AF4A0D">
        <w:t>).</w:t>
      </w:r>
    </w:p>
    <w:p w14:paraId="5F98C5F8" w14:textId="77777777" w:rsidR="00AF4A0D" w:rsidRPr="00AF4A0D" w:rsidRDefault="00AF4A0D" w:rsidP="00667E2A">
      <w:pPr>
        <w:spacing w:after="120"/>
      </w:pPr>
      <w:bookmarkStart w:id="113" w:name="lt_pId280"/>
      <w:bookmarkEnd w:id="112"/>
      <w:r w:rsidRPr="00AF4A0D">
        <w:t xml:space="preserve">Ожидается, что </w:t>
      </w:r>
      <w:r w:rsidRPr="00AF4A0D">
        <w:rPr>
          <w:lang w:val="en-GB"/>
        </w:rPr>
        <w:t>I</w:t>
      </w:r>
      <w:r w:rsidRPr="00AF4A0D">
        <w:t>-</w:t>
      </w:r>
      <w:r w:rsidRPr="00AF4A0D">
        <w:rPr>
          <w:lang w:val="en-GB"/>
        </w:rPr>
        <w:t>CoDI</w:t>
      </w:r>
      <w:r w:rsidRPr="00AF4A0D">
        <w:t xml:space="preserve"> внесет свой вклад в развитие инновационных стратегий ускорения цифровой трансформации и выполнение Повестки дня в области устойчивого развития на период до 2030 года. </w:t>
      </w:r>
      <w:r w:rsidRPr="00AF4A0D">
        <w:rPr>
          <w:lang w:val="en-GB"/>
        </w:rPr>
        <w:t>I</w:t>
      </w:r>
      <w:r w:rsidRPr="00AF4A0D">
        <w:t>-</w:t>
      </w:r>
      <w:r w:rsidRPr="00AF4A0D">
        <w:rPr>
          <w:lang w:val="en-GB"/>
        </w:rPr>
        <w:t>CoDI</w:t>
      </w:r>
      <w:r w:rsidRPr="00AF4A0D">
        <w:t xml:space="preserve"> будет базироваться в Женеве, однако значительная часть его работы будет вестись в виртуальном режиме, чтобы добиться результатов по всему миру.</w:t>
      </w:r>
      <w:bookmarkEnd w:id="113"/>
    </w:p>
    <w:tbl>
      <w:tblPr>
        <w:tblStyle w:val="TableGrid"/>
        <w:tblW w:w="0" w:type="auto"/>
        <w:tblLook w:val="04A0" w:firstRow="1" w:lastRow="0" w:firstColumn="1" w:lastColumn="0" w:noHBand="0" w:noVBand="1"/>
      </w:tblPr>
      <w:tblGrid>
        <w:gridCol w:w="9628"/>
      </w:tblGrid>
      <w:tr w:rsidR="00AF4A0D" w:rsidRPr="001E04BA" w14:paraId="3E6A8CE4" w14:textId="77777777" w:rsidTr="00AF4A0D">
        <w:tc>
          <w:tcPr>
            <w:tcW w:w="9629" w:type="dxa"/>
          </w:tcPr>
          <w:p w14:paraId="02EFA3C6" w14:textId="77777777" w:rsidR="00AF4A0D" w:rsidRPr="001E04BA" w:rsidRDefault="00AF4A0D" w:rsidP="001E04BA">
            <w:pPr>
              <w:spacing w:after="120"/>
              <w:rPr>
                <w:sz w:val="22"/>
              </w:rPr>
            </w:pPr>
            <w:bookmarkStart w:id="114" w:name="lt_pId282"/>
            <w:r w:rsidRPr="001E04BA">
              <w:rPr>
                <w:sz w:val="22"/>
              </w:rPr>
              <w:t>КГРЭ с удовлетворением приняла к сведению представление большого объема информации о тематических приоритетах и региональных инициативах, а также высокое качество продуктов и публикаций, доступных членам, и призвала более активно продвигать их и готовить больше переводов на шесть официальных языков МСЭ. КГРЭ приветствовала I-CoDI как важный проект, который поможет членам МСЭ интегрировать инновации в национальную повестку дня и деятельность в области развития.</w:t>
            </w:r>
            <w:bookmarkEnd w:id="114"/>
          </w:p>
        </w:tc>
      </w:tr>
    </w:tbl>
    <w:p w14:paraId="18ABD5E2" w14:textId="00CC87E9" w:rsidR="00AF4A0D" w:rsidRPr="00AF4A0D" w:rsidRDefault="00667E2A" w:rsidP="00083D22">
      <w:pPr>
        <w:pStyle w:val="Heading1"/>
        <w:spacing w:before="360"/>
      </w:pPr>
      <w:r w:rsidRPr="00667E2A">
        <w:lastRenderedPageBreak/>
        <w:t>8</w:t>
      </w:r>
      <w:r w:rsidRPr="00667E2A">
        <w:tab/>
      </w:r>
      <w:r w:rsidR="00AF4A0D" w:rsidRPr="00AF4A0D">
        <w:t>Вклад МСЭ-</w:t>
      </w:r>
      <w:r w:rsidR="00AF4A0D" w:rsidRPr="00AF4A0D">
        <w:rPr>
          <w:lang w:val="en-GB"/>
        </w:rPr>
        <w:t>D</w:t>
      </w:r>
      <w:r w:rsidR="00AF4A0D" w:rsidRPr="00AF4A0D">
        <w:t xml:space="preserve"> в осуществление Плана действий ВВУИО и Повестки дня в области устойчивого развития на период до 2030 года </w:t>
      </w:r>
    </w:p>
    <w:bookmarkStart w:id="115" w:name="lt_pId285"/>
    <w:p w14:paraId="1338FB6C" w14:textId="77C8E513" w:rsidR="00AF4A0D" w:rsidRPr="00AF4A0D" w:rsidRDefault="00AF4A0D" w:rsidP="00AF4A0D">
      <w:pPr>
        <w:rPr>
          <w:b/>
        </w:rPr>
      </w:pPr>
      <w:r w:rsidRPr="00AF4A0D">
        <w:fldChar w:fldCharType="begin"/>
      </w:r>
      <w:r w:rsidRPr="00AF4A0D">
        <w:instrText xml:space="preserve"> HYPERLINK "https://www.itu.int/md/D18-TDAG25.2-C-0003/" </w:instrText>
      </w:r>
      <w:r w:rsidRPr="00AF4A0D">
        <w:fldChar w:fldCharType="separate"/>
      </w:r>
      <w:r w:rsidRPr="00AF4A0D">
        <w:rPr>
          <w:rStyle w:val="Hyperlink"/>
        </w:rPr>
        <w:t>Документ 3</w:t>
      </w:r>
      <w:r w:rsidRPr="00AF4A0D">
        <w:fldChar w:fldCharType="end"/>
      </w:r>
      <w:r w:rsidRPr="00AF4A0D">
        <w:t>:</w:t>
      </w:r>
      <w:bookmarkEnd w:id="115"/>
      <w:r w:rsidRPr="00AF4A0D">
        <w:t xml:space="preserve"> </w:t>
      </w:r>
      <w:bookmarkStart w:id="116" w:name="lt_pId286"/>
      <w:r w:rsidRPr="00AF4A0D">
        <w:t>В настоящем документе представлен обновленный вклад МСЭ-</w:t>
      </w:r>
      <w:r w:rsidRPr="00AF4A0D">
        <w:rPr>
          <w:lang w:val="en-GB"/>
        </w:rPr>
        <w:t>D</w:t>
      </w:r>
      <w:r w:rsidRPr="00AF4A0D">
        <w:t xml:space="preserve"> в выполнение решений Всемирной встречи на высшем уровне по вопросам информационного общества (ВВУИО) и Повестки дня в области устойчивого развития на период до 2030 года.</w:t>
      </w:r>
      <w:bookmarkEnd w:id="116"/>
      <w:r w:rsidRPr="00AF4A0D">
        <w:t xml:space="preserve"> </w:t>
      </w:r>
    </w:p>
    <w:p w14:paraId="0C121A2E" w14:textId="77777777" w:rsidR="00AF4A0D" w:rsidRPr="00AF4A0D" w:rsidRDefault="00AF4A0D" w:rsidP="00AF4A0D">
      <w:bookmarkStart w:id="117" w:name="lt_pId287"/>
      <w:r w:rsidRPr="00AF4A0D">
        <w:t xml:space="preserve">На </w:t>
      </w:r>
      <w:hyperlink r:id="rId21" w:history="1">
        <w:r w:rsidRPr="00AF4A0D">
          <w:rPr>
            <w:rStyle w:val="Hyperlink"/>
          </w:rPr>
          <w:t>Полномочной конференции 2018 года</w:t>
        </w:r>
      </w:hyperlink>
      <w:r w:rsidRPr="00AF4A0D">
        <w:t xml:space="preserve"> был подтвержден мандат МСЭ и его вклад в реализацию направлений деятельности ВВУИО и достижение Целей в области устойчивого развития (ЦУР). На </w:t>
      </w:r>
      <w:hyperlink r:id="rId22" w:history="1">
        <w:r w:rsidRPr="00AF4A0D">
          <w:rPr>
            <w:rStyle w:val="Hyperlink"/>
          </w:rPr>
          <w:t>Всемирной конференции по развитию электросвязи</w:t>
        </w:r>
      </w:hyperlink>
      <w:r w:rsidRPr="00AF4A0D">
        <w:t xml:space="preserve"> (ВКРЭ-17) была установлена четкая связь между задачами, конечными результатами, намеченными результатами деятельности МСЭ-D и соответствующими направлениями деятельности ВВУИО, а также ЦУР и их задачами (Документ 3, Приложение 1). Сопоставление Вопросов исследовательских комиссий МСЭ-D с направлениями деятельности ВВУИО и ЦУР обеспечивает дополнительные указания относительно вклада этих комиссий в процессы ВВУИО и ЦУР (Документ 3, Приложение 2). </w:t>
      </w:r>
      <w:bookmarkStart w:id="118" w:name="lt_pId290"/>
      <w:bookmarkEnd w:id="117"/>
      <w:r w:rsidRPr="00AF4A0D">
        <w:t>В этом отношении все виды деятельности МСЭ-</w:t>
      </w:r>
      <w:r w:rsidRPr="00AF4A0D">
        <w:rPr>
          <w:lang w:val="en-GB"/>
        </w:rPr>
        <w:t>D</w:t>
      </w:r>
      <w:r w:rsidRPr="00AF4A0D">
        <w:t xml:space="preserve"> вносят вклад в достижение ЦУР и выполнение решений ВВУИО.</w:t>
      </w:r>
      <w:bookmarkEnd w:id="118"/>
      <w:r w:rsidRPr="00AF4A0D">
        <w:t xml:space="preserve"> </w:t>
      </w:r>
      <w:bookmarkStart w:id="119" w:name="lt_pId291"/>
      <w:r w:rsidRPr="00AF4A0D">
        <w:t>Отчеты об этих видах деятельности на регулярной основе представляются членам МСЭ в рамках КГРЭ, региональных форумов по вопросам развития (РФР) и Рабочей группы Совета МСЭ по ВВУИО (РГС-ВВУИО).</w:t>
      </w:r>
      <w:bookmarkEnd w:id="119"/>
    </w:p>
    <w:p w14:paraId="2D83162D" w14:textId="77777777" w:rsidR="00AF4A0D" w:rsidRPr="00AF4A0D" w:rsidRDefault="00AF4A0D" w:rsidP="00AF4A0D">
      <w:bookmarkStart w:id="120" w:name="lt_pId292"/>
      <w:r w:rsidRPr="00AF4A0D">
        <w:t xml:space="preserve">Значительная часть ежегодной отчетности приходится на долю флагманских видов деятельности БРЭ, информация о которых представляется в </w:t>
      </w:r>
      <w:r w:rsidRPr="00667E2A">
        <w:rPr>
          <w:i/>
        </w:rPr>
        <w:t>Отчете о вкладе МСЭ в выполнение решений ВВУИО</w:t>
      </w:r>
      <w:r w:rsidRPr="00AF4A0D">
        <w:t>.</w:t>
      </w:r>
      <w:bookmarkEnd w:id="120"/>
      <w:r w:rsidRPr="00AF4A0D">
        <w:t xml:space="preserve"> </w:t>
      </w:r>
      <w:bookmarkStart w:id="121" w:name="lt_pId293"/>
      <w:r w:rsidRPr="00AF4A0D">
        <w:t>Издание этого отчета за 2019</w:t>
      </w:r>
      <w:r w:rsidRPr="00AF4A0D">
        <w:rPr>
          <w:lang w:val="en-GB"/>
        </w:rPr>
        <w:t> </w:t>
      </w:r>
      <w:r w:rsidRPr="00AF4A0D">
        <w:t xml:space="preserve">год размещено по адресу: </w:t>
      </w:r>
      <w:bookmarkStart w:id="122" w:name="lt_pId294"/>
      <w:bookmarkEnd w:id="121"/>
      <w:r w:rsidRPr="00AF4A0D">
        <w:rPr>
          <w:lang w:val="en-GB"/>
        </w:rPr>
        <w:fldChar w:fldCharType="begin"/>
      </w:r>
      <w:r w:rsidRPr="00AF4A0D">
        <w:instrText xml:space="preserve"> </w:instrText>
      </w:r>
      <w:r w:rsidRPr="00AF4A0D">
        <w:rPr>
          <w:lang w:val="en-GB"/>
        </w:rPr>
        <w:instrText>HYPERLINK</w:instrText>
      </w:r>
      <w:r w:rsidRPr="00AF4A0D">
        <w:instrText xml:space="preserve"> "</w:instrText>
      </w:r>
      <w:r w:rsidRPr="00AF4A0D">
        <w:rPr>
          <w:lang w:val="en-GB"/>
        </w:rPr>
        <w:instrText>https</w:instrText>
      </w:r>
      <w:r w:rsidRPr="00AF4A0D">
        <w:instrText>://</w:instrText>
      </w:r>
      <w:r w:rsidRPr="00AF4A0D">
        <w:rPr>
          <w:lang w:val="en-GB"/>
        </w:rPr>
        <w:instrText>www</w:instrText>
      </w:r>
      <w:r w:rsidRPr="00AF4A0D">
        <w:instrText>.</w:instrText>
      </w:r>
      <w:r w:rsidRPr="00AF4A0D">
        <w:rPr>
          <w:lang w:val="en-GB"/>
        </w:rPr>
        <w:instrText>itu</w:instrText>
      </w:r>
      <w:r w:rsidRPr="00AF4A0D">
        <w:instrText>.</w:instrText>
      </w:r>
      <w:r w:rsidRPr="00AF4A0D">
        <w:rPr>
          <w:lang w:val="en-GB"/>
        </w:rPr>
        <w:instrText>int</w:instrText>
      </w:r>
      <w:r w:rsidRPr="00AF4A0D">
        <w:instrText>/</w:instrText>
      </w:r>
      <w:r w:rsidRPr="00AF4A0D">
        <w:rPr>
          <w:lang w:val="en-GB"/>
        </w:rPr>
        <w:instrText>en</w:instrText>
      </w:r>
      <w:r w:rsidRPr="00AF4A0D">
        <w:instrText>/</w:instrText>
      </w:r>
      <w:r w:rsidRPr="00AF4A0D">
        <w:rPr>
          <w:lang w:val="en-GB"/>
        </w:rPr>
        <w:instrText>itu</w:instrText>
      </w:r>
      <w:r w:rsidRPr="00AF4A0D">
        <w:instrText>-</w:instrText>
      </w:r>
      <w:r w:rsidRPr="00AF4A0D">
        <w:rPr>
          <w:lang w:val="en-GB"/>
        </w:rPr>
        <w:instrText>wsis</w:instrText>
      </w:r>
      <w:r w:rsidRPr="00AF4A0D">
        <w:instrText>/</w:instrText>
      </w:r>
      <w:r w:rsidRPr="00AF4A0D">
        <w:rPr>
          <w:lang w:val="en-GB"/>
        </w:rPr>
        <w:instrText>Pages</w:instrText>
      </w:r>
      <w:r w:rsidRPr="00AF4A0D">
        <w:instrText>/</w:instrText>
      </w:r>
      <w:r w:rsidRPr="00AF4A0D">
        <w:rPr>
          <w:lang w:val="en-GB"/>
        </w:rPr>
        <w:instrText>Contribution</w:instrText>
      </w:r>
      <w:r w:rsidRPr="00AF4A0D">
        <w:instrText>.</w:instrText>
      </w:r>
      <w:r w:rsidRPr="00AF4A0D">
        <w:rPr>
          <w:lang w:val="en-GB"/>
        </w:rPr>
        <w:instrText>aspx</w:instrText>
      </w:r>
      <w:r w:rsidRPr="00AF4A0D">
        <w:instrText xml:space="preserve">" </w:instrText>
      </w:r>
      <w:r w:rsidRPr="00AF4A0D">
        <w:rPr>
          <w:lang w:val="en-GB"/>
        </w:rPr>
        <w:fldChar w:fldCharType="separate"/>
      </w:r>
      <w:r w:rsidRPr="00AF4A0D">
        <w:rPr>
          <w:rStyle w:val="Hyperlink"/>
          <w:lang w:val="en-GB"/>
        </w:rPr>
        <w:t>https</w:t>
      </w:r>
      <w:r w:rsidRPr="00AF4A0D">
        <w:rPr>
          <w:rStyle w:val="Hyperlink"/>
        </w:rPr>
        <w:t>://</w:t>
      </w:r>
      <w:r w:rsidRPr="00AF4A0D">
        <w:rPr>
          <w:rStyle w:val="Hyperlink"/>
          <w:lang w:val="en-GB"/>
        </w:rPr>
        <w:t>www</w:t>
      </w:r>
      <w:r w:rsidRPr="00AF4A0D">
        <w:rPr>
          <w:rStyle w:val="Hyperlink"/>
        </w:rPr>
        <w:t>.</w:t>
      </w:r>
      <w:r w:rsidRPr="00AF4A0D">
        <w:rPr>
          <w:rStyle w:val="Hyperlink"/>
          <w:lang w:val="en-GB"/>
        </w:rPr>
        <w:t>itu</w:t>
      </w:r>
      <w:r w:rsidRPr="00AF4A0D">
        <w:rPr>
          <w:rStyle w:val="Hyperlink"/>
        </w:rPr>
        <w:t>.</w:t>
      </w:r>
      <w:r w:rsidRPr="00AF4A0D">
        <w:rPr>
          <w:rStyle w:val="Hyperlink"/>
          <w:lang w:val="en-GB"/>
        </w:rPr>
        <w:t>int</w:t>
      </w:r>
      <w:r w:rsidRPr="00AF4A0D">
        <w:rPr>
          <w:rStyle w:val="Hyperlink"/>
        </w:rPr>
        <w:t>/</w:t>
      </w:r>
      <w:r w:rsidRPr="00AF4A0D">
        <w:rPr>
          <w:rStyle w:val="Hyperlink"/>
          <w:lang w:val="en-GB"/>
        </w:rPr>
        <w:t>en</w:t>
      </w:r>
      <w:r w:rsidRPr="00AF4A0D">
        <w:rPr>
          <w:rStyle w:val="Hyperlink"/>
        </w:rPr>
        <w:t>/</w:t>
      </w:r>
      <w:r w:rsidRPr="00AF4A0D">
        <w:rPr>
          <w:rStyle w:val="Hyperlink"/>
          <w:lang w:val="en-GB"/>
        </w:rPr>
        <w:t>itu</w:t>
      </w:r>
      <w:r w:rsidRPr="00AF4A0D">
        <w:rPr>
          <w:rStyle w:val="Hyperlink"/>
        </w:rPr>
        <w:t>-</w:t>
      </w:r>
      <w:r w:rsidRPr="00AF4A0D">
        <w:rPr>
          <w:rStyle w:val="Hyperlink"/>
          <w:lang w:val="en-GB"/>
        </w:rPr>
        <w:t>wsis</w:t>
      </w:r>
      <w:r w:rsidRPr="00AF4A0D">
        <w:rPr>
          <w:rStyle w:val="Hyperlink"/>
        </w:rPr>
        <w:t>/</w:t>
      </w:r>
      <w:r w:rsidRPr="00AF4A0D">
        <w:rPr>
          <w:rStyle w:val="Hyperlink"/>
          <w:lang w:val="en-GB"/>
        </w:rPr>
        <w:t>Pages</w:t>
      </w:r>
      <w:r w:rsidRPr="00AF4A0D">
        <w:rPr>
          <w:rStyle w:val="Hyperlink"/>
        </w:rPr>
        <w:t>/</w:t>
      </w:r>
      <w:r w:rsidRPr="00AF4A0D">
        <w:rPr>
          <w:rStyle w:val="Hyperlink"/>
          <w:lang w:val="en-GB"/>
        </w:rPr>
        <w:t>Contribution</w:t>
      </w:r>
      <w:r w:rsidRPr="00AF4A0D">
        <w:rPr>
          <w:rStyle w:val="Hyperlink"/>
        </w:rPr>
        <w:t>.</w:t>
      </w:r>
      <w:r w:rsidRPr="00AF4A0D">
        <w:rPr>
          <w:rStyle w:val="Hyperlink"/>
          <w:lang w:val="en-GB"/>
        </w:rPr>
        <w:t>aspx</w:t>
      </w:r>
      <w:r w:rsidRPr="00AF4A0D">
        <w:fldChar w:fldCharType="end"/>
      </w:r>
      <w:r w:rsidRPr="00AF4A0D">
        <w:t>.</w:t>
      </w:r>
      <w:bookmarkEnd w:id="122"/>
    </w:p>
    <w:p w14:paraId="18F6906B" w14:textId="77777777" w:rsidR="00AF4A0D" w:rsidRPr="00AF4A0D" w:rsidRDefault="00AF4A0D" w:rsidP="00667E2A">
      <w:pPr>
        <w:spacing w:after="120"/>
      </w:pPr>
      <w:bookmarkStart w:id="123" w:name="lt_pId295"/>
      <w:r w:rsidRPr="00AF4A0D">
        <w:t>В Документе 3 также представлена обновленная информация о конкретной работе в рамках направлений деятельности ВВУИО и ЦУР, о Партнерстве по измерению информационного общества, вкладе БРЭ на Форуме ВВУИО 2020 года, анализе выполнения решений ВВУИО, наградах ВВУИО, региональных форумах МСЭ, посвященных согласованию процессов ВВУИО и ЦУР, и Форуме ООН по устойчивому развитию.</w:t>
      </w:r>
      <w:bookmarkEnd w:id="123"/>
    </w:p>
    <w:tbl>
      <w:tblPr>
        <w:tblStyle w:val="TableGrid"/>
        <w:tblW w:w="0" w:type="auto"/>
        <w:tblLook w:val="04A0" w:firstRow="1" w:lastRow="0" w:firstColumn="1" w:lastColumn="0" w:noHBand="0" w:noVBand="1"/>
      </w:tblPr>
      <w:tblGrid>
        <w:gridCol w:w="9628"/>
      </w:tblGrid>
      <w:tr w:rsidR="00AF4A0D" w:rsidRPr="001E04BA" w14:paraId="4EF40EFB" w14:textId="77777777" w:rsidTr="00AF4A0D">
        <w:tc>
          <w:tcPr>
            <w:tcW w:w="9629" w:type="dxa"/>
          </w:tcPr>
          <w:p w14:paraId="460F2B11" w14:textId="77777777" w:rsidR="00AF4A0D" w:rsidRPr="001E04BA" w:rsidRDefault="00AF4A0D" w:rsidP="001E04BA">
            <w:pPr>
              <w:spacing w:after="120"/>
              <w:rPr>
                <w:sz w:val="22"/>
              </w:rPr>
            </w:pPr>
            <w:r w:rsidRPr="001E04BA">
              <w:rPr>
                <w:sz w:val="22"/>
              </w:rPr>
              <w:t xml:space="preserve">КГРЭ дала высокую оценку отчету и призвала членов МСЭ принимать активное участие в работе БРЭ, содействующей выполнению решений ВВУИО и Повестки дня в области устойчивого развития на период до 2030 года, в соответствии с решениями ВКРЭ-17. </w:t>
            </w:r>
          </w:p>
        </w:tc>
      </w:tr>
    </w:tbl>
    <w:p w14:paraId="0AAEB8C8" w14:textId="73860E84" w:rsidR="00125DA8" w:rsidRPr="00343996" w:rsidRDefault="00125DA8" w:rsidP="00083D22">
      <w:pPr>
        <w:pStyle w:val="Heading1"/>
        <w:spacing w:before="360"/>
      </w:pPr>
      <w:r w:rsidRPr="00125DA8">
        <w:t>9</w:t>
      </w:r>
      <w:r w:rsidRPr="00125DA8">
        <w:tab/>
      </w:r>
      <w:r>
        <w:t>Проекты</w:t>
      </w:r>
      <w:r w:rsidRPr="00125DA8">
        <w:t xml:space="preserve"> </w:t>
      </w:r>
      <w:r>
        <w:t>МСЭ</w:t>
      </w:r>
      <w:r w:rsidRPr="00125DA8">
        <w:t>-</w:t>
      </w:r>
      <w:r>
        <w:rPr>
          <w:lang w:val="en-US"/>
        </w:rPr>
        <w:t>D</w:t>
      </w:r>
    </w:p>
    <w:p w14:paraId="6BF37D29" w14:textId="77777777" w:rsidR="00125DA8" w:rsidRPr="00F77B4F" w:rsidRDefault="00125DA8" w:rsidP="00E526B6">
      <w:pPr>
        <w:spacing w:after="120"/>
        <w:rPr>
          <w:rFonts w:cstheme="minorHAnsi"/>
          <w:szCs w:val="24"/>
        </w:rPr>
      </w:pPr>
      <w:r>
        <w:rPr>
          <w:rFonts w:cstheme="minorHAnsi"/>
          <w:szCs w:val="24"/>
        </w:rPr>
        <w:t>Отчет</w:t>
      </w:r>
      <w:r w:rsidRPr="00F77B4F">
        <w:rPr>
          <w:rFonts w:cstheme="minorHAnsi"/>
          <w:szCs w:val="24"/>
        </w:rPr>
        <w:t xml:space="preserve"> о мероприятиях, проводимых БРЭ в целях дальнейшего укрепления функции осуществления проектов в соответствии с Резолюциями 17 и 52 </w:t>
      </w:r>
      <w:r>
        <w:rPr>
          <w:rFonts w:cstheme="minorHAnsi"/>
          <w:szCs w:val="24"/>
        </w:rPr>
        <w:t>ВКРЭ</w:t>
      </w:r>
      <w:r w:rsidRPr="00F77B4F">
        <w:rPr>
          <w:rFonts w:cstheme="minorHAnsi"/>
          <w:szCs w:val="24"/>
        </w:rPr>
        <w:t>-17 и Резолюцией 157 П</w:t>
      </w:r>
      <w:r>
        <w:rPr>
          <w:rFonts w:cstheme="minorHAnsi"/>
          <w:szCs w:val="24"/>
        </w:rPr>
        <w:t>К</w:t>
      </w:r>
      <w:r w:rsidRPr="00F77B4F">
        <w:rPr>
          <w:rFonts w:cstheme="minorHAnsi"/>
          <w:szCs w:val="24"/>
        </w:rPr>
        <w:t xml:space="preserve">-18, содержится в </w:t>
      </w:r>
      <w:hyperlink r:id="rId23" w:history="1">
        <w:r w:rsidRPr="002A645E">
          <w:rPr>
            <w:rStyle w:val="Hyperlink"/>
            <w:rFonts w:cstheme="minorHAnsi"/>
            <w:szCs w:val="24"/>
          </w:rPr>
          <w:t>Документе 10</w:t>
        </w:r>
      </w:hyperlink>
      <w:r w:rsidRPr="00F77B4F">
        <w:rPr>
          <w:rFonts w:cstheme="minorHAnsi"/>
          <w:szCs w:val="24"/>
        </w:rPr>
        <w:t>.</w:t>
      </w:r>
    </w:p>
    <w:p w14:paraId="77158A0C" w14:textId="564F8E5B" w:rsidR="00125DA8" w:rsidRPr="00F77B4F" w:rsidRDefault="00125DA8" w:rsidP="00125DA8">
      <w:pPr>
        <w:spacing w:after="120"/>
      </w:pPr>
      <w:r w:rsidRPr="00F77B4F">
        <w:t>В разделах 2</w:t>
      </w:r>
      <w:r w:rsidRPr="00125DA8">
        <w:t>−</w:t>
      </w:r>
      <w:r w:rsidRPr="00F77B4F">
        <w:t>5 представлена информация об общем количестве проектов, осуществленных с 2007</w:t>
      </w:r>
      <w:r w:rsidR="00304668">
        <w:rPr>
          <w:lang w:val="en-US"/>
        </w:rPr>
        <w:t> </w:t>
      </w:r>
      <w:r w:rsidRPr="00F77B4F">
        <w:t xml:space="preserve">года, количестве текущих проектов и их финансовой </w:t>
      </w:r>
      <w:r>
        <w:t>стоимости</w:t>
      </w:r>
      <w:r w:rsidRPr="00F77B4F">
        <w:t xml:space="preserve">, а также дополнительный анализ текущих проектов </w:t>
      </w:r>
      <w:r>
        <w:t xml:space="preserve">в разбивке </w:t>
      </w:r>
      <w:r w:rsidRPr="00F77B4F">
        <w:t xml:space="preserve">по регионам, показывающий количество проектов, их финансовую </w:t>
      </w:r>
      <w:r>
        <w:t>стоимость</w:t>
      </w:r>
      <w:r w:rsidRPr="00F77B4F">
        <w:t xml:space="preserve"> и тематические приоритеты </w:t>
      </w:r>
      <w:r>
        <w:t>в таблицах</w:t>
      </w:r>
      <w:r w:rsidRPr="00F77B4F">
        <w:t xml:space="preserve"> (</w:t>
      </w:r>
      <w:r w:rsidRPr="00125DA8">
        <w:rPr>
          <w:i/>
        </w:rPr>
        <w:t>по состоянию на 31 декабря 2019</w:t>
      </w:r>
      <w:r w:rsidR="00304668">
        <w:rPr>
          <w:i/>
          <w:lang w:val="en-US"/>
        </w:rPr>
        <w:t> </w:t>
      </w:r>
      <w:r w:rsidRPr="00125DA8">
        <w:rPr>
          <w:i/>
        </w:rPr>
        <w:t>г</w:t>
      </w:r>
      <w:r w:rsidR="00304668" w:rsidRPr="00304668">
        <w:rPr>
          <w:i/>
        </w:rPr>
        <w:t>.</w:t>
      </w:r>
      <w:r w:rsidRPr="00F77B4F">
        <w:t xml:space="preserve">). В разделе 6 приводится перечень проектов, находящихся в стадии разработки, которые, как ожидается, будут </w:t>
      </w:r>
      <w:r>
        <w:t>утверждены</w:t>
      </w:r>
      <w:r w:rsidRPr="00F77B4F">
        <w:t xml:space="preserve"> ко второму кварталу 2020</w:t>
      </w:r>
      <w:r>
        <w:t> </w:t>
      </w:r>
      <w:r w:rsidRPr="00F77B4F">
        <w:t>года. В разделе 7 приводятся пояснения в отношении различных источников финансирования проектов. В разделе 8 описываются дальнейшие инициативы, предпринятые БРЭ, такие как подготовка исследований</w:t>
      </w:r>
      <w:r>
        <w:t xml:space="preserve"> конкретных случаев</w:t>
      </w:r>
      <w:r w:rsidRPr="00F77B4F">
        <w:t xml:space="preserve"> и обмен ими, оценки </w:t>
      </w:r>
      <w:r>
        <w:t>по результатам</w:t>
      </w:r>
      <w:r w:rsidRPr="00F77B4F">
        <w:t xml:space="preserve"> осуществления проектов, видеоматериалы,</w:t>
      </w:r>
      <w:r>
        <w:t xml:space="preserve"> </w:t>
      </w:r>
      <w:r w:rsidRPr="00F77B4F">
        <w:t>обновленное Руководство по управлению проектами</w:t>
      </w:r>
      <w:r>
        <w:t>, а также</w:t>
      </w:r>
      <w:r w:rsidRPr="00F77B4F">
        <w:t xml:space="preserve"> наращивание потенциала в 2019 году и в начале 2020 года.</w:t>
      </w:r>
    </w:p>
    <w:tbl>
      <w:tblPr>
        <w:tblStyle w:val="TableGrid"/>
        <w:tblW w:w="0" w:type="auto"/>
        <w:tblLook w:val="04A0" w:firstRow="1" w:lastRow="0" w:firstColumn="1" w:lastColumn="0" w:noHBand="0" w:noVBand="1"/>
      </w:tblPr>
      <w:tblGrid>
        <w:gridCol w:w="9628"/>
      </w:tblGrid>
      <w:tr w:rsidR="00125DA8" w:rsidRPr="001E04BA" w14:paraId="7E791D59" w14:textId="77777777" w:rsidTr="00E526B6">
        <w:tc>
          <w:tcPr>
            <w:tcW w:w="9629" w:type="dxa"/>
          </w:tcPr>
          <w:p w14:paraId="105DEDD1" w14:textId="77777777" w:rsidR="00125DA8" w:rsidRPr="00125DA8" w:rsidRDefault="00125DA8" w:rsidP="001E04BA">
            <w:pPr>
              <w:keepNext/>
              <w:keepLines/>
              <w:spacing w:after="120"/>
              <w:rPr>
                <w:sz w:val="22"/>
              </w:rPr>
            </w:pPr>
            <w:r w:rsidRPr="00125DA8">
              <w:rPr>
                <w:sz w:val="22"/>
              </w:rPr>
              <w:lastRenderedPageBreak/>
              <w:t>КГРЭ приняла к сведению и высоко оценила документ, при этом одна делегация рекомендовала представить дополнительную информацию о критериях, используемых для партнеров по проектам и стран-бенефициаров. В связи с этим БРЭ дало пояснения, что в настоящее время предпринимаются усилия по разработке информационной панели проектов и дальнейшему сопоставлению с контрольными показателями.</w:t>
            </w:r>
          </w:p>
        </w:tc>
      </w:tr>
    </w:tbl>
    <w:p w14:paraId="0767E8E7" w14:textId="53D56011" w:rsidR="00125DA8" w:rsidRPr="00F77B4F" w:rsidRDefault="00125DA8" w:rsidP="00083D22">
      <w:pPr>
        <w:pStyle w:val="Heading1"/>
        <w:spacing w:before="360"/>
      </w:pPr>
      <w:r w:rsidRPr="00125DA8">
        <w:t>10</w:t>
      </w:r>
      <w:r w:rsidRPr="00125DA8">
        <w:tab/>
      </w:r>
      <w:r>
        <w:t>Вопросы</w:t>
      </w:r>
      <w:r w:rsidRPr="00F77B4F">
        <w:t xml:space="preserve">, </w:t>
      </w:r>
      <w:r>
        <w:t>связанные</w:t>
      </w:r>
      <w:r w:rsidRPr="00F77B4F">
        <w:t xml:space="preserve"> </w:t>
      </w:r>
      <w:r>
        <w:t>с</w:t>
      </w:r>
      <w:r w:rsidRPr="00F77B4F">
        <w:t xml:space="preserve"> </w:t>
      </w:r>
      <w:r>
        <w:t>работой исследовательских комиссий МСЭ-</w:t>
      </w:r>
      <w:r>
        <w:rPr>
          <w:lang w:val="en-US"/>
        </w:rPr>
        <w:t>D</w:t>
      </w:r>
    </w:p>
    <w:p w14:paraId="385EAC47" w14:textId="77777777" w:rsidR="00125DA8" w:rsidRPr="00F77B4F" w:rsidRDefault="00125DA8" w:rsidP="00E526B6">
      <w:pPr>
        <w:spacing w:after="120"/>
        <w:rPr>
          <w:rFonts w:cstheme="minorHAnsi"/>
          <w:color w:val="000000" w:themeColor="text1"/>
          <w:szCs w:val="24"/>
        </w:rPr>
      </w:pPr>
      <w:r w:rsidRPr="00F77B4F">
        <w:rPr>
          <w:rFonts w:cstheme="minorHAnsi"/>
          <w:color w:val="000000" w:themeColor="text1"/>
          <w:szCs w:val="24"/>
        </w:rPr>
        <w:t xml:space="preserve">Отчеты двух исследовательских </w:t>
      </w:r>
      <w:r>
        <w:rPr>
          <w:rFonts w:cstheme="minorHAnsi"/>
          <w:color w:val="000000" w:themeColor="text1"/>
          <w:szCs w:val="24"/>
        </w:rPr>
        <w:t>комиссий</w:t>
      </w:r>
      <w:r w:rsidRPr="00F77B4F">
        <w:rPr>
          <w:rFonts w:cstheme="minorHAnsi"/>
          <w:color w:val="000000" w:themeColor="text1"/>
          <w:szCs w:val="24"/>
        </w:rPr>
        <w:t xml:space="preserve"> МСЭ-</w:t>
      </w:r>
      <w:r w:rsidRPr="00F77B4F">
        <w:rPr>
          <w:rFonts w:cstheme="minorHAnsi"/>
          <w:color w:val="000000" w:themeColor="text1"/>
          <w:szCs w:val="24"/>
          <w:lang w:val="en-US"/>
        </w:rPr>
        <w:t>D</w:t>
      </w:r>
      <w:r w:rsidRPr="00F77B4F">
        <w:rPr>
          <w:rFonts w:cstheme="minorHAnsi"/>
          <w:color w:val="000000" w:themeColor="text1"/>
          <w:szCs w:val="24"/>
        </w:rPr>
        <w:t xml:space="preserve"> </w:t>
      </w:r>
      <w:r>
        <w:rPr>
          <w:rFonts w:cstheme="minorHAnsi"/>
          <w:color w:val="000000" w:themeColor="text1"/>
          <w:szCs w:val="24"/>
        </w:rPr>
        <w:t>приведены</w:t>
      </w:r>
      <w:r w:rsidRPr="00F77B4F">
        <w:rPr>
          <w:rFonts w:cstheme="minorHAnsi"/>
          <w:color w:val="000000" w:themeColor="text1"/>
          <w:szCs w:val="24"/>
        </w:rPr>
        <w:t xml:space="preserve"> в Документах 12 и 13, которые рассматривались вместе с Документом 55.</w:t>
      </w:r>
    </w:p>
    <w:p w14:paraId="2303E8C6" w14:textId="67583859" w:rsidR="00125DA8" w:rsidRPr="00F77B4F" w:rsidRDefault="00125DA8" w:rsidP="00125DA8">
      <w:pPr>
        <w:pStyle w:val="Heading2"/>
      </w:pPr>
      <w:r w:rsidRPr="00125DA8">
        <w:t>10.1</w:t>
      </w:r>
      <w:r w:rsidRPr="00125DA8">
        <w:tab/>
      </w:r>
      <w:r>
        <w:t>1-я Исследовательская комиссия</w:t>
      </w:r>
    </w:p>
    <w:p w14:paraId="6805CA9F" w14:textId="5B2DA68B" w:rsidR="00125DA8" w:rsidRPr="00F77B4F" w:rsidRDefault="00125DA8" w:rsidP="00E526B6">
      <w:pPr>
        <w:widowControl w:val="0"/>
        <w:spacing w:before="40"/>
        <w:rPr>
          <w:rFonts w:cstheme="minorHAnsi"/>
          <w:szCs w:val="24"/>
        </w:rPr>
      </w:pPr>
      <w:r w:rsidRPr="00F77B4F">
        <w:rPr>
          <w:rFonts w:cstheme="minorHAnsi"/>
          <w:szCs w:val="24"/>
        </w:rPr>
        <w:t>От имени Председателя</w:t>
      </w:r>
      <w:r>
        <w:rPr>
          <w:rFonts w:cstheme="minorHAnsi"/>
          <w:szCs w:val="24"/>
        </w:rPr>
        <w:t xml:space="preserve"> 1-й</w:t>
      </w:r>
      <w:r w:rsidRPr="00F77B4F">
        <w:rPr>
          <w:rFonts w:cstheme="minorHAnsi"/>
          <w:szCs w:val="24"/>
        </w:rPr>
        <w:t xml:space="preserve"> Исследовательской </w:t>
      </w:r>
      <w:r>
        <w:rPr>
          <w:rFonts w:cstheme="minorHAnsi"/>
          <w:szCs w:val="24"/>
        </w:rPr>
        <w:t>комиссии</w:t>
      </w:r>
      <w:r w:rsidRPr="00F77B4F">
        <w:rPr>
          <w:rFonts w:cstheme="minorHAnsi"/>
          <w:szCs w:val="24"/>
        </w:rPr>
        <w:t xml:space="preserve"> г-жи Регины Фл</w:t>
      </w:r>
      <w:r>
        <w:rPr>
          <w:rFonts w:cstheme="minorHAnsi"/>
          <w:szCs w:val="24"/>
        </w:rPr>
        <w:t>ё</w:t>
      </w:r>
      <w:r w:rsidRPr="00F77B4F">
        <w:rPr>
          <w:rFonts w:cstheme="minorHAnsi"/>
          <w:szCs w:val="24"/>
        </w:rPr>
        <w:t>р Ассуму</w:t>
      </w:r>
      <w:r>
        <w:rPr>
          <w:rFonts w:cstheme="minorHAnsi"/>
          <w:szCs w:val="24"/>
        </w:rPr>
        <w:t>-</w:t>
      </w:r>
      <w:r w:rsidRPr="00F77B4F">
        <w:rPr>
          <w:rFonts w:cstheme="minorHAnsi"/>
          <w:szCs w:val="24"/>
        </w:rPr>
        <w:t xml:space="preserve">Бессу г-н Роберто Мицуаке Хираяма (Бразилия), заместитель Председателя </w:t>
      </w:r>
      <w:r>
        <w:rPr>
          <w:rFonts w:cstheme="minorHAnsi"/>
          <w:szCs w:val="24"/>
        </w:rPr>
        <w:t>комиссии</w:t>
      </w:r>
      <w:r w:rsidRPr="00F77B4F">
        <w:rPr>
          <w:rFonts w:cstheme="minorHAnsi"/>
          <w:szCs w:val="24"/>
        </w:rPr>
        <w:t xml:space="preserve">, представил информацию о ходе текущей работы, </w:t>
      </w:r>
      <w:r>
        <w:rPr>
          <w:rFonts w:cstheme="minorHAnsi"/>
          <w:szCs w:val="24"/>
        </w:rPr>
        <w:t>изложенную в</w:t>
      </w:r>
      <w:r w:rsidRPr="00F77B4F">
        <w:rPr>
          <w:rFonts w:cstheme="minorHAnsi"/>
          <w:szCs w:val="24"/>
        </w:rPr>
        <w:t xml:space="preserve"> </w:t>
      </w:r>
      <w:hyperlink r:id="rId24" w:history="1">
        <w:r w:rsidRPr="003F0584">
          <w:rPr>
            <w:rStyle w:val="Hyperlink"/>
            <w:rFonts w:cstheme="minorHAnsi"/>
            <w:szCs w:val="24"/>
          </w:rPr>
          <w:t>Документе 12</w:t>
        </w:r>
      </w:hyperlink>
      <w:r w:rsidRPr="00F77B4F">
        <w:rPr>
          <w:rFonts w:cstheme="minorHAnsi"/>
          <w:szCs w:val="24"/>
        </w:rPr>
        <w:t xml:space="preserve">. В </w:t>
      </w:r>
      <w:r>
        <w:rPr>
          <w:rFonts w:cstheme="minorHAnsi"/>
          <w:szCs w:val="24"/>
        </w:rPr>
        <w:t>данном отчете</w:t>
      </w:r>
      <w:r w:rsidRPr="00F77B4F">
        <w:rPr>
          <w:rFonts w:cstheme="minorHAnsi"/>
          <w:szCs w:val="24"/>
        </w:rPr>
        <w:t xml:space="preserve"> представлены основные моменты третьего </w:t>
      </w:r>
      <w:r>
        <w:rPr>
          <w:rFonts w:cstheme="minorHAnsi"/>
          <w:szCs w:val="24"/>
        </w:rPr>
        <w:t>собрания</w:t>
      </w:r>
      <w:r w:rsidRPr="00F77B4F">
        <w:rPr>
          <w:rFonts w:cstheme="minorHAnsi"/>
          <w:szCs w:val="24"/>
        </w:rPr>
        <w:t xml:space="preserve"> </w:t>
      </w:r>
      <w:r>
        <w:rPr>
          <w:rFonts w:cstheme="minorHAnsi"/>
          <w:szCs w:val="24"/>
        </w:rPr>
        <w:t>1-й</w:t>
      </w:r>
      <w:r w:rsidRPr="00F77B4F">
        <w:rPr>
          <w:rFonts w:cstheme="minorHAnsi"/>
          <w:szCs w:val="24"/>
        </w:rPr>
        <w:t xml:space="preserve"> Исследовательской </w:t>
      </w:r>
      <w:r>
        <w:rPr>
          <w:rFonts w:cstheme="minorHAnsi"/>
          <w:szCs w:val="24"/>
        </w:rPr>
        <w:t>комиссии</w:t>
      </w:r>
      <w:r w:rsidRPr="00F77B4F">
        <w:rPr>
          <w:rFonts w:cstheme="minorHAnsi"/>
          <w:szCs w:val="24"/>
        </w:rPr>
        <w:t xml:space="preserve"> </w:t>
      </w:r>
      <w:r>
        <w:rPr>
          <w:rFonts w:cstheme="minorHAnsi"/>
          <w:szCs w:val="24"/>
        </w:rPr>
        <w:t>в исследовательском периоде</w:t>
      </w:r>
      <w:r w:rsidRPr="00F77B4F">
        <w:rPr>
          <w:rFonts w:cstheme="minorHAnsi"/>
          <w:szCs w:val="24"/>
        </w:rPr>
        <w:t xml:space="preserve"> 2018</w:t>
      </w:r>
      <w:r w:rsidRPr="00125DA8">
        <w:rPr>
          <w:rFonts w:cstheme="minorHAnsi"/>
          <w:szCs w:val="24"/>
        </w:rPr>
        <w:t>−</w:t>
      </w:r>
      <w:r w:rsidRPr="00F77B4F">
        <w:rPr>
          <w:rFonts w:cstheme="minorHAnsi"/>
          <w:szCs w:val="24"/>
        </w:rPr>
        <w:t>2021 годов (17</w:t>
      </w:r>
      <w:r w:rsidRPr="00125DA8">
        <w:rPr>
          <w:rFonts w:cstheme="minorHAnsi"/>
          <w:szCs w:val="24"/>
        </w:rPr>
        <w:t>−</w:t>
      </w:r>
      <w:r w:rsidRPr="00F77B4F">
        <w:rPr>
          <w:rFonts w:cstheme="minorHAnsi"/>
          <w:szCs w:val="24"/>
        </w:rPr>
        <w:t>21 февраля 2020 г</w:t>
      </w:r>
      <w:r w:rsidR="00A46A09" w:rsidRPr="00A46A09">
        <w:rPr>
          <w:rFonts w:cstheme="minorHAnsi"/>
          <w:szCs w:val="24"/>
        </w:rPr>
        <w:t>.</w:t>
      </w:r>
      <w:r w:rsidRPr="00F77B4F">
        <w:rPr>
          <w:rFonts w:cstheme="minorHAnsi"/>
          <w:szCs w:val="24"/>
        </w:rPr>
        <w:t xml:space="preserve">), второго блока </w:t>
      </w:r>
      <w:r>
        <w:rPr>
          <w:rFonts w:cstheme="minorHAnsi"/>
          <w:szCs w:val="24"/>
        </w:rPr>
        <w:t>собраний</w:t>
      </w:r>
      <w:r w:rsidRPr="00F77B4F">
        <w:rPr>
          <w:rFonts w:cstheme="minorHAnsi"/>
          <w:szCs w:val="24"/>
        </w:rPr>
        <w:t xml:space="preserve"> групп Докладчи</w:t>
      </w:r>
      <w:r>
        <w:rPr>
          <w:rFonts w:cstheme="minorHAnsi"/>
          <w:szCs w:val="24"/>
        </w:rPr>
        <w:t>ков</w:t>
      </w:r>
      <w:r w:rsidRPr="00F77B4F">
        <w:rPr>
          <w:rFonts w:cstheme="minorHAnsi"/>
          <w:szCs w:val="24"/>
        </w:rPr>
        <w:t xml:space="preserve"> (23 сентября </w:t>
      </w:r>
      <w:r w:rsidRPr="00125DA8">
        <w:rPr>
          <w:rFonts w:cstheme="minorHAnsi"/>
          <w:szCs w:val="24"/>
        </w:rPr>
        <w:t>−</w:t>
      </w:r>
      <w:r w:rsidRPr="00F77B4F">
        <w:rPr>
          <w:rFonts w:cstheme="minorHAnsi"/>
          <w:szCs w:val="24"/>
        </w:rPr>
        <w:t xml:space="preserve"> 4 октября 2019</w:t>
      </w:r>
      <w:r>
        <w:rPr>
          <w:rFonts w:cstheme="minorHAnsi"/>
          <w:szCs w:val="24"/>
          <w:lang w:val="en-US"/>
        </w:rPr>
        <w:t> </w:t>
      </w:r>
      <w:r w:rsidRPr="00F77B4F">
        <w:rPr>
          <w:rFonts w:cstheme="minorHAnsi"/>
          <w:szCs w:val="24"/>
        </w:rPr>
        <w:t>г</w:t>
      </w:r>
      <w:r w:rsidR="00A46A09" w:rsidRPr="00A46A09">
        <w:rPr>
          <w:rFonts w:cstheme="minorHAnsi"/>
          <w:szCs w:val="24"/>
        </w:rPr>
        <w:t>.</w:t>
      </w:r>
      <w:r w:rsidRPr="00F77B4F">
        <w:rPr>
          <w:rFonts w:cstheme="minorHAnsi"/>
          <w:szCs w:val="24"/>
        </w:rPr>
        <w:t xml:space="preserve">) и обзор плана работы. </w:t>
      </w:r>
    </w:p>
    <w:p w14:paraId="413B15AC" w14:textId="77777777" w:rsidR="00125DA8" w:rsidRPr="003F0584" w:rsidRDefault="00125DA8" w:rsidP="00125DA8">
      <w:r>
        <w:t>По</w:t>
      </w:r>
      <w:r w:rsidRPr="003F0584">
        <w:t xml:space="preserve"> всем семи Вопросам 1-й Исследовательской комиссии </w:t>
      </w:r>
      <w:r w:rsidRPr="001F2333">
        <w:t>наблюдается значительный прогресс в достижении определенных ВКРЭ ожидаемых результатов</w:t>
      </w:r>
      <w:r w:rsidRPr="003F0584">
        <w:t xml:space="preserve">, и в подготовке проектов итоговых </w:t>
      </w:r>
      <w:r>
        <w:t>отчетов</w:t>
      </w:r>
      <w:r w:rsidRPr="003F0584">
        <w:t xml:space="preserve"> проделана большая работа. На собрании в феврале 2020 года по всем рассмотренным Вопросам были обновлены проекты текстов для их дальнейшей и окончательной доработки на следующих собраниях групп Докладчиков.</w:t>
      </w:r>
    </w:p>
    <w:p w14:paraId="12BB2E25" w14:textId="70E8B695" w:rsidR="00125DA8" w:rsidRPr="00F77B4F" w:rsidRDefault="00125DA8" w:rsidP="00125DA8">
      <w:pPr>
        <w:pStyle w:val="Heading2"/>
      </w:pPr>
      <w:r w:rsidRPr="00125DA8">
        <w:t>10.2</w:t>
      </w:r>
      <w:r w:rsidRPr="00125DA8">
        <w:tab/>
      </w:r>
      <w:r>
        <w:t>2-я Исследовательская комиссия</w:t>
      </w:r>
    </w:p>
    <w:p w14:paraId="31E5FFEF" w14:textId="5DF066A8" w:rsidR="00125DA8" w:rsidRPr="00F77B4F" w:rsidRDefault="00125DA8" w:rsidP="00E526B6">
      <w:pPr>
        <w:spacing w:after="120"/>
        <w:rPr>
          <w:rFonts w:cstheme="minorHAnsi"/>
          <w:szCs w:val="24"/>
        </w:rPr>
      </w:pPr>
      <w:r w:rsidRPr="00F77B4F">
        <w:rPr>
          <w:rFonts w:cstheme="minorHAnsi"/>
          <w:szCs w:val="24"/>
        </w:rPr>
        <w:t xml:space="preserve">Д-р Ахмад Реза Шарафат, Председатель </w:t>
      </w:r>
      <w:r>
        <w:rPr>
          <w:rFonts w:cstheme="minorHAnsi"/>
          <w:szCs w:val="24"/>
        </w:rPr>
        <w:t>2-й</w:t>
      </w:r>
      <w:r w:rsidRPr="00F77B4F">
        <w:rPr>
          <w:rFonts w:cstheme="minorHAnsi"/>
          <w:szCs w:val="24"/>
        </w:rPr>
        <w:t xml:space="preserve"> Исследовательской </w:t>
      </w:r>
      <w:r>
        <w:rPr>
          <w:rFonts w:cstheme="minorHAnsi"/>
          <w:szCs w:val="24"/>
        </w:rPr>
        <w:t>комиссии</w:t>
      </w:r>
      <w:r w:rsidRPr="00F77B4F">
        <w:rPr>
          <w:rFonts w:cstheme="minorHAnsi"/>
          <w:szCs w:val="24"/>
        </w:rPr>
        <w:t xml:space="preserve">, </w:t>
      </w:r>
      <w:r>
        <w:rPr>
          <w:rFonts w:cstheme="minorHAnsi"/>
          <w:szCs w:val="24"/>
        </w:rPr>
        <w:t xml:space="preserve">представил обзор текущей деятельности </w:t>
      </w:r>
      <w:r w:rsidRPr="00F77B4F">
        <w:rPr>
          <w:rFonts w:cstheme="minorHAnsi"/>
          <w:szCs w:val="24"/>
        </w:rPr>
        <w:t xml:space="preserve">этой </w:t>
      </w:r>
      <w:r>
        <w:rPr>
          <w:rFonts w:cstheme="minorHAnsi"/>
          <w:szCs w:val="24"/>
        </w:rPr>
        <w:t>комиссии</w:t>
      </w:r>
      <w:r w:rsidRPr="00F77B4F">
        <w:rPr>
          <w:rFonts w:cstheme="minorHAnsi"/>
          <w:szCs w:val="24"/>
        </w:rPr>
        <w:t xml:space="preserve">. </w:t>
      </w:r>
      <w:r>
        <w:rPr>
          <w:rFonts w:cstheme="minorHAnsi"/>
          <w:szCs w:val="24"/>
        </w:rPr>
        <w:t>Его отчет содержится</w:t>
      </w:r>
      <w:r w:rsidRPr="00F77B4F">
        <w:rPr>
          <w:rFonts w:cstheme="minorHAnsi"/>
          <w:szCs w:val="24"/>
        </w:rPr>
        <w:t xml:space="preserve"> в </w:t>
      </w:r>
      <w:hyperlink r:id="rId25" w:history="1">
        <w:r w:rsidRPr="003F0584">
          <w:rPr>
            <w:rStyle w:val="Hyperlink"/>
            <w:rFonts w:cstheme="minorHAnsi"/>
            <w:szCs w:val="24"/>
          </w:rPr>
          <w:t>Документе 13</w:t>
        </w:r>
      </w:hyperlink>
      <w:r w:rsidRPr="00F77B4F">
        <w:rPr>
          <w:rFonts w:cstheme="minorHAnsi"/>
          <w:szCs w:val="24"/>
        </w:rPr>
        <w:t xml:space="preserve">, и в нем представлены основные моменты, связанные с третьим </w:t>
      </w:r>
      <w:r>
        <w:rPr>
          <w:rFonts w:cstheme="minorHAnsi"/>
          <w:szCs w:val="24"/>
        </w:rPr>
        <w:t>собранием</w:t>
      </w:r>
      <w:r w:rsidRPr="00F77B4F">
        <w:rPr>
          <w:rFonts w:cstheme="minorHAnsi"/>
          <w:szCs w:val="24"/>
        </w:rPr>
        <w:t xml:space="preserve"> </w:t>
      </w:r>
      <w:r>
        <w:rPr>
          <w:rFonts w:cstheme="minorHAnsi"/>
          <w:szCs w:val="24"/>
        </w:rPr>
        <w:t>2-й</w:t>
      </w:r>
      <w:r w:rsidRPr="00F77B4F">
        <w:rPr>
          <w:rFonts w:cstheme="minorHAnsi"/>
          <w:szCs w:val="24"/>
        </w:rPr>
        <w:t xml:space="preserve"> Исследовательской </w:t>
      </w:r>
      <w:r>
        <w:rPr>
          <w:rFonts w:cstheme="minorHAnsi"/>
          <w:szCs w:val="24"/>
        </w:rPr>
        <w:t>комиссии</w:t>
      </w:r>
      <w:r w:rsidRPr="00F77B4F">
        <w:rPr>
          <w:rFonts w:cstheme="minorHAnsi"/>
          <w:szCs w:val="24"/>
        </w:rPr>
        <w:t xml:space="preserve"> </w:t>
      </w:r>
      <w:r>
        <w:rPr>
          <w:rFonts w:cstheme="minorHAnsi"/>
          <w:szCs w:val="24"/>
        </w:rPr>
        <w:t>в исследовательском периоде</w:t>
      </w:r>
      <w:r w:rsidRPr="00F77B4F">
        <w:rPr>
          <w:rFonts w:cstheme="minorHAnsi"/>
          <w:szCs w:val="24"/>
        </w:rPr>
        <w:t xml:space="preserve"> 2018</w:t>
      </w:r>
      <w:r w:rsidRPr="00125DA8">
        <w:rPr>
          <w:rFonts w:cstheme="minorHAnsi"/>
          <w:szCs w:val="24"/>
        </w:rPr>
        <w:t>−</w:t>
      </w:r>
      <w:r w:rsidRPr="00F77B4F">
        <w:rPr>
          <w:rFonts w:cstheme="minorHAnsi"/>
          <w:szCs w:val="24"/>
        </w:rPr>
        <w:t>2021 годов, котор</w:t>
      </w:r>
      <w:r>
        <w:rPr>
          <w:rFonts w:cstheme="minorHAnsi"/>
          <w:szCs w:val="24"/>
        </w:rPr>
        <w:t>ое</w:t>
      </w:r>
      <w:r w:rsidRPr="00F77B4F">
        <w:rPr>
          <w:rFonts w:cstheme="minorHAnsi"/>
          <w:szCs w:val="24"/>
        </w:rPr>
        <w:t xml:space="preserve"> состоял</w:t>
      </w:r>
      <w:r>
        <w:rPr>
          <w:rFonts w:cstheme="minorHAnsi"/>
          <w:szCs w:val="24"/>
        </w:rPr>
        <w:t>о</w:t>
      </w:r>
      <w:r w:rsidRPr="00F77B4F">
        <w:rPr>
          <w:rFonts w:cstheme="minorHAnsi"/>
          <w:szCs w:val="24"/>
        </w:rPr>
        <w:t>сь 24</w:t>
      </w:r>
      <w:r w:rsidRPr="00125DA8">
        <w:rPr>
          <w:rFonts w:cstheme="minorHAnsi"/>
          <w:szCs w:val="24"/>
        </w:rPr>
        <w:t>−</w:t>
      </w:r>
      <w:r w:rsidRPr="00F77B4F">
        <w:rPr>
          <w:rFonts w:cstheme="minorHAnsi"/>
          <w:szCs w:val="24"/>
        </w:rPr>
        <w:t xml:space="preserve">28 февраля 2020 года, </w:t>
      </w:r>
      <w:r>
        <w:rPr>
          <w:rFonts w:cstheme="minorHAnsi"/>
          <w:szCs w:val="24"/>
        </w:rPr>
        <w:t>информация о собраниях</w:t>
      </w:r>
      <w:r w:rsidRPr="00F77B4F">
        <w:rPr>
          <w:rFonts w:cstheme="minorHAnsi"/>
          <w:szCs w:val="24"/>
        </w:rPr>
        <w:t xml:space="preserve"> групп Докладчиков, состоявш</w:t>
      </w:r>
      <w:r>
        <w:rPr>
          <w:rFonts w:cstheme="minorHAnsi"/>
          <w:szCs w:val="24"/>
        </w:rPr>
        <w:t>их</w:t>
      </w:r>
      <w:r w:rsidRPr="00F77B4F">
        <w:rPr>
          <w:rFonts w:cstheme="minorHAnsi"/>
          <w:szCs w:val="24"/>
        </w:rPr>
        <w:t>ся 7</w:t>
      </w:r>
      <w:r w:rsidRPr="00125DA8">
        <w:rPr>
          <w:rFonts w:cstheme="minorHAnsi"/>
          <w:szCs w:val="24"/>
        </w:rPr>
        <w:t>−</w:t>
      </w:r>
      <w:r w:rsidRPr="00F77B4F">
        <w:rPr>
          <w:rFonts w:cstheme="minorHAnsi"/>
          <w:szCs w:val="24"/>
        </w:rPr>
        <w:t xml:space="preserve">18 октября 2019 года, </w:t>
      </w:r>
      <w:r>
        <w:rPr>
          <w:rFonts w:cstheme="minorHAnsi"/>
          <w:szCs w:val="24"/>
        </w:rPr>
        <w:t>а также</w:t>
      </w:r>
      <w:r w:rsidRPr="00F77B4F">
        <w:rPr>
          <w:rFonts w:cstheme="minorHAnsi"/>
          <w:szCs w:val="24"/>
        </w:rPr>
        <w:t xml:space="preserve"> обзор плана работы. </w:t>
      </w:r>
    </w:p>
    <w:p w14:paraId="5F983A08" w14:textId="77777777" w:rsidR="00125DA8" w:rsidRPr="00F77B4F" w:rsidRDefault="00125DA8" w:rsidP="00E526B6">
      <w:pPr>
        <w:spacing w:after="120"/>
        <w:rPr>
          <w:rFonts w:cstheme="minorHAnsi"/>
          <w:szCs w:val="24"/>
        </w:rPr>
      </w:pPr>
      <w:r>
        <w:rPr>
          <w:rFonts w:cstheme="minorHAnsi"/>
          <w:szCs w:val="24"/>
        </w:rPr>
        <w:t>П</w:t>
      </w:r>
      <w:r w:rsidRPr="00F77B4F">
        <w:rPr>
          <w:rFonts w:cstheme="minorHAnsi"/>
          <w:szCs w:val="24"/>
        </w:rPr>
        <w:t xml:space="preserve">о всем семи Вопросам </w:t>
      </w:r>
      <w:r>
        <w:rPr>
          <w:rFonts w:cstheme="minorHAnsi"/>
          <w:szCs w:val="24"/>
        </w:rPr>
        <w:t>2-й</w:t>
      </w:r>
      <w:r w:rsidRPr="00F77B4F">
        <w:rPr>
          <w:rFonts w:cstheme="minorHAnsi"/>
          <w:szCs w:val="24"/>
        </w:rPr>
        <w:t xml:space="preserve"> Исследовательской </w:t>
      </w:r>
      <w:r>
        <w:rPr>
          <w:rFonts w:cstheme="minorHAnsi"/>
          <w:szCs w:val="24"/>
        </w:rPr>
        <w:t>комиссии</w:t>
      </w:r>
      <w:r w:rsidRPr="00F77B4F">
        <w:rPr>
          <w:rFonts w:cstheme="minorHAnsi"/>
          <w:szCs w:val="24"/>
        </w:rPr>
        <w:t xml:space="preserve"> </w:t>
      </w:r>
      <w:r w:rsidRPr="001F2333">
        <w:rPr>
          <w:rFonts w:cstheme="minorHAnsi"/>
          <w:szCs w:val="24"/>
        </w:rPr>
        <w:t>наблюдается значительный прогресс в достижении определенных ВКРЭ ожидаемых результатов</w:t>
      </w:r>
      <w:r w:rsidRPr="00F77B4F">
        <w:rPr>
          <w:rFonts w:cstheme="minorHAnsi"/>
          <w:szCs w:val="24"/>
        </w:rPr>
        <w:t>. На второ</w:t>
      </w:r>
      <w:r>
        <w:rPr>
          <w:rFonts w:cstheme="minorHAnsi"/>
          <w:szCs w:val="24"/>
        </w:rPr>
        <w:t>м</w:t>
      </w:r>
      <w:r w:rsidRPr="00F77B4F">
        <w:rPr>
          <w:rFonts w:cstheme="minorHAnsi"/>
          <w:szCs w:val="24"/>
        </w:rPr>
        <w:t xml:space="preserve"> ежегодно</w:t>
      </w:r>
      <w:r>
        <w:rPr>
          <w:rFonts w:cstheme="minorHAnsi"/>
          <w:szCs w:val="24"/>
        </w:rPr>
        <w:t>м</w:t>
      </w:r>
      <w:r w:rsidRPr="00F77B4F">
        <w:rPr>
          <w:rFonts w:cstheme="minorHAnsi"/>
          <w:szCs w:val="24"/>
        </w:rPr>
        <w:t xml:space="preserve"> </w:t>
      </w:r>
      <w:r>
        <w:rPr>
          <w:rFonts w:cstheme="minorHAnsi"/>
          <w:szCs w:val="24"/>
        </w:rPr>
        <w:t>собрании</w:t>
      </w:r>
      <w:r w:rsidRPr="00F77B4F">
        <w:rPr>
          <w:rFonts w:cstheme="minorHAnsi"/>
          <w:szCs w:val="24"/>
        </w:rPr>
        <w:t xml:space="preserve"> </w:t>
      </w:r>
      <w:r>
        <w:rPr>
          <w:rFonts w:cstheme="minorHAnsi"/>
          <w:szCs w:val="24"/>
        </w:rPr>
        <w:t>2-й</w:t>
      </w:r>
      <w:r w:rsidRPr="00F77B4F">
        <w:rPr>
          <w:rFonts w:cstheme="minorHAnsi"/>
          <w:szCs w:val="24"/>
        </w:rPr>
        <w:t xml:space="preserve"> Исследовательской </w:t>
      </w:r>
      <w:r>
        <w:rPr>
          <w:rFonts w:cstheme="minorHAnsi"/>
          <w:szCs w:val="24"/>
        </w:rPr>
        <w:t>комиссии</w:t>
      </w:r>
      <w:r w:rsidRPr="00F77B4F">
        <w:rPr>
          <w:rFonts w:cstheme="minorHAnsi"/>
          <w:szCs w:val="24"/>
        </w:rPr>
        <w:t xml:space="preserve"> было получено несколько проектов текстов для </w:t>
      </w:r>
      <w:r>
        <w:rPr>
          <w:rFonts w:cstheme="minorHAnsi"/>
          <w:szCs w:val="24"/>
        </w:rPr>
        <w:t>подготовки</w:t>
      </w:r>
      <w:r w:rsidRPr="00F77B4F">
        <w:rPr>
          <w:rFonts w:cstheme="minorHAnsi"/>
          <w:szCs w:val="24"/>
        </w:rPr>
        <w:t xml:space="preserve"> итоговых </w:t>
      </w:r>
      <w:r>
        <w:rPr>
          <w:rFonts w:cstheme="minorHAnsi"/>
          <w:szCs w:val="24"/>
        </w:rPr>
        <w:t>отчетов</w:t>
      </w:r>
      <w:r w:rsidRPr="00F77B4F">
        <w:rPr>
          <w:rFonts w:cstheme="minorHAnsi"/>
          <w:szCs w:val="24"/>
        </w:rPr>
        <w:t xml:space="preserve"> за </w:t>
      </w:r>
      <w:r>
        <w:rPr>
          <w:rFonts w:cstheme="minorHAnsi"/>
          <w:szCs w:val="24"/>
        </w:rPr>
        <w:t>исследовательский период</w:t>
      </w:r>
      <w:r w:rsidRPr="00F77B4F">
        <w:rPr>
          <w:rFonts w:cstheme="minorHAnsi"/>
          <w:szCs w:val="24"/>
        </w:rPr>
        <w:t xml:space="preserve">, </w:t>
      </w:r>
      <w:r>
        <w:rPr>
          <w:rFonts w:cstheme="minorHAnsi"/>
          <w:szCs w:val="24"/>
        </w:rPr>
        <w:t>а также был представлен для рассмотрения и последующего выпуска пленарным заседанием 2-й</w:t>
      </w:r>
      <w:r w:rsidRPr="00F77B4F">
        <w:rPr>
          <w:rFonts w:cstheme="minorHAnsi"/>
          <w:szCs w:val="24"/>
        </w:rPr>
        <w:t xml:space="preserve"> Исследовательской </w:t>
      </w:r>
      <w:r>
        <w:rPr>
          <w:rFonts w:cstheme="minorHAnsi"/>
          <w:szCs w:val="24"/>
        </w:rPr>
        <w:t>комиссии</w:t>
      </w:r>
      <w:r w:rsidRPr="00F77B4F">
        <w:rPr>
          <w:rFonts w:cstheme="minorHAnsi"/>
          <w:szCs w:val="24"/>
        </w:rPr>
        <w:t xml:space="preserve"> один</w:t>
      </w:r>
      <w:r>
        <w:rPr>
          <w:rFonts w:cstheme="minorHAnsi"/>
          <w:szCs w:val="24"/>
        </w:rPr>
        <w:t xml:space="preserve"> ежегодный</w:t>
      </w:r>
      <w:r w:rsidRPr="00F77B4F">
        <w:rPr>
          <w:rFonts w:cstheme="minorHAnsi"/>
          <w:szCs w:val="24"/>
        </w:rPr>
        <w:t xml:space="preserve"> </w:t>
      </w:r>
      <w:r>
        <w:rPr>
          <w:rFonts w:cstheme="minorHAnsi"/>
          <w:szCs w:val="24"/>
        </w:rPr>
        <w:t>итоговый</w:t>
      </w:r>
      <w:r w:rsidRPr="00F77B4F">
        <w:rPr>
          <w:rFonts w:cstheme="minorHAnsi"/>
          <w:szCs w:val="24"/>
        </w:rPr>
        <w:t xml:space="preserve"> документ.</w:t>
      </w:r>
    </w:p>
    <w:p w14:paraId="6DF72650" w14:textId="77777777" w:rsidR="00125DA8" w:rsidRPr="008C1DB1" w:rsidRDefault="00125DA8" w:rsidP="00E526B6">
      <w:pPr>
        <w:keepNext/>
        <w:spacing w:after="120"/>
        <w:rPr>
          <w:rFonts w:cstheme="minorHAnsi"/>
          <w:szCs w:val="24"/>
        </w:rPr>
      </w:pPr>
      <w:r w:rsidRPr="008C1DB1">
        <w:rPr>
          <w:rFonts w:cstheme="minorHAnsi"/>
          <w:szCs w:val="24"/>
        </w:rPr>
        <w:t xml:space="preserve">На рассмотрение </w:t>
      </w:r>
      <w:r>
        <w:rPr>
          <w:rFonts w:cstheme="minorHAnsi"/>
          <w:szCs w:val="24"/>
        </w:rPr>
        <w:t>КГРЭ</w:t>
      </w:r>
      <w:r w:rsidRPr="008C1DB1">
        <w:rPr>
          <w:rFonts w:cstheme="minorHAnsi"/>
          <w:szCs w:val="24"/>
        </w:rPr>
        <w:t xml:space="preserve"> были также вынесены следующие аспекты:</w:t>
      </w:r>
    </w:p>
    <w:p w14:paraId="3D85A9FF" w14:textId="2C500CBB" w:rsidR="00125DA8" w:rsidRPr="00F77B4F" w:rsidRDefault="00125DA8" w:rsidP="00125DA8">
      <w:pPr>
        <w:pStyle w:val="enumlev1"/>
      </w:pPr>
      <w:r w:rsidRPr="00125DA8">
        <w:t>−</w:t>
      </w:r>
      <w:r w:rsidRPr="00125DA8">
        <w:tab/>
      </w:r>
      <w:r w:rsidRPr="00F77B4F">
        <w:t>Предложение о согласовании информации</w:t>
      </w:r>
      <w:r>
        <w:t xml:space="preserve"> о сопоставлении</w:t>
      </w:r>
      <w:r w:rsidRPr="00F77B4F">
        <w:t xml:space="preserve">, полученной от </w:t>
      </w:r>
      <w:r>
        <w:t>КГСЭ</w:t>
      </w:r>
      <w:r w:rsidRPr="00F77B4F">
        <w:t xml:space="preserve"> (Документ </w:t>
      </w:r>
      <w:r w:rsidRPr="00F77B4F">
        <w:rPr>
          <w:lang w:val="en-US"/>
        </w:rPr>
        <w:t>TDAG</w:t>
      </w:r>
      <w:r w:rsidRPr="00F77B4F">
        <w:t>-20/23), с информаци</w:t>
      </w:r>
      <w:r>
        <w:t>ей о сопоставлении</w:t>
      </w:r>
      <w:r w:rsidRPr="00F77B4F">
        <w:t>, которую в настоящее время ведет Меж</w:t>
      </w:r>
      <w:r>
        <w:t>секторальная</w:t>
      </w:r>
      <w:r w:rsidRPr="00F77B4F">
        <w:t xml:space="preserve"> координационная группа (М</w:t>
      </w:r>
      <w:r>
        <w:t>С</w:t>
      </w:r>
      <w:r w:rsidRPr="00F77B4F">
        <w:t>КГ) по вопросам, представляющим взаимный интерес.</w:t>
      </w:r>
    </w:p>
    <w:p w14:paraId="4BD77ADF" w14:textId="70784A5D" w:rsidR="00125DA8" w:rsidRPr="00F77B4F" w:rsidRDefault="00125DA8" w:rsidP="00125DA8">
      <w:pPr>
        <w:pStyle w:val="enumlev1"/>
      </w:pPr>
      <w:r w:rsidRPr="00125DA8">
        <w:t>−</w:t>
      </w:r>
      <w:r w:rsidRPr="00125DA8">
        <w:tab/>
      </w:r>
      <w:r w:rsidRPr="00F77B4F">
        <w:t xml:space="preserve">Предложение </w:t>
      </w:r>
      <w:r>
        <w:t>изменить сроки</w:t>
      </w:r>
      <w:r w:rsidRPr="00F77B4F">
        <w:t xml:space="preserve"> проведения </w:t>
      </w:r>
      <w:r>
        <w:t>собраний</w:t>
      </w:r>
      <w:r w:rsidRPr="00F77B4F">
        <w:t xml:space="preserve"> </w:t>
      </w:r>
      <w:r>
        <w:t xml:space="preserve">1-й и 2-й </w:t>
      </w:r>
      <w:r w:rsidRPr="00F77B4F">
        <w:t>Исследовательск</w:t>
      </w:r>
      <w:r>
        <w:t>их комиссий</w:t>
      </w:r>
      <w:r w:rsidRPr="00F77B4F">
        <w:t xml:space="preserve"> </w:t>
      </w:r>
      <w:r>
        <w:t xml:space="preserve">в </w:t>
      </w:r>
      <w:r w:rsidRPr="00F77B4F">
        <w:t>март</w:t>
      </w:r>
      <w:r>
        <w:t>е</w:t>
      </w:r>
      <w:r w:rsidRPr="00F77B4F">
        <w:t xml:space="preserve"> 2021 г</w:t>
      </w:r>
      <w:r>
        <w:t>ода</w:t>
      </w:r>
      <w:r w:rsidRPr="00F77B4F">
        <w:t xml:space="preserve"> (</w:t>
      </w:r>
      <w:r>
        <w:t xml:space="preserve">провести собрание 2-й </w:t>
      </w:r>
      <w:r w:rsidRPr="00F77B4F">
        <w:t xml:space="preserve">Исследовательской </w:t>
      </w:r>
      <w:r>
        <w:t>комиссии</w:t>
      </w:r>
      <w:r w:rsidRPr="00F77B4F">
        <w:t xml:space="preserve"> 15</w:t>
      </w:r>
      <w:r w:rsidRPr="00125DA8">
        <w:t>−</w:t>
      </w:r>
      <w:r w:rsidRPr="00F77B4F">
        <w:t xml:space="preserve">19 марта 2021 </w:t>
      </w:r>
      <w:r>
        <w:t>года</w:t>
      </w:r>
      <w:r w:rsidRPr="00F77B4F">
        <w:t xml:space="preserve"> до </w:t>
      </w:r>
      <w:r>
        <w:t>собрания</w:t>
      </w:r>
      <w:r w:rsidRPr="00F77B4F">
        <w:t xml:space="preserve"> </w:t>
      </w:r>
      <w:r>
        <w:t xml:space="preserve">1-й </w:t>
      </w:r>
      <w:r w:rsidRPr="00F77B4F">
        <w:t xml:space="preserve">Исследовательской </w:t>
      </w:r>
      <w:r>
        <w:t>комиссии</w:t>
      </w:r>
      <w:r w:rsidRPr="00F77B4F">
        <w:t xml:space="preserve">, которое </w:t>
      </w:r>
      <w:r>
        <w:t>предлагается провести</w:t>
      </w:r>
      <w:r w:rsidRPr="00F77B4F">
        <w:t xml:space="preserve"> 22</w:t>
      </w:r>
      <w:r w:rsidRPr="00125DA8">
        <w:t>−</w:t>
      </w:r>
      <w:r w:rsidRPr="00F77B4F">
        <w:t>26 марта 2021 г</w:t>
      </w:r>
      <w:r w:rsidR="00F42B12">
        <w:t>.</w:t>
      </w:r>
      <w:r w:rsidRPr="00F77B4F">
        <w:t>).</w:t>
      </w:r>
    </w:p>
    <w:p w14:paraId="249191AF" w14:textId="02F8A1C3" w:rsidR="00125DA8" w:rsidRPr="00C84588" w:rsidRDefault="0079441F" w:rsidP="0079441F">
      <w:pPr>
        <w:pStyle w:val="Heading1"/>
      </w:pPr>
      <w:r w:rsidRPr="0079441F">
        <w:lastRenderedPageBreak/>
        <w:t>10.3</w:t>
      </w:r>
      <w:r w:rsidRPr="0079441F">
        <w:tab/>
      </w:r>
      <w:r w:rsidR="00125DA8" w:rsidRPr="00F77B4F">
        <w:t>Годовые отч</w:t>
      </w:r>
      <w:r w:rsidR="00125DA8">
        <w:t>е</w:t>
      </w:r>
      <w:r w:rsidR="00125DA8" w:rsidRPr="00F77B4F">
        <w:t>ты</w:t>
      </w:r>
    </w:p>
    <w:p w14:paraId="7F8EA3C9" w14:textId="77777777" w:rsidR="00125DA8" w:rsidRPr="00F77B4F" w:rsidRDefault="00125DA8" w:rsidP="0079441F">
      <w:r w:rsidRPr="00F77B4F">
        <w:t xml:space="preserve">Одним из основных моментов </w:t>
      </w:r>
      <w:r>
        <w:t>последних</w:t>
      </w:r>
      <w:r w:rsidRPr="00F77B4F">
        <w:t xml:space="preserve"> </w:t>
      </w:r>
      <w:r>
        <w:t>собраний</w:t>
      </w:r>
      <w:r w:rsidRPr="00F77B4F">
        <w:t xml:space="preserve"> исследовательск</w:t>
      </w:r>
      <w:r>
        <w:t>их</w:t>
      </w:r>
      <w:r w:rsidRPr="00F77B4F">
        <w:t xml:space="preserve"> </w:t>
      </w:r>
      <w:r>
        <w:t>комиссий</w:t>
      </w:r>
      <w:r w:rsidRPr="00F77B4F">
        <w:t xml:space="preserve"> МСЭ-</w:t>
      </w:r>
      <w:r>
        <w:rPr>
          <w:lang w:val="en-US"/>
        </w:rPr>
        <w:t>D</w:t>
      </w:r>
      <w:r w:rsidRPr="00F77B4F">
        <w:t xml:space="preserve"> является выпуск (и запланированный выпуск) ежегодных </w:t>
      </w:r>
      <w:r>
        <w:t>итоговых документов</w:t>
      </w:r>
      <w:r w:rsidRPr="00F77B4F">
        <w:t xml:space="preserve">, связанных с их работой. Три ежегодных </w:t>
      </w:r>
      <w:r>
        <w:t>итоговых документа</w:t>
      </w:r>
      <w:r w:rsidRPr="00F77B4F">
        <w:t xml:space="preserve"> были опубликованы по четырем Вопросам </w:t>
      </w:r>
      <w:r>
        <w:t xml:space="preserve">1-й </w:t>
      </w:r>
      <w:r w:rsidRPr="00F77B4F">
        <w:t xml:space="preserve">Исследовательской </w:t>
      </w:r>
      <w:r>
        <w:t>комиссии</w:t>
      </w:r>
      <w:r w:rsidRPr="00F77B4F">
        <w:t xml:space="preserve"> МСЭ-D:</w:t>
      </w:r>
    </w:p>
    <w:p w14:paraId="1E2E6596" w14:textId="1C3ED55D" w:rsidR="00125DA8" w:rsidRPr="00F77B4F" w:rsidRDefault="0079441F" w:rsidP="0079441F">
      <w:pPr>
        <w:pStyle w:val="enumlev1"/>
      </w:pPr>
      <w:r w:rsidRPr="0079441F">
        <w:t>−</w:t>
      </w:r>
      <w:r w:rsidRPr="0079441F">
        <w:tab/>
      </w:r>
      <w:r w:rsidR="00125DA8" w:rsidRPr="0079441F">
        <w:rPr>
          <w:i/>
        </w:rPr>
        <w:t>Соображения относительно структуры затрат на переход на цифровое вещание, включая новые услуги и приложения</w:t>
      </w:r>
      <w:r w:rsidR="00125DA8" w:rsidRPr="00F77B4F">
        <w:t>, подготовленные в рамках Вопроса 2/1.</w:t>
      </w:r>
    </w:p>
    <w:p w14:paraId="74FBDFDD" w14:textId="63035FBD" w:rsidR="00125DA8" w:rsidRPr="00F77B4F" w:rsidRDefault="0079441F" w:rsidP="0079441F">
      <w:pPr>
        <w:pStyle w:val="enumlev1"/>
      </w:pPr>
      <w:r w:rsidRPr="0079441F">
        <w:t>−</w:t>
      </w:r>
      <w:r w:rsidRPr="0079441F">
        <w:tab/>
      </w:r>
      <w:r w:rsidR="00125DA8" w:rsidRPr="00F77B4F">
        <w:t xml:space="preserve">Совместный </w:t>
      </w:r>
      <w:r w:rsidR="00125DA8">
        <w:t>документ</w:t>
      </w:r>
      <w:r w:rsidR="00125DA8" w:rsidRPr="00F77B4F">
        <w:t xml:space="preserve"> об </w:t>
      </w:r>
      <w:r w:rsidR="00125DA8" w:rsidRPr="0079441F">
        <w:rPr>
          <w:i/>
        </w:rPr>
        <w:t>экономическом воздействии ОТТ на национальные рынки электросвязи/ИКТ</w:t>
      </w:r>
      <w:r w:rsidR="00125DA8" w:rsidRPr="00F77B4F">
        <w:t>, подготовленный в рамках Вопросов 3/1 и 4/1, и</w:t>
      </w:r>
    </w:p>
    <w:p w14:paraId="7DC82036" w14:textId="1EA804AE" w:rsidR="00125DA8" w:rsidRPr="00F77B4F" w:rsidRDefault="0079441F" w:rsidP="0079441F">
      <w:pPr>
        <w:pStyle w:val="enumlev1"/>
      </w:pPr>
      <w:r w:rsidRPr="0079441F">
        <w:t>−</w:t>
      </w:r>
      <w:r w:rsidRPr="0079441F">
        <w:tab/>
      </w:r>
      <w:r w:rsidR="00125DA8" w:rsidRPr="0079441F">
        <w:rPr>
          <w:i/>
        </w:rPr>
        <w:t>Решения по развитию широкополосной связи и подключениям для сельских и отдаленных районов</w:t>
      </w:r>
      <w:r w:rsidR="00125DA8" w:rsidRPr="00F77B4F">
        <w:t>, подготовленные в рамках Вопроса 5/1.</w:t>
      </w:r>
    </w:p>
    <w:p w14:paraId="0188AC6F" w14:textId="77777777" w:rsidR="00125DA8" w:rsidRPr="00F77B4F" w:rsidRDefault="00125DA8" w:rsidP="0079441F">
      <w:r>
        <w:t>О</w:t>
      </w:r>
      <w:r w:rsidRPr="00F77B4F">
        <w:t xml:space="preserve">дин </w:t>
      </w:r>
      <w:r>
        <w:t xml:space="preserve">ежегодный итоговый документ о текущей работе пленарного заседания 2-й </w:t>
      </w:r>
      <w:r w:rsidRPr="00F77B4F">
        <w:t xml:space="preserve">Исследовательской </w:t>
      </w:r>
      <w:r>
        <w:t xml:space="preserve">комиссии был представлен для рассмотрения и размещения на веб-сайте этой </w:t>
      </w:r>
      <w:r w:rsidRPr="00F77B4F">
        <w:t>Исследовательск</w:t>
      </w:r>
      <w:r>
        <w:t>ой</w:t>
      </w:r>
      <w:r w:rsidRPr="00F77B4F">
        <w:t xml:space="preserve"> </w:t>
      </w:r>
      <w:r>
        <w:t>комиссии</w:t>
      </w:r>
      <w:r w:rsidRPr="00F77B4F">
        <w:t>.</w:t>
      </w:r>
    </w:p>
    <w:p w14:paraId="734BD8B1" w14:textId="4A82C57E" w:rsidR="00125DA8" w:rsidRPr="00F77B4F" w:rsidRDefault="00EA3970" w:rsidP="00EA3970">
      <w:pPr>
        <w:pStyle w:val="Heading2"/>
      </w:pPr>
      <w:r w:rsidRPr="00EA3970">
        <w:t>10.4</w:t>
      </w:r>
      <w:r w:rsidRPr="00EA3970">
        <w:tab/>
      </w:r>
      <w:r w:rsidR="00125DA8" w:rsidRPr="00F77B4F">
        <w:t>Назначение нового Содокладчика во 2-й Исследовательской комиссии МСЭ-D</w:t>
      </w:r>
    </w:p>
    <w:p w14:paraId="3FC4EB3F" w14:textId="47A70F43" w:rsidR="00125DA8" w:rsidRPr="00F77B4F" w:rsidRDefault="00125DA8" w:rsidP="00EA3970">
      <w:pPr>
        <w:tabs>
          <w:tab w:val="left" w:pos="1560"/>
        </w:tabs>
        <w:spacing w:after="120"/>
        <w:rPr>
          <w:rFonts w:cstheme="minorHAnsi"/>
          <w:szCs w:val="24"/>
        </w:rPr>
      </w:pPr>
      <w:r>
        <w:t>В</w:t>
      </w:r>
      <w:r w:rsidRPr="00F77B4F">
        <w:rPr>
          <w:rFonts w:cstheme="minorHAnsi"/>
          <w:szCs w:val="24"/>
        </w:rPr>
        <w:t xml:space="preserve"> </w:t>
      </w:r>
      <w:hyperlink r:id="rId26" w:history="1">
        <w:r w:rsidRPr="00DE7CDB">
          <w:rPr>
            <w:rStyle w:val="Hyperlink"/>
            <w:rFonts w:cstheme="minorHAnsi"/>
            <w:szCs w:val="24"/>
          </w:rPr>
          <w:t>Документе 55</w:t>
        </w:r>
      </w:hyperlink>
      <w:r>
        <w:rPr>
          <w:rFonts w:cstheme="minorHAnsi"/>
          <w:szCs w:val="24"/>
        </w:rPr>
        <w:t xml:space="preserve"> разъясняется, что </w:t>
      </w:r>
      <w:r w:rsidRPr="00F77B4F">
        <w:rPr>
          <w:rFonts w:cstheme="minorHAnsi"/>
          <w:szCs w:val="24"/>
        </w:rPr>
        <w:t xml:space="preserve">Содокладчик по Вопросу </w:t>
      </w:r>
      <w:r w:rsidRPr="00DE7CDB">
        <w:rPr>
          <w:rFonts w:cstheme="minorHAnsi"/>
          <w:szCs w:val="24"/>
        </w:rPr>
        <w:t>2-й Исследовательской комиссии</w:t>
      </w:r>
      <w:r w:rsidRPr="00F77B4F">
        <w:rPr>
          <w:rFonts w:cstheme="minorHAnsi"/>
          <w:szCs w:val="24"/>
        </w:rPr>
        <w:t xml:space="preserve"> МСЭ-D</w:t>
      </w:r>
      <w:r w:rsidR="00EA3970" w:rsidRPr="00EA3970">
        <w:rPr>
          <w:rFonts w:cstheme="minorHAnsi"/>
          <w:szCs w:val="24"/>
        </w:rPr>
        <w:t xml:space="preserve"> </w:t>
      </w:r>
      <w:r w:rsidRPr="00F77B4F">
        <w:rPr>
          <w:rFonts w:cstheme="minorHAnsi"/>
          <w:szCs w:val="24"/>
        </w:rPr>
        <w:t>"</w:t>
      </w:r>
      <w:r w:rsidRPr="00DE7CDB">
        <w:t>Защищенность сетей информации и связи: передовой опыт по созданию культуры кибербезопасности</w:t>
      </w:r>
      <w:r>
        <w:t>"</w:t>
      </w:r>
      <w:r>
        <w:rPr>
          <w:rFonts w:cstheme="minorHAnsi"/>
          <w:szCs w:val="24"/>
        </w:rPr>
        <w:t xml:space="preserve"> </w:t>
      </w:r>
      <w:r w:rsidRPr="00F77B4F">
        <w:rPr>
          <w:rFonts w:cstheme="minorHAnsi"/>
          <w:szCs w:val="24"/>
        </w:rPr>
        <w:t>(Вопрос 3/2)</w:t>
      </w:r>
      <w:r>
        <w:rPr>
          <w:rFonts w:cstheme="minorHAnsi"/>
          <w:szCs w:val="24"/>
        </w:rPr>
        <w:t xml:space="preserve"> сложил с себя обязанности</w:t>
      </w:r>
      <w:r w:rsidRPr="00F77B4F">
        <w:rPr>
          <w:rFonts w:cstheme="minorHAnsi"/>
          <w:szCs w:val="24"/>
        </w:rPr>
        <w:t xml:space="preserve"> после </w:t>
      </w:r>
      <w:r>
        <w:rPr>
          <w:rFonts w:cstheme="minorHAnsi"/>
          <w:szCs w:val="24"/>
        </w:rPr>
        <w:t>собрания в феврале</w:t>
      </w:r>
      <w:r w:rsidRPr="00F77B4F">
        <w:rPr>
          <w:rFonts w:cstheme="minorHAnsi"/>
          <w:szCs w:val="24"/>
        </w:rPr>
        <w:t xml:space="preserve"> 2020 года</w:t>
      </w:r>
      <w:r>
        <w:rPr>
          <w:rFonts w:cstheme="minorHAnsi"/>
          <w:szCs w:val="24"/>
        </w:rPr>
        <w:t>.</w:t>
      </w:r>
      <w:r w:rsidRPr="00F77B4F">
        <w:rPr>
          <w:rFonts w:cstheme="minorHAnsi"/>
          <w:szCs w:val="24"/>
        </w:rPr>
        <w:t xml:space="preserve"> В</w:t>
      </w:r>
      <w:r w:rsidR="00340B5C">
        <w:rPr>
          <w:rFonts w:cstheme="minorHAnsi"/>
          <w:szCs w:val="24"/>
          <w:lang w:val="en-US"/>
        </w:rPr>
        <w:t> </w:t>
      </w:r>
      <w:r>
        <w:rPr>
          <w:rFonts w:cstheme="minorHAnsi"/>
          <w:szCs w:val="24"/>
        </w:rPr>
        <w:t>данном</w:t>
      </w:r>
      <w:r w:rsidRPr="00F77B4F">
        <w:rPr>
          <w:rFonts w:cstheme="minorHAnsi"/>
          <w:szCs w:val="24"/>
        </w:rPr>
        <w:t xml:space="preserve"> документе содержится письмо администрации </w:t>
      </w:r>
      <w:r w:rsidRPr="00AA018E">
        <w:rPr>
          <w:rFonts w:cstheme="minorHAnsi"/>
          <w:b/>
          <w:bCs/>
          <w:szCs w:val="24"/>
        </w:rPr>
        <w:t>Соединенных Штатов Америки</w:t>
      </w:r>
      <w:r w:rsidRPr="00F77B4F">
        <w:rPr>
          <w:rFonts w:cstheme="minorHAnsi"/>
          <w:szCs w:val="24"/>
        </w:rPr>
        <w:t>, в котором представлена кандидатура на эту вакантную должность.</w:t>
      </w:r>
    </w:p>
    <w:tbl>
      <w:tblPr>
        <w:tblStyle w:val="TableGrid"/>
        <w:tblW w:w="0" w:type="auto"/>
        <w:tblLook w:val="04A0" w:firstRow="1" w:lastRow="0" w:firstColumn="1" w:lastColumn="0" w:noHBand="0" w:noVBand="1"/>
      </w:tblPr>
      <w:tblGrid>
        <w:gridCol w:w="9350"/>
      </w:tblGrid>
      <w:tr w:rsidR="00125DA8" w:rsidRPr="00EA3970" w14:paraId="16C4192C" w14:textId="77777777" w:rsidTr="00E526B6">
        <w:tc>
          <w:tcPr>
            <w:tcW w:w="9350" w:type="dxa"/>
          </w:tcPr>
          <w:p w14:paraId="0081B951" w14:textId="77777777" w:rsidR="00125DA8" w:rsidRPr="00EA3970" w:rsidRDefault="00125DA8" w:rsidP="001E04BA">
            <w:pPr>
              <w:spacing w:after="120"/>
              <w:rPr>
                <w:sz w:val="22"/>
              </w:rPr>
            </w:pPr>
            <w:r w:rsidRPr="00EA3970">
              <w:rPr>
                <w:sz w:val="22"/>
              </w:rPr>
              <w:t>КГРЭ с интересом приняла к сведению и высоко оценила подробные отчеты о деятельности исследовательских комиссий, а также отметила, что в работе обеих исследовательских комиссий по всем 14 Вопросам наблюдается значительный прогресс в достижении определенных ВКРЭ ожидаемых результатов работы под руководством председателей исследовательских комиссий.</w:t>
            </w:r>
          </w:p>
          <w:p w14:paraId="0BAEFB59" w14:textId="77777777" w:rsidR="00125DA8" w:rsidRPr="00EA3970" w:rsidRDefault="00125DA8" w:rsidP="001E04BA">
            <w:pPr>
              <w:spacing w:after="120"/>
              <w:rPr>
                <w:sz w:val="22"/>
              </w:rPr>
            </w:pPr>
            <w:r w:rsidRPr="00EA3970">
              <w:rPr>
                <w:sz w:val="22"/>
              </w:rPr>
              <w:t>1-й Исследовательской комиссии было предложено добавить информацию о положении дел с подготовкой итоговых отчетов, которые разрабатываются Группами Докладчиков. Также было поддержано предложение использовать информацию из Приложения 8 к отчету, которая включает первоначальные предложения в отношении будущих исследуемых Вопросов в качестве справочного документа для обсуждений дальнейшей работы в рамках КГРЭ.</w:t>
            </w:r>
          </w:p>
          <w:p w14:paraId="52ED2B2C" w14:textId="77777777" w:rsidR="00125DA8" w:rsidRPr="00EA3970" w:rsidRDefault="00125DA8" w:rsidP="001E04BA">
            <w:pPr>
              <w:spacing w:after="120"/>
              <w:rPr>
                <w:sz w:val="22"/>
              </w:rPr>
            </w:pPr>
            <w:r w:rsidRPr="00EA3970">
              <w:rPr>
                <w:sz w:val="22"/>
              </w:rPr>
              <w:t>2-й Исследовательской комиссии было предложено добавить информацию о положении дел с подготовкой итоговых отчетов, а также информацию о предложениях в отношении будущих исследуемых Вопросов на следующем собрании КГРЭ.</w:t>
            </w:r>
          </w:p>
          <w:p w14:paraId="6F9E11E8" w14:textId="77777777" w:rsidR="00125DA8" w:rsidRPr="00EA3970" w:rsidRDefault="00125DA8" w:rsidP="001E04BA">
            <w:pPr>
              <w:spacing w:after="120"/>
              <w:rPr>
                <w:sz w:val="22"/>
              </w:rPr>
            </w:pPr>
            <w:r w:rsidRPr="00EA3970">
              <w:rPr>
                <w:sz w:val="22"/>
              </w:rPr>
              <w:t xml:space="preserve">КГРЭ назначила г-жу Эйми К. Мичам (Соединенные Штаты Америки) </w:t>
            </w:r>
            <w:r w:rsidRPr="00EA3970">
              <w:rPr>
                <w:rFonts w:hint="eastAsia"/>
                <w:sz w:val="22"/>
              </w:rPr>
              <w:t>Содокладчиком</w:t>
            </w:r>
            <w:r w:rsidRPr="00EA3970">
              <w:rPr>
                <w:sz w:val="22"/>
              </w:rPr>
              <w:t xml:space="preserve"> по </w:t>
            </w:r>
            <w:r w:rsidRPr="00EA3970">
              <w:rPr>
                <w:rFonts w:hint="eastAsia"/>
                <w:sz w:val="22"/>
              </w:rPr>
              <w:t>Вопросу</w:t>
            </w:r>
            <w:r w:rsidRPr="00EA3970">
              <w:rPr>
                <w:sz w:val="22"/>
              </w:rPr>
              <w:t xml:space="preserve"> 3/2 2-й Исследовательской комиссии МСЭ-D.</w:t>
            </w:r>
          </w:p>
          <w:p w14:paraId="1E21EE6A" w14:textId="77777777" w:rsidR="00125DA8" w:rsidRPr="00EA3970" w:rsidRDefault="00125DA8" w:rsidP="001E04BA">
            <w:pPr>
              <w:spacing w:after="120"/>
              <w:rPr>
                <w:sz w:val="22"/>
              </w:rPr>
            </w:pPr>
            <w:r w:rsidRPr="00EA3970">
              <w:rPr>
                <w:sz w:val="22"/>
              </w:rPr>
              <w:t>КГРЭ согласовала предложенные сроки проведения собраний исследовательских комиссий МСЭ-D в 2021 году.</w:t>
            </w:r>
          </w:p>
        </w:tc>
      </w:tr>
    </w:tbl>
    <w:p w14:paraId="7C067D74" w14:textId="1E2DB5AF" w:rsidR="00125DA8" w:rsidRPr="00C84588" w:rsidRDefault="00EA3970" w:rsidP="00083D22">
      <w:pPr>
        <w:pStyle w:val="Heading1"/>
        <w:spacing w:before="360"/>
      </w:pPr>
      <w:r w:rsidRPr="00EA3970">
        <w:t>11</w:t>
      </w:r>
      <w:r w:rsidRPr="00EA3970">
        <w:tab/>
      </w:r>
      <w:r w:rsidR="00125DA8" w:rsidRPr="00F77B4F">
        <w:t>Сотрудничество с другими Секторами</w:t>
      </w:r>
    </w:p>
    <w:p w14:paraId="2007CE7E" w14:textId="24A67805" w:rsidR="00125DA8" w:rsidRPr="000A527A" w:rsidRDefault="00EA3970" w:rsidP="00EA3970">
      <w:pPr>
        <w:pStyle w:val="Heading2"/>
      </w:pPr>
      <w:r w:rsidRPr="00EA3970">
        <w:t>11.2</w:t>
      </w:r>
      <w:r w:rsidRPr="00EA3970">
        <w:tab/>
      </w:r>
      <w:r w:rsidR="00125DA8" w:rsidRPr="000A527A">
        <w:t>Межсекторальная координационная группа (М</w:t>
      </w:r>
      <w:r w:rsidR="00125DA8">
        <w:t>С</w:t>
      </w:r>
      <w:r w:rsidR="00125DA8" w:rsidRPr="000A527A">
        <w:t>КГ) по вопросам, представляющим взаимный интерес</w:t>
      </w:r>
    </w:p>
    <w:p w14:paraId="66897B48" w14:textId="56226B68" w:rsidR="00125DA8" w:rsidRPr="000A527A" w:rsidRDefault="00125DA8" w:rsidP="00E526B6">
      <w:pPr>
        <w:spacing w:after="120"/>
        <w:rPr>
          <w:rFonts w:cstheme="minorHAnsi"/>
          <w:szCs w:val="24"/>
        </w:rPr>
      </w:pPr>
      <w:r w:rsidRPr="00F77B4F">
        <w:rPr>
          <w:rFonts w:cstheme="minorHAnsi"/>
          <w:szCs w:val="24"/>
        </w:rPr>
        <w:t xml:space="preserve">В </w:t>
      </w:r>
      <w:hyperlink r:id="rId27" w:history="1">
        <w:r w:rsidRPr="000A527A">
          <w:rPr>
            <w:rStyle w:val="Hyperlink"/>
            <w:rFonts w:cstheme="minorHAnsi"/>
            <w:szCs w:val="24"/>
          </w:rPr>
          <w:t>Документе 5</w:t>
        </w:r>
      </w:hyperlink>
      <w:r w:rsidRPr="00F77B4F">
        <w:rPr>
          <w:rFonts w:cstheme="minorHAnsi"/>
          <w:szCs w:val="24"/>
        </w:rPr>
        <w:t xml:space="preserve"> содержится </w:t>
      </w:r>
      <w:r>
        <w:rPr>
          <w:rFonts w:cstheme="minorHAnsi"/>
          <w:szCs w:val="24"/>
        </w:rPr>
        <w:t>отчет</w:t>
      </w:r>
      <w:r w:rsidRPr="00F77B4F">
        <w:rPr>
          <w:rFonts w:cstheme="minorHAnsi"/>
          <w:szCs w:val="24"/>
        </w:rPr>
        <w:t xml:space="preserve"> о ходе работы Межсекторальной координационной группы (М</w:t>
      </w:r>
      <w:r>
        <w:rPr>
          <w:rFonts w:cstheme="minorHAnsi"/>
          <w:szCs w:val="24"/>
        </w:rPr>
        <w:t>С</w:t>
      </w:r>
      <w:r w:rsidRPr="00F77B4F">
        <w:rPr>
          <w:rFonts w:cstheme="minorHAnsi"/>
          <w:szCs w:val="24"/>
        </w:rPr>
        <w:t>КГ) по вопросам, представляющим взаимный интерес, в котором освещаются</w:t>
      </w:r>
      <w:r>
        <w:rPr>
          <w:rFonts w:cstheme="minorHAnsi"/>
          <w:szCs w:val="24"/>
        </w:rPr>
        <w:t xml:space="preserve"> такие</w:t>
      </w:r>
      <w:r w:rsidRPr="00F77B4F">
        <w:rPr>
          <w:rFonts w:cstheme="minorHAnsi"/>
          <w:szCs w:val="24"/>
        </w:rPr>
        <w:t xml:space="preserve"> мероприятия,</w:t>
      </w:r>
      <w:r>
        <w:rPr>
          <w:rFonts w:cstheme="minorHAnsi"/>
          <w:szCs w:val="24"/>
        </w:rPr>
        <w:t xml:space="preserve"> как ее</w:t>
      </w:r>
      <w:r w:rsidRPr="00F77B4F">
        <w:rPr>
          <w:rFonts w:cstheme="minorHAnsi"/>
          <w:szCs w:val="24"/>
        </w:rPr>
        <w:t xml:space="preserve"> </w:t>
      </w:r>
      <w:r>
        <w:rPr>
          <w:rFonts w:cstheme="minorHAnsi"/>
          <w:szCs w:val="24"/>
        </w:rPr>
        <w:lastRenderedPageBreak/>
        <w:t>собрание</w:t>
      </w:r>
      <w:r w:rsidRPr="00F77B4F">
        <w:rPr>
          <w:rFonts w:cstheme="minorHAnsi"/>
          <w:szCs w:val="24"/>
        </w:rPr>
        <w:t xml:space="preserve">, которое состоялось в Женеве 25 сентября 2019 года и было приурочено к </w:t>
      </w:r>
      <w:r>
        <w:rPr>
          <w:rFonts w:cstheme="minorHAnsi"/>
          <w:szCs w:val="24"/>
        </w:rPr>
        <w:t>собранию</w:t>
      </w:r>
      <w:r w:rsidRPr="00F77B4F">
        <w:rPr>
          <w:rFonts w:cstheme="minorHAnsi"/>
          <w:szCs w:val="24"/>
        </w:rPr>
        <w:t xml:space="preserve"> </w:t>
      </w:r>
      <w:r>
        <w:rPr>
          <w:rFonts w:cstheme="minorHAnsi"/>
          <w:szCs w:val="24"/>
        </w:rPr>
        <w:t>КГ</w:t>
      </w:r>
      <w:r>
        <w:rPr>
          <w:rFonts w:cstheme="minorHAnsi"/>
          <w:szCs w:val="24"/>
          <w:lang w:val="en-US"/>
        </w:rPr>
        <w:t>C</w:t>
      </w:r>
      <w:r>
        <w:rPr>
          <w:rFonts w:cstheme="minorHAnsi"/>
          <w:szCs w:val="24"/>
        </w:rPr>
        <w:t>Э</w:t>
      </w:r>
      <w:r w:rsidRPr="000A527A">
        <w:rPr>
          <w:rFonts w:cstheme="minorHAnsi"/>
          <w:szCs w:val="24"/>
        </w:rPr>
        <w:t xml:space="preserve"> (23</w:t>
      </w:r>
      <w:r w:rsidR="00EA3970" w:rsidRPr="00EA3970">
        <w:rPr>
          <w:rFonts w:cstheme="minorHAnsi"/>
          <w:szCs w:val="24"/>
        </w:rPr>
        <w:t>−</w:t>
      </w:r>
      <w:r w:rsidRPr="000A527A">
        <w:rPr>
          <w:rFonts w:cstheme="minorHAnsi"/>
          <w:szCs w:val="24"/>
        </w:rPr>
        <w:t>27 сентября</w:t>
      </w:r>
      <w:r>
        <w:rPr>
          <w:rFonts w:cstheme="minorHAnsi"/>
          <w:szCs w:val="24"/>
        </w:rPr>
        <w:t xml:space="preserve"> 2019 г</w:t>
      </w:r>
      <w:r w:rsidR="00340B5C" w:rsidRPr="00340B5C">
        <w:rPr>
          <w:rFonts w:cstheme="minorHAnsi"/>
          <w:szCs w:val="24"/>
        </w:rPr>
        <w:t>.</w:t>
      </w:r>
      <w:r w:rsidRPr="000A527A">
        <w:rPr>
          <w:rFonts w:cstheme="minorHAnsi"/>
          <w:szCs w:val="24"/>
        </w:rPr>
        <w:t>), а также ее виртуально</w:t>
      </w:r>
      <w:r>
        <w:rPr>
          <w:rFonts w:cstheme="minorHAnsi"/>
          <w:szCs w:val="24"/>
        </w:rPr>
        <w:t>е</w:t>
      </w:r>
      <w:r w:rsidRPr="000A527A">
        <w:rPr>
          <w:rFonts w:cstheme="minorHAnsi"/>
          <w:szCs w:val="24"/>
        </w:rPr>
        <w:t xml:space="preserve"> </w:t>
      </w:r>
      <w:r>
        <w:rPr>
          <w:rFonts w:cstheme="minorHAnsi"/>
          <w:szCs w:val="24"/>
        </w:rPr>
        <w:t>собрание</w:t>
      </w:r>
      <w:r w:rsidRPr="000A527A">
        <w:rPr>
          <w:rFonts w:cstheme="minorHAnsi"/>
          <w:szCs w:val="24"/>
        </w:rPr>
        <w:t xml:space="preserve"> 1 июня 2020 года.</w:t>
      </w:r>
    </w:p>
    <w:p w14:paraId="434B6C3F" w14:textId="77777777" w:rsidR="00125DA8" w:rsidRPr="00F77B4F" w:rsidRDefault="00125DA8" w:rsidP="00E526B6">
      <w:pPr>
        <w:spacing w:after="120"/>
        <w:rPr>
          <w:rFonts w:cstheme="minorHAnsi"/>
          <w:szCs w:val="24"/>
        </w:rPr>
      </w:pPr>
      <w:r w:rsidRPr="00F77B4F">
        <w:rPr>
          <w:rFonts w:cstheme="minorHAnsi"/>
          <w:szCs w:val="24"/>
        </w:rPr>
        <w:t xml:space="preserve">На своем </w:t>
      </w:r>
      <w:r>
        <w:rPr>
          <w:rFonts w:cstheme="minorHAnsi"/>
          <w:szCs w:val="24"/>
        </w:rPr>
        <w:t>собрании</w:t>
      </w:r>
      <w:r w:rsidRPr="00F77B4F">
        <w:rPr>
          <w:rFonts w:cstheme="minorHAnsi"/>
          <w:szCs w:val="24"/>
        </w:rPr>
        <w:t xml:space="preserve"> в сентябре 2019 г</w:t>
      </w:r>
      <w:r>
        <w:rPr>
          <w:rFonts w:cstheme="minorHAnsi"/>
          <w:szCs w:val="24"/>
        </w:rPr>
        <w:t>ода</w:t>
      </w:r>
      <w:r w:rsidRPr="00F77B4F">
        <w:rPr>
          <w:rFonts w:cstheme="minorHAnsi"/>
          <w:szCs w:val="24"/>
        </w:rPr>
        <w:t xml:space="preserve"> группа приняла решение </w:t>
      </w:r>
      <w:r>
        <w:rPr>
          <w:rFonts w:cstheme="minorHAnsi"/>
          <w:szCs w:val="24"/>
        </w:rPr>
        <w:t xml:space="preserve">утвердить </w:t>
      </w:r>
      <w:r w:rsidRPr="00F77B4F">
        <w:rPr>
          <w:rFonts w:cstheme="minorHAnsi"/>
          <w:szCs w:val="24"/>
        </w:rPr>
        <w:t>изменени</w:t>
      </w:r>
      <w:r>
        <w:rPr>
          <w:rFonts w:cstheme="minorHAnsi"/>
          <w:szCs w:val="24"/>
        </w:rPr>
        <w:t>е</w:t>
      </w:r>
      <w:r w:rsidRPr="00F77B4F">
        <w:rPr>
          <w:rFonts w:cstheme="minorHAnsi"/>
          <w:szCs w:val="24"/>
        </w:rPr>
        <w:t xml:space="preserve"> климата в качестве пилотной темы, в которой могли бы принять участие и сотрудничать все Сектора. С </w:t>
      </w:r>
      <w:r>
        <w:rPr>
          <w:rFonts w:cstheme="minorHAnsi"/>
          <w:szCs w:val="24"/>
        </w:rPr>
        <w:t>того момента</w:t>
      </w:r>
      <w:r w:rsidRPr="00F77B4F">
        <w:rPr>
          <w:rFonts w:cstheme="minorHAnsi"/>
          <w:szCs w:val="24"/>
        </w:rPr>
        <w:t xml:space="preserve"> Секретариат работает над выявлением представляющих</w:t>
      </w:r>
      <w:r>
        <w:rPr>
          <w:rFonts w:cstheme="minorHAnsi"/>
          <w:szCs w:val="24"/>
        </w:rPr>
        <w:t xml:space="preserve"> взаимный</w:t>
      </w:r>
      <w:r w:rsidRPr="00F77B4F">
        <w:rPr>
          <w:rFonts w:cstheme="minorHAnsi"/>
          <w:szCs w:val="24"/>
        </w:rPr>
        <w:t xml:space="preserve"> интерес областей</w:t>
      </w:r>
      <w:r>
        <w:rPr>
          <w:rFonts w:cstheme="minorHAnsi"/>
          <w:szCs w:val="24"/>
        </w:rPr>
        <w:t xml:space="preserve"> в вопросе</w:t>
      </w:r>
      <w:r w:rsidRPr="00F77B4F">
        <w:rPr>
          <w:rFonts w:cstheme="minorHAnsi"/>
          <w:szCs w:val="24"/>
        </w:rPr>
        <w:t xml:space="preserve"> изменения климата</w:t>
      </w:r>
      <w:r w:rsidRPr="00125DA8">
        <w:rPr>
          <w:rFonts w:cstheme="minorHAnsi"/>
          <w:szCs w:val="24"/>
        </w:rPr>
        <w:t>.</w:t>
      </w:r>
      <w:r w:rsidRPr="00F77B4F">
        <w:rPr>
          <w:rFonts w:cstheme="minorHAnsi"/>
          <w:szCs w:val="24"/>
        </w:rPr>
        <w:t xml:space="preserve"> </w:t>
      </w:r>
      <w:r>
        <w:rPr>
          <w:rFonts w:cstheme="minorHAnsi"/>
          <w:szCs w:val="24"/>
        </w:rPr>
        <w:t>Он</w:t>
      </w:r>
      <w:r w:rsidRPr="00F77B4F">
        <w:rPr>
          <w:rFonts w:cstheme="minorHAnsi"/>
          <w:szCs w:val="24"/>
        </w:rPr>
        <w:t xml:space="preserve"> подготовил и представил </w:t>
      </w:r>
      <w:r>
        <w:rPr>
          <w:rFonts w:cstheme="minorHAnsi"/>
          <w:szCs w:val="24"/>
        </w:rPr>
        <w:t>обзор</w:t>
      </w:r>
      <w:r w:rsidRPr="00F77B4F">
        <w:rPr>
          <w:rFonts w:cstheme="minorHAnsi"/>
          <w:szCs w:val="24"/>
        </w:rPr>
        <w:t xml:space="preserve"> всех видов деятельности и мероприятий, связанных с изменением климата, в качестве вклада в работу виртуального </w:t>
      </w:r>
      <w:r>
        <w:rPr>
          <w:rFonts w:cstheme="minorHAnsi"/>
          <w:szCs w:val="24"/>
        </w:rPr>
        <w:t>собрания</w:t>
      </w:r>
      <w:r w:rsidRPr="00F77B4F">
        <w:rPr>
          <w:rFonts w:cstheme="minorHAnsi"/>
          <w:szCs w:val="24"/>
        </w:rPr>
        <w:t xml:space="preserve"> М</w:t>
      </w:r>
      <w:r>
        <w:rPr>
          <w:rFonts w:cstheme="minorHAnsi"/>
          <w:szCs w:val="24"/>
        </w:rPr>
        <w:t>С</w:t>
      </w:r>
      <w:r w:rsidRPr="00F77B4F">
        <w:rPr>
          <w:rFonts w:cstheme="minorHAnsi"/>
          <w:szCs w:val="24"/>
        </w:rPr>
        <w:t>КГ, которое состо</w:t>
      </w:r>
      <w:r>
        <w:rPr>
          <w:rFonts w:cstheme="minorHAnsi"/>
          <w:szCs w:val="24"/>
        </w:rPr>
        <w:t>ялось</w:t>
      </w:r>
      <w:r w:rsidRPr="00F77B4F">
        <w:rPr>
          <w:rFonts w:cstheme="minorHAnsi"/>
          <w:szCs w:val="24"/>
        </w:rPr>
        <w:t xml:space="preserve"> 1 июня 2020</w:t>
      </w:r>
      <w:r>
        <w:rPr>
          <w:rFonts w:cstheme="minorHAnsi"/>
          <w:szCs w:val="24"/>
        </w:rPr>
        <w:t> </w:t>
      </w:r>
      <w:r w:rsidRPr="00F77B4F">
        <w:rPr>
          <w:rFonts w:cstheme="minorHAnsi"/>
          <w:szCs w:val="24"/>
        </w:rPr>
        <w:t xml:space="preserve">года. На этом </w:t>
      </w:r>
      <w:r>
        <w:rPr>
          <w:rFonts w:cstheme="minorHAnsi"/>
          <w:szCs w:val="24"/>
        </w:rPr>
        <w:t>собрании МСКГ было принято решение, что возможной пилотной темой может быть</w:t>
      </w:r>
      <w:r w:rsidRPr="00F77B4F">
        <w:rPr>
          <w:rFonts w:cstheme="minorHAnsi"/>
          <w:szCs w:val="24"/>
        </w:rPr>
        <w:t xml:space="preserve"> вопрос доступности.</w:t>
      </w:r>
    </w:p>
    <w:p w14:paraId="3F8486BA" w14:textId="1D13F86D" w:rsidR="00125DA8" w:rsidRPr="00F77B4F" w:rsidRDefault="00EA3970" w:rsidP="00EA3970">
      <w:pPr>
        <w:pStyle w:val="Heading2"/>
      </w:pPr>
      <w:r w:rsidRPr="00EA3970">
        <w:t>11.2</w:t>
      </w:r>
      <w:r w:rsidRPr="00EA3970">
        <w:tab/>
      </w:r>
      <w:r w:rsidR="00125DA8">
        <w:t>Сопоставление</w:t>
      </w:r>
      <w:r w:rsidR="00125DA8" w:rsidRPr="00F77B4F">
        <w:t xml:space="preserve"> деятельности </w:t>
      </w:r>
      <w:r w:rsidR="00125DA8">
        <w:t>и</w:t>
      </w:r>
      <w:r w:rsidR="00125DA8" w:rsidRPr="00F77B4F">
        <w:t>сследовательск</w:t>
      </w:r>
      <w:r w:rsidR="00125DA8">
        <w:t>их</w:t>
      </w:r>
      <w:r w:rsidR="00125DA8" w:rsidRPr="00F77B4F">
        <w:t xml:space="preserve"> </w:t>
      </w:r>
      <w:r w:rsidR="00125DA8">
        <w:t>комиссий</w:t>
      </w:r>
      <w:r w:rsidR="00125DA8" w:rsidRPr="00F77B4F">
        <w:t xml:space="preserve"> МСЭ-</w:t>
      </w:r>
      <w:r w:rsidR="00125DA8" w:rsidRPr="00F77B4F">
        <w:rPr>
          <w:lang w:val="en-US"/>
        </w:rPr>
        <w:t>D</w:t>
      </w:r>
      <w:r w:rsidR="00125DA8" w:rsidRPr="00F77B4F">
        <w:t>, МСЭ-Т и МСЭ-</w:t>
      </w:r>
      <w:r w:rsidR="00125DA8">
        <w:rPr>
          <w:lang w:val="en-US"/>
        </w:rPr>
        <w:t>R</w:t>
      </w:r>
    </w:p>
    <w:p w14:paraId="5A315F3E" w14:textId="77777777" w:rsidR="00125DA8" w:rsidRPr="00F77B4F" w:rsidRDefault="00125DA8" w:rsidP="00E526B6">
      <w:pPr>
        <w:spacing w:after="120"/>
        <w:rPr>
          <w:rFonts w:cstheme="minorHAnsi"/>
          <w:szCs w:val="24"/>
        </w:rPr>
      </w:pPr>
      <w:r w:rsidRPr="00F77B4F">
        <w:rPr>
          <w:rFonts w:cstheme="minorHAnsi"/>
          <w:szCs w:val="24"/>
        </w:rPr>
        <w:t xml:space="preserve">Документы 18, </w:t>
      </w:r>
      <w:r w:rsidRPr="000A527A">
        <w:rPr>
          <w:rFonts w:cstheme="minorHAnsi"/>
          <w:b/>
          <w:szCs w:val="24"/>
        </w:rPr>
        <w:t>19</w:t>
      </w:r>
      <w:r w:rsidRPr="00F77B4F">
        <w:rPr>
          <w:rFonts w:cstheme="minorHAnsi"/>
          <w:szCs w:val="24"/>
        </w:rPr>
        <w:t xml:space="preserve">, 20, 21 23, 35, 36 и </w:t>
      </w:r>
      <w:r w:rsidRPr="000A527A">
        <w:rPr>
          <w:rFonts w:cstheme="minorHAnsi"/>
          <w:b/>
          <w:szCs w:val="24"/>
        </w:rPr>
        <w:t>56</w:t>
      </w:r>
      <w:r w:rsidRPr="00F77B4F">
        <w:rPr>
          <w:rFonts w:cstheme="minorHAnsi"/>
          <w:szCs w:val="24"/>
        </w:rPr>
        <w:t xml:space="preserve"> являются заявлениями о </w:t>
      </w:r>
      <w:r>
        <w:rPr>
          <w:rFonts w:cstheme="minorHAnsi"/>
          <w:szCs w:val="24"/>
        </w:rPr>
        <w:t>взаимодействии</w:t>
      </w:r>
      <w:r w:rsidRPr="00F77B4F">
        <w:rPr>
          <w:rFonts w:cstheme="minorHAnsi"/>
          <w:szCs w:val="24"/>
        </w:rPr>
        <w:t xml:space="preserve"> по вопросам межсектор</w:t>
      </w:r>
      <w:r>
        <w:rPr>
          <w:rFonts w:cstheme="minorHAnsi"/>
          <w:szCs w:val="24"/>
        </w:rPr>
        <w:t>аль</w:t>
      </w:r>
      <w:r w:rsidRPr="00F77B4F">
        <w:rPr>
          <w:rFonts w:cstheme="minorHAnsi"/>
          <w:szCs w:val="24"/>
        </w:rPr>
        <w:t>ной координации.</w:t>
      </w:r>
    </w:p>
    <w:p w14:paraId="331FA6EA" w14:textId="77777777" w:rsidR="00125DA8" w:rsidRPr="00F77B4F" w:rsidRDefault="00125DA8" w:rsidP="00E526B6">
      <w:pPr>
        <w:spacing w:after="120"/>
        <w:rPr>
          <w:rFonts w:eastAsia="SimSun" w:cstheme="minorHAnsi"/>
          <w:szCs w:val="24"/>
          <w:lang w:eastAsia="zh-CN"/>
        </w:rPr>
      </w:pPr>
      <w:r w:rsidRPr="00F77B4F">
        <w:rPr>
          <w:rFonts w:eastAsia="SimSun" w:cstheme="minorHAnsi"/>
          <w:szCs w:val="24"/>
          <w:lang w:eastAsia="zh-CN"/>
        </w:rPr>
        <w:t xml:space="preserve">Документы 18, </w:t>
      </w:r>
      <w:r w:rsidRPr="00C13DE4">
        <w:rPr>
          <w:rFonts w:eastAsia="SimSun" w:cstheme="minorHAnsi"/>
          <w:b/>
          <w:szCs w:val="24"/>
          <w:lang w:eastAsia="zh-CN"/>
        </w:rPr>
        <w:t>19</w:t>
      </w:r>
      <w:r w:rsidRPr="00F77B4F">
        <w:rPr>
          <w:rFonts w:eastAsia="SimSun" w:cstheme="minorHAnsi"/>
          <w:szCs w:val="24"/>
          <w:lang w:eastAsia="zh-CN"/>
        </w:rPr>
        <w:t xml:space="preserve">, 20 и 21 являются ответами на заявление </w:t>
      </w:r>
      <w:r>
        <w:rPr>
          <w:rFonts w:cstheme="minorHAnsi"/>
          <w:szCs w:val="24"/>
        </w:rPr>
        <w:t>КГСЭ</w:t>
      </w:r>
      <w:r w:rsidRPr="00F77B4F">
        <w:rPr>
          <w:rFonts w:eastAsia="SimSun" w:cstheme="minorHAnsi"/>
          <w:szCs w:val="24"/>
          <w:lang w:eastAsia="zh-CN"/>
        </w:rPr>
        <w:t xml:space="preserve"> о </w:t>
      </w:r>
      <w:r>
        <w:rPr>
          <w:rFonts w:eastAsia="SimSun" w:cstheme="minorHAnsi"/>
          <w:szCs w:val="24"/>
          <w:lang w:eastAsia="zh-CN"/>
        </w:rPr>
        <w:t>взаимодействии</w:t>
      </w:r>
      <w:r w:rsidRPr="00F77B4F">
        <w:rPr>
          <w:rFonts w:eastAsia="SimSun" w:cstheme="minorHAnsi"/>
          <w:szCs w:val="24"/>
          <w:lang w:eastAsia="zh-CN"/>
        </w:rPr>
        <w:t xml:space="preserve"> </w:t>
      </w:r>
      <w:hyperlink r:id="rId28" w:tooltip="ITU-T ftp file restricted to TIES access only" w:history="1">
        <w:hyperlink r:id="rId29" w:tooltip="ITU-T ftp file restricted to TIES access only" w:history="1">
          <w:r w:rsidRPr="00C84588">
            <w:rPr>
              <w:rStyle w:val="Hyperlink"/>
              <w:rFonts w:cstheme="minorHAnsi"/>
              <w:szCs w:val="24"/>
            </w:rPr>
            <w:t>TSAG</w:t>
          </w:r>
          <w:r w:rsidRPr="00C13DE4">
            <w:rPr>
              <w:rStyle w:val="Hyperlink"/>
              <w:rFonts w:cstheme="minorHAnsi"/>
              <w:szCs w:val="24"/>
            </w:rPr>
            <w:t>-</w:t>
          </w:r>
          <w:r w:rsidRPr="00C84588">
            <w:rPr>
              <w:rStyle w:val="Hyperlink"/>
              <w:rFonts w:cstheme="minorHAnsi"/>
              <w:szCs w:val="24"/>
            </w:rPr>
            <w:t>LS</w:t>
          </w:r>
          <w:r w:rsidRPr="00C13DE4">
            <w:rPr>
              <w:rStyle w:val="Hyperlink"/>
              <w:rFonts w:cstheme="minorHAnsi"/>
              <w:szCs w:val="24"/>
            </w:rPr>
            <w:t>13</w:t>
          </w:r>
        </w:hyperlink>
      </w:hyperlink>
      <w:r w:rsidRPr="00F77B4F">
        <w:rPr>
          <w:rFonts w:eastAsia="SimSun" w:cstheme="minorHAnsi"/>
          <w:szCs w:val="24"/>
          <w:lang w:eastAsia="zh-CN"/>
        </w:rPr>
        <w:t xml:space="preserve"> по межсектор</w:t>
      </w:r>
      <w:r>
        <w:rPr>
          <w:rFonts w:eastAsia="SimSun" w:cstheme="minorHAnsi"/>
          <w:szCs w:val="24"/>
          <w:lang w:eastAsia="zh-CN"/>
        </w:rPr>
        <w:t>аль</w:t>
      </w:r>
      <w:r w:rsidRPr="00F77B4F">
        <w:rPr>
          <w:rFonts w:eastAsia="SimSun" w:cstheme="minorHAnsi"/>
          <w:szCs w:val="24"/>
          <w:lang w:eastAsia="zh-CN"/>
        </w:rPr>
        <w:t>ной координации МСЭ и были рассмотрены вместе.</w:t>
      </w:r>
    </w:p>
    <w:p w14:paraId="60532D3B" w14:textId="77777777" w:rsidR="00125DA8" w:rsidRPr="00F77B4F" w:rsidRDefault="00125DA8" w:rsidP="00E526B6">
      <w:pPr>
        <w:spacing w:after="120"/>
        <w:rPr>
          <w:rFonts w:cstheme="minorHAnsi"/>
          <w:szCs w:val="24"/>
        </w:rPr>
      </w:pPr>
      <w:r w:rsidRPr="00F77B4F">
        <w:rPr>
          <w:rFonts w:cstheme="minorHAnsi"/>
          <w:szCs w:val="24"/>
        </w:rPr>
        <w:t xml:space="preserve">На своем </w:t>
      </w:r>
      <w:r>
        <w:rPr>
          <w:rFonts w:cstheme="minorHAnsi"/>
          <w:szCs w:val="24"/>
        </w:rPr>
        <w:t>собрании</w:t>
      </w:r>
      <w:r w:rsidRPr="00F77B4F">
        <w:rPr>
          <w:rFonts w:cstheme="minorHAnsi"/>
          <w:szCs w:val="24"/>
        </w:rPr>
        <w:t xml:space="preserve"> в Женеве в декабре 2018 года </w:t>
      </w:r>
      <w:r>
        <w:rPr>
          <w:rFonts w:cstheme="minorHAnsi"/>
          <w:szCs w:val="24"/>
        </w:rPr>
        <w:t>КГСЭ</w:t>
      </w:r>
      <w:r w:rsidRPr="00F77B4F">
        <w:rPr>
          <w:rFonts w:cstheme="minorHAnsi"/>
          <w:szCs w:val="24"/>
        </w:rPr>
        <w:t xml:space="preserve"> опубликовала заявление о </w:t>
      </w:r>
      <w:r>
        <w:rPr>
          <w:rFonts w:eastAsia="SimSun" w:cstheme="minorHAnsi"/>
          <w:szCs w:val="24"/>
          <w:lang w:eastAsia="zh-CN"/>
        </w:rPr>
        <w:t>взаимодействии</w:t>
      </w:r>
      <w:r w:rsidRPr="00F77B4F">
        <w:rPr>
          <w:rFonts w:eastAsia="SimSun" w:cstheme="minorHAnsi"/>
          <w:szCs w:val="24"/>
          <w:lang w:eastAsia="zh-CN"/>
        </w:rPr>
        <w:t xml:space="preserve"> </w:t>
      </w:r>
      <w:r w:rsidRPr="00F77B4F">
        <w:rPr>
          <w:rFonts w:cstheme="minorHAnsi"/>
          <w:szCs w:val="24"/>
          <w:lang w:val="en-US"/>
        </w:rPr>
        <w:t>TSAG</w:t>
      </w:r>
      <w:r w:rsidRPr="00F77B4F">
        <w:rPr>
          <w:rFonts w:cstheme="minorHAnsi"/>
          <w:szCs w:val="24"/>
        </w:rPr>
        <w:t>-</w:t>
      </w:r>
      <w:r w:rsidRPr="00F77B4F">
        <w:rPr>
          <w:rFonts w:cstheme="minorHAnsi"/>
          <w:szCs w:val="24"/>
          <w:lang w:val="en-US"/>
        </w:rPr>
        <w:t>LS</w:t>
      </w:r>
      <w:r w:rsidRPr="00F77B4F">
        <w:rPr>
          <w:rFonts w:cstheme="minorHAnsi"/>
          <w:szCs w:val="24"/>
        </w:rPr>
        <w:t xml:space="preserve">13, в котором </w:t>
      </w:r>
      <w:r>
        <w:rPr>
          <w:rFonts w:cstheme="minorHAnsi"/>
          <w:szCs w:val="24"/>
        </w:rPr>
        <w:t>был представлен обновленный обзор</w:t>
      </w:r>
      <w:r w:rsidRPr="00F77B4F">
        <w:rPr>
          <w:rFonts w:cstheme="minorHAnsi"/>
          <w:szCs w:val="24"/>
        </w:rPr>
        <w:t xml:space="preserve"> областей работы, представляющих общий интерес, между исследовательскими </w:t>
      </w:r>
      <w:r>
        <w:rPr>
          <w:rFonts w:cstheme="minorHAnsi"/>
          <w:szCs w:val="24"/>
        </w:rPr>
        <w:t>комиссиями</w:t>
      </w:r>
      <w:r w:rsidRPr="00F77B4F">
        <w:rPr>
          <w:rFonts w:cstheme="minorHAnsi"/>
          <w:szCs w:val="24"/>
        </w:rPr>
        <w:t xml:space="preserve"> МСЭ-</w:t>
      </w:r>
      <w:r>
        <w:rPr>
          <w:rFonts w:cstheme="minorHAnsi"/>
          <w:szCs w:val="24"/>
          <w:lang w:val="en-US"/>
        </w:rPr>
        <w:t>D</w:t>
      </w:r>
      <w:r w:rsidRPr="00F77B4F">
        <w:rPr>
          <w:rFonts w:cstheme="minorHAnsi"/>
          <w:szCs w:val="24"/>
        </w:rPr>
        <w:t xml:space="preserve"> и МСЭ-Т, а также между исследовательскими </w:t>
      </w:r>
      <w:r>
        <w:rPr>
          <w:rFonts w:cstheme="minorHAnsi"/>
          <w:szCs w:val="24"/>
        </w:rPr>
        <w:t>комиссиями</w:t>
      </w:r>
      <w:r w:rsidRPr="00F77B4F">
        <w:rPr>
          <w:rFonts w:cstheme="minorHAnsi"/>
          <w:szCs w:val="24"/>
        </w:rPr>
        <w:t xml:space="preserve"> МСЭ-</w:t>
      </w:r>
      <w:r>
        <w:rPr>
          <w:rFonts w:cstheme="minorHAnsi"/>
          <w:szCs w:val="24"/>
          <w:lang w:val="en-US"/>
        </w:rPr>
        <w:t>R</w:t>
      </w:r>
      <w:r w:rsidRPr="00F77B4F">
        <w:rPr>
          <w:rFonts w:cstheme="minorHAnsi"/>
          <w:szCs w:val="24"/>
        </w:rPr>
        <w:t xml:space="preserve"> и МСЭ-Т </w:t>
      </w:r>
      <w:r>
        <w:rPr>
          <w:rFonts w:cstheme="minorHAnsi"/>
          <w:szCs w:val="24"/>
        </w:rPr>
        <w:t xml:space="preserve">для </w:t>
      </w:r>
      <w:r w:rsidRPr="00F77B4F">
        <w:rPr>
          <w:rFonts w:eastAsia="SimSun" w:cstheme="minorHAnsi"/>
          <w:szCs w:val="24"/>
          <w:lang w:eastAsia="zh-CN"/>
        </w:rPr>
        <w:t>межсектор</w:t>
      </w:r>
      <w:r>
        <w:rPr>
          <w:rFonts w:eastAsia="SimSun" w:cstheme="minorHAnsi"/>
          <w:szCs w:val="24"/>
          <w:lang w:eastAsia="zh-CN"/>
        </w:rPr>
        <w:t>аль</w:t>
      </w:r>
      <w:r w:rsidRPr="00F77B4F">
        <w:rPr>
          <w:rFonts w:eastAsia="SimSun" w:cstheme="minorHAnsi"/>
          <w:szCs w:val="24"/>
          <w:lang w:eastAsia="zh-CN"/>
        </w:rPr>
        <w:t xml:space="preserve">ной </w:t>
      </w:r>
      <w:r w:rsidRPr="00F77B4F">
        <w:rPr>
          <w:rFonts w:cstheme="minorHAnsi"/>
          <w:szCs w:val="24"/>
        </w:rPr>
        <w:t xml:space="preserve">координации. Эти </w:t>
      </w:r>
      <w:r>
        <w:rPr>
          <w:rFonts w:cstheme="minorHAnsi"/>
          <w:szCs w:val="24"/>
        </w:rPr>
        <w:t>обзоры</w:t>
      </w:r>
      <w:r w:rsidRPr="00F77B4F">
        <w:rPr>
          <w:rFonts w:cstheme="minorHAnsi"/>
          <w:szCs w:val="24"/>
        </w:rPr>
        <w:t xml:space="preserve"> содержатся в двух </w:t>
      </w:r>
      <w:r>
        <w:rPr>
          <w:rFonts w:cstheme="minorHAnsi"/>
          <w:szCs w:val="24"/>
        </w:rPr>
        <w:t>прилагаемых документах</w:t>
      </w:r>
      <w:r w:rsidRPr="00F77B4F">
        <w:rPr>
          <w:rFonts w:cstheme="minorHAnsi"/>
          <w:szCs w:val="24"/>
        </w:rPr>
        <w:t xml:space="preserve">. В </w:t>
      </w:r>
      <w:r>
        <w:rPr>
          <w:rFonts w:cstheme="minorHAnsi"/>
          <w:szCs w:val="24"/>
        </w:rPr>
        <w:t>Прилагаемом документе</w:t>
      </w:r>
      <w:r w:rsidRPr="00F77B4F">
        <w:rPr>
          <w:rFonts w:cstheme="minorHAnsi"/>
          <w:szCs w:val="24"/>
        </w:rPr>
        <w:t xml:space="preserve"> 1 </w:t>
      </w:r>
      <w:r>
        <w:rPr>
          <w:rFonts w:cstheme="minorHAnsi"/>
          <w:szCs w:val="24"/>
        </w:rPr>
        <w:t xml:space="preserve">содержится информация о </w:t>
      </w:r>
      <w:r w:rsidRPr="00C13DE4">
        <w:t>сопоставлени</w:t>
      </w:r>
      <w:r>
        <w:t>и</w:t>
      </w:r>
      <w:r w:rsidRPr="00C13DE4">
        <w:t xml:space="preserve"> Вопросов ИК1 и ИК2 МСЭ-</w:t>
      </w:r>
      <w:r>
        <w:t>D</w:t>
      </w:r>
      <w:r w:rsidRPr="00C13DE4">
        <w:t>, представляющих интерес для исследовательских комиссий МСЭ-</w:t>
      </w:r>
      <w:r>
        <w:t>Т</w:t>
      </w:r>
      <w:r w:rsidRPr="00F77B4F">
        <w:rPr>
          <w:rFonts w:cstheme="minorHAnsi"/>
          <w:szCs w:val="24"/>
        </w:rPr>
        <w:t xml:space="preserve">; в </w:t>
      </w:r>
      <w:r>
        <w:rPr>
          <w:rFonts w:cstheme="minorHAnsi"/>
          <w:szCs w:val="24"/>
        </w:rPr>
        <w:t>Прилагаемом документе</w:t>
      </w:r>
      <w:r w:rsidRPr="00F77B4F">
        <w:rPr>
          <w:rFonts w:cstheme="minorHAnsi"/>
          <w:szCs w:val="24"/>
        </w:rPr>
        <w:t xml:space="preserve"> 2 </w:t>
      </w:r>
      <w:r>
        <w:rPr>
          <w:rFonts w:cstheme="minorHAnsi"/>
          <w:szCs w:val="24"/>
        </w:rPr>
        <w:t xml:space="preserve">содержится информация </w:t>
      </w:r>
      <w:r w:rsidRPr="00F77B4F">
        <w:rPr>
          <w:rFonts w:cstheme="minorHAnsi"/>
          <w:szCs w:val="24"/>
        </w:rPr>
        <w:t xml:space="preserve">о </w:t>
      </w:r>
      <w:r w:rsidRPr="00C13DE4">
        <w:t>сопоставлени</w:t>
      </w:r>
      <w:r>
        <w:t>и</w:t>
      </w:r>
      <w:r w:rsidRPr="00C13DE4">
        <w:t xml:space="preserve"> вопросов </w:t>
      </w:r>
      <w:r>
        <w:t>рабочих групп МСЭ-</w:t>
      </w:r>
      <w:r>
        <w:rPr>
          <w:lang w:val="en-US"/>
        </w:rPr>
        <w:t>R</w:t>
      </w:r>
      <w:r w:rsidRPr="00C13DE4">
        <w:t xml:space="preserve"> </w:t>
      </w:r>
      <w:r>
        <w:t>и</w:t>
      </w:r>
      <w:r w:rsidRPr="00C13DE4">
        <w:t xml:space="preserve"> исследовательских комиссий МСЭ-</w:t>
      </w:r>
      <w:r>
        <w:t>Т</w:t>
      </w:r>
      <w:r w:rsidRPr="00F77B4F">
        <w:rPr>
          <w:rFonts w:cstheme="minorHAnsi"/>
          <w:szCs w:val="24"/>
        </w:rPr>
        <w:t>.</w:t>
      </w:r>
    </w:p>
    <w:p w14:paraId="71FB228C" w14:textId="77777777" w:rsidR="00125DA8" w:rsidRPr="00F77B4F" w:rsidRDefault="00125DA8" w:rsidP="00E526B6">
      <w:pPr>
        <w:tabs>
          <w:tab w:val="left" w:pos="0"/>
        </w:tabs>
        <w:spacing w:after="120"/>
        <w:rPr>
          <w:rFonts w:cstheme="minorHAnsi"/>
          <w:szCs w:val="24"/>
        </w:rPr>
      </w:pPr>
      <w:r>
        <w:rPr>
          <w:rFonts w:cstheme="minorHAnsi"/>
          <w:szCs w:val="24"/>
        </w:rPr>
        <w:t>Что касается Прилагаемого документа</w:t>
      </w:r>
      <w:r w:rsidRPr="00F77B4F">
        <w:rPr>
          <w:rFonts w:cstheme="minorHAnsi"/>
          <w:szCs w:val="24"/>
        </w:rPr>
        <w:t xml:space="preserve"> 1</w:t>
      </w:r>
      <w:r>
        <w:rPr>
          <w:rFonts w:cstheme="minorHAnsi"/>
          <w:szCs w:val="24"/>
        </w:rPr>
        <w:t>,</w:t>
      </w:r>
      <w:r w:rsidRPr="00F77B4F">
        <w:rPr>
          <w:rFonts w:cstheme="minorHAnsi"/>
          <w:szCs w:val="24"/>
        </w:rPr>
        <w:t xml:space="preserve"> </w:t>
      </w:r>
      <w:r>
        <w:rPr>
          <w:rFonts w:cstheme="minorHAnsi"/>
          <w:szCs w:val="24"/>
        </w:rPr>
        <w:t>КГСЭ</w:t>
      </w:r>
      <w:r w:rsidRPr="00F77B4F">
        <w:rPr>
          <w:rFonts w:cstheme="minorHAnsi"/>
          <w:szCs w:val="24"/>
        </w:rPr>
        <w:t xml:space="preserve"> запросила мнения о том, является ли включение быстро меняющихся </w:t>
      </w:r>
      <w:r>
        <w:rPr>
          <w:rFonts w:cstheme="minorHAnsi"/>
          <w:szCs w:val="24"/>
        </w:rPr>
        <w:t>направлений работы</w:t>
      </w:r>
      <w:r w:rsidRPr="00F77B4F">
        <w:rPr>
          <w:rFonts w:cstheme="minorHAnsi"/>
          <w:szCs w:val="24"/>
        </w:rPr>
        <w:t xml:space="preserve"> надлежащим способом поддержки сотрудничества и взаимодействия между Секторами. Иными словами, целесообразно ли сохранить </w:t>
      </w:r>
      <w:r>
        <w:rPr>
          <w:rFonts w:cstheme="minorHAnsi"/>
          <w:szCs w:val="24"/>
        </w:rPr>
        <w:t>направления работы</w:t>
      </w:r>
      <w:r w:rsidRPr="00F77B4F">
        <w:rPr>
          <w:rFonts w:cstheme="minorHAnsi"/>
          <w:szCs w:val="24"/>
        </w:rPr>
        <w:t xml:space="preserve"> в таблицах</w:t>
      </w:r>
      <w:r>
        <w:rPr>
          <w:rFonts w:cstheme="minorHAnsi"/>
          <w:szCs w:val="24"/>
        </w:rPr>
        <w:t xml:space="preserve"> сопоставления</w:t>
      </w:r>
      <w:r w:rsidRPr="00F77B4F">
        <w:rPr>
          <w:rFonts w:cstheme="minorHAnsi"/>
          <w:szCs w:val="24"/>
        </w:rPr>
        <w:t xml:space="preserve"> в </w:t>
      </w:r>
      <w:r>
        <w:rPr>
          <w:rFonts w:cstheme="minorHAnsi"/>
          <w:szCs w:val="24"/>
        </w:rPr>
        <w:t>Прилагаемом документе</w:t>
      </w:r>
      <w:r w:rsidRPr="00F77B4F">
        <w:rPr>
          <w:rFonts w:cstheme="minorHAnsi"/>
          <w:szCs w:val="24"/>
        </w:rPr>
        <w:t xml:space="preserve"> 1, или достаточно включить в эти таблицы только исследовательские </w:t>
      </w:r>
      <w:r>
        <w:rPr>
          <w:rFonts w:cstheme="minorHAnsi"/>
          <w:szCs w:val="24"/>
        </w:rPr>
        <w:t>комиссии</w:t>
      </w:r>
      <w:r w:rsidRPr="00F77B4F">
        <w:rPr>
          <w:rFonts w:cstheme="minorHAnsi"/>
          <w:szCs w:val="24"/>
        </w:rPr>
        <w:t xml:space="preserve"> и Вопросы?</w:t>
      </w:r>
    </w:p>
    <w:p w14:paraId="4A694733" w14:textId="77777777" w:rsidR="00125DA8" w:rsidRPr="00F77B4F" w:rsidRDefault="00125DA8" w:rsidP="00E526B6">
      <w:pPr>
        <w:tabs>
          <w:tab w:val="left" w:pos="0"/>
        </w:tabs>
        <w:spacing w:after="120"/>
        <w:rPr>
          <w:rFonts w:cstheme="minorHAnsi"/>
          <w:szCs w:val="24"/>
        </w:rPr>
      </w:pPr>
      <w:r>
        <w:rPr>
          <w:rFonts w:cstheme="minorHAnsi"/>
          <w:szCs w:val="24"/>
        </w:rPr>
        <w:t>КГСЭ</w:t>
      </w:r>
      <w:r w:rsidRPr="00F77B4F">
        <w:rPr>
          <w:rFonts w:cstheme="minorHAnsi"/>
          <w:szCs w:val="24"/>
        </w:rPr>
        <w:t xml:space="preserve"> пояснила, что </w:t>
      </w:r>
      <w:r>
        <w:rPr>
          <w:rFonts w:cstheme="minorHAnsi"/>
          <w:szCs w:val="24"/>
        </w:rPr>
        <w:t>сопоставление</w:t>
      </w:r>
      <w:r w:rsidRPr="00F77B4F">
        <w:rPr>
          <w:rFonts w:cstheme="minorHAnsi"/>
          <w:szCs w:val="24"/>
        </w:rPr>
        <w:t xml:space="preserve"> либо </w:t>
      </w:r>
      <w:r>
        <w:rPr>
          <w:rFonts w:cstheme="minorHAnsi"/>
          <w:szCs w:val="24"/>
        </w:rPr>
        <w:t>демонстрирует</w:t>
      </w:r>
      <w:r w:rsidRPr="00F77B4F">
        <w:rPr>
          <w:rFonts w:cstheme="minorHAnsi"/>
          <w:szCs w:val="24"/>
        </w:rPr>
        <w:t xml:space="preserve"> текущее межсектор</w:t>
      </w:r>
      <w:r>
        <w:rPr>
          <w:rFonts w:cstheme="minorHAnsi"/>
          <w:szCs w:val="24"/>
        </w:rPr>
        <w:t>аль</w:t>
      </w:r>
      <w:r w:rsidRPr="00F77B4F">
        <w:rPr>
          <w:rFonts w:cstheme="minorHAnsi"/>
          <w:szCs w:val="24"/>
        </w:rPr>
        <w:t xml:space="preserve">ное сотрудничество МСЭ, либо указывает на </w:t>
      </w:r>
      <w:r>
        <w:rPr>
          <w:rFonts w:cstheme="minorHAnsi"/>
          <w:szCs w:val="24"/>
        </w:rPr>
        <w:t xml:space="preserve">новые </w:t>
      </w:r>
      <w:r w:rsidRPr="00F77B4F">
        <w:rPr>
          <w:rFonts w:cstheme="minorHAnsi"/>
          <w:szCs w:val="24"/>
        </w:rPr>
        <w:t>возможности межсектор</w:t>
      </w:r>
      <w:r>
        <w:rPr>
          <w:rFonts w:cstheme="minorHAnsi"/>
          <w:szCs w:val="24"/>
        </w:rPr>
        <w:t>аль</w:t>
      </w:r>
      <w:r w:rsidRPr="00F77B4F">
        <w:rPr>
          <w:rFonts w:cstheme="minorHAnsi"/>
          <w:szCs w:val="24"/>
        </w:rPr>
        <w:t>ного сотрудничества, и что, как ожидается, он</w:t>
      </w:r>
      <w:r>
        <w:rPr>
          <w:rFonts w:cstheme="minorHAnsi"/>
          <w:szCs w:val="24"/>
        </w:rPr>
        <w:t>и</w:t>
      </w:r>
      <w:r w:rsidRPr="00F77B4F">
        <w:rPr>
          <w:rFonts w:cstheme="minorHAnsi"/>
          <w:szCs w:val="24"/>
        </w:rPr>
        <w:t xml:space="preserve"> помо</w:t>
      </w:r>
      <w:r>
        <w:rPr>
          <w:rFonts w:cstheme="minorHAnsi"/>
          <w:szCs w:val="24"/>
        </w:rPr>
        <w:t>гут</w:t>
      </w:r>
      <w:r w:rsidRPr="00F77B4F">
        <w:rPr>
          <w:rFonts w:cstheme="minorHAnsi"/>
          <w:szCs w:val="24"/>
        </w:rPr>
        <w:t xml:space="preserve"> трем Секторам избежать дублирования</w:t>
      </w:r>
      <w:r>
        <w:rPr>
          <w:rFonts w:cstheme="minorHAnsi"/>
          <w:szCs w:val="24"/>
        </w:rPr>
        <w:t xml:space="preserve"> работы</w:t>
      </w:r>
      <w:r w:rsidRPr="00F77B4F">
        <w:rPr>
          <w:rFonts w:cstheme="minorHAnsi"/>
          <w:szCs w:val="24"/>
        </w:rPr>
        <w:t xml:space="preserve">. </w:t>
      </w:r>
      <w:r>
        <w:rPr>
          <w:rFonts w:cstheme="minorHAnsi"/>
          <w:szCs w:val="24"/>
        </w:rPr>
        <w:t>КГСЭ</w:t>
      </w:r>
      <w:r w:rsidRPr="00F77B4F">
        <w:rPr>
          <w:rFonts w:cstheme="minorHAnsi"/>
          <w:szCs w:val="24"/>
        </w:rPr>
        <w:t xml:space="preserve"> призвала группы "предпринять дальнейшие шаги" и участвовать в двусторонней межсектор</w:t>
      </w:r>
      <w:r>
        <w:rPr>
          <w:rFonts w:cstheme="minorHAnsi"/>
          <w:szCs w:val="24"/>
        </w:rPr>
        <w:t>аль</w:t>
      </w:r>
      <w:r w:rsidRPr="00F77B4F">
        <w:rPr>
          <w:rFonts w:cstheme="minorHAnsi"/>
          <w:szCs w:val="24"/>
        </w:rPr>
        <w:t>ной координации. Она также предложила выдви</w:t>
      </w:r>
      <w:r>
        <w:rPr>
          <w:rFonts w:cstheme="minorHAnsi"/>
          <w:szCs w:val="24"/>
        </w:rPr>
        <w:t>гать</w:t>
      </w:r>
      <w:r w:rsidRPr="00F77B4F">
        <w:rPr>
          <w:rFonts w:cstheme="minorHAnsi"/>
          <w:szCs w:val="24"/>
        </w:rPr>
        <w:t xml:space="preserve"> предложения по улучшению сотрудничества и взаимодействия между Секторами МСЭ и просила представить свои замечания до 30 августа 2019 года.</w:t>
      </w:r>
    </w:p>
    <w:p w14:paraId="43DD508F" w14:textId="4E7BDABF" w:rsidR="00125DA8" w:rsidRPr="00F77B4F" w:rsidRDefault="00083D22" w:rsidP="00E526B6">
      <w:pPr>
        <w:spacing w:after="120"/>
        <w:rPr>
          <w:rFonts w:cstheme="minorHAnsi"/>
          <w:szCs w:val="24"/>
        </w:rPr>
      </w:pPr>
      <w:hyperlink r:id="rId30" w:history="1">
        <w:r w:rsidR="00125DA8" w:rsidRPr="0071293E">
          <w:rPr>
            <w:rStyle w:val="Hyperlink"/>
            <w:rFonts w:cstheme="minorHAnsi"/>
            <w:szCs w:val="24"/>
          </w:rPr>
          <w:t>Документ 18</w:t>
        </w:r>
      </w:hyperlink>
      <w:r w:rsidR="00125DA8" w:rsidRPr="00F77B4F">
        <w:rPr>
          <w:rFonts w:cstheme="minorHAnsi"/>
          <w:szCs w:val="24"/>
        </w:rPr>
        <w:t xml:space="preserve"> представляет собой заявление </w:t>
      </w:r>
      <w:r w:rsidR="00125DA8" w:rsidRPr="00F77B4F">
        <w:rPr>
          <w:rFonts w:eastAsia="SimSun" w:cstheme="minorHAnsi"/>
          <w:szCs w:val="24"/>
          <w:lang w:eastAsia="zh-CN"/>
        </w:rPr>
        <w:t xml:space="preserve">о </w:t>
      </w:r>
      <w:r w:rsidR="00125DA8">
        <w:rPr>
          <w:rFonts w:eastAsia="SimSun" w:cstheme="minorHAnsi"/>
          <w:szCs w:val="24"/>
          <w:lang w:eastAsia="zh-CN"/>
        </w:rPr>
        <w:t>взаимодействии</w:t>
      </w:r>
      <w:r w:rsidR="00125DA8" w:rsidRPr="00F77B4F">
        <w:rPr>
          <w:rFonts w:cstheme="minorHAnsi"/>
          <w:szCs w:val="24"/>
        </w:rPr>
        <w:t>, сделанное</w:t>
      </w:r>
      <w:r w:rsidR="00125DA8">
        <w:rPr>
          <w:rFonts w:cstheme="minorHAnsi"/>
          <w:szCs w:val="24"/>
        </w:rPr>
        <w:t xml:space="preserve"> 5-й</w:t>
      </w:r>
      <w:r w:rsidR="00125DA8" w:rsidRPr="00F77B4F">
        <w:rPr>
          <w:rFonts w:cstheme="minorHAnsi"/>
          <w:szCs w:val="24"/>
        </w:rPr>
        <w:t xml:space="preserve"> Исследовательской </w:t>
      </w:r>
      <w:r w:rsidR="00125DA8">
        <w:rPr>
          <w:rFonts w:cstheme="minorHAnsi"/>
          <w:szCs w:val="24"/>
        </w:rPr>
        <w:t>комиссией</w:t>
      </w:r>
      <w:r w:rsidR="00125DA8" w:rsidRPr="00F77B4F">
        <w:rPr>
          <w:rFonts w:cstheme="minorHAnsi"/>
          <w:szCs w:val="24"/>
        </w:rPr>
        <w:t xml:space="preserve"> МСЭ-Т, в котором сообщается, что на своем </w:t>
      </w:r>
      <w:r w:rsidR="00125DA8">
        <w:rPr>
          <w:rFonts w:cstheme="minorHAnsi"/>
          <w:szCs w:val="24"/>
        </w:rPr>
        <w:t>собрании</w:t>
      </w:r>
      <w:r w:rsidR="00A078DC">
        <w:rPr>
          <w:rFonts w:cstheme="minorHAnsi"/>
          <w:szCs w:val="24"/>
        </w:rPr>
        <w:t xml:space="preserve"> в Женеве 13−</w:t>
      </w:r>
      <w:r w:rsidR="00125DA8" w:rsidRPr="00F77B4F">
        <w:rPr>
          <w:rFonts w:cstheme="minorHAnsi"/>
          <w:szCs w:val="24"/>
        </w:rPr>
        <w:t xml:space="preserve">22 мая 2019 года она рассмотрела </w:t>
      </w:r>
      <w:r w:rsidR="00125DA8">
        <w:rPr>
          <w:rFonts w:cstheme="minorHAnsi"/>
          <w:szCs w:val="24"/>
        </w:rPr>
        <w:t>Прилагаемые документы</w:t>
      </w:r>
      <w:r w:rsidR="00125DA8" w:rsidRPr="00F77B4F">
        <w:rPr>
          <w:rFonts w:cstheme="minorHAnsi"/>
          <w:szCs w:val="24"/>
        </w:rPr>
        <w:t xml:space="preserve"> 1 и 2 и представила свои замечания по ним в ответ на TSAG</w:t>
      </w:r>
      <w:r w:rsidR="00A078DC">
        <w:rPr>
          <w:rFonts w:cstheme="minorHAnsi"/>
          <w:szCs w:val="24"/>
        </w:rPr>
        <w:noBreakHyphen/>
      </w:r>
      <w:r w:rsidR="00125DA8" w:rsidRPr="00F77B4F">
        <w:rPr>
          <w:rFonts w:cstheme="minorHAnsi"/>
          <w:szCs w:val="24"/>
        </w:rPr>
        <w:t>LS13.</w:t>
      </w:r>
    </w:p>
    <w:p w14:paraId="1C686068" w14:textId="430D842F" w:rsidR="00125DA8" w:rsidRPr="00F77B4F" w:rsidRDefault="00125DA8" w:rsidP="00E526B6">
      <w:pPr>
        <w:tabs>
          <w:tab w:val="left" w:pos="0"/>
        </w:tabs>
        <w:spacing w:after="120"/>
        <w:rPr>
          <w:rFonts w:cstheme="minorHAnsi"/>
          <w:szCs w:val="24"/>
        </w:rPr>
      </w:pPr>
      <w:r>
        <w:t xml:space="preserve">В </w:t>
      </w:r>
      <w:hyperlink r:id="rId31" w:history="1">
        <w:r w:rsidRPr="0071293E">
          <w:rPr>
            <w:rStyle w:val="Hyperlink"/>
            <w:rFonts w:cstheme="minorHAnsi"/>
            <w:szCs w:val="24"/>
          </w:rPr>
          <w:t>Документе 19</w:t>
        </w:r>
      </w:hyperlink>
      <w:r w:rsidRPr="00F77B4F">
        <w:rPr>
          <w:rFonts w:cstheme="minorHAnsi"/>
          <w:szCs w:val="24"/>
        </w:rPr>
        <w:t xml:space="preserve"> </w:t>
      </w:r>
      <w:r>
        <w:rPr>
          <w:rFonts w:cstheme="minorHAnsi"/>
          <w:szCs w:val="24"/>
        </w:rPr>
        <w:t>содержится</w:t>
      </w:r>
      <w:r w:rsidRPr="00F77B4F">
        <w:rPr>
          <w:rFonts w:cstheme="minorHAnsi"/>
          <w:szCs w:val="24"/>
        </w:rPr>
        <w:t xml:space="preserve"> заявление </w:t>
      </w:r>
      <w:r>
        <w:rPr>
          <w:rFonts w:cstheme="minorHAnsi"/>
          <w:szCs w:val="24"/>
        </w:rPr>
        <w:t>о взаимодействии</w:t>
      </w:r>
      <w:r w:rsidRPr="00F77B4F">
        <w:rPr>
          <w:rFonts w:cstheme="minorHAnsi"/>
          <w:szCs w:val="24"/>
        </w:rPr>
        <w:t>, сделанное</w:t>
      </w:r>
      <w:r>
        <w:rPr>
          <w:rFonts w:cstheme="minorHAnsi"/>
          <w:szCs w:val="24"/>
        </w:rPr>
        <w:t xml:space="preserve"> 11-й</w:t>
      </w:r>
      <w:r w:rsidRPr="00F77B4F">
        <w:rPr>
          <w:rFonts w:cstheme="minorHAnsi"/>
          <w:szCs w:val="24"/>
        </w:rPr>
        <w:t xml:space="preserve"> Исследовательской </w:t>
      </w:r>
      <w:r>
        <w:rPr>
          <w:rFonts w:cstheme="minorHAnsi"/>
          <w:szCs w:val="24"/>
        </w:rPr>
        <w:t>комиссией</w:t>
      </w:r>
      <w:r w:rsidRPr="00F77B4F">
        <w:rPr>
          <w:rFonts w:cstheme="minorHAnsi"/>
          <w:szCs w:val="24"/>
        </w:rPr>
        <w:t xml:space="preserve"> МСЭ-Т, которая сообщила, что на своем </w:t>
      </w:r>
      <w:r>
        <w:rPr>
          <w:rFonts w:cstheme="minorHAnsi"/>
          <w:szCs w:val="24"/>
        </w:rPr>
        <w:t>собрании</w:t>
      </w:r>
      <w:r w:rsidRPr="00F77B4F">
        <w:rPr>
          <w:rFonts w:cstheme="minorHAnsi"/>
          <w:szCs w:val="24"/>
        </w:rPr>
        <w:t xml:space="preserve"> в Женеве 6</w:t>
      </w:r>
      <w:r w:rsidR="00A078DC" w:rsidRPr="00A078DC">
        <w:rPr>
          <w:rFonts w:cstheme="minorHAnsi"/>
          <w:szCs w:val="24"/>
        </w:rPr>
        <w:t>−</w:t>
      </w:r>
      <w:r w:rsidRPr="00F77B4F">
        <w:rPr>
          <w:rFonts w:cstheme="minorHAnsi"/>
          <w:szCs w:val="24"/>
        </w:rPr>
        <w:t xml:space="preserve">15 марта 2019 года она </w:t>
      </w:r>
      <w:r>
        <w:rPr>
          <w:rFonts w:cstheme="minorHAnsi"/>
          <w:szCs w:val="24"/>
        </w:rPr>
        <w:t>приняла решение</w:t>
      </w:r>
      <w:r w:rsidRPr="00F77B4F">
        <w:rPr>
          <w:rFonts w:cstheme="minorHAnsi"/>
          <w:szCs w:val="24"/>
        </w:rPr>
        <w:t>, что достаточно, чтобы в таблицах</w:t>
      </w:r>
      <w:r>
        <w:rPr>
          <w:rFonts w:cstheme="minorHAnsi"/>
          <w:szCs w:val="24"/>
        </w:rPr>
        <w:t xml:space="preserve"> сопоставления</w:t>
      </w:r>
      <w:r w:rsidRPr="00F77B4F">
        <w:rPr>
          <w:rFonts w:cstheme="minorHAnsi"/>
          <w:szCs w:val="24"/>
        </w:rPr>
        <w:t xml:space="preserve"> </w:t>
      </w:r>
      <w:r>
        <w:rPr>
          <w:rFonts w:cstheme="minorHAnsi"/>
          <w:szCs w:val="24"/>
        </w:rPr>
        <w:t>Прилагаемого документа</w:t>
      </w:r>
      <w:r w:rsidRPr="00F77B4F">
        <w:rPr>
          <w:rFonts w:cstheme="minorHAnsi"/>
          <w:szCs w:val="24"/>
        </w:rPr>
        <w:t xml:space="preserve"> 1 </w:t>
      </w:r>
      <w:r>
        <w:rPr>
          <w:rFonts w:cstheme="minorHAnsi"/>
          <w:szCs w:val="24"/>
        </w:rPr>
        <w:t>были включены только исследовательские комиссии и Вопросы без перечисления направлений работы</w:t>
      </w:r>
      <w:r w:rsidRPr="00F77B4F">
        <w:rPr>
          <w:rFonts w:cstheme="minorHAnsi"/>
          <w:szCs w:val="24"/>
        </w:rPr>
        <w:t xml:space="preserve">. Причина такого решения заключается в том, что подробная информация по Вопросам и связанным с ними </w:t>
      </w:r>
      <w:r>
        <w:rPr>
          <w:rFonts w:cstheme="minorHAnsi"/>
          <w:szCs w:val="24"/>
        </w:rPr>
        <w:t>направлениям работы</w:t>
      </w:r>
      <w:r w:rsidRPr="00F77B4F">
        <w:rPr>
          <w:rFonts w:cstheme="minorHAnsi"/>
          <w:szCs w:val="24"/>
        </w:rPr>
        <w:t xml:space="preserve"> уже размещена на веб-сайтах исследовательских </w:t>
      </w:r>
      <w:r>
        <w:rPr>
          <w:rFonts w:cstheme="minorHAnsi"/>
          <w:szCs w:val="24"/>
        </w:rPr>
        <w:t>комиссий</w:t>
      </w:r>
      <w:r w:rsidRPr="00F77B4F">
        <w:rPr>
          <w:rFonts w:cstheme="minorHAnsi"/>
          <w:szCs w:val="24"/>
        </w:rPr>
        <w:t>.</w:t>
      </w:r>
    </w:p>
    <w:p w14:paraId="6B47432E" w14:textId="342B004A" w:rsidR="00125DA8" w:rsidRPr="00F77B4F" w:rsidRDefault="00083D22" w:rsidP="00E526B6">
      <w:pPr>
        <w:spacing w:after="120"/>
        <w:rPr>
          <w:rFonts w:cstheme="minorHAnsi"/>
          <w:szCs w:val="24"/>
        </w:rPr>
      </w:pPr>
      <w:hyperlink r:id="rId32" w:history="1">
        <w:r w:rsidR="00125DA8" w:rsidRPr="0071293E">
          <w:rPr>
            <w:rStyle w:val="Hyperlink"/>
            <w:rFonts w:cstheme="minorHAnsi"/>
            <w:szCs w:val="24"/>
          </w:rPr>
          <w:t>Докумен</w:t>
        </w:r>
        <w:r w:rsidR="00125DA8">
          <w:rPr>
            <w:rStyle w:val="Hyperlink"/>
            <w:rFonts w:cstheme="minorHAnsi"/>
            <w:szCs w:val="24"/>
          </w:rPr>
          <w:t>т 20</w:t>
        </w:r>
      </w:hyperlink>
      <w:r w:rsidR="00125DA8" w:rsidRPr="00F77B4F">
        <w:rPr>
          <w:rFonts w:cstheme="minorHAnsi"/>
          <w:szCs w:val="24"/>
        </w:rPr>
        <w:t xml:space="preserve"> представляет собой заявление</w:t>
      </w:r>
      <w:r w:rsidR="00125DA8" w:rsidRPr="0071293E">
        <w:rPr>
          <w:rFonts w:cstheme="minorHAnsi"/>
          <w:szCs w:val="24"/>
        </w:rPr>
        <w:t xml:space="preserve"> </w:t>
      </w:r>
      <w:r w:rsidR="00125DA8">
        <w:rPr>
          <w:rFonts w:cstheme="minorHAnsi"/>
          <w:szCs w:val="24"/>
        </w:rPr>
        <w:t>о взаимодействии</w:t>
      </w:r>
      <w:r w:rsidR="00125DA8" w:rsidRPr="00F77B4F">
        <w:rPr>
          <w:rFonts w:cstheme="minorHAnsi"/>
          <w:szCs w:val="24"/>
        </w:rPr>
        <w:t>, полученное от</w:t>
      </w:r>
      <w:r w:rsidR="00125DA8">
        <w:rPr>
          <w:rFonts w:cstheme="minorHAnsi"/>
          <w:szCs w:val="24"/>
        </w:rPr>
        <w:t xml:space="preserve"> 17-й</w:t>
      </w:r>
      <w:r w:rsidR="00125DA8" w:rsidRPr="00F77B4F">
        <w:rPr>
          <w:rFonts w:cstheme="minorHAnsi"/>
          <w:szCs w:val="24"/>
        </w:rPr>
        <w:t xml:space="preserve"> Исследовательской </w:t>
      </w:r>
      <w:r w:rsidR="00125DA8">
        <w:rPr>
          <w:rFonts w:cstheme="minorHAnsi"/>
          <w:szCs w:val="24"/>
        </w:rPr>
        <w:t>комиссии</w:t>
      </w:r>
      <w:r w:rsidR="00125DA8" w:rsidRPr="00F77B4F">
        <w:rPr>
          <w:rFonts w:cstheme="minorHAnsi"/>
          <w:szCs w:val="24"/>
        </w:rPr>
        <w:t xml:space="preserve"> МСЭ-Т, в котором сообщается, что на своем </w:t>
      </w:r>
      <w:r w:rsidR="00125DA8">
        <w:rPr>
          <w:rFonts w:cstheme="minorHAnsi"/>
          <w:szCs w:val="24"/>
        </w:rPr>
        <w:t>собрании</w:t>
      </w:r>
      <w:r w:rsidR="00125DA8" w:rsidRPr="00F77B4F">
        <w:rPr>
          <w:rFonts w:cstheme="minorHAnsi"/>
          <w:szCs w:val="24"/>
        </w:rPr>
        <w:t xml:space="preserve"> в Женеве </w:t>
      </w:r>
      <w:r w:rsidR="00125DA8" w:rsidRPr="00F77B4F">
        <w:rPr>
          <w:rFonts w:cstheme="minorHAnsi"/>
          <w:szCs w:val="24"/>
        </w:rPr>
        <w:lastRenderedPageBreak/>
        <w:t>22</w:t>
      </w:r>
      <w:r w:rsidR="00A078DC" w:rsidRPr="00A078DC">
        <w:rPr>
          <w:rFonts w:cstheme="minorHAnsi"/>
          <w:szCs w:val="24"/>
        </w:rPr>
        <w:t>−</w:t>
      </w:r>
      <w:r w:rsidR="00125DA8" w:rsidRPr="00F77B4F">
        <w:rPr>
          <w:rFonts w:cstheme="minorHAnsi"/>
          <w:szCs w:val="24"/>
        </w:rPr>
        <w:t>30</w:t>
      </w:r>
      <w:r w:rsidR="00A078DC">
        <w:rPr>
          <w:rFonts w:cstheme="minorHAnsi"/>
          <w:szCs w:val="24"/>
          <w:lang w:val="en-US"/>
        </w:rPr>
        <w:t> </w:t>
      </w:r>
      <w:r w:rsidR="00125DA8" w:rsidRPr="00F77B4F">
        <w:rPr>
          <w:rFonts w:cstheme="minorHAnsi"/>
          <w:szCs w:val="24"/>
        </w:rPr>
        <w:t>января 2019 года она обновила таблицы</w:t>
      </w:r>
      <w:r w:rsidR="00125DA8">
        <w:rPr>
          <w:rFonts w:cstheme="minorHAnsi"/>
          <w:szCs w:val="24"/>
        </w:rPr>
        <w:t xml:space="preserve"> сопоставления</w:t>
      </w:r>
      <w:r w:rsidR="00125DA8" w:rsidRPr="0071293E">
        <w:rPr>
          <w:rFonts w:cstheme="minorHAnsi"/>
          <w:szCs w:val="24"/>
        </w:rPr>
        <w:t xml:space="preserve"> </w:t>
      </w:r>
      <w:r w:rsidR="00125DA8">
        <w:rPr>
          <w:rFonts w:cstheme="minorHAnsi"/>
          <w:szCs w:val="24"/>
        </w:rPr>
        <w:t>Прилагаемого документа</w:t>
      </w:r>
      <w:r w:rsidR="00125DA8" w:rsidRPr="00F77B4F">
        <w:rPr>
          <w:rFonts w:cstheme="minorHAnsi"/>
          <w:szCs w:val="24"/>
        </w:rPr>
        <w:t xml:space="preserve"> 1 в ответ на </w:t>
      </w:r>
      <w:r w:rsidR="00125DA8" w:rsidRPr="00F77B4F">
        <w:rPr>
          <w:rFonts w:cstheme="minorHAnsi"/>
          <w:szCs w:val="24"/>
          <w:lang w:val="en-US"/>
        </w:rPr>
        <w:t>TSAG</w:t>
      </w:r>
      <w:r w:rsidR="00125DA8" w:rsidRPr="00F77B4F">
        <w:rPr>
          <w:rFonts w:cstheme="minorHAnsi"/>
          <w:szCs w:val="24"/>
        </w:rPr>
        <w:t>-</w:t>
      </w:r>
      <w:r w:rsidR="00125DA8" w:rsidRPr="00F77B4F">
        <w:rPr>
          <w:rFonts w:cstheme="minorHAnsi"/>
          <w:szCs w:val="24"/>
          <w:lang w:val="en-US"/>
        </w:rPr>
        <w:t>LS</w:t>
      </w:r>
      <w:r w:rsidR="00125DA8" w:rsidRPr="00F77B4F">
        <w:rPr>
          <w:rFonts w:cstheme="minorHAnsi"/>
          <w:szCs w:val="24"/>
        </w:rPr>
        <w:t>13.</w:t>
      </w:r>
    </w:p>
    <w:p w14:paraId="27E92DE7" w14:textId="2CB9B414" w:rsidR="00125DA8" w:rsidRPr="00F77B4F" w:rsidRDefault="00083D22" w:rsidP="00E526B6">
      <w:pPr>
        <w:spacing w:after="120"/>
        <w:rPr>
          <w:rFonts w:cstheme="minorHAnsi"/>
          <w:szCs w:val="24"/>
        </w:rPr>
      </w:pPr>
      <w:hyperlink r:id="rId33" w:history="1">
        <w:r w:rsidR="00125DA8" w:rsidRPr="0071293E">
          <w:rPr>
            <w:rStyle w:val="Hyperlink"/>
            <w:rFonts w:cstheme="minorHAnsi"/>
            <w:szCs w:val="24"/>
          </w:rPr>
          <w:t>Документ 21</w:t>
        </w:r>
      </w:hyperlink>
      <w:r w:rsidR="00125DA8" w:rsidRPr="00F77B4F">
        <w:rPr>
          <w:rFonts w:cstheme="minorHAnsi"/>
          <w:szCs w:val="24"/>
        </w:rPr>
        <w:t xml:space="preserve"> представляет собой заявление </w:t>
      </w:r>
      <w:r w:rsidR="00125DA8">
        <w:rPr>
          <w:rFonts w:cstheme="minorHAnsi"/>
          <w:szCs w:val="24"/>
        </w:rPr>
        <w:t>о взаимодействии</w:t>
      </w:r>
      <w:r w:rsidR="00125DA8" w:rsidRPr="00F77B4F">
        <w:rPr>
          <w:rFonts w:cstheme="minorHAnsi"/>
          <w:szCs w:val="24"/>
        </w:rPr>
        <w:t xml:space="preserve">, </w:t>
      </w:r>
      <w:r w:rsidR="00125DA8">
        <w:rPr>
          <w:rFonts w:cstheme="minorHAnsi"/>
          <w:szCs w:val="24"/>
        </w:rPr>
        <w:t>подготовленное 20-й</w:t>
      </w:r>
      <w:r w:rsidR="00125DA8" w:rsidRPr="00F77B4F">
        <w:rPr>
          <w:rFonts w:cstheme="minorHAnsi"/>
          <w:szCs w:val="24"/>
        </w:rPr>
        <w:t xml:space="preserve"> Исследовательской </w:t>
      </w:r>
      <w:r w:rsidR="00125DA8">
        <w:rPr>
          <w:rFonts w:cstheme="minorHAnsi"/>
          <w:szCs w:val="24"/>
        </w:rPr>
        <w:t>комиссией</w:t>
      </w:r>
      <w:r w:rsidR="00125DA8" w:rsidRPr="00F77B4F">
        <w:rPr>
          <w:rFonts w:cstheme="minorHAnsi"/>
          <w:szCs w:val="24"/>
        </w:rPr>
        <w:t xml:space="preserve"> МСЭ-Т, в котором сообщается, что на своем </w:t>
      </w:r>
      <w:r w:rsidR="00125DA8">
        <w:rPr>
          <w:rFonts w:cstheme="minorHAnsi"/>
          <w:szCs w:val="24"/>
        </w:rPr>
        <w:t>собрании</w:t>
      </w:r>
      <w:r w:rsidR="00A078DC">
        <w:rPr>
          <w:rFonts w:cstheme="minorHAnsi"/>
          <w:szCs w:val="24"/>
        </w:rPr>
        <w:t xml:space="preserve"> в Женеве 9−18 </w:t>
      </w:r>
      <w:r w:rsidR="00125DA8" w:rsidRPr="00F77B4F">
        <w:rPr>
          <w:rFonts w:cstheme="minorHAnsi"/>
          <w:szCs w:val="24"/>
        </w:rPr>
        <w:t xml:space="preserve">апреля 2019 года она рассмотрела </w:t>
      </w:r>
      <w:r w:rsidR="00125DA8">
        <w:rPr>
          <w:rFonts w:cstheme="minorHAnsi"/>
          <w:szCs w:val="24"/>
        </w:rPr>
        <w:t>Прилагаемые документы</w:t>
      </w:r>
      <w:r w:rsidR="00125DA8" w:rsidRPr="00F77B4F">
        <w:rPr>
          <w:rFonts w:cstheme="minorHAnsi"/>
          <w:szCs w:val="24"/>
        </w:rPr>
        <w:t xml:space="preserve"> 1 и 2 и представила свои замечания по ним в ответ на TSAG-LS13.</w:t>
      </w:r>
    </w:p>
    <w:p w14:paraId="3792C9DD" w14:textId="77777777" w:rsidR="00125DA8" w:rsidRPr="00F77B4F" w:rsidRDefault="00125DA8" w:rsidP="00E526B6">
      <w:pPr>
        <w:spacing w:after="120"/>
        <w:rPr>
          <w:rFonts w:cstheme="minorHAnsi"/>
          <w:szCs w:val="24"/>
        </w:rPr>
      </w:pPr>
      <w:r w:rsidRPr="00F77B4F">
        <w:rPr>
          <w:rFonts w:cstheme="minorHAnsi"/>
          <w:szCs w:val="24"/>
        </w:rPr>
        <w:t xml:space="preserve">Документы 35, 36 и 56 являются заявлениями </w:t>
      </w:r>
      <w:r>
        <w:rPr>
          <w:rFonts w:cstheme="minorHAnsi"/>
          <w:szCs w:val="24"/>
        </w:rPr>
        <w:t>о взаимодействии</w:t>
      </w:r>
      <w:r w:rsidRPr="00F77B4F">
        <w:rPr>
          <w:rFonts w:cstheme="minorHAnsi"/>
          <w:szCs w:val="24"/>
        </w:rPr>
        <w:t xml:space="preserve"> по вопросам межсектор</w:t>
      </w:r>
      <w:r>
        <w:rPr>
          <w:rFonts w:cstheme="minorHAnsi"/>
          <w:szCs w:val="24"/>
        </w:rPr>
        <w:t>аль</w:t>
      </w:r>
      <w:r w:rsidRPr="00F77B4F">
        <w:rPr>
          <w:rFonts w:cstheme="minorHAnsi"/>
          <w:szCs w:val="24"/>
        </w:rPr>
        <w:t>ной координации.</w:t>
      </w:r>
    </w:p>
    <w:p w14:paraId="1557000D" w14:textId="4D25B77C" w:rsidR="00125DA8" w:rsidRPr="00F77B4F" w:rsidRDefault="00125DA8" w:rsidP="00E526B6">
      <w:pPr>
        <w:spacing w:after="120"/>
        <w:rPr>
          <w:rFonts w:cstheme="minorHAnsi"/>
          <w:szCs w:val="24"/>
        </w:rPr>
      </w:pPr>
      <w:r w:rsidRPr="00F77B4F">
        <w:rPr>
          <w:rFonts w:cstheme="minorHAnsi"/>
          <w:szCs w:val="24"/>
        </w:rPr>
        <w:t xml:space="preserve">На своем </w:t>
      </w:r>
      <w:r>
        <w:rPr>
          <w:rFonts w:cstheme="minorHAnsi"/>
          <w:szCs w:val="24"/>
        </w:rPr>
        <w:t>собрании</w:t>
      </w:r>
      <w:r w:rsidRPr="00F77B4F">
        <w:rPr>
          <w:rFonts w:cstheme="minorHAnsi"/>
          <w:szCs w:val="24"/>
        </w:rPr>
        <w:t xml:space="preserve"> в Женеве 23</w:t>
      </w:r>
      <w:r w:rsidR="00A078DC" w:rsidRPr="00A078DC">
        <w:rPr>
          <w:rFonts w:cstheme="minorHAnsi"/>
          <w:szCs w:val="24"/>
        </w:rPr>
        <w:t>−</w:t>
      </w:r>
      <w:r w:rsidRPr="00F77B4F">
        <w:rPr>
          <w:rFonts w:cstheme="minorHAnsi"/>
          <w:szCs w:val="24"/>
        </w:rPr>
        <w:t xml:space="preserve">27 сентября 2019 года </w:t>
      </w:r>
      <w:r>
        <w:rPr>
          <w:rFonts w:cstheme="minorHAnsi"/>
          <w:szCs w:val="24"/>
        </w:rPr>
        <w:t>КГСЭ</w:t>
      </w:r>
      <w:r w:rsidRPr="00F77B4F">
        <w:rPr>
          <w:rFonts w:cstheme="minorHAnsi"/>
          <w:szCs w:val="24"/>
        </w:rPr>
        <w:t xml:space="preserve"> приняла все поправки, полученные </w:t>
      </w:r>
      <w:r>
        <w:rPr>
          <w:rFonts w:cstheme="minorHAnsi"/>
          <w:szCs w:val="24"/>
        </w:rPr>
        <w:t>по</w:t>
      </w:r>
      <w:r w:rsidRPr="00F77B4F">
        <w:rPr>
          <w:rFonts w:cstheme="minorHAnsi"/>
          <w:szCs w:val="24"/>
        </w:rPr>
        <w:t xml:space="preserve"> </w:t>
      </w:r>
      <w:r>
        <w:rPr>
          <w:rFonts w:cstheme="minorHAnsi"/>
          <w:szCs w:val="24"/>
        </w:rPr>
        <w:t>Прилагаемым документам</w:t>
      </w:r>
      <w:r w:rsidRPr="00F77B4F">
        <w:rPr>
          <w:rFonts w:cstheme="minorHAnsi"/>
          <w:szCs w:val="24"/>
        </w:rPr>
        <w:t xml:space="preserve"> 1 и 2, соответствующим образом обновила </w:t>
      </w:r>
      <w:r>
        <w:rPr>
          <w:rFonts w:cstheme="minorHAnsi"/>
          <w:szCs w:val="24"/>
        </w:rPr>
        <w:t>таблицы сопоставления, а также</w:t>
      </w:r>
      <w:r w:rsidRPr="00F77B4F">
        <w:rPr>
          <w:rFonts w:cstheme="minorHAnsi"/>
          <w:szCs w:val="24"/>
        </w:rPr>
        <w:t xml:space="preserve"> и просила представить дополнительные замечания в своем заявлении </w:t>
      </w:r>
      <w:r>
        <w:rPr>
          <w:rFonts w:cstheme="minorHAnsi"/>
          <w:szCs w:val="24"/>
        </w:rPr>
        <w:t>о взаимодействии</w:t>
      </w:r>
      <w:r w:rsidRPr="00F77B4F">
        <w:rPr>
          <w:rFonts w:cstheme="minorHAnsi"/>
          <w:szCs w:val="24"/>
        </w:rPr>
        <w:t xml:space="preserve">, содержащемся в </w:t>
      </w:r>
      <w:hyperlink r:id="rId34" w:history="1">
        <w:r w:rsidRPr="008E3307">
          <w:rPr>
            <w:rStyle w:val="Hyperlink"/>
            <w:rFonts w:cstheme="minorHAnsi"/>
            <w:szCs w:val="24"/>
          </w:rPr>
          <w:t>Документе 23</w:t>
        </w:r>
      </w:hyperlink>
      <w:r w:rsidRPr="00F77B4F">
        <w:rPr>
          <w:rFonts w:cstheme="minorHAnsi"/>
          <w:szCs w:val="24"/>
        </w:rPr>
        <w:t>.</w:t>
      </w:r>
    </w:p>
    <w:p w14:paraId="45A9A141" w14:textId="77777777" w:rsidR="00125DA8" w:rsidRPr="00F77B4F" w:rsidRDefault="00125DA8" w:rsidP="00E526B6">
      <w:pPr>
        <w:tabs>
          <w:tab w:val="left" w:pos="0"/>
        </w:tabs>
        <w:spacing w:after="120"/>
        <w:rPr>
          <w:rFonts w:cstheme="minorHAnsi"/>
          <w:szCs w:val="24"/>
        </w:rPr>
      </w:pPr>
      <w:r w:rsidRPr="00F77B4F">
        <w:rPr>
          <w:rFonts w:cstheme="minorHAnsi"/>
          <w:szCs w:val="24"/>
        </w:rPr>
        <w:t xml:space="preserve">После своего </w:t>
      </w:r>
      <w:r>
        <w:rPr>
          <w:rFonts w:cstheme="minorHAnsi"/>
          <w:szCs w:val="24"/>
        </w:rPr>
        <w:t>собрания</w:t>
      </w:r>
      <w:r w:rsidRPr="00F77B4F">
        <w:rPr>
          <w:rFonts w:cstheme="minorHAnsi"/>
          <w:szCs w:val="24"/>
        </w:rPr>
        <w:t xml:space="preserve"> в Женеве 10-14 февраля 2020 года </w:t>
      </w:r>
      <w:r>
        <w:rPr>
          <w:rFonts w:cstheme="minorHAnsi"/>
          <w:szCs w:val="24"/>
        </w:rPr>
        <w:t>КГСЭ</w:t>
      </w:r>
      <w:r w:rsidRPr="00F77B4F">
        <w:rPr>
          <w:rFonts w:cstheme="minorHAnsi"/>
          <w:szCs w:val="24"/>
        </w:rPr>
        <w:t xml:space="preserve"> в своем заявлении о </w:t>
      </w:r>
      <w:r>
        <w:rPr>
          <w:rFonts w:cstheme="minorHAnsi"/>
          <w:szCs w:val="24"/>
        </w:rPr>
        <w:t>взаимодействии</w:t>
      </w:r>
      <w:r w:rsidRPr="00F77B4F">
        <w:rPr>
          <w:rFonts w:cstheme="minorHAnsi"/>
          <w:szCs w:val="24"/>
        </w:rPr>
        <w:t xml:space="preserve">, содержащемся в </w:t>
      </w:r>
      <w:hyperlink r:id="rId35" w:history="1">
        <w:r w:rsidRPr="008E3307">
          <w:rPr>
            <w:rStyle w:val="Hyperlink"/>
            <w:rFonts w:cstheme="minorHAnsi"/>
            <w:szCs w:val="24"/>
          </w:rPr>
          <w:t>Документе 35</w:t>
        </w:r>
      </w:hyperlink>
      <w:r w:rsidRPr="00F77B4F">
        <w:rPr>
          <w:rFonts w:cstheme="minorHAnsi"/>
          <w:szCs w:val="24"/>
        </w:rPr>
        <w:t xml:space="preserve">, представила обновленные </w:t>
      </w:r>
      <w:r>
        <w:rPr>
          <w:rFonts w:cstheme="minorHAnsi"/>
          <w:szCs w:val="24"/>
        </w:rPr>
        <w:t>таблицы сопоставления</w:t>
      </w:r>
      <w:r w:rsidRPr="00F77B4F">
        <w:rPr>
          <w:rFonts w:cstheme="minorHAnsi"/>
          <w:szCs w:val="24"/>
        </w:rPr>
        <w:t xml:space="preserve"> областей работы, представляющих взаимный интерес, между исследовательск</w:t>
      </w:r>
      <w:r>
        <w:rPr>
          <w:rFonts w:cstheme="minorHAnsi"/>
          <w:szCs w:val="24"/>
        </w:rPr>
        <w:t>ими</w:t>
      </w:r>
      <w:r w:rsidRPr="00F77B4F">
        <w:rPr>
          <w:rFonts w:cstheme="minorHAnsi"/>
          <w:szCs w:val="24"/>
        </w:rPr>
        <w:t xml:space="preserve"> </w:t>
      </w:r>
      <w:r>
        <w:rPr>
          <w:rFonts w:cstheme="minorHAnsi"/>
          <w:szCs w:val="24"/>
        </w:rPr>
        <w:t>комиссиями</w:t>
      </w:r>
      <w:r w:rsidRPr="00F77B4F">
        <w:rPr>
          <w:rFonts w:cstheme="minorHAnsi"/>
          <w:szCs w:val="24"/>
        </w:rPr>
        <w:t xml:space="preserve"> МСЭ-D и исследовательск</w:t>
      </w:r>
      <w:r>
        <w:rPr>
          <w:rFonts w:cstheme="minorHAnsi"/>
          <w:szCs w:val="24"/>
        </w:rPr>
        <w:t>ими</w:t>
      </w:r>
      <w:r w:rsidRPr="00F77B4F">
        <w:rPr>
          <w:rFonts w:cstheme="minorHAnsi"/>
          <w:szCs w:val="24"/>
        </w:rPr>
        <w:t xml:space="preserve"> </w:t>
      </w:r>
      <w:r>
        <w:rPr>
          <w:rFonts w:cstheme="minorHAnsi"/>
          <w:szCs w:val="24"/>
        </w:rPr>
        <w:t>комиссиями</w:t>
      </w:r>
      <w:r w:rsidRPr="00F77B4F">
        <w:rPr>
          <w:rFonts w:cstheme="minorHAnsi"/>
          <w:szCs w:val="24"/>
        </w:rPr>
        <w:t xml:space="preserve"> МСЭ-Т, а также между исследовательск</w:t>
      </w:r>
      <w:r>
        <w:rPr>
          <w:rFonts w:cstheme="minorHAnsi"/>
          <w:szCs w:val="24"/>
        </w:rPr>
        <w:t>ими</w:t>
      </w:r>
      <w:r w:rsidRPr="00F77B4F">
        <w:rPr>
          <w:rFonts w:cstheme="minorHAnsi"/>
          <w:szCs w:val="24"/>
        </w:rPr>
        <w:t xml:space="preserve"> </w:t>
      </w:r>
      <w:r>
        <w:rPr>
          <w:rFonts w:cstheme="minorHAnsi"/>
          <w:szCs w:val="24"/>
        </w:rPr>
        <w:t>комиссиями</w:t>
      </w:r>
      <w:r w:rsidRPr="00F77B4F">
        <w:rPr>
          <w:rFonts w:cstheme="minorHAnsi"/>
          <w:szCs w:val="24"/>
        </w:rPr>
        <w:t xml:space="preserve"> МСЭ-</w:t>
      </w:r>
      <w:r>
        <w:rPr>
          <w:rFonts w:cstheme="minorHAnsi"/>
          <w:szCs w:val="24"/>
          <w:lang w:val="en-US"/>
        </w:rPr>
        <w:t>R</w:t>
      </w:r>
      <w:r w:rsidRPr="00F77B4F">
        <w:rPr>
          <w:rFonts w:cstheme="minorHAnsi"/>
          <w:szCs w:val="24"/>
        </w:rPr>
        <w:t xml:space="preserve"> и исследовательск</w:t>
      </w:r>
      <w:r>
        <w:rPr>
          <w:rFonts w:cstheme="minorHAnsi"/>
          <w:szCs w:val="24"/>
        </w:rPr>
        <w:t>ими</w:t>
      </w:r>
      <w:r w:rsidRPr="00F77B4F">
        <w:rPr>
          <w:rFonts w:cstheme="minorHAnsi"/>
          <w:szCs w:val="24"/>
        </w:rPr>
        <w:t xml:space="preserve"> </w:t>
      </w:r>
      <w:r>
        <w:rPr>
          <w:rFonts w:cstheme="minorHAnsi"/>
          <w:szCs w:val="24"/>
        </w:rPr>
        <w:t>комиссиями</w:t>
      </w:r>
      <w:r w:rsidRPr="00F77B4F">
        <w:rPr>
          <w:rFonts w:cstheme="minorHAnsi"/>
          <w:szCs w:val="24"/>
        </w:rPr>
        <w:t xml:space="preserve"> МСЭ-Т, которые содержатся в </w:t>
      </w:r>
      <w:r>
        <w:rPr>
          <w:rFonts w:cstheme="minorHAnsi"/>
          <w:szCs w:val="24"/>
        </w:rPr>
        <w:t>Прилагаемых документах</w:t>
      </w:r>
      <w:r w:rsidRPr="00F77B4F">
        <w:rPr>
          <w:rFonts w:cstheme="minorHAnsi"/>
          <w:szCs w:val="24"/>
        </w:rPr>
        <w:t xml:space="preserve"> 1 и 2.</w:t>
      </w:r>
    </w:p>
    <w:p w14:paraId="179C0CBD" w14:textId="77777777" w:rsidR="00125DA8" w:rsidRPr="00F77B4F" w:rsidRDefault="00125DA8" w:rsidP="00E526B6">
      <w:pPr>
        <w:tabs>
          <w:tab w:val="left" w:pos="0"/>
        </w:tabs>
        <w:spacing w:after="120"/>
        <w:rPr>
          <w:rFonts w:cstheme="minorHAnsi"/>
          <w:szCs w:val="24"/>
        </w:rPr>
      </w:pPr>
      <w:r>
        <w:rPr>
          <w:rFonts w:cstheme="minorHAnsi"/>
          <w:szCs w:val="24"/>
        </w:rPr>
        <w:t>КГСЭ</w:t>
      </w:r>
      <w:r w:rsidRPr="00F77B4F">
        <w:rPr>
          <w:rFonts w:cstheme="minorHAnsi"/>
          <w:szCs w:val="24"/>
        </w:rPr>
        <w:t xml:space="preserve"> призывает различные группы продолжать предпринимать дальнейшие шаги по двусторонней межсектор</w:t>
      </w:r>
      <w:r>
        <w:rPr>
          <w:rFonts w:cstheme="minorHAnsi"/>
          <w:szCs w:val="24"/>
        </w:rPr>
        <w:t>аль</w:t>
      </w:r>
      <w:r w:rsidRPr="00F77B4F">
        <w:rPr>
          <w:rFonts w:cstheme="minorHAnsi"/>
          <w:szCs w:val="24"/>
        </w:rPr>
        <w:t xml:space="preserve">ной координации и </w:t>
      </w:r>
      <w:r>
        <w:rPr>
          <w:rFonts w:cstheme="minorHAnsi"/>
          <w:szCs w:val="24"/>
        </w:rPr>
        <w:t>готова рассмотреть</w:t>
      </w:r>
      <w:r w:rsidRPr="00F77B4F">
        <w:rPr>
          <w:rFonts w:cstheme="minorHAnsi"/>
          <w:szCs w:val="24"/>
        </w:rPr>
        <w:t xml:space="preserve"> любые предложения, которые могли бы улучшить сотрудничество и взаимодействие между Секторами МСЭ.</w:t>
      </w:r>
    </w:p>
    <w:p w14:paraId="58A16522" w14:textId="0B73C163" w:rsidR="00125DA8" w:rsidRPr="00F77B4F" w:rsidRDefault="00083D22" w:rsidP="00E526B6">
      <w:pPr>
        <w:spacing w:after="120"/>
        <w:rPr>
          <w:rFonts w:cstheme="minorHAnsi"/>
          <w:szCs w:val="24"/>
        </w:rPr>
      </w:pPr>
      <w:hyperlink r:id="rId36" w:history="1">
        <w:r w:rsidR="00125DA8" w:rsidRPr="008E3307">
          <w:rPr>
            <w:rStyle w:val="Hyperlink"/>
            <w:rFonts w:cstheme="minorHAnsi"/>
            <w:szCs w:val="24"/>
          </w:rPr>
          <w:t>Документ 56</w:t>
        </w:r>
      </w:hyperlink>
      <w:r w:rsidR="00125DA8" w:rsidRPr="00F77B4F">
        <w:rPr>
          <w:rFonts w:cstheme="minorHAnsi"/>
          <w:szCs w:val="24"/>
        </w:rPr>
        <w:t xml:space="preserve"> представляет собой заявление о </w:t>
      </w:r>
      <w:r w:rsidR="00125DA8">
        <w:rPr>
          <w:rFonts w:cstheme="minorHAnsi"/>
          <w:szCs w:val="24"/>
        </w:rPr>
        <w:t>взаимодействии</w:t>
      </w:r>
      <w:r w:rsidR="00125DA8" w:rsidRPr="00F77B4F">
        <w:rPr>
          <w:rFonts w:cstheme="minorHAnsi"/>
          <w:szCs w:val="24"/>
        </w:rPr>
        <w:t>, сделанное 9</w:t>
      </w:r>
      <w:r w:rsidR="00125DA8">
        <w:rPr>
          <w:rFonts w:cstheme="minorHAnsi"/>
          <w:szCs w:val="24"/>
        </w:rPr>
        <w:t xml:space="preserve">-й </w:t>
      </w:r>
      <w:r w:rsidR="00125DA8" w:rsidRPr="00F77B4F">
        <w:rPr>
          <w:rFonts w:cstheme="minorHAnsi"/>
          <w:szCs w:val="24"/>
        </w:rPr>
        <w:t xml:space="preserve">Исследовательской </w:t>
      </w:r>
      <w:r w:rsidR="00125DA8">
        <w:rPr>
          <w:rFonts w:cstheme="minorHAnsi"/>
          <w:szCs w:val="24"/>
        </w:rPr>
        <w:t>комиссией</w:t>
      </w:r>
      <w:r w:rsidR="00125DA8" w:rsidRPr="00F77B4F">
        <w:rPr>
          <w:rFonts w:cstheme="minorHAnsi"/>
          <w:szCs w:val="24"/>
        </w:rPr>
        <w:t xml:space="preserve"> МСЭ-Т, в котором сообщается, что на </w:t>
      </w:r>
      <w:r w:rsidR="00125DA8">
        <w:rPr>
          <w:rFonts w:cstheme="minorHAnsi"/>
          <w:szCs w:val="24"/>
        </w:rPr>
        <w:t>своем</w:t>
      </w:r>
      <w:r w:rsidR="00125DA8" w:rsidRPr="00F77B4F">
        <w:rPr>
          <w:rFonts w:cstheme="minorHAnsi"/>
          <w:szCs w:val="24"/>
        </w:rPr>
        <w:t xml:space="preserve"> электронном </w:t>
      </w:r>
      <w:r w:rsidR="00125DA8">
        <w:rPr>
          <w:rFonts w:cstheme="minorHAnsi"/>
          <w:szCs w:val="24"/>
        </w:rPr>
        <w:t>собрании</w:t>
      </w:r>
      <w:r w:rsidR="00125DA8" w:rsidRPr="00F77B4F">
        <w:rPr>
          <w:rFonts w:cstheme="minorHAnsi"/>
          <w:szCs w:val="24"/>
        </w:rPr>
        <w:t xml:space="preserve"> 16</w:t>
      </w:r>
      <w:r w:rsidR="00A078DC" w:rsidRPr="00A078DC">
        <w:rPr>
          <w:rFonts w:cstheme="minorHAnsi"/>
          <w:szCs w:val="24"/>
        </w:rPr>
        <w:t>−</w:t>
      </w:r>
      <w:r w:rsidR="00A078DC">
        <w:rPr>
          <w:rFonts w:cstheme="minorHAnsi"/>
          <w:szCs w:val="24"/>
        </w:rPr>
        <w:t>23 апреля 2020 </w:t>
      </w:r>
      <w:r w:rsidR="00125DA8" w:rsidRPr="00F77B4F">
        <w:rPr>
          <w:rFonts w:cstheme="minorHAnsi"/>
          <w:szCs w:val="24"/>
        </w:rPr>
        <w:t xml:space="preserve">года </w:t>
      </w:r>
      <w:r w:rsidR="00125DA8">
        <w:rPr>
          <w:rFonts w:cstheme="minorHAnsi"/>
          <w:szCs w:val="24"/>
        </w:rPr>
        <w:t>она утвердила</w:t>
      </w:r>
      <w:r w:rsidR="00125DA8" w:rsidRPr="00F77B4F">
        <w:rPr>
          <w:rFonts w:cstheme="minorHAnsi"/>
          <w:szCs w:val="24"/>
        </w:rPr>
        <w:t xml:space="preserve"> создание нового Вопроса 11/9 "Доступность кабельных систем и услуг". В</w:t>
      </w:r>
      <w:r w:rsidR="00340B5C">
        <w:rPr>
          <w:rFonts w:cstheme="minorHAnsi"/>
          <w:szCs w:val="24"/>
          <w:lang w:val="en-US"/>
        </w:rPr>
        <w:t> </w:t>
      </w:r>
      <w:r w:rsidR="00125DA8" w:rsidRPr="00F77B4F">
        <w:rPr>
          <w:rFonts w:cstheme="minorHAnsi"/>
          <w:szCs w:val="24"/>
        </w:rPr>
        <w:t>свете этого утверждения 9</w:t>
      </w:r>
      <w:r w:rsidR="00125DA8">
        <w:rPr>
          <w:rFonts w:cstheme="minorHAnsi"/>
          <w:szCs w:val="24"/>
        </w:rPr>
        <w:t xml:space="preserve">-я </w:t>
      </w:r>
      <w:r w:rsidR="00125DA8" w:rsidRPr="00F77B4F">
        <w:rPr>
          <w:rFonts w:cstheme="minorHAnsi"/>
          <w:szCs w:val="24"/>
        </w:rPr>
        <w:t>Исследовательск</w:t>
      </w:r>
      <w:r w:rsidR="00125DA8">
        <w:rPr>
          <w:rFonts w:cstheme="minorHAnsi"/>
          <w:szCs w:val="24"/>
        </w:rPr>
        <w:t>ая</w:t>
      </w:r>
      <w:r w:rsidR="00125DA8" w:rsidRPr="00F77B4F">
        <w:rPr>
          <w:rFonts w:cstheme="minorHAnsi"/>
          <w:szCs w:val="24"/>
        </w:rPr>
        <w:t xml:space="preserve"> </w:t>
      </w:r>
      <w:r w:rsidR="00125DA8">
        <w:rPr>
          <w:rFonts w:cstheme="minorHAnsi"/>
          <w:szCs w:val="24"/>
        </w:rPr>
        <w:t>комиссия</w:t>
      </w:r>
      <w:r w:rsidR="00125DA8" w:rsidRPr="00F77B4F">
        <w:rPr>
          <w:rFonts w:cstheme="minorHAnsi"/>
          <w:szCs w:val="24"/>
        </w:rPr>
        <w:t xml:space="preserve"> предлагает обновить таблицы</w:t>
      </w:r>
      <w:r w:rsidR="00125DA8">
        <w:rPr>
          <w:rFonts w:cstheme="minorHAnsi"/>
          <w:szCs w:val="24"/>
        </w:rPr>
        <w:t xml:space="preserve"> сопоставления</w:t>
      </w:r>
      <w:r w:rsidR="00125DA8" w:rsidRPr="00F77B4F">
        <w:rPr>
          <w:rFonts w:cstheme="minorHAnsi"/>
          <w:szCs w:val="24"/>
        </w:rPr>
        <w:t xml:space="preserve"> по представляющим взаимный интерес областям работы между исследовательск</w:t>
      </w:r>
      <w:r w:rsidR="00125DA8">
        <w:rPr>
          <w:rFonts w:cstheme="minorHAnsi"/>
          <w:szCs w:val="24"/>
        </w:rPr>
        <w:t>ими</w:t>
      </w:r>
      <w:r w:rsidR="00125DA8" w:rsidRPr="00F77B4F">
        <w:rPr>
          <w:rFonts w:cstheme="minorHAnsi"/>
          <w:szCs w:val="24"/>
        </w:rPr>
        <w:t xml:space="preserve"> </w:t>
      </w:r>
      <w:r w:rsidR="00125DA8">
        <w:rPr>
          <w:rFonts w:cstheme="minorHAnsi"/>
          <w:szCs w:val="24"/>
        </w:rPr>
        <w:t>комиссиями</w:t>
      </w:r>
      <w:r w:rsidR="00125DA8" w:rsidRPr="00F77B4F">
        <w:rPr>
          <w:rFonts w:cstheme="minorHAnsi"/>
          <w:szCs w:val="24"/>
        </w:rPr>
        <w:t xml:space="preserve"> МСЭ-</w:t>
      </w:r>
      <w:r w:rsidR="00125DA8">
        <w:rPr>
          <w:rFonts w:cstheme="minorHAnsi"/>
          <w:szCs w:val="24"/>
          <w:lang w:val="en-US"/>
        </w:rPr>
        <w:t>D</w:t>
      </w:r>
      <w:r w:rsidR="00125DA8" w:rsidRPr="00F77B4F">
        <w:rPr>
          <w:rFonts w:cstheme="minorHAnsi"/>
          <w:szCs w:val="24"/>
        </w:rPr>
        <w:t xml:space="preserve"> и исследовательск</w:t>
      </w:r>
      <w:r w:rsidR="00125DA8">
        <w:rPr>
          <w:rFonts w:cstheme="minorHAnsi"/>
          <w:szCs w:val="24"/>
        </w:rPr>
        <w:t>ими</w:t>
      </w:r>
      <w:r w:rsidR="00125DA8" w:rsidRPr="00F77B4F">
        <w:rPr>
          <w:rFonts w:cstheme="minorHAnsi"/>
          <w:szCs w:val="24"/>
        </w:rPr>
        <w:t xml:space="preserve"> </w:t>
      </w:r>
      <w:r w:rsidR="00125DA8">
        <w:rPr>
          <w:rFonts w:cstheme="minorHAnsi"/>
          <w:szCs w:val="24"/>
        </w:rPr>
        <w:t>комиссиями</w:t>
      </w:r>
      <w:r w:rsidR="00125DA8" w:rsidRPr="00F77B4F">
        <w:rPr>
          <w:rFonts w:cstheme="minorHAnsi"/>
          <w:szCs w:val="24"/>
        </w:rPr>
        <w:t xml:space="preserve"> МСЭ-Т, а также между исследовательск</w:t>
      </w:r>
      <w:r w:rsidR="00125DA8">
        <w:rPr>
          <w:rFonts w:cstheme="minorHAnsi"/>
          <w:szCs w:val="24"/>
        </w:rPr>
        <w:t>ими</w:t>
      </w:r>
      <w:r w:rsidR="00125DA8" w:rsidRPr="00F77B4F">
        <w:rPr>
          <w:rFonts w:cstheme="minorHAnsi"/>
          <w:szCs w:val="24"/>
        </w:rPr>
        <w:t xml:space="preserve"> </w:t>
      </w:r>
      <w:r w:rsidR="00125DA8">
        <w:rPr>
          <w:rFonts w:cstheme="minorHAnsi"/>
          <w:szCs w:val="24"/>
        </w:rPr>
        <w:t>комиссиями</w:t>
      </w:r>
      <w:r w:rsidR="00125DA8" w:rsidRPr="00F77B4F">
        <w:rPr>
          <w:rFonts w:cstheme="minorHAnsi"/>
          <w:szCs w:val="24"/>
        </w:rPr>
        <w:t xml:space="preserve"> МСЭ-</w:t>
      </w:r>
      <w:r w:rsidR="00125DA8">
        <w:rPr>
          <w:rFonts w:cstheme="minorHAnsi"/>
          <w:szCs w:val="24"/>
          <w:lang w:val="en-US"/>
        </w:rPr>
        <w:t>R</w:t>
      </w:r>
      <w:r w:rsidR="00125DA8" w:rsidRPr="00F77B4F">
        <w:rPr>
          <w:rFonts w:cstheme="minorHAnsi"/>
          <w:szCs w:val="24"/>
        </w:rPr>
        <w:t xml:space="preserve"> и исследовательск</w:t>
      </w:r>
      <w:r w:rsidR="00125DA8">
        <w:rPr>
          <w:rFonts w:cstheme="minorHAnsi"/>
          <w:szCs w:val="24"/>
        </w:rPr>
        <w:t>ими</w:t>
      </w:r>
      <w:r w:rsidR="00125DA8" w:rsidRPr="00F77B4F">
        <w:rPr>
          <w:rFonts w:cstheme="minorHAnsi"/>
          <w:szCs w:val="24"/>
        </w:rPr>
        <w:t xml:space="preserve"> </w:t>
      </w:r>
      <w:r w:rsidR="00125DA8">
        <w:rPr>
          <w:rFonts w:cstheme="minorHAnsi"/>
          <w:szCs w:val="24"/>
        </w:rPr>
        <w:t>комиссиями</w:t>
      </w:r>
      <w:r w:rsidR="00125DA8" w:rsidRPr="00F77B4F">
        <w:rPr>
          <w:rFonts w:cstheme="minorHAnsi"/>
          <w:szCs w:val="24"/>
        </w:rPr>
        <w:t xml:space="preserve"> МСЭ-Т.</w:t>
      </w:r>
    </w:p>
    <w:p w14:paraId="42B1A537" w14:textId="77777777" w:rsidR="00125DA8" w:rsidRPr="00F77B4F" w:rsidRDefault="00083D22" w:rsidP="00E526B6">
      <w:pPr>
        <w:spacing w:after="120"/>
        <w:rPr>
          <w:rFonts w:cstheme="minorHAnsi"/>
          <w:szCs w:val="24"/>
        </w:rPr>
      </w:pPr>
      <w:hyperlink r:id="rId37" w:history="1">
        <w:r w:rsidR="00125DA8" w:rsidRPr="002A645E">
          <w:rPr>
            <w:rStyle w:val="Hyperlink"/>
            <w:rFonts w:cstheme="minorHAnsi"/>
            <w:szCs w:val="24"/>
          </w:rPr>
          <w:t>Документ 36</w:t>
        </w:r>
      </w:hyperlink>
      <w:r w:rsidR="00125DA8" w:rsidRPr="00F77B4F">
        <w:rPr>
          <w:rFonts w:cstheme="minorHAnsi"/>
          <w:szCs w:val="24"/>
        </w:rPr>
        <w:t xml:space="preserve"> представляет собой заявление о </w:t>
      </w:r>
      <w:r w:rsidR="00125DA8">
        <w:rPr>
          <w:rFonts w:cstheme="minorHAnsi"/>
          <w:szCs w:val="24"/>
        </w:rPr>
        <w:t>взаимодействии</w:t>
      </w:r>
      <w:r w:rsidR="00125DA8" w:rsidRPr="00F77B4F">
        <w:rPr>
          <w:rFonts w:cstheme="minorHAnsi"/>
          <w:szCs w:val="24"/>
        </w:rPr>
        <w:t>, полученное от</w:t>
      </w:r>
      <w:r w:rsidR="00125DA8">
        <w:rPr>
          <w:rFonts w:cstheme="minorHAnsi"/>
          <w:szCs w:val="24"/>
        </w:rPr>
        <w:t xml:space="preserve"> </w:t>
      </w:r>
      <w:bookmarkStart w:id="124" w:name="_Hlk49595459"/>
      <w:r w:rsidR="00125DA8">
        <w:rPr>
          <w:rFonts w:cstheme="minorHAnsi"/>
          <w:szCs w:val="24"/>
        </w:rPr>
        <w:t>6-й</w:t>
      </w:r>
      <w:r w:rsidR="00125DA8" w:rsidRPr="00F77B4F">
        <w:rPr>
          <w:rFonts w:cstheme="minorHAnsi"/>
          <w:szCs w:val="24"/>
        </w:rPr>
        <w:t xml:space="preserve"> Исследовательской </w:t>
      </w:r>
      <w:r w:rsidR="00125DA8">
        <w:rPr>
          <w:rFonts w:cstheme="minorHAnsi"/>
          <w:szCs w:val="24"/>
        </w:rPr>
        <w:t>комиссии</w:t>
      </w:r>
      <w:r w:rsidR="00125DA8" w:rsidRPr="00F77B4F">
        <w:rPr>
          <w:rFonts w:cstheme="minorHAnsi"/>
          <w:szCs w:val="24"/>
        </w:rPr>
        <w:t xml:space="preserve"> </w:t>
      </w:r>
      <w:bookmarkEnd w:id="124"/>
      <w:r w:rsidR="00125DA8" w:rsidRPr="00F77B4F">
        <w:rPr>
          <w:rFonts w:cstheme="minorHAnsi"/>
          <w:szCs w:val="24"/>
        </w:rPr>
        <w:t>МСЭ-</w:t>
      </w:r>
      <w:r w:rsidR="00125DA8">
        <w:rPr>
          <w:rFonts w:cstheme="minorHAnsi"/>
          <w:szCs w:val="24"/>
          <w:lang w:val="en-US"/>
        </w:rPr>
        <w:t>R</w:t>
      </w:r>
      <w:r w:rsidR="00125DA8" w:rsidRPr="00F77B4F">
        <w:rPr>
          <w:rFonts w:cstheme="minorHAnsi"/>
          <w:szCs w:val="24"/>
        </w:rPr>
        <w:t xml:space="preserve"> и ее рабочих групп, которые отмечают межсектор</w:t>
      </w:r>
      <w:r w:rsidR="00125DA8">
        <w:rPr>
          <w:rFonts w:cstheme="minorHAnsi"/>
          <w:szCs w:val="24"/>
        </w:rPr>
        <w:t>аль</w:t>
      </w:r>
      <w:r w:rsidR="00125DA8" w:rsidRPr="00F77B4F">
        <w:rPr>
          <w:rFonts w:cstheme="minorHAnsi"/>
          <w:szCs w:val="24"/>
        </w:rPr>
        <w:t>н</w:t>
      </w:r>
      <w:r w:rsidR="00125DA8">
        <w:rPr>
          <w:rFonts w:cstheme="minorHAnsi"/>
          <w:szCs w:val="24"/>
        </w:rPr>
        <w:t>ую</w:t>
      </w:r>
      <w:r w:rsidR="00125DA8" w:rsidRPr="00F77B4F">
        <w:rPr>
          <w:rFonts w:cstheme="minorHAnsi"/>
          <w:szCs w:val="24"/>
        </w:rPr>
        <w:t xml:space="preserve"> координацию МСЭ </w:t>
      </w:r>
      <w:r w:rsidR="00125DA8">
        <w:rPr>
          <w:rFonts w:cstheme="minorHAnsi"/>
          <w:szCs w:val="24"/>
        </w:rPr>
        <w:t>в таблицах сопоставления</w:t>
      </w:r>
      <w:r w:rsidR="00125DA8" w:rsidRPr="00F77B4F">
        <w:rPr>
          <w:rFonts w:cstheme="minorHAnsi"/>
          <w:szCs w:val="24"/>
        </w:rPr>
        <w:t xml:space="preserve"> и стремятся поддерживать тесные контакты </w:t>
      </w:r>
      <w:r w:rsidR="00125DA8">
        <w:rPr>
          <w:rFonts w:cstheme="minorHAnsi"/>
          <w:szCs w:val="24"/>
        </w:rPr>
        <w:t>по видам деятельности</w:t>
      </w:r>
      <w:r w:rsidR="00125DA8" w:rsidRPr="00F77B4F">
        <w:rPr>
          <w:rFonts w:cstheme="minorHAnsi"/>
          <w:szCs w:val="24"/>
        </w:rPr>
        <w:t>, представляющ</w:t>
      </w:r>
      <w:r w:rsidR="00125DA8">
        <w:rPr>
          <w:rFonts w:cstheme="minorHAnsi"/>
          <w:szCs w:val="24"/>
        </w:rPr>
        <w:t>им</w:t>
      </w:r>
      <w:r w:rsidR="00125DA8" w:rsidRPr="00F77B4F">
        <w:rPr>
          <w:rFonts w:cstheme="minorHAnsi"/>
          <w:szCs w:val="24"/>
        </w:rPr>
        <w:t xml:space="preserve"> взаимный интерес</w:t>
      </w:r>
      <w:r w:rsidR="00125DA8">
        <w:rPr>
          <w:rFonts w:cstheme="minorHAnsi"/>
          <w:szCs w:val="24"/>
        </w:rPr>
        <w:t>,</w:t>
      </w:r>
      <w:r w:rsidR="00125DA8" w:rsidRPr="00F77B4F">
        <w:rPr>
          <w:rFonts w:cstheme="minorHAnsi"/>
          <w:szCs w:val="24"/>
        </w:rPr>
        <w:t xml:space="preserve"> </w:t>
      </w:r>
      <w:r w:rsidR="00125DA8">
        <w:rPr>
          <w:rFonts w:cstheme="minorHAnsi"/>
          <w:szCs w:val="24"/>
        </w:rPr>
        <w:t>со всеми С</w:t>
      </w:r>
      <w:r w:rsidR="00125DA8" w:rsidRPr="00F77B4F">
        <w:rPr>
          <w:rFonts w:cstheme="minorHAnsi"/>
          <w:szCs w:val="24"/>
        </w:rPr>
        <w:t>ектор</w:t>
      </w:r>
      <w:r w:rsidR="00125DA8">
        <w:rPr>
          <w:rFonts w:cstheme="minorHAnsi"/>
          <w:szCs w:val="24"/>
        </w:rPr>
        <w:t>ами</w:t>
      </w:r>
      <w:r w:rsidR="00125DA8" w:rsidRPr="00F77B4F">
        <w:rPr>
          <w:rFonts w:cstheme="minorHAnsi"/>
          <w:szCs w:val="24"/>
        </w:rPr>
        <w:t xml:space="preserve">. </w:t>
      </w:r>
      <w:r w:rsidR="00125DA8">
        <w:rPr>
          <w:rFonts w:cstheme="minorHAnsi"/>
          <w:szCs w:val="24"/>
        </w:rPr>
        <w:t>6-я</w:t>
      </w:r>
      <w:r w:rsidR="00125DA8" w:rsidRPr="00F77B4F">
        <w:rPr>
          <w:rFonts w:cstheme="minorHAnsi"/>
          <w:szCs w:val="24"/>
        </w:rPr>
        <w:t xml:space="preserve"> Исследовательск</w:t>
      </w:r>
      <w:r w:rsidR="00125DA8">
        <w:rPr>
          <w:rFonts w:cstheme="minorHAnsi"/>
          <w:szCs w:val="24"/>
        </w:rPr>
        <w:t>ая</w:t>
      </w:r>
      <w:r w:rsidR="00125DA8" w:rsidRPr="00F77B4F">
        <w:rPr>
          <w:rFonts w:cstheme="minorHAnsi"/>
          <w:szCs w:val="24"/>
        </w:rPr>
        <w:t xml:space="preserve"> </w:t>
      </w:r>
      <w:r w:rsidR="00125DA8">
        <w:rPr>
          <w:rFonts w:cstheme="minorHAnsi"/>
          <w:szCs w:val="24"/>
        </w:rPr>
        <w:t>комиссия</w:t>
      </w:r>
      <w:r w:rsidR="00125DA8" w:rsidRPr="00F77B4F">
        <w:rPr>
          <w:rFonts w:cstheme="minorHAnsi"/>
          <w:szCs w:val="24"/>
        </w:rPr>
        <w:t xml:space="preserve"> далее обращает внимание </w:t>
      </w:r>
      <w:r w:rsidR="00125DA8">
        <w:rPr>
          <w:rFonts w:cstheme="minorHAnsi"/>
          <w:szCs w:val="24"/>
        </w:rPr>
        <w:t>КГСЭ</w:t>
      </w:r>
      <w:r w:rsidR="00125DA8" w:rsidRPr="00F77B4F">
        <w:rPr>
          <w:rFonts w:cstheme="minorHAnsi"/>
          <w:szCs w:val="24"/>
        </w:rPr>
        <w:t xml:space="preserve"> и </w:t>
      </w:r>
      <w:r w:rsidR="00125DA8">
        <w:rPr>
          <w:rFonts w:cstheme="minorHAnsi"/>
          <w:szCs w:val="24"/>
        </w:rPr>
        <w:t>КГРЭ</w:t>
      </w:r>
      <w:r w:rsidR="00125DA8" w:rsidRPr="00F77B4F">
        <w:rPr>
          <w:rFonts w:cstheme="minorHAnsi"/>
          <w:szCs w:val="24"/>
        </w:rPr>
        <w:t xml:space="preserve"> на Резолюцию 71</w:t>
      </w:r>
      <w:r w:rsidR="00125DA8">
        <w:rPr>
          <w:rFonts w:cstheme="minorHAnsi"/>
          <w:szCs w:val="24"/>
        </w:rPr>
        <w:t xml:space="preserve"> </w:t>
      </w:r>
      <w:r w:rsidR="00125DA8" w:rsidRPr="00F77B4F">
        <w:rPr>
          <w:rFonts w:cstheme="minorHAnsi"/>
          <w:szCs w:val="24"/>
        </w:rPr>
        <w:t xml:space="preserve">МСЭ-R о роли Сектора радиосвязи в </w:t>
      </w:r>
      <w:r w:rsidR="00125DA8" w:rsidRPr="002A645E">
        <w:t>текущем развитии телевизионного, звукового и мультимедийного радиовещания</w:t>
      </w:r>
      <w:r w:rsidR="00125DA8" w:rsidRPr="00F77B4F">
        <w:rPr>
          <w:rFonts w:cstheme="minorHAnsi"/>
          <w:szCs w:val="24"/>
        </w:rPr>
        <w:t xml:space="preserve"> и, в частности, на </w:t>
      </w:r>
      <w:r w:rsidR="00125DA8">
        <w:rPr>
          <w:rFonts w:cstheme="minorHAnsi"/>
          <w:szCs w:val="24"/>
        </w:rPr>
        <w:t>готовность</w:t>
      </w:r>
      <w:r w:rsidR="00125DA8" w:rsidRPr="00F77B4F">
        <w:rPr>
          <w:rFonts w:cstheme="minorHAnsi"/>
          <w:szCs w:val="24"/>
        </w:rPr>
        <w:t xml:space="preserve"> и далее расширять текущую межсектор</w:t>
      </w:r>
      <w:r w:rsidR="00125DA8">
        <w:rPr>
          <w:rFonts w:cstheme="minorHAnsi"/>
          <w:szCs w:val="24"/>
        </w:rPr>
        <w:t>альную</w:t>
      </w:r>
      <w:r w:rsidR="00125DA8" w:rsidRPr="00F77B4F">
        <w:rPr>
          <w:rFonts w:cstheme="minorHAnsi"/>
          <w:szCs w:val="24"/>
        </w:rPr>
        <w:t xml:space="preserve"> деятельность и активно заниматься вопросами, представляющими взаимный интерес.</w:t>
      </w:r>
    </w:p>
    <w:tbl>
      <w:tblPr>
        <w:tblStyle w:val="TableGrid"/>
        <w:tblW w:w="0" w:type="auto"/>
        <w:tblLook w:val="04A0" w:firstRow="1" w:lastRow="0" w:firstColumn="1" w:lastColumn="0" w:noHBand="0" w:noVBand="1"/>
      </w:tblPr>
      <w:tblGrid>
        <w:gridCol w:w="9628"/>
      </w:tblGrid>
      <w:tr w:rsidR="00125DA8" w:rsidRPr="00A078DC" w14:paraId="30C50665" w14:textId="77777777" w:rsidTr="00E526B6">
        <w:tc>
          <w:tcPr>
            <w:tcW w:w="9629" w:type="dxa"/>
          </w:tcPr>
          <w:p w14:paraId="341BFCFB" w14:textId="77777777" w:rsidR="00125DA8" w:rsidRPr="00A078DC" w:rsidRDefault="00125DA8" w:rsidP="00C444D1">
            <w:pPr>
              <w:spacing w:after="120"/>
              <w:rPr>
                <w:sz w:val="22"/>
              </w:rPr>
            </w:pPr>
            <w:r w:rsidRPr="00A078DC">
              <w:rPr>
                <w:sz w:val="22"/>
              </w:rPr>
              <w:t xml:space="preserve">КГРЭ приняла к сведению и высоко оценила отчет председателя Межсекторальной координационной группы о ходе работы по вопросам, представляющим взаимный интерес, и приветствовала решение группы продолжить работу по изменению климата в качестве пилотной темы, в которой могли бы принять участие и сотрудничать все Сектора, а также по доступности в качестве следующей предложенной пилотной темы. КГРЭ приняла к сведению заявления о взаимодействии по вопросам межсекторальной координации. Кроме того, КГРЭ приняла к сведению, что обновленные </w:t>
            </w:r>
            <w:hyperlink r:id="rId38" w:history="1">
              <w:r w:rsidRPr="00C444D1">
                <w:rPr>
                  <w:rStyle w:val="Hyperlink"/>
                  <w:sz w:val="22"/>
                </w:rPr>
                <w:t>таблицы сопоставления по межсекторальной координации</w:t>
              </w:r>
            </w:hyperlink>
            <w:r w:rsidRPr="00A078DC">
              <w:rPr>
                <w:sz w:val="22"/>
              </w:rPr>
              <w:t>, которые ведет МСКГ, представлены на ее веб-сайте.</w:t>
            </w:r>
          </w:p>
        </w:tc>
      </w:tr>
    </w:tbl>
    <w:p w14:paraId="11932909" w14:textId="324B2CA2" w:rsidR="00125DA8" w:rsidRPr="00A078DC" w:rsidRDefault="00A078DC" w:rsidP="00083D22">
      <w:pPr>
        <w:pStyle w:val="Heading1"/>
        <w:spacing w:before="360"/>
      </w:pPr>
      <w:r w:rsidRPr="00A078DC">
        <w:lastRenderedPageBreak/>
        <w:t>12</w:t>
      </w:r>
      <w:r w:rsidRPr="00A078DC">
        <w:tab/>
      </w:r>
      <w:r w:rsidR="00125DA8" w:rsidRPr="00A078DC">
        <w:t>Подготовка к ВКРЭ-21</w:t>
      </w:r>
    </w:p>
    <w:p w14:paraId="5599F7AA" w14:textId="77777777" w:rsidR="00125DA8" w:rsidRPr="00F77B4F" w:rsidRDefault="00125DA8" w:rsidP="00E526B6">
      <w:pPr>
        <w:spacing w:after="120"/>
        <w:rPr>
          <w:rFonts w:cstheme="minorHAnsi"/>
          <w:bCs/>
          <w:szCs w:val="24"/>
        </w:rPr>
      </w:pPr>
      <w:r w:rsidRPr="00F77B4F">
        <w:rPr>
          <w:rFonts w:cstheme="minorHAnsi"/>
          <w:bCs/>
          <w:szCs w:val="24"/>
        </w:rPr>
        <w:t xml:space="preserve">В </w:t>
      </w:r>
      <w:hyperlink r:id="rId39" w:history="1">
        <w:r w:rsidRPr="00635022">
          <w:rPr>
            <w:rStyle w:val="Hyperlink"/>
            <w:rFonts w:cstheme="minorHAnsi"/>
            <w:bCs/>
            <w:szCs w:val="24"/>
          </w:rPr>
          <w:t>Документе 8</w:t>
        </w:r>
      </w:hyperlink>
      <w:r w:rsidRPr="00F77B4F">
        <w:rPr>
          <w:rFonts w:cstheme="minorHAnsi"/>
          <w:bCs/>
          <w:szCs w:val="24"/>
        </w:rPr>
        <w:t xml:space="preserve"> содержится информация о ходе подготовки к проведению Всемирной конференции по развитию электросвязи (ВКРЭ-21) в Аддис-Абебе, Эфиопия, с 8 по 19</w:t>
      </w:r>
      <w:r>
        <w:rPr>
          <w:rFonts w:cstheme="minorHAnsi"/>
          <w:bCs/>
          <w:szCs w:val="24"/>
        </w:rPr>
        <w:t> </w:t>
      </w:r>
      <w:r w:rsidRPr="00F77B4F">
        <w:rPr>
          <w:rFonts w:cstheme="minorHAnsi"/>
          <w:bCs/>
          <w:szCs w:val="24"/>
        </w:rPr>
        <w:t xml:space="preserve">ноября 2021 года, которой будет предшествовать </w:t>
      </w:r>
      <w:r>
        <w:rPr>
          <w:rFonts w:cstheme="minorHAnsi"/>
          <w:bCs/>
          <w:szCs w:val="24"/>
        </w:rPr>
        <w:t>Всемирный молодежный саммит</w:t>
      </w:r>
      <w:r w:rsidRPr="00F77B4F">
        <w:rPr>
          <w:rFonts w:cstheme="minorHAnsi"/>
          <w:bCs/>
          <w:szCs w:val="24"/>
        </w:rPr>
        <w:t xml:space="preserve">; решение Совета МСЭ в 2019 году о месте и сроках ее проведения; а также информация о последующих консультациях со всеми Государствами-Членами </w:t>
      </w:r>
      <w:r>
        <w:rPr>
          <w:rFonts w:cstheme="minorHAnsi"/>
          <w:bCs/>
          <w:szCs w:val="24"/>
        </w:rPr>
        <w:t>посредством</w:t>
      </w:r>
      <w:r w:rsidRPr="00F77B4F">
        <w:rPr>
          <w:rFonts w:cstheme="minorHAnsi"/>
          <w:bCs/>
          <w:szCs w:val="24"/>
        </w:rPr>
        <w:t xml:space="preserve"> циркулярного письма и о первом выезде группы МСЭ в Аддис-Абебу с целью посещения </w:t>
      </w:r>
      <w:r>
        <w:rPr>
          <w:rFonts w:cstheme="minorHAnsi"/>
          <w:bCs/>
          <w:szCs w:val="24"/>
        </w:rPr>
        <w:t>места проведения</w:t>
      </w:r>
      <w:r w:rsidRPr="00F77B4F">
        <w:rPr>
          <w:rFonts w:cstheme="minorHAnsi"/>
          <w:bCs/>
          <w:szCs w:val="24"/>
        </w:rPr>
        <w:t>.</w:t>
      </w:r>
    </w:p>
    <w:p w14:paraId="0EBF13D8" w14:textId="64C0AA05" w:rsidR="00125DA8" w:rsidRPr="00C84588" w:rsidRDefault="0025721B" w:rsidP="0025721B">
      <w:pPr>
        <w:pStyle w:val="Heading2"/>
      </w:pPr>
      <w:r w:rsidRPr="0025721B">
        <w:t>12.1</w:t>
      </w:r>
      <w:r w:rsidRPr="0025721B">
        <w:tab/>
      </w:r>
      <w:r w:rsidR="00125DA8" w:rsidRPr="00F77B4F">
        <w:t xml:space="preserve">Предложения по совершенствованию </w:t>
      </w:r>
      <w:r w:rsidR="00125DA8">
        <w:t>ВКРЭ</w:t>
      </w:r>
    </w:p>
    <w:p w14:paraId="53690C33" w14:textId="77777777" w:rsidR="00125DA8" w:rsidRPr="00F77B4F" w:rsidRDefault="00125DA8" w:rsidP="00E526B6">
      <w:pPr>
        <w:spacing w:after="120"/>
        <w:rPr>
          <w:rFonts w:cstheme="minorHAnsi"/>
          <w:szCs w:val="24"/>
        </w:rPr>
      </w:pPr>
      <w:r w:rsidRPr="00F77B4F">
        <w:rPr>
          <w:rFonts w:cstheme="minorHAnsi"/>
          <w:szCs w:val="24"/>
        </w:rPr>
        <w:t xml:space="preserve">Участники выразили единодушную поддержку совершенствованию </w:t>
      </w:r>
      <w:r>
        <w:rPr>
          <w:rFonts w:cstheme="minorHAnsi"/>
          <w:szCs w:val="24"/>
        </w:rPr>
        <w:t>ВКРЭ,</w:t>
      </w:r>
      <w:r w:rsidRPr="00F77B4F">
        <w:rPr>
          <w:rFonts w:cstheme="minorHAnsi"/>
          <w:szCs w:val="24"/>
        </w:rPr>
        <w:t xml:space="preserve"> нач</w:t>
      </w:r>
      <w:r>
        <w:rPr>
          <w:rFonts w:cstheme="minorHAnsi"/>
          <w:szCs w:val="24"/>
        </w:rPr>
        <w:t>иная</w:t>
      </w:r>
      <w:r w:rsidRPr="00F77B4F">
        <w:rPr>
          <w:rFonts w:cstheme="minorHAnsi"/>
          <w:szCs w:val="24"/>
        </w:rPr>
        <w:t xml:space="preserve"> с вдохновляющего выступления Достопочтенного д-ра Абрахама Белая, Министра инноваций и технологий Эфиопии. Его </w:t>
      </w:r>
      <w:r>
        <w:rPr>
          <w:rFonts w:cstheme="minorHAnsi"/>
          <w:szCs w:val="24"/>
        </w:rPr>
        <w:t>план</w:t>
      </w:r>
      <w:r w:rsidRPr="00F77B4F">
        <w:rPr>
          <w:rFonts w:cstheme="minorHAnsi"/>
          <w:szCs w:val="24"/>
        </w:rPr>
        <w:t xml:space="preserve"> </w:t>
      </w:r>
      <w:r>
        <w:rPr>
          <w:rFonts w:cstheme="minorHAnsi"/>
          <w:szCs w:val="24"/>
        </w:rPr>
        <w:t>сделать</w:t>
      </w:r>
      <w:r w:rsidRPr="00F77B4F">
        <w:rPr>
          <w:rFonts w:cstheme="minorHAnsi"/>
          <w:szCs w:val="24"/>
        </w:rPr>
        <w:t xml:space="preserve"> </w:t>
      </w:r>
      <w:r w:rsidRPr="006F012B">
        <w:rPr>
          <w:rFonts w:cstheme="minorHAnsi"/>
          <w:b/>
          <w:szCs w:val="24"/>
        </w:rPr>
        <w:t>ВКРЭ-21</w:t>
      </w:r>
      <w:r w:rsidRPr="00F77B4F">
        <w:rPr>
          <w:rFonts w:cstheme="minorHAnsi"/>
          <w:szCs w:val="24"/>
        </w:rPr>
        <w:t xml:space="preserve"> поистине знаков</w:t>
      </w:r>
      <w:r>
        <w:rPr>
          <w:rFonts w:cstheme="minorHAnsi"/>
          <w:szCs w:val="24"/>
        </w:rPr>
        <w:t>ой</w:t>
      </w:r>
      <w:r w:rsidRPr="00F77B4F">
        <w:rPr>
          <w:rFonts w:cstheme="minorHAnsi"/>
          <w:szCs w:val="24"/>
        </w:rPr>
        <w:t xml:space="preserve"> конференци</w:t>
      </w:r>
      <w:r>
        <w:rPr>
          <w:rFonts w:cstheme="minorHAnsi"/>
          <w:szCs w:val="24"/>
        </w:rPr>
        <w:t>ей</w:t>
      </w:r>
      <w:r w:rsidRPr="00F77B4F">
        <w:rPr>
          <w:rFonts w:cstheme="minorHAnsi"/>
          <w:szCs w:val="24"/>
        </w:rPr>
        <w:t xml:space="preserve"> по развитию для всего мира </w:t>
      </w:r>
      <w:r>
        <w:rPr>
          <w:rFonts w:cstheme="minorHAnsi"/>
          <w:szCs w:val="24"/>
        </w:rPr>
        <w:t>был поддержан единогласно</w:t>
      </w:r>
      <w:r w:rsidRPr="00F77B4F">
        <w:rPr>
          <w:rFonts w:cstheme="minorHAnsi"/>
          <w:szCs w:val="24"/>
        </w:rPr>
        <w:t>.</w:t>
      </w:r>
    </w:p>
    <w:p w14:paraId="0005EC5A" w14:textId="32223283" w:rsidR="00125DA8" w:rsidRPr="006F012B" w:rsidRDefault="00125DA8" w:rsidP="00E526B6">
      <w:pPr>
        <w:rPr>
          <w:rFonts w:cstheme="minorHAnsi"/>
          <w:szCs w:val="24"/>
        </w:rPr>
      </w:pPr>
      <w:r w:rsidRPr="00F77B4F">
        <w:rPr>
          <w:rFonts w:cstheme="minorHAnsi"/>
          <w:szCs w:val="24"/>
        </w:rPr>
        <w:t xml:space="preserve">Совместно были рассмотрены следующие документы: Документы 40, 41 и 42 от </w:t>
      </w:r>
      <w:r w:rsidRPr="006F012B">
        <w:rPr>
          <w:rFonts w:cstheme="minorHAnsi"/>
          <w:b/>
          <w:szCs w:val="24"/>
        </w:rPr>
        <w:t>Бразилии</w:t>
      </w:r>
      <w:r w:rsidRPr="00F77B4F">
        <w:rPr>
          <w:rFonts w:cstheme="minorHAnsi"/>
          <w:szCs w:val="24"/>
        </w:rPr>
        <w:t xml:space="preserve">, а также Документы 52 и 53 от </w:t>
      </w:r>
      <w:r w:rsidRPr="006F012B">
        <w:rPr>
          <w:rFonts w:cstheme="minorHAnsi"/>
          <w:b/>
          <w:szCs w:val="24"/>
        </w:rPr>
        <w:t>Соединенных Штатов</w:t>
      </w:r>
      <w:r>
        <w:rPr>
          <w:rFonts w:cstheme="minorHAnsi"/>
          <w:szCs w:val="24"/>
        </w:rPr>
        <w:t xml:space="preserve"> </w:t>
      </w:r>
      <w:r w:rsidRPr="006F012B">
        <w:rPr>
          <w:rFonts w:cstheme="minorHAnsi"/>
          <w:b/>
          <w:szCs w:val="24"/>
        </w:rPr>
        <w:t>Америки</w:t>
      </w:r>
      <w:r w:rsidRPr="00F77B4F">
        <w:rPr>
          <w:rFonts w:cstheme="minorHAnsi"/>
          <w:szCs w:val="24"/>
        </w:rPr>
        <w:t xml:space="preserve">, Документ 37(Rev.2) от </w:t>
      </w:r>
      <w:r w:rsidRPr="006F012B">
        <w:rPr>
          <w:rFonts w:cstheme="minorHAnsi"/>
          <w:b/>
          <w:szCs w:val="24"/>
        </w:rPr>
        <w:t>Канады</w:t>
      </w:r>
      <w:r w:rsidRPr="00F77B4F">
        <w:rPr>
          <w:rFonts w:cstheme="minorHAnsi"/>
          <w:szCs w:val="24"/>
        </w:rPr>
        <w:t xml:space="preserve">, Документы 43 и 44 от </w:t>
      </w:r>
      <w:r w:rsidRPr="006F012B">
        <w:rPr>
          <w:rFonts w:cstheme="minorHAnsi"/>
          <w:b/>
          <w:szCs w:val="24"/>
        </w:rPr>
        <w:t>Российской Федерации</w:t>
      </w:r>
      <w:r w:rsidRPr="00F77B4F">
        <w:rPr>
          <w:rFonts w:cstheme="minorHAnsi"/>
          <w:szCs w:val="24"/>
        </w:rPr>
        <w:t xml:space="preserve"> и Документ 51 от Директора БРЭ. </w:t>
      </w:r>
      <w:r w:rsidRPr="006F012B">
        <w:rPr>
          <w:rFonts w:cstheme="minorHAnsi"/>
          <w:szCs w:val="24"/>
        </w:rPr>
        <w:t xml:space="preserve">Последняя группа содержит предложения по подготовке </w:t>
      </w:r>
      <w:r>
        <w:rPr>
          <w:rFonts w:cstheme="minorHAnsi"/>
          <w:szCs w:val="24"/>
        </w:rPr>
        <w:t>к ВКРЭ</w:t>
      </w:r>
      <w:r w:rsidRPr="006F012B">
        <w:rPr>
          <w:rFonts w:cstheme="minorHAnsi"/>
          <w:szCs w:val="24"/>
        </w:rPr>
        <w:t>.</w:t>
      </w:r>
    </w:p>
    <w:p w14:paraId="7E48FAC7" w14:textId="77777777" w:rsidR="00125DA8" w:rsidRPr="00F77B4F" w:rsidRDefault="00125DA8" w:rsidP="00E526B6">
      <w:pPr>
        <w:tabs>
          <w:tab w:val="left" w:pos="0"/>
        </w:tabs>
        <w:spacing w:after="120"/>
        <w:rPr>
          <w:rFonts w:cstheme="minorHAnsi"/>
          <w:szCs w:val="24"/>
        </w:rPr>
      </w:pPr>
      <w:r w:rsidRPr="00F77B4F">
        <w:rPr>
          <w:rFonts w:cstheme="minorHAnsi"/>
          <w:szCs w:val="24"/>
        </w:rPr>
        <w:t xml:space="preserve">В </w:t>
      </w:r>
      <w:hyperlink r:id="rId40" w:history="1">
        <w:r w:rsidRPr="006F012B">
          <w:rPr>
            <w:rStyle w:val="Hyperlink"/>
            <w:rFonts w:cstheme="minorHAnsi"/>
            <w:szCs w:val="24"/>
          </w:rPr>
          <w:t>Документе 40</w:t>
        </w:r>
      </w:hyperlink>
      <w:r w:rsidRPr="00F77B4F">
        <w:rPr>
          <w:rFonts w:cstheme="minorHAnsi"/>
          <w:szCs w:val="24"/>
        </w:rPr>
        <w:t xml:space="preserve">, представленном </w:t>
      </w:r>
      <w:r w:rsidRPr="00230658">
        <w:rPr>
          <w:rFonts w:cstheme="minorHAnsi"/>
          <w:b/>
          <w:szCs w:val="24"/>
        </w:rPr>
        <w:t>Бразилией</w:t>
      </w:r>
      <w:r w:rsidRPr="00F77B4F">
        <w:rPr>
          <w:rFonts w:cstheme="minorHAnsi"/>
          <w:szCs w:val="24"/>
        </w:rPr>
        <w:t>, отмечается, что некоторые Государства-Члены выразили пожелание</w:t>
      </w:r>
      <w:r>
        <w:rPr>
          <w:rFonts w:cstheme="minorHAnsi"/>
          <w:szCs w:val="24"/>
        </w:rPr>
        <w:t xml:space="preserve"> по большей</w:t>
      </w:r>
      <w:r w:rsidRPr="00F77B4F">
        <w:rPr>
          <w:rFonts w:cstheme="minorHAnsi"/>
          <w:szCs w:val="24"/>
        </w:rPr>
        <w:t xml:space="preserve"> актуал</w:t>
      </w:r>
      <w:r>
        <w:rPr>
          <w:rFonts w:cstheme="minorHAnsi"/>
          <w:szCs w:val="24"/>
        </w:rPr>
        <w:t>ьности</w:t>
      </w:r>
      <w:r w:rsidRPr="00F77B4F">
        <w:rPr>
          <w:rFonts w:cstheme="minorHAnsi"/>
          <w:szCs w:val="24"/>
        </w:rPr>
        <w:t xml:space="preserve"> </w:t>
      </w:r>
      <w:r>
        <w:rPr>
          <w:rFonts w:cstheme="minorHAnsi"/>
          <w:szCs w:val="24"/>
        </w:rPr>
        <w:t>итоговых документов</w:t>
      </w:r>
      <w:r w:rsidRPr="00F77B4F">
        <w:rPr>
          <w:rFonts w:cstheme="minorHAnsi"/>
          <w:szCs w:val="24"/>
        </w:rPr>
        <w:t xml:space="preserve"> исследовательских </w:t>
      </w:r>
      <w:r>
        <w:rPr>
          <w:rFonts w:cstheme="minorHAnsi"/>
          <w:szCs w:val="24"/>
        </w:rPr>
        <w:t>комиссий</w:t>
      </w:r>
      <w:r w:rsidRPr="00F77B4F">
        <w:rPr>
          <w:rFonts w:cstheme="minorHAnsi"/>
          <w:szCs w:val="24"/>
        </w:rPr>
        <w:t xml:space="preserve">/Вопросов. В этом документе членам предлагается проанализировать результаты работы исследовательских </w:t>
      </w:r>
      <w:r>
        <w:rPr>
          <w:rFonts w:cstheme="minorHAnsi"/>
          <w:szCs w:val="24"/>
        </w:rPr>
        <w:t>комиссий</w:t>
      </w:r>
      <w:r w:rsidRPr="00F77B4F">
        <w:rPr>
          <w:rFonts w:cstheme="minorHAnsi"/>
          <w:szCs w:val="24"/>
        </w:rPr>
        <w:t xml:space="preserve">/Вопросов МСЭ-D в рамках подготовки к </w:t>
      </w:r>
      <w:r>
        <w:rPr>
          <w:rFonts w:cstheme="minorHAnsi"/>
          <w:szCs w:val="24"/>
        </w:rPr>
        <w:t>ВКРЭ-</w:t>
      </w:r>
      <w:r w:rsidRPr="00F77B4F">
        <w:rPr>
          <w:rFonts w:cstheme="minorHAnsi"/>
          <w:szCs w:val="24"/>
        </w:rPr>
        <w:t>21. Было высказано предположение, что потребуется дальнейшее обсуждение для того, чтобы Резолюция 1</w:t>
      </w:r>
      <w:r>
        <w:rPr>
          <w:rFonts w:cstheme="minorHAnsi"/>
          <w:szCs w:val="24"/>
        </w:rPr>
        <w:t xml:space="preserve"> </w:t>
      </w:r>
      <w:r w:rsidRPr="00F77B4F">
        <w:rPr>
          <w:rFonts w:cstheme="minorHAnsi"/>
          <w:szCs w:val="24"/>
        </w:rPr>
        <w:t>(</w:t>
      </w:r>
      <w:r>
        <w:rPr>
          <w:rFonts w:cstheme="minorHAnsi"/>
          <w:szCs w:val="24"/>
        </w:rPr>
        <w:t>Пересм</w:t>
      </w:r>
      <w:r w:rsidRPr="00F77B4F">
        <w:rPr>
          <w:rFonts w:cstheme="minorHAnsi"/>
          <w:szCs w:val="24"/>
        </w:rPr>
        <w:t>. Буэнос-Айрес, 2017 г.)</w:t>
      </w:r>
      <w:r>
        <w:rPr>
          <w:rFonts w:cstheme="minorHAnsi"/>
          <w:szCs w:val="24"/>
        </w:rPr>
        <w:t xml:space="preserve"> ВКРЭ о</w:t>
      </w:r>
      <w:r w:rsidRPr="00F77B4F">
        <w:rPr>
          <w:rFonts w:cstheme="minorHAnsi"/>
          <w:szCs w:val="24"/>
        </w:rPr>
        <w:t xml:space="preserve"> </w:t>
      </w:r>
      <w:r>
        <w:rPr>
          <w:rFonts w:cstheme="minorHAnsi"/>
          <w:szCs w:val="24"/>
        </w:rPr>
        <w:t>п</w:t>
      </w:r>
      <w:r w:rsidRPr="00F77B4F">
        <w:rPr>
          <w:rFonts w:cstheme="minorHAnsi"/>
          <w:szCs w:val="24"/>
        </w:rPr>
        <w:t>равил</w:t>
      </w:r>
      <w:r>
        <w:rPr>
          <w:rFonts w:cstheme="minorHAnsi"/>
          <w:szCs w:val="24"/>
        </w:rPr>
        <w:t>ах</w:t>
      </w:r>
      <w:r w:rsidRPr="00F77B4F">
        <w:rPr>
          <w:rFonts w:cstheme="minorHAnsi"/>
          <w:szCs w:val="24"/>
        </w:rPr>
        <w:t xml:space="preserve"> процедуры </w:t>
      </w:r>
      <w:r>
        <w:rPr>
          <w:rFonts w:cstheme="minorHAnsi"/>
          <w:szCs w:val="24"/>
        </w:rPr>
        <w:t xml:space="preserve">Сектора </w:t>
      </w:r>
      <w:r w:rsidRPr="00F77B4F">
        <w:rPr>
          <w:rFonts w:cstheme="minorHAnsi"/>
          <w:szCs w:val="24"/>
        </w:rPr>
        <w:t xml:space="preserve">развития электросвязи МСЭ, стала более гибкой с точки зрения количества и периодичности </w:t>
      </w:r>
      <w:r>
        <w:rPr>
          <w:rFonts w:cstheme="minorHAnsi"/>
          <w:szCs w:val="24"/>
        </w:rPr>
        <w:t xml:space="preserve">представления </w:t>
      </w:r>
      <w:r w:rsidRPr="00F77B4F">
        <w:rPr>
          <w:rFonts w:cstheme="minorHAnsi"/>
          <w:szCs w:val="24"/>
        </w:rPr>
        <w:t xml:space="preserve">итоговых </w:t>
      </w:r>
      <w:r>
        <w:rPr>
          <w:rFonts w:cstheme="minorHAnsi"/>
          <w:szCs w:val="24"/>
        </w:rPr>
        <w:t>документов</w:t>
      </w:r>
      <w:r w:rsidRPr="00F77B4F">
        <w:rPr>
          <w:rFonts w:cstheme="minorHAnsi"/>
          <w:szCs w:val="24"/>
        </w:rPr>
        <w:t>.</w:t>
      </w:r>
    </w:p>
    <w:p w14:paraId="50C9AC70" w14:textId="631DEEAE" w:rsidR="00125DA8" w:rsidRPr="00F77B4F" w:rsidRDefault="00125DA8" w:rsidP="00E526B6">
      <w:pPr>
        <w:spacing w:after="120"/>
        <w:rPr>
          <w:rFonts w:cstheme="minorHAnsi"/>
          <w:szCs w:val="24"/>
        </w:rPr>
      </w:pPr>
      <w:r w:rsidRPr="00F77B4F">
        <w:rPr>
          <w:rFonts w:cstheme="minorHAnsi"/>
          <w:szCs w:val="24"/>
        </w:rPr>
        <w:t xml:space="preserve">В </w:t>
      </w:r>
      <w:hyperlink r:id="rId41" w:history="1">
        <w:r w:rsidRPr="001B4EB7">
          <w:rPr>
            <w:rStyle w:val="Hyperlink"/>
            <w:rFonts w:cstheme="minorHAnsi"/>
            <w:szCs w:val="24"/>
          </w:rPr>
          <w:t>Документе 41</w:t>
        </w:r>
      </w:hyperlink>
      <w:r w:rsidRPr="00F77B4F">
        <w:rPr>
          <w:rFonts w:cstheme="minorHAnsi"/>
          <w:szCs w:val="24"/>
        </w:rPr>
        <w:t xml:space="preserve">, представленном </w:t>
      </w:r>
      <w:r w:rsidRPr="00230658">
        <w:rPr>
          <w:rFonts w:cstheme="minorHAnsi"/>
          <w:b/>
          <w:szCs w:val="24"/>
        </w:rPr>
        <w:t>Бразилией</w:t>
      </w:r>
      <w:r w:rsidRPr="00F77B4F">
        <w:rPr>
          <w:rFonts w:cstheme="minorHAnsi"/>
          <w:szCs w:val="24"/>
        </w:rPr>
        <w:t xml:space="preserve">, поддерживается </w:t>
      </w:r>
      <w:r>
        <w:rPr>
          <w:rFonts w:cstheme="minorHAnsi"/>
          <w:szCs w:val="24"/>
        </w:rPr>
        <w:t>"</w:t>
      </w:r>
      <w:r w:rsidRPr="00F77B4F">
        <w:rPr>
          <w:rFonts w:cstheme="minorHAnsi"/>
          <w:szCs w:val="24"/>
        </w:rPr>
        <w:t>кластерный</w:t>
      </w:r>
      <w:r>
        <w:rPr>
          <w:rFonts w:cstheme="minorHAnsi"/>
          <w:szCs w:val="24"/>
        </w:rPr>
        <w:t>"</w:t>
      </w:r>
      <w:r w:rsidRPr="00F77B4F">
        <w:rPr>
          <w:rFonts w:cstheme="minorHAnsi"/>
          <w:szCs w:val="24"/>
        </w:rPr>
        <w:t xml:space="preserve"> подход, предложенный БРЭ, и членам предлагается </w:t>
      </w:r>
      <w:r>
        <w:rPr>
          <w:rFonts w:cstheme="minorHAnsi"/>
          <w:szCs w:val="24"/>
        </w:rPr>
        <w:t>рассматривать возможные</w:t>
      </w:r>
      <w:r w:rsidRPr="00F77B4F">
        <w:rPr>
          <w:rFonts w:cstheme="minorHAnsi"/>
          <w:szCs w:val="24"/>
        </w:rPr>
        <w:t xml:space="preserve"> </w:t>
      </w:r>
      <w:r>
        <w:rPr>
          <w:rFonts w:cstheme="minorHAnsi"/>
          <w:szCs w:val="24"/>
        </w:rPr>
        <w:t>вклады</w:t>
      </w:r>
      <w:r w:rsidRPr="00F77B4F">
        <w:rPr>
          <w:rFonts w:cstheme="minorHAnsi"/>
          <w:szCs w:val="24"/>
        </w:rPr>
        <w:t xml:space="preserve"> с учетом этой модели для следующей </w:t>
      </w:r>
      <w:r>
        <w:rPr>
          <w:rFonts w:cstheme="minorHAnsi"/>
          <w:szCs w:val="24"/>
        </w:rPr>
        <w:t>ВКРЭ</w:t>
      </w:r>
      <w:r w:rsidRPr="00F77B4F">
        <w:rPr>
          <w:rFonts w:cstheme="minorHAnsi"/>
          <w:szCs w:val="24"/>
        </w:rPr>
        <w:t>-21. Предполагается, что нов</w:t>
      </w:r>
      <w:r>
        <w:rPr>
          <w:rFonts w:cstheme="minorHAnsi"/>
          <w:szCs w:val="24"/>
        </w:rPr>
        <w:t>ая</w:t>
      </w:r>
      <w:r w:rsidRPr="00F77B4F">
        <w:rPr>
          <w:rFonts w:cstheme="minorHAnsi"/>
          <w:szCs w:val="24"/>
        </w:rPr>
        <w:t xml:space="preserve"> </w:t>
      </w:r>
      <w:r>
        <w:rPr>
          <w:rFonts w:cstheme="minorHAnsi"/>
          <w:szCs w:val="24"/>
        </w:rPr>
        <w:t>группа</w:t>
      </w:r>
      <w:r w:rsidRPr="00F77B4F">
        <w:rPr>
          <w:rFonts w:cstheme="minorHAnsi"/>
          <w:szCs w:val="24"/>
        </w:rPr>
        <w:t xml:space="preserve"> кластеров могл</w:t>
      </w:r>
      <w:r>
        <w:rPr>
          <w:rFonts w:cstheme="minorHAnsi"/>
          <w:szCs w:val="24"/>
        </w:rPr>
        <w:t>а</w:t>
      </w:r>
      <w:r w:rsidRPr="00F77B4F">
        <w:rPr>
          <w:rFonts w:cstheme="minorHAnsi"/>
          <w:szCs w:val="24"/>
        </w:rPr>
        <w:t xml:space="preserve"> бы отражать формат рабочих групп в МСЭ-Т и МСЭ-</w:t>
      </w:r>
      <w:r>
        <w:rPr>
          <w:rFonts w:cstheme="minorHAnsi"/>
          <w:szCs w:val="24"/>
          <w:lang w:val="en-US"/>
        </w:rPr>
        <w:t>R</w:t>
      </w:r>
      <w:r w:rsidRPr="00F77B4F">
        <w:rPr>
          <w:rFonts w:cstheme="minorHAnsi"/>
          <w:szCs w:val="24"/>
        </w:rPr>
        <w:t>, объединяя вопросы синергии</w:t>
      </w:r>
      <w:r w:rsidRPr="00F5280D">
        <w:rPr>
          <w:rFonts w:cstheme="minorHAnsi"/>
          <w:szCs w:val="24"/>
        </w:rPr>
        <w:t xml:space="preserve"> </w:t>
      </w:r>
      <w:r>
        <w:rPr>
          <w:rFonts w:cstheme="minorHAnsi"/>
          <w:szCs w:val="24"/>
        </w:rPr>
        <w:t>в рамках одного направления</w:t>
      </w:r>
      <w:r w:rsidRPr="00F77B4F">
        <w:rPr>
          <w:rFonts w:cstheme="minorHAnsi"/>
          <w:szCs w:val="24"/>
        </w:rPr>
        <w:t xml:space="preserve">. </w:t>
      </w:r>
      <w:r>
        <w:rPr>
          <w:rFonts w:cstheme="minorHAnsi"/>
          <w:szCs w:val="24"/>
        </w:rPr>
        <w:t>Признавая</w:t>
      </w:r>
      <w:r w:rsidRPr="00F77B4F">
        <w:rPr>
          <w:rFonts w:cstheme="minorHAnsi"/>
          <w:szCs w:val="24"/>
        </w:rPr>
        <w:t xml:space="preserve"> важность синергетического взаимодействия, некоторые участники также напомнили о трудностях, с которыми такой подход </w:t>
      </w:r>
      <w:r>
        <w:rPr>
          <w:rFonts w:cstheme="minorHAnsi"/>
          <w:szCs w:val="24"/>
        </w:rPr>
        <w:t>был сопряжен</w:t>
      </w:r>
      <w:r w:rsidRPr="00F77B4F">
        <w:rPr>
          <w:rFonts w:cstheme="minorHAnsi"/>
          <w:szCs w:val="24"/>
        </w:rPr>
        <w:t xml:space="preserve"> в </w:t>
      </w:r>
      <w:r>
        <w:rPr>
          <w:rFonts w:cstheme="minorHAnsi"/>
          <w:szCs w:val="24"/>
        </w:rPr>
        <w:t>процессе</w:t>
      </w:r>
      <w:r w:rsidRPr="00F77B4F">
        <w:rPr>
          <w:rFonts w:cstheme="minorHAnsi"/>
          <w:szCs w:val="24"/>
        </w:rPr>
        <w:t xml:space="preserve"> предыдущих усилий по</w:t>
      </w:r>
      <w:r>
        <w:rPr>
          <w:rFonts w:cstheme="minorHAnsi"/>
          <w:szCs w:val="24"/>
        </w:rPr>
        <w:t xml:space="preserve"> его</w:t>
      </w:r>
      <w:r w:rsidRPr="00F77B4F">
        <w:rPr>
          <w:rFonts w:cstheme="minorHAnsi"/>
          <w:szCs w:val="24"/>
        </w:rPr>
        <w:t xml:space="preserve"> введению</w:t>
      </w:r>
      <w:r>
        <w:rPr>
          <w:rFonts w:cstheme="minorHAnsi"/>
          <w:szCs w:val="24"/>
        </w:rPr>
        <w:t xml:space="preserve"> в</w:t>
      </w:r>
      <w:r w:rsidRPr="00F77B4F">
        <w:rPr>
          <w:rFonts w:cstheme="minorHAnsi"/>
          <w:szCs w:val="24"/>
        </w:rPr>
        <w:t xml:space="preserve"> рабочи</w:t>
      </w:r>
      <w:r>
        <w:rPr>
          <w:rFonts w:cstheme="minorHAnsi"/>
          <w:szCs w:val="24"/>
        </w:rPr>
        <w:t>е</w:t>
      </w:r>
      <w:r w:rsidRPr="00F77B4F">
        <w:rPr>
          <w:rFonts w:cstheme="minorHAnsi"/>
          <w:szCs w:val="24"/>
        </w:rPr>
        <w:t xml:space="preserve"> групп</w:t>
      </w:r>
      <w:r>
        <w:rPr>
          <w:rFonts w:cstheme="minorHAnsi"/>
          <w:szCs w:val="24"/>
        </w:rPr>
        <w:t>ы</w:t>
      </w:r>
      <w:r w:rsidRPr="00F77B4F">
        <w:rPr>
          <w:rFonts w:cstheme="minorHAnsi"/>
          <w:szCs w:val="24"/>
        </w:rPr>
        <w:t xml:space="preserve"> МСЭ</w:t>
      </w:r>
      <w:r w:rsidR="0025721B">
        <w:rPr>
          <w:rFonts w:cstheme="minorHAnsi"/>
          <w:szCs w:val="24"/>
        </w:rPr>
        <w:noBreakHyphen/>
      </w:r>
      <w:r w:rsidRPr="00F77B4F">
        <w:rPr>
          <w:rFonts w:cstheme="minorHAnsi"/>
          <w:szCs w:val="24"/>
        </w:rPr>
        <w:t>D.</w:t>
      </w:r>
    </w:p>
    <w:p w14:paraId="63E92DF6" w14:textId="77777777" w:rsidR="00125DA8" w:rsidRPr="00F77B4F" w:rsidRDefault="00125DA8" w:rsidP="00E526B6">
      <w:pPr>
        <w:spacing w:after="120"/>
        <w:rPr>
          <w:rFonts w:cstheme="minorHAnsi"/>
          <w:szCs w:val="24"/>
        </w:rPr>
      </w:pPr>
      <w:r w:rsidRPr="00F77B4F">
        <w:rPr>
          <w:rFonts w:cstheme="minorHAnsi"/>
          <w:szCs w:val="24"/>
        </w:rPr>
        <w:t xml:space="preserve">В </w:t>
      </w:r>
      <w:hyperlink r:id="rId42" w:history="1">
        <w:r w:rsidRPr="00F5280D">
          <w:rPr>
            <w:rStyle w:val="Hyperlink"/>
            <w:rFonts w:cstheme="minorHAnsi"/>
            <w:szCs w:val="24"/>
          </w:rPr>
          <w:t>Документе 42</w:t>
        </w:r>
      </w:hyperlink>
      <w:r>
        <w:rPr>
          <w:rFonts w:cstheme="minorHAnsi"/>
          <w:szCs w:val="24"/>
        </w:rPr>
        <w:t>, представленном</w:t>
      </w:r>
      <w:r w:rsidRPr="00F77B4F">
        <w:rPr>
          <w:rFonts w:cstheme="minorHAnsi"/>
          <w:szCs w:val="24"/>
        </w:rPr>
        <w:t xml:space="preserve"> </w:t>
      </w:r>
      <w:r w:rsidRPr="00230658">
        <w:rPr>
          <w:rFonts w:cstheme="minorHAnsi"/>
          <w:b/>
          <w:szCs w:val="24"/>
        </w:rPr>
        <w:t>Бразилией</w:t>
      </w:r>
      <w:r>
        <w:rPr>
          <w:rFonts w:cstheme="minorHAnsi"/>
          <w:szCs w:val="24"/>
        </w:rPr>
        <w:t>,</w:t>
      </w:r>
      <w:r w:rsidRPr="00F77B4F">
        <w:rPr>
          <w:rFonts w:cstheme="minorHAnsi"/>
          <w:szCs w:val="24"/>
        </w:rPr>
        <w:t xml:space="preserve"> предлага</w:t>
      </w:r>
      <w:r>
        <w:rPr>
          <w:rFonts w:cstheme="minorHAnsi"/>
          <w:szCs w:val="24"/>
        </w:rPr>
        <w:t>е</w:t>
      </w:r>
      <w:r w:rsidRPr="00F77B4F">
        <w:rPr>
          <w:rFonts w:cstheme="minorHAnsi"/>
          <w:szCs w:val="24"/>
        </w:rPr>
        <w:t>тся</w:t>
      </w:r>
      <w:r>
        <w:rPr>
          <w:rFonts w:cstheme="minorHAnsi"/>
          <w:szCs w:val="24"/>
        </w:rPr>
        <w:t xml:space="preserve"> проведение</w:t>
      </w:r>
      <w:r w:rsidRPr="00F77B4F">
        <w:rPr>
          <w:rFonts w:cstheme="minorHAnsi"/>
          <w:szCs w:val="24"/>
        </w:rPr>
        <w:t xml:space="preserve"> тематически</w:t>
      </w:r>
      <w:r>
        <w:rPr>
          <w:rFonts w:cstheme="minorHAnsi"/>
          <w:szCs w:val="24"/>
        </w:rPr>
        <w:t>х</w:t>
      </w:r>
      <w:r w:rsidRPr="00F77B4F">
        <w:rPr>
          <w:rFonts w:cstheme="minorHAnsi"/>
          <w:szCs w:val="24"/>
        </w:rPr>
        <w:t xml:space="preserve"> семинар</w:t>
      </w:r>
      <w:r>
        <w:rPr>
          <w:rFonts w:cstheme="minorHAnsi"/>
          <w:szCs w:val="24"/>
        </w:rPr>
        <w:t>ов-практикумов</w:t>
      </w:r>
      <w:r w:rsidRPr="00F77B4F">
        <w:rPr>
          <w:rFonts w:cstheme="minorHAnsi"/>
          <w:szCs w:val="24"/>
        </w:rPr>
        <w:t xml:space="preserve"> с участием экспертов высокого уровня как в рамках региональных подготовительных </w:t>
      </w:r>
      <w:r>
        <w:rPr>
          <w:rFonts w:cstheme="minorHAnsi"/>
          <w:szCs w:val="24"/>
        </w:rPr>
        <w:t>собраний</w:t>
      </w:r>
      <w:r w:rsidRPr="00F77B4F">
        <w:rPr>
          <w:rFonts w:cstheme="minorHAnsi"/>
          <w:szCs w:val="24"/>
        </w:rPr>
        <w:t xml:space="preserve"> (РП</w:t>
      </w:r>
      <w:r>
        <w:rPr>
          <w:rFonts w:cstheme="minorHAnsi"/>
          <w:szCs w:val="24"/>
        </w:rPr>
        <w:t>С</w:t>
      </w:r>
      <w:r w:rsidRPr="00F77B4F">
        <w:rPr>
          <w:rFonts w:cstheme="minorHAnsi"/>
          <w:szCs w:val="24"/>
        </w:rPr>
        <w:t xml:space="preserve">), так и в ходе </w:t>
      </w:r>
      <w:r>
        <w:rPr>
          <w:rFonts w:cstheme="minorHAnsi"/>
          <w:szCs w:val="24"/>
        </w:rPr>
        <w:t>ВКРЭ</w:t>
      </w:r>
      <w:r w:rsidRPr="00F77B4F">
        <w:rPr>
          <w:rFonts w:cstheme="minorHAnsi"/>
          <w:szCs w:val="24"/>
        </w:rPr>
        <w:t>-21.</w:t>
      </w:r>
    </w:p>
    <w:p w14:paraId="03951814" w14:textId="77777777" w:rsidR="00125DA8" w:rsidRPr="00F77B4F" w:rsidRDefault="00125DA8" w:rsidP="00E526B6">
      <w:pPr>
        <w:rPr>
          <w:rFonts w:cstheme="minorHAnsi"/>
          <w:szCs w:val="24"/>
        </w:rPr>
      </w:pPr>
      <w:r w:rsidRPr="00F77B4F">
        <w:rPr>
          <w:rFonts w:cstheme="minorHAnsi"/>
          <w:szCs w:val="24"/>
        </w:rPr>
        <w:t xml:space="preserve">Важность как региональных подготовительных </w:t>
      </w:r>
      <w:r>
        <w:rPr>
          <w:rFonts w:cstheme="minorHAnsi"/>
          <w:szCs w:val="24"/>
        </w:rPr>
        <w:t>собраний</w:t>
      </w:r>
      <w:r w:rsidRPr="00F77B4F">
        <w:rPr>
          <w:rFonts w:cstheme="minorHAnsi"/>
          <w:szCs w:val="24"/>
        </w:rPr>
        <w:t xml:space="preserve"> под руководством МСЭ, так и </w:t>
      </w:r>
      <w:r>
        <w:rPr>
          <w:rFonts w:cstheme="minorHAnsi"/>
          <w:szCs w:val="24"/>
        </w:rPr>
        <w:t>собраний</w:t>
      </w:r>
      <w:r w:rsidRPr="00F77B4F">
        <w:rPr>
          <w:rFonts w:cstheme="minorHAnsi"/>
          <w:szCs w:val="24"/>
        </w:rPr>
        <w:t xml:space="preserve"> под руководством региональных организаций</w:t>
      </w:r>
      <w:r>
        <w:rPr>
          <w:rFonts w:cstheme="minorHAnsi"/>
          <w:szCs w:val="24"/>
        </w:rPr>
        <w:t xml:space="preserve"> электросвязи</w:t>
      </w:r>
      <w:r w:rsidRPr="00F77B4F">
        <w:rPr>
          <w:rFonts w:cstheme="minorHAnsi"/>
          <w:szCs w:val="24"/>
        </w:rPr>
        <w:t xml:space="preserve"> </w:t>
      </w:r>
      <w:r>
        <w:rPr>
          <w:rFonts w:cstheme="minorHAnsi"/>
          <w:szCs w:val="24"/>
        </w:rPr>
        <w:t>перед</w:t>
      </w:r>
      <w:r w:rsidRPr="00F77B4F">
        <w:rPr>
          <w:rFonts w:cstheme="minorHAnsi"/>
          <w:szCs w:val="24"/>
        </w:rPr>
        <w:t xml:space="preserve"> В</w:t>
      </w:r>
      <w:r>
        <w:rPr>
          <w:rFonts w:cstheme="minorHAnsi"/>
          <w:szCs w:val="24"/>
        </w:rPr>
        <w:t>КРЭ</w:t>
      </w:r>
      <w:r w:rsidRPr="00F77B4F">
        <w:rPr>
          <w:rFonts w:cstheme="minorHAnsi"/>
          <w:szCs w:val="24"/>
        </w:rPr>
        <w:t>-21 была</w:t>
      </w:r>
      <w:r>
        <w:rPr>
          <w:rFonts w:cstheme="minorHAnsi"/>
          <w:szCs w:val="24"/>
        </w:rPr>
        <w:t>, в числе прочего</w:t>
      </w:r>
      <w:r w:rsidRPr="00F77B4F">
        <w:rPr>
          <w:rFonts w:cstheme="minorHAnsi"/>
          <w:szCs w:val="24"/>
        </w:rPr>
        <w:t>, подчеркнут</w:t>
      </w:r>
      <w:r>
        <w:rPr>
          <w:rFonts w:cstheme="minorHAnsi"/>
          <w:szCs w:val="24"/>
        </w:rPr>
        <w:t>а</w:t>
      </w:r>
      <w:r w:rsidRPr="00F77B4F">
        <w:rPr>
          <w:rFonts w:cstheme="minorHAnsi"/>
          <w:szCs w:val="24"/>
        </w:rPr>
        <w:t xml:space="preserve"> участниками, призва</w:t>
      </w:r>
      <w:r>
        <w:rPr>
          <w:rFonts w:cstheme="minorHAnsi"/>
          <w:szCs w:val="24"/>
        </w:rPr>
        <w:t>вшими</w:t>
      </w:r>
      <w:r w:rsidRPr="00F77B4F">
        <w:rPr>
          <w:rFonts w:cstheme="minorHAnsi"/>
          <w:szCs w:val="24"/>
        </w:rPr>
        <w:t xml:space="preserve"> к сотрудничеству, а не к </w:t>
      </w:r>
      <w:r>
        <w:rPr>
          <w:rFonts w:cstheme="minorHAnsi"/>
          <w:szCs w:val="24"/>
        </w:rPr>
        <w:t>соперничеству</w:t>
      </w:r>
      <w:r w:rsidRPr="00F77B4F">
        <w:rPr>
          <w:rFonts w:cstheme="minorHAnsi"/>
          <w:szCs w:val="24"/>
        </w:rPr>
        <w:t>.</w:t>
      </w:r>
    </w:p>
    <w:p w14:paraId="09C9655A" w14:textId="364A7506" w:rsidR="00125DA8" w:rsidRPr="00230658" w:rsidRDefault="00125DA8" w:rsidP="00E526B6">
      <w:pPr>
        <w:spacing w:after="120"/>
        <w:rPr>
          <w:rFonts w:cstheme="minorHAnsi"/>
          <w:szCs w:val="24"/>
        </w:rPr>
      </w:pPr>
      <w:r>
        <w:rPr>
          <w:rFonts w:cstheme="minorHAnsi"/>
          <w:szCs w:val="24"/>
        </w:rPr>
        <w:t>В</w:t>
      </w:r>
      <w:r w:rsidRPr="00F5280D">
        <w:rPr>
          <w:rFonts w:cstheme="minorHAnsi"/>
          <w:szCs w:val="24"/>
        </w:rPr>
        <w:t xml:space="preserve"> </w:t>
      </w:r>
      <w:hyperlink r:id="rId43" w:history="1">
        <w:r w:rsidRPr="00F5280D">
          <w:rPr>
            <w:rStyle w:val="Hyperlink"/>
            <w:rFonts w:cstheme="minorHAnsi"/>
            <w:szCs w:val="24"/>
          </w:rPr>
          <w:t>Документ</w:t>
        </w:r>
        <w:r>
          <w:rPr>
            <w:rStyle w:val="Hyperlink"/>
            <w:rFonts w:cstheme="minorHAnsi"/>
            <w:szCs w:val="24"/>
          </w:rPr>
          <w:t>е</w:t>
        </w:r>
        <w:r w:rsidRPr="00F5280D">
          <w:rPr>
            <w:rStyle w:val="Hyperlink"/>
            <w:rFonts w:cstheme="minorHAnsi"/>
            <w:szCs w:val="24"/>
          </w:rPr>
          <w:t xml:space="preserve"> 37(Rev.2)</w:t>
        </w:r>
      </w:hyperlink>
      <w:r>
        <w:rPr>
          <w:rFonts w:cstheme="minorHAnsi"/>
          <w:szCs w:val="24"/>
        </w:rPr>
        <w:t xml:space="preserve">, представленном </w:t>
      </w:r>
      <w:r w:rsidRPr="00230658">
        <w:rPr>
          <w:rFonts w:cstheme="minorHAnsi"/>
          <w:b/>
          <w:szCs w:val="24"/>
        </w:rPr>
        <w:t>Канадой</w:t>
      </w:r>
      <w:r>
        <w:rPr>
          <w:rFonts w:cstheme="minorHAnsi"/>
          <w:szCs w:val="24"/>
        </w:rPr>
        <w:t>,</w:t>
      </w:r>
      <w:r w:rsidRPr="00F77B4F">
        <w:rPr>
          <w:rFonts w:cstheme="minorHAnsi"/>
          <w:szCs w:val="24"/>
        </w:rPr>
        <w:t xml:space="preserve"> поддерживает</w:t>
      </w:r>
      <w:r>
        <w:rPr>
          <w:rFonts w:cstheme="minorHAnsi"/>
          <w:szCs w:val="24"/>
        </w:rPr>
        <w:t>ся</w:t>
      </w:r>
      <w:r w:rsidRPr="00F77B4F">
        <w:rPr>
          <w:rFonts w:cstheme="minorHAnsi"/>
          <w:szCs w:val="24"/>
        </w:rPr>
        <w:t xml:space="preserve"> совершенствование процессов планирования и подготовки к В</w:t>
      </w:r>
      <w:r>
        <w:rPr>
          <w:rFonts w:cstheme="minorHAnsi"/>
          <w:szCs w:val="24"/>
        </w:rPr>
        <w:t>КРЭ-</w:t>
      </w:r>
      <w:r w:rsidRPr="00F77B4F">
        <w:rPr>
          <w:rFonts w:cstheme="minorHAnsi"/>
          <w:szCs w:val="24"/>
        </w:rPr>
        <w:t xml:space="preserve">21, а также структуры конференции. </w:t>
      </w:r>
      <w:r>
        <w:rPr>
          <w:rFonts w:cstheme="minorHAnsi"/>
          <w:szCs w:val="24"/>
        </w:rPr>
        <w:t>Анализ</w:t>
      </w:r>
      <w:r w:rsidRPr="00F77B4F">
        <w:rPr>
          <w:rFonts w:cstheme="minorHAnsi"/>
          <w:szCs w:val="24"/>
        </w:rPr>
        <w:t xml:space="preserve"> организационной и оперативной эффективности не проводился с 1994 года. В частности, если </w:t>
      </w:r>
      <w:r>
        <w:rPr>
          <w:rFonts w:cstheme="minorHAnsi"/>
          <w:szCs w:val="24"/>
        </w:rPr>
        <w:t>КГРЭ</w:t>
      </w:r>
      <w:r w:rsidRPr="00F77B4F">
        <w:rPr>
          <w:rFonts w:cstheme="minorHAnsi"/>
          <w:szCs w:val="24"/>
        </w:rPr>
        <w:t xml:space="preserve"> согласится с тем, что реформа необходима, то предлагается создать в рамках </w:t>
      </w:r>
      <w:r>
        <w:rPr>
          <w:rFonts w:cstheme="minorHAnsi"/>
          <w:szCs w:val="24"/>
        </w:rPr>
        <w:t>КГРЭ</w:t>
      </w:r>
      <w:r w:rsidRPr="00F77B4F">
        <w:rPr>
          <w:rFonts w:cstheme="minorHAnsi"/>
          <w:szCs w:val="24"/>
        </w:rPr>
        <w:t xml:space="preserve"> рабочую группу по реформ</w:t>
      </w:r>
      <w:r>
        <w:rPr>
          <w:rFonts w:cstheme="minorHAnsi"/>
          <w:szCs w:val="24"/>
        </w:rPr>
        <w:t>ированию</w:t>
      </w:r>
      <w:r w:rsidRPr="00F77B4F">
        <w:rPr>
          <w:rFonts w:cstheme="minorHAnsi"/>
          <w:szCs w:val="24"/>
        </w:rPr>
        <w:t xml:space="preserve"> </w:t>
      </w:r>
      <w:r>
        <w:rPr>
          <w:rFonts w:cstheme="minorHAnsi"/>
          <w:szCs w:val="24"/>
        </w:rPr>
        <w:t>ВКРЭ</w:t>
      </w:r>
      <w:r w:rsidRPr="00F77B4F">
        <w:rPr>
          <w:rFonts w:cstheme="minorHAnsi"/>
          <w:szCs w:val="24"/>
        </w:rPr>
        <w:t xml:space="preserve"> и рабочую группу по </w:t>
      </w:r>
      <w:r w:rsidR="00F42B12">
        <w:rPr>
          <w:rFonts w:cstheme="minorHAnsi"/>
          <w:szCs w:val="24"/>
        </w:rPr>
        <w:t>р</w:t>
      </w:r>
      <w:r w:rsidRPr="00F77B4F">
        <w:rPr>
          <w:rFonts w:cstheme="minorHAnsi"/>
          <w:szCs w:val="24"/>
        </w:rPr>
        <w:t xml:space="preserve">езолюциям и тематическим приоритетам МСЭ-D с соответствующим кругом ведения, приведенным в Приложениях 1 и 2 к </w:t>
      </w:r>
      <w:r>
        <w:rPr>
          <w:rFonts w:cstheme="minorHAnsi"/>
          <w:szCs w:val="24"/>
        </w:rPr>
        <w:t>вкладу</w:t>
      </w:r>
      <w:r w:rsidRPr="00F77B4F">
        <w:rPr>
          <w:rFonts w:cstheme="minorHAnsi"/>
          <w:szCs w:val="24"/>
        </w:rPr>
        <w:t>. Участники предложили четко определить круг ведения, при этом некоторые из них отметили</w:t>
      </w:r>
      <w:r>
        <w:rPr>
          <w:rFonts w:cstheme="minorHAnsi"/>
          <w:szCs w:val="24"/>
        </w:rPr>
        <w:t>, что</w:t>
      </w:r>
      <w:r w:rsidRPr="00F77B4F">
        <w:rPr>
          <w:rFonts w:cstheme="minorHAnsi"/>
          <w:szCs w:val="24"/>
        </w:rPr>
        <w:t xml:space="preserve"> роль </w:t>
      </w:r>
      <w:r>
        <w:rPr>
          <w:rFonts w:cstheme="minorHAnsi"/>
          <w:szCs w:val="24"/>
        </w:rPr>
        <w:t>КГРЭ является</w:t>
      </w:r>
      <w:r w:rsidRPr="00F77B4F">
        <w:rPr>
          <w:rFonts w:cstheme="minorHAnsi"/>
          <w:szCs w:val="24"/>
        </w:rPr>
        <w:t xml:space="preserve"> консультативн</w:t>
      </w:r>
      <w:r>
        <w:rPr>
          <w:rFonts w:cstheme="minorHAnsi"/>
          <w:szCs w:val="24"/>
        </w:rPr>
        <w:t>ой, а</w:t>
      </w:r>
      <w:r w:rsidRPr="00F77B4F">
        <w:rPr>
          <w:rFonts w:cstheme="minorHAnsi"/>
          <w:szCs w:val="24"/>
        </w:rPr>
        <w:t xml:space="preserve"> функци</w:t>
      </w:r>
      <w:r>
        <w:rPr>
          <w:rFonts w:cstheme="minorHAnsi"/>
          <w:szCs w:val="24"/>
        </w:rPr>
        <w:t>я</w:t>
      </w:r>
      <w:r w:rsidRPr="00F77B4F">
        <w:rPr>
          <w:rFonts w:cstheme="minorHAnsi"/>
          <w:szCs w:val="24"/>
        </w:rPr>
        <w:t xml:space="preserve"> </w:t>
      </w:r>
      <w:r>
        <w:rPr>
          <w:rFonts w:cstheme="minorHAnsi"/>
          <w:szCs w:val="24"/>
        </w:rPr>
        <w:t xml:space="preserve">по </w:t>
      </w:r>
      <w:r w:rsidRPr="00230658">
        <w:rPr>
          <w:rFonts w:cstheme="minorHAnsi"/>
          <w:szCs w:val="24"/>
        </w:rPr>
        <w:t>внесению изменений в формат конференции</w:t>
      </w:r>
      <w:r>
        <w:rPr>
          <w:rFonts w:cstheme="minorHAnsi"/>
          <w:szCs w:val="24"/>
        </w:rPr>
        <w:t xml:space="preserve"> принадлежит ВКРЭ</w:t>
      </w:r>
      <w:r w:rsidRPr="00230658">
        <w:rPr>
          <w:rFonts w:cstheme="minorHAnsi"/>
          <w:szCs w:val="24"/>
        </w:rPr>
        <w:t>.</w:t>
      </w:r>
    </w:p>
    <w:p w14:paraId="0E41D603" w14:textId="77777777" w:rsidR="00125DA8" w:rsidRPr="00230658" w:rsidRDefault="00125DA8" w:rsidP="00E526B6">
      <w:pPr>
        <w:spacing w:after="120"/>
        <w:rPr>
          <w:rFonts w:cstheme="minorHAnsi"/>
          <w:szCs w:val="24"/>
        </w:rPr>
      </w:pPr>
      <w:r w:rsidRPr="00F77B4F">
        <w:rPr>
          <w:rFonts w:cstheme="minorHAnsi"/>
          <w:szCs w:val="24"/>
        </w:rPr>
        <w:t xml:space="preserve">В </w:t>
      </w:r>
      <w:hyperlink r:id="rId44" w:history="1">
        <w:r w:rsidRPr="00230658">
          <w:rPr>
            <w:rStyle w:val="Hyperlink"/>
            <w:rFonts w:cstheme="minorHAnsi"/>
            <w:szCs w:val="24"/>
          </w:rPr>
          <w:t>Документе 43</w:t>
        </w:r>
      </w:hyperlink>
      <w:r w:rsidRPr="00F77B4F">
        <w:rPr>
          <w:rFonts w:cstheme="minorHAnsi"/>
          <w:szCs w:val="24"/>
        </w:rPr>
        <w:t xml:space="preserve"> </w:t>
      </w:r>
      <w:r w:rsidRPr="00230658">
        <w:rPr>
          <w:rFonts w:cstheme="minorHAnsi"/>
          <w:b/>
          <w:szCs w:val="24"/>
        </w:rPr>
        <w:t>Российской Федерации</w:t>
      </w:r>
      <w:r w:rsidRPr="00F77B4F">
        <w:rPr>
          <w:rFonts w:cstheme="minorHAnsi"/>
          <w:szCs w:val="24"/>
        </w:rPr>
        <w:t xml:space="preserve"> содержится информация о том, что Региональное </w:t>
      </w:r>
      <w:r>
        <w:rPr>
          <w:rFonts w:cstheme="minorHAnsi"/>
          <w:szCs w:val="24"/>
        </w:rPr>
        <w:t>с</w:t>
      </w:r>
      <w:r w:rsidRPr="00F77B4F">
        <w:rPr>
          <w:rFonts w:cstheme="minorHAnsi"/>
          <w:szCs w:val="24"/>
        </w:rPr>
        <w:t xml:space="preserve">одружество в области </w:t>
      </w:r>
      <w:r>
        <w:rPr>
          <w:rFonts w:cstheme="minorHAnsi"/>
          <w:szCs w:val="24"/>
        </w:rPr>
        <w:t>связи</w:t>
      </w:r>
      <w:r w:rsidRPr="00F77B4F">
        <w:rPr>
          <w:rFonts w:cstheme="minorHAnsi"/>
          <w:szCs w:val="24"/>
        </w:rPr>
        <w:t xml:space="preserve"> (РСС) уже начало подготовку к </w:t>
      </w:r>
      <w:r>
        <w:rPr>
          <w:rFonts w:cstheme="minorHAnsi"/>
          <w:szCs w:val="24"/>
        </w:rPr>
        <w:t>ВКРЭ</w:t>
      </w:r>
      <w:r w:rsidRPr="00F77B4F">
        <w:rPr>
          <w:rFonts w:cstheme="minorHAnsi"/>
          <w:szCs w:val="24"/>
        </w:rPr>
        <w:t xml:space="preserve">-21, </w:t>
      </w:r>
      <w:r>
        <w:rPr>
          <w:rFonts w:cstheme="minorHAnsi"/>
          <w:szCs w:val="24"/>
        </w:rPr>
        <w:t>а также</w:t>
      </w:r>
      <w:r w:rsidRPr="00F77B4F">
        <w:rPr>
          <w:rFonts w:cstheme="minorHAnsi"/>
          <w:szCs w:val="24"/>
        </w:rPr>
        <w:t xml:space="preserve"> содержится </w:t>
      </w:r>
      <w:r w:rsidRPr="00F77B4F">
        <w:rPr>
          <w:rFonts w:cstheme="minorHAnsi"/>
          <w:szCs w:val="24"/>
        </w:rPr>
        <w:lastRenderedPageBreak/>
        <w:t xml:space="preserve">настоятельный призыв к БРЭ предоставить информацию для членов, чтобы они </w:t>
      </w:r>
      <w:r>
        <w:rPr>
          <w:rFonts w:cstheme="minorHAnsi"/>
          <w:szCs w:val="24"/>
        </w:rPr>
        <w:t>имели возможность</w:t>
      </w:r>
      <w:r w:rsidRPr="00F77B4F">
        <w:rPr>
          <w:rFonts w:cstheme="minorHAnsi"/>
          <w:szCs w:val="24"/>
        </w:rPr>
        <w:t xml:space="preserve"> подготовиться надлежащим образом. </w:t>
      </w:r>
      <w:r w:rsidRPr="00230658">
        <w:rPr>
          <w:rFonts w:cstheme="minorHAnsi"/>
          <w:szCs w:val="24"/>
        </w:rPr>
        <w:t>Вклад содержит четыре предложения:</w:t>
      </w:r>
    </w:p>
    <w:p w14:paraId="0EBBD9EE" w14:textId="48D23FF1" w:rsidR="00125DA8" w:rsidRPr="00230658" w:rsidRDefault="0025721B" w:rsidP="0025721B">
      <w:pPr>
        <w:pStyle w:val="enumlev1"/>
      </w:pPr>
      <w:r w:rsidRPr="0025721B">
        <w:t>1)</w:t>
      </w:r>
      <w:r w:rsidRPr="0025721B">
        <w:tab/>
      </w:r>
      <w:r w:rsidR="00125DA8" w:rsidRPr="00230658">
        <w:t>Обнов</w:t>
      </w:r>
      <w:r w:rsidR="00125DA8">
        <w:t>ить</w:t>
      </w:r>
      <w:r w:rsidR="00125DA8" w:rsidRPr="00230658">
        <w:t xml:space="preserve"> </w:t>
      </w:r>
      <w:r w:rsidR="00125DA8">
        <w:t>содержание</w:t>
      </w:r>
      <w:r w:rsidR="00125DA8" w:rsidRPr="00230658">
        <w:t xml:space="preserve"> веб-сайта В</w:t>
      </w:r>
      <w:r w:rsidR="00125DA8">
        <w:t>КРЭ</w:t>
      </w:r>
      <w:r w:rsidR="00125DA8" w:rsidRPr="00230658">
        <w:t xml:space="preserve">-21 на всех шести языках Союза </w:t>
      </w:r>
      <w:r w:rsidR="00125DA8">
        <w:t>и</w:t>
      </w:r>
      <w:r w:rsidR="00125DA8" w:rsidRPr="00230658">
        <w:t xml:space="preserve"> </w:t>
      </w:r>
      <w:r w:rsidR="00125DA8">
        <w:t>завершить работу над ним</w:t>
      </w:r>
      <w:r w:rsidR="00125DA8" w:rsidRPr="00230658">
        <w:t>;</w:t>
      </w:r>
    </w:p>
    <w:p w14:paraId="57A432B6" w14:textId="75F303C2" w:rsidR="00125DA8" w:rsidRPr="00230658" w:rsidRDefault="0025721B" w:rsidP="0025721B">
      <w:pPr>
        <w:pStyle w:val="enumlev1"/>
      </w:pPr>
      <w:r w:rsidRPr="0025721B">
        <w:t>2)</w:t>
      </w:r>
      <w:r w:rsidRPr="0025721B">
        <w:tab/>
      </w:r>
      <w:r w:rsidR="00125DA8" w:rsidRPr="00230658">
        <w:t xml:space="preserve">Создать </w:t>
      </w:r>
      <w:r w:rsidR="00125DA8">
        <w:t>работающие по</w:t>
      </w:r>
      <w:r w:rsidR="00125DA8" w:rsidRPr="00230658">
        <w:t xml:space="preserve"> </w:t>
      </w:r>
      <w:r w:rsidR="00125DA8">
        <w:t>переписке</w:t>
      </w:r>
      <w:r w:rsidR="00125DA8" w:rsidRPr="00230658">
        <w:t xml:space="preserve"> группы по методам работы и упорядочению резолюций;</w:t>
      </w:r>
    </w:p>
    <w:p w14:paraId="513A533F" w14:textId="5A5753F7" w:rsidR="00125DA8" w:rsidRPr="00230658" w:rsidRDefault="0025721B" w:rsidP="0025721B">
      <w:pPr>
        <w:pStyle w:val="enumlev1"/>
      </w:pPr>
      <w:r w:rsidRPr="0025721B">
        <w:t>3)</w:t>
      </w:r>
      <w:r w:rsidRPr="0025721B">
        <w:tab/>
      </w:r>
      <w:r w:rsidR="00125DA8">
        <w:t>С</w:t>
      </w:r>
      <w:r w:rsidR="00125DA8" w:rsidRPr="00230658">
        <w:t xml:space="preserve">оздать </w:t>
      </w:r>
      <w:r w:rsidR="00125DA8">
        <w:t>работающую по</w:t>
      </w:r>
      <w:r w:rsidR="00125DA8" w:rsidRPr="00230658">
        <w:t xml:space="preserve"> </w:t>
      </w:r>
      <w:r w:rsidR="00125DA8">
        <w:t>переписке</w:t>
      </w:r>
      <w:r w:rsidR="00125DA8" w:rsidRPr="00230658">
        <w:t xml:space="preserve"> группу по стратегии развития для рассмотрения предложений по совершенствованию деятельности МСЭ-</w:t>
      </w:r>
      <w:r w:rsidR="00125DA8" w:rsidRPr="00F77B4F">
        <w:rPr>
          <w:lang w:val="en-US"/>
        </w:rPr>
        <w:t>D</w:t>
      </w:r>
      <w:r w:rsidR="00125DA8" w:rsidRPr="00230658">
        <w:t xml:space="preserve"> в интересах развивающихся стран;</w:t>
      </w:r>
    </w:p>
    <w:p w14:paraId="45987DA4" w14:textId="76574C74" w:rsidR="00125DA8" w:rsidRPr="00F77B4F" w:rsidRDefault="0025721B" w:rsidP="0025721B">
      <w:pPr>
        <w:pStyle w:val="enumlev1"/>
      </w:pPr>
      <w:r w:rsidRPr="0025721B">
        <w:t>4)</w:t>
      </w:r>
      <w:r w:rsidRPr="0025721B">
        <w:tab/>
      </w:r>
      <w:r w:rsidR="00125DA8" w:rsidRPr="00F77B4F">
        <w:t>Просить региональные организации</w:t>
      </w:r>
      <w:r w:rsidR="00125DA8">
        <w:t xml:space="preserve"> электросвязи</w:t>
      </w:r>
      <w:r w:rsidR="00125DA8" w:rsidRPr="00F77B4F">
        <w:t xml:space="preserve"> информировать БРЭ о своих подготовительных </w:t>
      </w:r>
      <w:r w:rsidR="00125DA8">
        <w:t>собраниях</w:t>
      </w:r>
      <w:r w:rsidR="00125DA8" w:rsidRPr="00F77B4F">
        <w:t xml:space="preserve"> и контактных лицах.</w:t>
      </w:r>
    </w:p>
    <w:p w14:paraId="0618C9AF" w14:textId="77777777" w:rsidR="00125DA8" w:rsidRPr="00F77B4F" w:rsidRDefault="00125DA8" w:rsidP="00E526B6">
      <w:pPr>
        <w:spacing w:after="120"/>
        <w:rPr>
          <w:rFonts w:cstheme="minorHAnsi"/>
          <w:szCs w:val="24"/>
        </w:rPr>
      </w:pPr>
      <w:r w:rsidRPr="00F77B4F">
        <w:rPr>
          <w:rFonts w:cstheme="minorHAnsi"/>
          <w:szCs w:val="24"/>
        </w:rPr>
        <w:t>Была подчеркнута необходимость принятия незамедлительных мер по этим пунктам с учетом сроков проведения В</w:t>
      </w:r>
      <w:r>
        <w:rPr>
          <w:rFonts w:cstheme="minorHAnsi"/>
          <w:szCs w:val="24"/>
        </w:rPr>
        <w:t>КРЭ</w:t>
      </w:r>
      <w:r w:rsidRPr="00F77B4F">
        <w:rPr>
          <w:rFonts w:cstheme="minorHAnsi"/>
          <w:szCs w:val="24"/>
        </w:rPr>
        <w:t>-21. Делегаты также отметили необходимость четкого круга ведения для групп</w:t>
      </w:r>
      <w:r>
        <w:rPr>
          <w:rFonts w:cstheme="minorHAnsi"/>
          <w:szCs w:val="24"/>
        </w:rPr>
        <w:t>, работающих</w:t>
      </w:r>
      <w:r w:rsidRPr="00F77B4F">
        <w:rPr>
          <w:rFonts w:cstheme="minorHAnsi"/>
          <w:szCs w:val="24"/>
        </w:rPr>
        <w:t xml:space="preserve"> </w:t>
      </w:r>
      <w:r>
        <w:rPr>
          <w:rFonts w:cstheme="minorHAnsi"/>
          <w:szCs w:val="24"/>
        </w:rPr>
        <w:t>по переписке</w:t>
      </w:r>
      <w:r w:rsidRPr="00F77B4F">
        <w:rPr>
          <w:rFonts w:cstheme="minorHAnsi"/>
          <w:szCs w:val="24"/>
        </w:rPr>
        <w:t>.</w:t>
      </w:r>
    </w:p>
    <w:p w14:paraId="7FFDEE86" w14:textId="24449D2C" w:rsidR="00125DA8" w:rsidRDefault="00125DA8" w:rsidP="00E526B6">
      <w:pPr>
        <w:spacing w:after="120"/>
        <w:rPr>
          <w:rFonts w:cstheme="minorHAnsi"/>
          <w:szCs w:val="24"/>
        </w:rPr>
      </w:pPr>
      <w:r w:rsidRPr="00F77B4F">
        <w:rPr>
          <w:rFonts w:cstheme="minorHAnsi"/>
          <w:szCs w:val="24"/>
        </w:rPr>
        <w:t xml:space="preserve">В </w:t>
      </w:r>
      <w:hyperlink r:id="rId45" w:history="1">
        <w:r w:rsidRPr="00230658">
          <w:rPr>
            <w:rStyle w:val="Hyperlink"/>
            <w:rFonts w:cstheme="minorHAnsi"/>
            <w:szCs w:val="24"/>
          </w:rPr>
          <w:t>Документе 44</w:t>
        </w:r>
      </w:hyperlink>
      <w:r w:rsidRPr="00F77B4F">
        <w:rPr>
          <w:rFonts w:cstheme="minorHAnsi"/>
          <w:szCs w:val="24"/>
        </w:rPr>
        <w:t xml:space="preserve"> </w:t>
      </w:r>
      <w:r w:rsidRPr="00230658">
        <w:rPr>
          <w:rFonts w:cstheme="minorHAnsi"/>
          <w:b/>
          <w:szCs w:val="24"/>
        </w:rPr>
        <w:t>Российской Федерации</w:t>
      </w:r>
      <w:r w:rsidRPr="00F77B4F">
        <w:rPr>
          <w:rFonts w:cstheme="minorHAnsi"/>
          <w:szCs w:val="24"/>
        </w:rPr>
        <w:t xml:space="preserve"> предлагаются пути пересмотра Вопросов</w:t>
      </w:r>
      <w:r>
        <w:rPr>
          <w:rFonts w:cstheme="minorHAnsi"/>
          <w:szCs w:val="24"/>
        </w:rPr>
        <w:t xml:space="preserve"> исследовательских комиссий</w:t>
      </w:r>
      <w:r w:rsidRPr="00F77B4F">
        <w:rPr>
          <w:rFonts w:cstheme="minorHAnsi"/>
          <w:szCs w:val="24"/>
        </w:rPr>
        <w:t xml:space="preserve"> </w:t>
      </w:r>
      <w:r>
        <w:rPr>
          <w:rFonts w:cstheme="minorHAnsi"/>
          <w:szCs w:val="24"/>
        </w:rPr>
        <w:t>МСЭ</w:t>
      </w:r>
      <w:r w:rsidRPr="00F77B4F">
        <w:rPr>
          <w:rFonts w:cstheme="minorHAnsi"/>
          <w:szCs w:val="24"/>
        </w:rPr>
        <w:t xml:space="preserve">-D на следующий </w:t>
      </w:r>
      <w:r>
        <w:rPr>
          <w:rFonts w:cstheme="minorHAnsi"/>
          <w:szCs w:val="24"/>
        </w:rPr>
        <w:t xml:space="preserve">исследовательский </w:t>
      </w:r>
      <w:r w:rsidRPr="00F77B4F">
        <w:rPr>
          <w:rFonts w:cstheme="minorHAnsi"/>
          <w:szCs w:val="24"/>
        </w:rPr>
        <w:t>период, принципы работы над ними</w:t>
      </w:r>
      <w:r>
        <w:rPr>
          <w:rFonts w:cstheme="minorHAnsi"/>
          <w:szCs w:val="24"/>
        </w:rPr>
        <w:t>,</w:t>
      </w:r>
      <w:r w:rsidRPr="00F77B4F">
        <w:rPr>
          <w:rFonts w:cstheme="minorHAnsi"/>
          <w:szCs w:val="24"/>
        </w:rPr>
        <w:t xml:space="preserve"> </w:t>
      </w:r>
      <w:r>
        <w:rPr>
          <w:rFonts w:cstheme="minorHAnsi"/>
          <w:szCs w:val="24"/>
        </w:rPr>
        <w:t>а также</w:t>
      </w:r>
      <w:r w:rsidRPr="00F77B4F">
        <w:rPr>
          <w:rFonts w:cstheme="minorHAnsi"/>
          <w:szCs w:val="24"/>
        </w:rPr>
        <w:t xml:space="preserve"> вносятся следующие предложения:</w:t>
      </w:r>
    </w:p>
    <w:p w14:paraId="4BB49479" w14:textId="2110A5E4" w:rsidR="00125DA8" w:rsidRPr="00F77B4F" w:rsidRDefault="0025721B" w:rsidP="0025721B">
      <w:pPr>
        <w:pStyle w:val="enumlev1"/>
      </w:pPr>
      <w:r w:rsidRPr="0025721B">
        <w:t>1)</w:t>
      </w:r>
      <w:r w:rsidRPr="0025721B">
        <w:tab/>
      </w:r>
      <w:r w:rsidR="00125DA8" w:rsidRPr="00F77B4F">
        <w:t xml:space="preserve">Создать </w:t>
      </w:r>
      <w:r w:rsidR="00125DA8">
        <w:t xml:space="preserve">работающую по переписке группу КГРЭ </w:t>
      </w:r>
      <w:r w:rsidR="00125DA8" w:rsidRPr="00F77B4F">
        <w:t>по Вопросам исследовательск</w:t>
      </w:r>
      <w:r w:rsidR="00125DA8">
        <w:t>их</w:t>
      </w:r>
      <w:r w:rsidR="00125DA8" w:rsidRPr="00F77B4F">
        <w:t xml:space="preserve"> </w:t>
      </w:r>
      <w:r w:rsidR="00125DA8">
        <w:t>комиссий</w:t>
      </w:r>
      <w:r w:rsidR="00125DA8" w:rsidRPr="00F77B4F">
        <w:t xml:space="preserve"> </w:t>
      </w:r>
      <w:r w:rsidR="00125DA8">
        <w:t>МСЭ</w:t>
      </w:r>
      <w:r w:rsidR="00125DA8" w:rsidRPr="00F77B4F">
        <w:t>-D.</w:t>
      </w:r>
    </w:p>
    <w:p w14:paraId="69B0C14B" w14:textId="09A8B9CF" w:rsidR="00125DA8" w:rsidRPr="00F77B4F" w:rsidRDefault="0025721B" w:rsidP="0025721B">
      <w:pPr>
        <w:pStyle w:val="enumlev1"/>
      </w:pPr>
      <w:r w:rsidRPr="0025721B">
        <w:t>2)</w:t>
      </w:r>
      <w:r w:rsidRPr="0025721B">
        <w:tab/>
      </w:r>
      <w:r w:rsidR="00125DA8" w:rsidRPr="00F77B4F">
        <w:t>Предложить членам МСЭ подготовить свои предложения для Вопрос</w:t>
      </w:r>
      <w:r w:rsidR="00125DA8">
        <w:t>ов</w:t>
      </w:r>
      <w:r w:rsidR="00125DA8" w:rsidRPr="00F77B4F">
        <w:t xml:space="preserve"> следующим образом:</w:t>
      </w:r>
    </w:p>
    <w:p w14:paraId="3CF44432" w14:textId="5812B1BB" w:rsidR="00125DA8" w:rsidRPr="003560F1" w:rsidRDefault="0025721B" w:rsidP="0025721B">
      <w:pPr>
        <w:pStyle w:val="enumlev2"/>
      </w:pPr>
      <w:r w:rsidRPr="0025721B">
        <w:t>−</w:t>
      </w:r>
      <w:r w:rsidRPr="0025721B">
        <w:tab/>
      </w:r>
      <w:r w:rsidR="00125DA8">
        <w:t>в</w:t>
      </w:r>
      <w:r w:rsidR="00125DA8" w:rsidRPr="003560F1">
        <w:t xml:space="preserve"> мандатах </w:t>
      </w:r>
      <w:r w:rsidR="00125DA8">
        <w:t>В</w:t>
      </w:r>
      <w:r w:rsidR="00125DA8" w:rsidRPr="003560F1">
        <w:t>опрос</w:t>
      </w:r>
      <w:r w:rsidR="00125DA8">
        <w:t>ов</w:t>
      </w:r>
      <w:r w:rsidR="00125DA8" w:rsidRPr="003560F1">
        <w:t xml:space="preserve"> в максимально возможной степени следовать принципу недопущения дублирования тем исследований</w:t>
      </w:r>
      <w:r w:rsidR="00125DA8">
        <w:t>;</w:t>
      </w:r>
    </w:p>
    <w:p w14:paraId="01E905DD" w14:textId="6A38A713" w:rsidR="00125DA8" w:rsidRPr="003560F1" w:rsidRDefault="0025721B" w:rsidP="0025721B">
      <w:pPr>
        <w:pStyle w:val="enumlev2"/>
      </w:pPr>
      <w:r w:rsidRPr="0025721B">
        <w:t>−</w:t>
      </w:r>
      <w:r w:rsidRPr="0025721B">
        <w:tab/>
      </w:r>
      <w:r w:rsidR="00125DA8">
        <w:t>н</w:t>
      </w:r>
      <w:r w:rsidR="00125DA8" w:rsidRPr="003560F1">
        <w:t>а основе регулярно обновляемой таблицы по внутри</w:t>
      </w:r>
      <w:r w:rsidR="00125DA8">
        <w:t>секторальному</w:t>
      </w:r>
      <w:r w:rsidR="00125DA8" w:rsidRPr="003560F1">
        <w:t xml:space="preserve"> сотрудничеству определить ведущие Вопросы по темам, представляющим взаимный интерес</w:t>
      </w:r>
      <w:r w:rsidR="00125DA8">
        <w:t>;</w:t>
      </w:r>
    </w:p>
    <w:p w14:paraId="63929EA3" w14:textId="168838FF" w:rsidR="00125DA8" w:rsidRPr="003560F1" w:rsidRDefault="0025721B" w:rsidP="0025721B">
      <w:pPr>
        <w:pStyle w:val="enumlev2"/>
      </w:pPr>
      <w:r w:rsidRPr="0025721B">
        <w:t>−</w:t>
      </w:r>
      <w:r w:rsidRPr="0025721B">
        <w:tab/>
      </w:r>
      <w:r w:rsidR="00125DA8">
        <w:t>р</w:t>
      </w:r>
      <w:r w:rsidR="00125DA8" w:rsidRPr="003560F1">
        <w:t xml:space="preserve">ассмотреть возможность внедрения механизма пересмотра заключительных </w:t>
      </w:r>
      <w:r w:rsidR="00125DA8">
        <w:t>отчетов</w:t>
      </w:r>
      <w:r w:rsidR="00125DA8" w:rsidRPr="003560F1">
        <w:t xml:space="preserve"> за предыдущие</w:t>
      </w:r>
      <w:r w:rsidR="00125DA8">
        <w:t xml:space="preserve"> исследовательские</w:t>
      </w:r>
      <w:r w:rsidR="00125DA8" w:rsidRPr="003560F1">
        <w:t xml:space="preserve"> периоды в случае появления новых материалов по сквозным темам.</w:t>
      </w:r>
    </w:p>
    <w:p w14:paraId="0ADCCBA1" w14:textId="77777777" w:rsidR="00125DA8" w:rsidRPr="00E96391" w:rsidRDefault="00083D22" w:rsidP="00E526B6">
      <w:pPr>
        <w:keepNext/>
        <w:spacing w:after="120"/>
        <w:rPr>
          <w:rFonts w:cstheme="minorHAnsi"/>
          <w:szCs w:val="24"/>
        </w:rPr>
      </w:pPr>
      <w:hyperlink r:id="rId46" w:history="1">
        <w:r w:rsidR="00125DA8" w:rsidRPr="0010761D">
          <w:rPr>
            <w:rStyle w:val="Hyperlink"/>
            <w:rFonts w:cstheme="minorHAnsi"/>
            <w:szCs w:val="24"/>
          </w:rPr>
          <w:t>Документ 51</w:t>
        </w:r>
      </w:hyperlink>
      <w:r w:rsidR="00125DA8" w:rsidRPr="003560F1">
        <w:rPr>
          <w:rFonts w:cstheme="minorHAnsi"/>
          <w:szCs w:val="24"/>
        </w:rPr>
        <w:t xml:space="preserve">, представленный Директором БРЭ, является продолжением секционных заседаний </w:t>
      </w:r>
      <w:r w:rsidR="00125DA8">
        <w:rPr>
          <w:rFonts w:cstheme="minorHAnsi"/>
          <w:szCs w:val="24"/>
        </w:rPr>
        <w:t>КГРЭ</w:t>
      </w:r>
      <w:r w:rsidR="00125DA8" w:rsidRPr="003560F1">
        <w:rPr>
          <w:rFonts w:cstheme="minorHAnsi"/>
          <w:szCs w:val="24"/>
        </w:rPr>
        <w:t xml:space="preserve">-19 по реформе </w:t>
      </w:r>
      <w:r w:rsidR="00125DA8">
        <w:rPr>
          <w:rFonts w:cstheme="minorHAnsi"/>
          <w:szCs w:val="24"/>
        </w:rPr>
        <w:t>ВКРЭ</w:t>
      </w:r>
      <w:r w:rsidR="00125DA8" w:rsidRPr="003560F1">
        <w:rPr>
          <w:rFonts w:cstheme="minorHAnsi"/>
          <w:szCs w:val="24"/>
        </w:rPr>
        <w:t>, основанных на вклад</w:t>
      </w:r>
      <w:r w:rsidR="00125DA8">
        <w:rPr>
          <w:rFonts w:cstheme="minorHAnsi"/>
          <w:szCs w:val="24"/>
        </w:rPr>
        <w:t>ах</w:t>
      </w:r>
      <w:r w:rsidR="00125DA8" w:rsidRPr="003560F1">
        <w:rPr>
          <w:rFonts w:cstheme="minorHAnsi"/>
          <w:szCs w:val="24"/>
        </w:rPr>
        <w:t xml:space="preserve"> членов. Для дальнейшего вовлечения членов в процесс</w:t>
      </w:r>
      <w:r w:rsidR="00125DA8">
        <w:rPr>
          <w:rFonts w:cstheme="minorHAnsi"/>
          <w:szCs w:val="24"/>
        </w:rPr>
        <w:t xml:space="preserve"> работы над</w:t>
      </w:r>
      <w:r w:rsidR="00125DA8" w:rsidRPr="003560F1">
        <w:rPr>
          <w:rFonts w:cstheme="minorHAnsi"/>
          <w:szCs w:val="24"/>
        </w:rPr>
        <w:t xml:space="preserve"> предлагаемой реформ</w:t>
      </w:r>
      <w:r w:rsidR="00125DA8">
        <w:rPr>
          <w:rFonts w:cstheme="minorHAnsi"/>
          <w:szCs w:val="24"/>
        </w:rPr>
        <w:t>ой</w:t>
      </w:r>
      <w:r w:rsidR="00125DA8" w:rsidRPr="003560F1">
        <w:rPr>
          <w:rFonts w:cstheme="minorHAnsi"/>
          <w:szCs w:val="24"/>
        </w:rPr>
        <w:t xml:space="preserve"> было проведено два </w:t>
      </w:r>
      <w:r w:rsidR="00125DA8">
        <w:rPr>
          <w:rFonts w:cstheme="minorHAnsi"/>
          <w:szCs w:val="24"/>
        </w:rPr>
        <w:t>веб</w:t>
      </w:r>
      <w:r w:rsidR="00125DA8" w:rsidRPr="003560F1">
        <w:rPr>
          <w:rFonts w:cstheme="minorHAnsi"/>
          <w:szCs w:val="24"/>
        </w:rPr>
        <w:t xml:space="preserve">-диалога, так как </w:t>
      </w:r>
      <w:r w:rsidR="00125DA8">
        <w:rPr>
          <w:rFonts w:cstheme="minorHAnsi"/>
          <w:szCs w:val="24"/>
        </w:rPr>
        <w:t>очное</w:t>
      </w:r>
      <w:r w:rsidR="00125DA8" w:rsidRPr="003560F1">
        <w:rPr>
          <w:rFonts w:cstheme="minorHAnsi"/>
          <w:szCs w:val="24"/>
        </w:rPr>
        <w:t xml:space="preserve"> </w:t>
      </w:r>
      <w:r w:rsidR="00125DA8">
        <w:rPr>
          <w:rFonts w:cstheme="minorHAnsi"/>
          <w:szCs w:val="24"/>
        </w:rPr>
        <w:t>собрание</w:t>
      </w:r>
      <w:r w:rsidR="00125DA8" w:rsidRPr="003560F1">
        <w:rPr>
          <w:rFonts w:cstheme="minorHAnsi"/>
          <w:szCs w:val="24"/>
        </w:rPr>
        <w:t xml:space="preserve"> </w:t>
      </w:r>
      <w:r w:rsidR="00125DA8">
        <w:rPr>
          <w:rFonts w:cstheme="minorHAnsi"/>
          <w:szCs w:val="24"/>
        </w:rPr>
        <w:t>КГРЭ</w:t>
      </w:r>
      <w:r w:rsidR="00125DA8" w:rsidRPr="003560F1">
        <w:rPr>
          <w:rFonts w:cstheme="minorHAnsi"/>
          <w:szCs w:val="24"/>
        </w:rPr>
        <w:t>-20, запланированное на март 2020 г</w:t>
      </w:r>
      <w:r w:rsidR="00125DA8">
        <w:rPr>
          <w:rFonts w:cstheme="minorHAnsi"/>
          <w:szCs w:val="24"/>
        </w:rPr>
        <w:t>ода</w:t>
      </w:r>
      <w:r w:rsidR="00125DA8" w:rsidRPr="003560F1">
        <w:rPr>
          <w:rFonts w:cstheme="minorHAnsi"/>
          <w:szCs w:val="24"/>
        </w:rPr>
        <w:t xml:space="preserve">, не могло быть проведено из-за пандемии </w:t>
      </w:r>
      <w:r w:rsidR="00125DA8">
        <w:rPr>
          <w:rFonts w:cstheme="minorHAnsi"/>
          <w:szCs w:val="24"/>
          <w:lang w:val="en-US"/>
        </w:rPr>
        <w:t>COVID</w:t>
      </w:r>
      <w:r w:rsidR="00125DA8" w:rsidRPr="003560F1">
        <w:rPr>
          <w:rFonts w:cstheme="minorHAnsi"/>
          <w:szCs w:val="24"/>
        </w:rPr>
        <w:t xml:space="preserve">-19. В документе представлены предложения Директора, основанные на обсуждениях в ходе этих диалогов. </w:t>
      </w:r>
      <w:r w:rsidR="00125DA8">
        <w:rPr>
          <w:rFonts w:cstheme="minorHAnsi"/>
          <w:szCs w:val="24"/>
        </w:rPr>
        <w:t>Р</w:t>
      </w:r>
      <w:r w:rsidR="00125DA8" w:rsidRPr="003560F1">
        <w:rPr>
          <w:rFonts w:cstheme="minorHAnsi"/>
          <w:szCs w:val="24"/>
        </w:rPr>
        <w:t xml:space="preserve">ассматриваются конкретные реформы процесса </w:t>
      </w:r>
      <w:r w:rsidR="00125DA8">
        <w:rPr>
          <w:rFonts w:cstheme="minorHAnsi"/>
          <w:szCs w:val="24"/>
        </w:rPr>
        <w:t>ВКРЭ</w:t>
      </w:r>
      <w:r w:rsidR="00125DA8" w:rsidRPr="003560F1">
        <w:rPr>
          <w:rFonts w:cstheme="minorHAnsi"/>
          <w:szCs w:val="24"/>
        </w:rPr>
        <w:t xml:space="preserve"> и предлагаются пути их проведения. </w:t>
      </w:r>
      <w:r w:rsidR="00125DA8">
        <w:rPr>
          <w:rFonts w:cstheme="minorHAnsi"/>
          <w:szCs w:val="24"/>
        </w:rPr>
        <w:t>И</w:t>
      </w:r>
      <w:r w:rsidR="00125DA8" w:rsidRPr="003560F1">
        <w:rPr>
          <w:rFonts w:cstheme="minorHAnsi"/>
          <w:szCs w:val="24"/>
        </w:rPr>
        <w:t xml:space="preserve">злагаются предложения по реформированию подготовительного процесса, содержится предложение о том, чтобы </w:t>
      </w:r>
      <w:r w:rsidR="00125DA8">
        <w:rPr>
          <w:rFonts w:cstheme="minorHAnsi"/>
          <w:szCs w:val="24"/>
        </w:rPr>
        <w:t>КГРЭ</w:t>
      </w:r>
      <w:r w:rsidR="00125DA8" w:rsidRPr="003560F1">
        <w:rPr>
          <w:rFonts w:cstheme="minorHAnsi"/>
          <w:szCs w:val="24"/>
        </w:rPr>
        <w:t xml:space="preserve"> взяла на себя ответственность за вклад МСЭ-D в стратегический план МСЭ, а также рекомендации по формированию двух рабочих групп: одн</w:t>
      </w:r>
      <w:r w:rsidR="00125DA8">
        <w:rPr>
          <w:rFonts w:cstheme="minorHAnsi"/>
          <w:szCs w:val="24"/>
        </w:rPr>
        <w:t xml:space="preserve">а </w:t>
      </w:r>
      <w:r w:rsidR="00125DA8" w:rsidRPr="003560F1">
        <w:rPr>
          <w:rFonts w:cstheme="minorHAnsi"/>
          <w:szCs w:val="24"/>
        </w:rPr>
        <w:t>будет заниматься вопросами реформирования В</w:t>
      </w:r>
      <w:r w:rsidR="00125DA8">
        <w:rPr>
          <w:rFonts w:cstheme="minorHAnsi"/>
          <w:szCs w:val="24"/>
        </w:rPr>
        <w:t>КРЭ</w:t>
      </w:r>
      <w:r w:rsidR="00125DA8" w:rsidRPr="003560F1">
        <w:rPr>
          <w:rFonts w:cstheme="minorHAnsi"/>
          <w:szCs w:val="24"/>
        </w:rPr>
        <w:t xml:space="preserve">, </w:t>
      </w:r>
      <w:r w:rsidR="00125DA8">
        <w:rPr>
          <w:rFonts w:cstheme="minorHAnsi"/>
          <w:szCs w:val="24"/>
        </w:rPr>
        <w:t>вторая</w:t>
      </w:r>
      <w:r w:rsidR="00125DA8" w:rsidRPr="003560F1">
        <w:rPr>
          <w:rFonts w:cstheme="minorHAnsi"/>
          <w:szCs w:val="24"/>
        </w:rPr>
        <w:t xml:space="preserve"> будет заниматься резолюциями и Декларацией, </w:t>
      </w:r>
      <w:r w:rsidR="00125DA8">
        <w:rPr>
          <w:rFonts w:cstheme="minorHAnsi"/>
          <w:szCs w:val="24"/>
        </w:rPr>
        <w:t>которые будет представлены на рассмотрение</w:t>
      </w:r>
      <w:r w:rsidR="00125DA8" w:rsidRPr="003560F1">
        <w:rPr>
          <w:rFonts w:cstheme="minorHAnsi"/>
          <w:szCs w:val="24"/>
        </w:rPr>
        <w:t xml:space="preserve"> </w:t>
      </w:r>
      <w:r w:rsidR="00125DA8">
        <w:rPr>
          <w:rFonts w:cstheme="minorHAnsi"/>
          <w:szCs w:val="24"/>
        </w:rPr>
        <w:t>ВКРЭ</w:t>
      </w:r>
      <w:r w:rsidR="00125DA8" w:rsidRPr="00E96391">
        <w:rPr>
          <w:rFonts w:cstheme="minorHAnsi"/>
          <w:szCs w:val="24"/>
        </w:rPr>
        <w:t>.</w:t>
      </w:r>
    </w:p>
    <w:p w14:paraId="537CA5FF" w14:textId="7788559C" w:rsidR="00125DA8" w:rsidRPr="003560F1" w:rsidRDefault="00125DA8" w:rsidP="00E526B6">
      <w:pPr>
        <w:keepNext/>
        <w:spacing w:after="120"/>
        <w:rPr>
          <w:rFonts w:cstheme="minorHAnsi"/>
          <w:szCs w:val="24"/>
        </w:rPr>
      </w:pPr>
      <w:r>
        <w:rPr>
          <w:rFonts w:cstheme="minorHAnsi"/>
          <w:szCs w:val="24"/>
        </w:rPr>
        <w:t>В</w:t>
      </w:r>
      <w:r w:rsidRPr="005967F8">
        <w:rPr>
          <w:rFonts w:cstheme="minorHAnsi"/>
          <w:szCs w:val="24"/>
        </w:rPr>
        <w:t xml:space="preserve"> </w:t>
      </w:r>
      <w:hyperlink r:id="rId47" w:history="1">
        <w:r w:rsidRPr="00E96391">
          <w:rPr>
            <w:rStyle w:val="Hyperlink"/>
            <w:rFonts w:cstheme="minorHAnsi"/>
            <w:szCs w:val="24"/>
          </w:rPr>
          <w:t>Документ</w:t>
        </w:r>
        <w:r>
          <w:rPr>
            <w:rStyle w:val="Hyperlink"/>
            <w:rFonts w:cstheme="minorHAnsi"/>
            <w:szCs w:val="24"/>
          </w:rPr>
          <w:t>е</w:t>
        </w:r>
        <w:r w:rsidRPr="005967F8">
          <w:rPr>
            <w:rStyle w:val="Hyperlink"/>
            <w:rFonts w:cstheme="minorHAnsi"/>
            <w:szCs w:val="24"/>
          </w:rPr>
          <w:t xml:space="preserve"> 52</w:t>
        </w:r>
      </w:hyperlink>
      <w:r w:rsidRPr="005967F8">
        <w:rPr>
          <w:rFonts w:cstheme="minorHAnsi"/>
          <w:szCs w:val="24"/>
        </w:rPr>
        <w:t xml:space="preserve">, </w:t>
      </w:r>
      <w:r w:rsidRPr="003560F1">
        <w:rPr>
          <w:rFonts w:cstheme="minorHAnsi"/>
          <w:szCs w:val="24"/>
        </w:rPr>
        <w:t>представленн</w:t>
      </w:r>
      <w:r>
        <w:rPr>
          <w:rFonts w:cstheme="minorHAnsi"/>
          <w:szCs w:val="24"/>
        </w:rPr>
        <w:t>ом</w:t>
      </w:r>
      <w:r w:rsidRPr="005967F8">
        <w:rPr>
          <w:rFonts w:cstheme="minorHAnsi"/>
          <w:szCs w:val="24"/>
        </w:rPr>
        <w:t xml:space="preserve"> </w:t>
      </w:r>
      <w:r w:rsidRPr="00E96391">
        <w:rPr>
          <w:rFonts w:cstheme="minorHAnsi"/>
          <w:b/>
          <w:szCs w:val="24"/>
        </w:rPr>
        <w:t>Соединенными</w:t>
      </w:r>
      <w:r w:rsidRPr="005967F8">
        <w:rPr>
          <w:rFonts w:cstheme="minorHAnsi"/>
          <w:b/>
          <w:szCs w:val="24"/>
        </w:rPr>
        <w:t xml:space="preserve"> </w:t>
      </w:r>
      <w:r w:rsidRPr="00E96391">
        <w:rPr>
          <w:rFonts w:cstheme="minorHAnsi"/>
          <w:b/>
          <w:szCs w:val="24"/>
        </w:rPr>
        <w:t>Штатами</w:t>
      </w:r>
      <w:r w:rsidRPr="005967F8">
        <w:rPr>
          <w:rFonts w:cstheme="minorHAnsi"/>
          <w:b/>
          <w:szCs w:val="24"/>
        </w:rPr>
        <w:t xml:space="preserve"> </w:t>
      </w:r>
      <w:r w:rsidRPr="00E96391">
        <w:rPr>
          <w:rFonts w:cstheme="minorHAnsi"/>
          <w:b/>
          <w:szCs w:val="24"/>
        </w:rPr>
        <w:t>Америки</w:t>
      </w:r>
      <w:r w:rsidRPr="005967F8">
        <w:rPr>
          <w:rFonts w:cstheme="minorHAnsi"/>
          <w:szCs w:val="24"/>
        </w:rPr>
        <w:t xml:space="preserve">, </w:t>
      </w:r>
      <w:r w:rsidRPr="003560F1">
        <w:rPr>
          <w:rFonts w:cstheme="minorHAnsi"/>
          <w:szCs w:val="24"/>
        </w:rPr>
        <w:t>поддержива</w:t>
      </w:r>
      <w:r>
        <w:rPr>
          <w:rFonts w:cstheme="minorHAnsi"/>
          <w:szCs w:val="24"/>
        </w:rPr>
        <w:t>ю</w:t>
      </w:r>
      <w:r w:rsidRPr="003560F1">
        <w:rPr>
          <w:rFonts w:cstheme="minorHAnsi"/>
          <w:szCs w:val="24"/>
        </w:rPr>
        <w:t>т</w:t>
      </w:r>
      <w:r>
        <w:rPr>
          <w:rFonts w:cstheme="minorHAnsi"/>
          <w:szCs w:val="24"/>
        </w:rPr>
        <w:t>ся</w:t>
      </w:r>
      <w:r w:rsidRPr="005967F8">
        <w:rPr>
          <w:rFonts w:cstheme="minorHAnsi"/>
          <w:szCs w:val="24"/>
        </w:rPr>
        <w:t xml:space="preserve"> </w:t>
      </w:r>
      <w:r w:rsidRPr="003560F1">
        <w:rPr>
          <w:rFonts w:cstheme="minorHAnsi"/>
          <w:szCs w:val="24"/>
        </w:rPr>
        <w:t>текущие</w:t>
      </w:r>
      <w:r w:rsidRPr="005967F8">
        <w:rPr>
          <w:rFonts w:cstheme="minorHAnsi"/>
          <w:szCs w:val="24"/>
        </w:rPr>
        <w:t xml:space="preserve"> </w:t>
      </w:r>
      <w:r>
        <w:rPr>
          <w:rFonts w:cstheme="minorHAnsi"/>
          <w:szCs w:val="24"/>
        </w:rPr>
        <w:t>обсуждения</w:t>
      </w:r>
      <w:r w:rsidRPr="005967F8">
        <w:rPr>
          <w:rFonts w:cstheme="minorHAnsi"/>
          <w:szCs w:val="24"/>
        </w:rPr>
        <w:t xml:space="preserve"> </w:t>
      </w:r>
      <w:r w:rsidRPr="003560F1">
        <w:rPr>
          <w:rFonts w:cstheme="minorHAnsi"/>
          <w:szCs w:val="24"/>
        </w:rPr>
        <w:t>в</w:t>
      </w:r>
      <w:r w:rsidRPr="005967F8">
        <w:rPr>
          <w:rFonts w:cstheme="minorHAnsi"/>
          <w:szCs w:val="24"/>
        </w:rPr>
        <w:t xml:space="preserve"> </w:t>
      </w:r>
      <w:r w:rsidRPr="003560F1">
        <w:rPr>
          <w:rFonts w:cstheme="minorHAnsi"/>
          <w:szCs w:val="24"/>
        </w:rPr>
        <w:t>рамках</w:t>
      </w:r>
      <w:r w:rsidRPr="005967F8">
        <w:rPr>
          <w:rFonts w:cstheme="minorHAnsi"/>
          <w:szCs w:val="24"/>
        </w:rPr>
        <w:t xml:space="preserve"> </w:t>
      </w:r>
      <w:r w:rsidRPr="003560F1">
        <w:rPr>
          <w:rFonts w:cstheme="minorHAnsi"/>
          <w:szCs w:val="24"/>
        </w:rPr>
        <w:t>диалогов</w:t>
      </w:r>
      <w:r w:rsidRPr="005967F8">
        <w:rPr>
          <w:rFonts w:cstheme="minorHAnsi"/>
          <w:szCs w:val="24"/>
        </w:rPr>
        <w:t xml:space="preserve"> </w:t>
      </w:r>
      <w:r>
        <w:rPr>
          <w:rFonts w:cstheme="minorHAnsi"/>
          <w:szCs w:val="24"/>
        </w:rPr>
        <w:t>ВКРЭ</w:t>
      </w:r>
      <w:r w:rsidRPr="005967F8">
        <w:rPr>
          <w:rFonts w:cstheme="minorHAnsi"/>
          <w:szCs w:val="24"/>
        </w:rPr>
        <w:t xml:space="preserve"> </w:t>
      </w:r>
      <w:r w:rsidRPr="003560F1">
        <w:rPr>
          <w:rFonts w:cstheme="minorHAnsi"/>
          <w:szCs w:val="24"/>
        </w:rPr>
        <w:t>о</w:t>
      </w:r>
      <w:r w:rsidRPr="005967F8">
        <w:rPr>
          <w:rFonts w:cstheme="minorHAnsi"/>
          <w:szCs w:val="24"/>
        </w:rPr>
        <w:t xml:space="preserve"> </w:t>
      </w:r>
      <w:r w:rsidRPr="003560F1">
        <w:rPr>
          <w:rFonts w:cstheme="minorHAnsi"/>
          <w:szCs w:val="24"/>
        </w:rPr>
        <w:t>путях</w:t>
      </w:r>
      <w:r w:rsidRPr="005967F8">
        <w:rPr>
          <w:rFonts w:cstheme="minorHAnsi"/>
          <w:szCs w:val="24"/>
        </w:rPr>
        <w:t xml:space="preserve"> </w:t>
      </w:r>
      <w:r w:rsidRPr="003560F1">
        <w:rPr>
          <w:rFonts w:cstheme="minorHAnsi"/>
          <w:szCs w:val="24"/>
        </w:rPr>
        <w:t>совершенствования</w:t>
      </w:r>
      <w:r w:rsidRPr="005967F8">
        <w:rPr>
          <w:rFonts w:cstheme="minorHAnsi"/>
          <w:szCs w:val="24"/>
        </w:rPr>
        <w:t xml:space="preserve"> </w:t>
      </w:r>
      <w:r w:rsidRPr="003560F1">
        <w:rPr>
          <w:rFonts w:cstheme="minorHAnsi"/>
          <w:szCs w:val="24"/>
        </w:rPr>
        <w:t>процессов</w:t>
      </w:r>
      <w:r w:rsidRPr="005967F8">
        <w:rPr>
          <w:rFonts w:cstheme="minorHAnsi"/>
          <w:szCs w:val="24"/>
        </w:rPr>
        <w:t xml:space="preserve"> </w:t>
      </w:r>
      <w:r w:rsidRPr="003560F1">
        <w:rPr>
          <w:rFonts w:cstheme="minorHAnsi"/>
          <w:szCs w:val="24"/>
        </w:rPr>
        <w:t>планирования</w:t>
      </w:r>
      <w:r w:rsidRPr="005967F8">
        <w:rPr>
          <w:rFonts w:cstheme="minorHAnsi"/>
          <w:szCs w:val="24"/>
        </w:rPr>
        <w:t xml:space="preserve"> </w:t>
      </w:r>
      <w:r w:rsidRPr="003560F1">
        <w:rPr>
          <w:rFonts w:cstheme="minorHAnsi"/>
          <w:szCs w:val="24"/>
        </w:rPr>
        <w:t>и</w:t>
      </w:r>
      <w:r w:rsidRPr="005967F8">
        <w:rPr>
          <w:rFonts w:cstheme="minorHAnsi"/>
          <w:szCs w:val="24"/>
        </w:rPr>
        <w:t xml:space="preserve"> </w:t>
      </w:r>
      <w:r w:rsidRPr="003560F1">
        <w:rPr>
          <w:rFonts w:cstheme="minorHAnsi"/>
          <w:szCs w:val="24"/>
        </w:rPr>
        <w:t>подготовки</w:t>
      </w:r>
      <w:r w:rsidRPr="005967F8">
        <w:rPr>
          <w:rFonts w:cstheme="minorHAnsi"/>
          <w:szCs w:val="24"/>
        </w:rPr>
        <w:t xml:space="preserve"> </w:t>
      </w:r>
      <w:r w:rsidRPr="003560F1">
        <w:rPr>
          <w:rFonts w:cstheme="minorHAnsi"/>
          <w:szCs w:val="24"/>
        </w:rPr>
        <w:t>к</w:t>
      </w:r>
      <w:r w:rsidRPr="005967F8">
        <w:rPr>
          <w:rFonts w:cstheme="minorHAnsi"/>
          <w:szCs w:val="24"/>
        </w:rPr>
        <w:t xml:space="preserve"> </w:t>
      </w:r>
      <w:r>
        <w:rPr>
          <w:rFonts w:cstheme="minorHAnsi"/>
          <w:szCs w:val="24"/>
        </w:rPr>
        <w:t>ВКРЭ</w:t>
      </w:r>
      <w:r w:rsidRPr="005967F8">
        <w:rPr>
          <w:rFonts w:cstheme="minorHAnsi"/>
          <w:szCs w:val="24"/>
        </w:rPr>
        <w:t xml:space="preserve">-21, </w:t>
      </w:r>
      <w:r w:rsidRPr="003560F1">
        <w:rPr>
          <w:rFonts w:cstheme="minorHAnsi"/>
          <w:szCs w:val="24"/>
        </w:rPr>
        <w:t>а</w:t>
      </w:r>
      <w:r w:rsidRPr="005967F8">
        <w:rPr>
          <w:rFonts w:cstheme="minorHAnsi"/>
          <w:szCs w:val="24"/>
        </w:rPr>
        <w:t xml:space="preserve"> </w:t>
      </w:r>
      <w:r w:rsidRPr="003560F1">
        <w:rPr>
          <w:rFonts w:cstheme="minorHAnsi"/>
          <w:szCs w:val="24"/>
        </w:rPr>
        <w:t>также</w:t>
      </w:r>
      <w:r w:rsidRPr="005967F8">
        <w:rPr>
          <w:rFonts w:cstheme="minorHAnsi"/>
          <w:szCs w:val="24"/>
        </w:rPr>
        <w:t xml:space="preserve"> </w:t>
      </w:r>
      <w:r w:rsidRPr="003560F1">
        <w:rPr>
          <w:rFonts w:cstheme="minorHAnsi"/>
          <w:szCs w:val="24"/>
        </w:rPr>
        <w:t>структуры</w:t>
      </w:r>
      <w:r w:rsidRPr="005967F8">
        <w:rPr>
          <w:rFonts w:cstheme="minorHAnsi"/>
          <w:szCs w:val="24"/>
        </w:rPr>
        <w:t xml:space="preserve"> </w:t>
      </w:r>
      <w:r w:rsidRPr="003560F1">
        <w:rPr>
          <w:rFonts w:cstheme="minorHAnsi"/>
          <w:szCs w:val="24"/>
        </w:rPr>
        <w:t>конференции</w:t>
      </w:r>
      <w:r w:rsidRPr="005967F8">
        <w:rPr>
          <w:rFonts w:cstheme="minorHAnsi"/>
          <w:szCs w:val="24"/>
        </w:rPr>
        <w:t xml:space="preserve">. </w:t>
      </w:r>
      <w:r w:rsidRPr="003560F1">
        <w:rPr>
          <w:rFonts w:cstheme="minorHAnsi"/>
          <w:szCs w:val="24"/>
        </w:rPr>
        <w:t xml:space="preserve">Соединенные Штаты считают необходимым продолжить диалог между </w:t>
      </w:r>
      <w:r>
        <w:rPr>
          <w:rFonts w:cstheme="minorHAnsi"/>
          <w:szCs w:val="24"/>
        </w:rPr>
        <w:t>КГРЭ</w:t>
      </w:r>
      <w:r w:rsidRPr="003560F1">
        <w:rPr>
          <w:rFonts w:cstheme="minorHAnsi"/>
          <w:szCs w:val="24"/>
        </w:rPr>
        <w:t xml:space="preserve">-20 и </w:t>
      </w:r>
      <w:r>
        <w:rPr>
          <w:rFonts w:cstheme="minorHAnsi"/>
          <w:szCs w:val="24"/>
        </w:rPr>
        <w:t>КГРЭ</w:t>
      </w:r>
      <w:r w:rsidRPr="003560F1">
        <w:rPr>
          <w:rFonts w:cstheme="minorHAnsi"/>
          <w:szCs w:val="24"/>
        </w:rPr>
        <w:t>-21 для определения конкретных предложений и идей, которые помогут Государствам-Членам и БР</w:t>
      </w:r>
      <w:r>
        <w:rPr>
          <w:rFonts w:cstheme="minorHAnsi"/>
          <w:szCs w:val="24"/>
        </w:rPr>
        <w:t>Э</w:t>
      </w:r>
      <w:r w:rsidRPr="003560F1">
        <w:rPr>
          <w:rFonts w:cstheme="minorHAnsi"/>
          <w:szCs w:val="24"/>
        </w:rPr>
        <w:t xml:space="preserve"> в подготовке к </w:t>
      </w:r>
      <w:r>
        <w:rPr>
          <w:rFonts w:cstheme="minorHAnsi"/>
          <w:szCs w:val="24"/>
        </w:rPr>
        <w:t>ВКРЭ</w:t>
      </w:r>
      <w:r w:rsidRPr="003560F1">
        <w:rPr>
          <w:rFonts w:cstheme="minorHAnsi"/>
          <w:szCs w:val="24"/>
        </w:rPr>
        <w:t xml:space="preserve">-21. </w:t>
      </w:r>
      <w:r>
        <w:rPr>
          <w:rFonts w:cstheme="minorHAnsi"/>
          <w:szCs w:val="24"/>
        </w:rPr>
        <w:t>О</w:t>
      </w:r>
      <w:r w:rsidRPr="003560F1">
        <w:rPr>
          <w:rFonts w:cstheme="minorHAnsi"/>
          <w:szCs w:val="24"/>
        </w:rPr>
        <w:t xml:space="preserve">дна или несколько специальных групп или </w:t>
      </w:r>
      <w:r>
        <w:rPr>
          <w:rFonts w:cstheme="minorHAnsi"/>
          <w:szCs w:val="24"/>
        </w:rPr>
        <w:t>групп, работающих по переписке, полагают Соединенные Штаты Америки,</w:t>
      </w:r>
      <w:r w:rsidRPr="003560F1">
        <w:rPr>
          <w:rFonts w:cstheme="minorHAnsi"/>
          <w:szCs w:val="24"/>
        </w:rPr>
        <w:t xml:space="preserve"> </w:t>
      </w:r>
      <w:r w:rsidRPr="003560F1">
        <w:rPr>
          <w:rFonts w:cstheme="minorHAnsi"/>
          <w:szCs w:val="24"/>
        </w:rPr>
        <w:lastRenderedPageBreak/>
        <w:t>были бы наиболее эффективным способом сбора конкретных предложений от членов и разработк</w:t>
      </w:r>
      <w:r>
        <w:rPr>
          <w:rFonts w:cstheme="minorHAnsi"/>
          <w:szCs w:val="24"/>
        </w:rPr>
        <w:t>и</w:t>
      </w:r>
      <w:r w:rsidRPr="003560F1">
        <w:rPr>
          <w:rFonts w:cstheme="minorHAnsi"/>
          <w:szCs w:val="24"/>
        </w:rPr>
        <w:t xml:space="preserve"> более конкретных рекомендаций для БР</w:t>
      </w:r>
      <w:r>
        <w:rPr>
          <w:rFonts w:cstheme="minorHAnsi"/>
          <w:szCs w:val="24"/>
        </w:rPr>
        <w:t>Э</w:t>
      </w:r>
      <w:r w:rsidRPr="003560F1">
        <w:rPr>
          <w:rFonts w:cstheme="minorHAnsi"/>
          <w:szCs w:val="24"/>
        </w:rPr>
        <w:t xml:space="preserve"> и членов </w:t>
      </w:r>
      <w:r>
        <w:rPr>
          <w:rFonts w:cstheme="minorHAnsi"/>
          <w:szCs w:val="24"/>
        </w:rPr>
        <w:t>при</w:t>
      </w:r>
      <w:r w:rsidRPr="003560F1">
        <w:rPr>
          <w:rFonts w:cstheme="minorHAnsi"/>
          <w:szCs w:val="24"/>
        </w:rPr>
        <w:t xml:space="preserve"> подготовке к </w:t>
      </w:r>
      <w:r>
        <w:rPr>
          <w:rFonts w:cstheme="minorHAnsi"/>
          <w:szCs w:val="24"/>
        </w:rPr>
        <w:t>ВКРЭ</w:t>
      </w:r>
      <w:r w:rsidRPr="003560F1">
        <w:rPr>
          <w:rFonts w:cstheme="minorHAnsi"/>
          <w:szCs w:val="24"/>
        </w:rPr>
        <w:t>-21.</w:t>
      </w:r>
    </w:p>
    <w:p w14:paraId="6FF8FE8D" w14:textId="77777777" w:rsidR="00125DA8" w:rsidRPr="003560F1" w:rsidRDefault="00125DA8" w:rsidP="00E526B6">
      <w:pPr>
        <w:keepNext/>
        <w:spacing w:after="120"/>
        <w:rPr>
          <w:rFonts w:cstheme="minorHAnsi"/>
          <w:szCs w:val="24"/>
        </w:rPr>
      </w:pPr>
      <w:r w:rsidRPr="003560F1">
        <w:rPr>
          <w:rFonts w:cstheme="minorHAnsi"/>
          <w:szCs w:val="24"/>
        </w:rPr>
        <w:t xml:space="preserve">В </w:t>
      </w:r>
      <w:hyperlink r:id="rId48" w:history="1">
        <w:r w:rsidRPr="005D70CA">
          <w:rPr>
            <w:rStyle w:val="Hyperlink"/>
            <w:rFonts w:cstheme="minorHAnsi"/>
            <w:szCs w:val="24"/>
          </w:rPr>
          <w:t>Документе 53</w:t>
        </w:r>
      </w:hyperlink>
      <w:r w:rsidRPr="003560F1">
        <w:rPr>
          <w:rFonts w:cstheme="minorHAnsi"/>
          <w:szCs w:val="24"/>
        </w:rPr>
        <w:t xml:space="preserve">, представленном </w:t>
      </w:r>
      <w:r w:rsidRPr="00D17BBC">
        <w:rPr>
          <w:rFonts w:cstheme="minorHAnsi"/>
          <w:b/>
          <w:bCs/>
          <w:szCs w:val="24"/>
        </w:rPr>
        <w:t>Соединенными Штатами Америки</w:t>
      </w:r>
      <w:r w:rsidRPr="003560F1">
        <w:rPr>
          <w:rFonts w:cstheme="minorHAnsi"/>
          <w:szCs w:val="24"/>
        </w:rPr>
        <w:t xml:space="preserve">, </w:t>
      </w:r>
      <w:r>
        <w:rPr>
          <w:rFonts w:cstheme="minorHAnsi"/>
          <w:szCs w:val="24"/>
        </w:rPr>
        <w:t>содержится рекомендация КГРЭ</w:t>
      </w:r>
      <w:r w:rsidRPr="003560F1">
        <w:rPr>
          <w:rFonts w:cstheme="minorHAnsi"/>
          <w:szCs w:val="24"/>
        </w:rPr>
        <w:t xml:space="preserve"> подробно изучи</w:t>
      </w:r>
      <w:r>
        <w:rPr>
          <w:rFonts w:cstheme="minorHAnsi"/>
          <w:szCs w:val="24"/>
        </w:rPr>
        <w:t>ть</w:t>
      </w:r>
      <w:r w:rsidRPr="003560F1">
        <w:rPr>
          <w:rFonts w:cstheme="minorHAnsi"/>
          <w:szCs w:val="24"/>
        </w:rPr>
        <w:t xml:space="preserve"> работу исследовательских </w:t>
      </w:r>
      <w:r>
        <w:rPr>
          <w:rFonts w:cstheme="minorHAnsi"/>
          <w:szCs w:val="24"/>
        </w:rPr>
        <w:t>комиссий</w:t>
      </w:r>
      <w:r w:rsidRPr="003560F1">
        <w:rPr>
          <w:rFonts w:cstheme="minorHAnsi"/>
          <w:szCs w:val="24"/>
        </w:rPr>
        <w:t xml:space="preserve"> МСЭ-D, в частности, как сделать их более новаторскими</w:t>
      </w:r>
      <w:r>
        <w:rPr>
          <w:rFonts w:cstheme="minorHAnsi"/>
          <w:szCs w:val="24"/>
        </w:rPr>
        <w:t>,</w:t>
      </w:r>
      <w:r w:rsidRPr="003560F1">
        <w:rPr>
          <w:rFonts w:cstheme="minorHAnsi"/>
          <w:szCs w:val="24"/>
        </w:rPr>
        <w:t xml:space="preserve"> эффективными и соответствующими установленным целям с помощью управления, ориентированного на результаты, и достижени</w:t>
      </w:r>
      <w:r>
        <w:rPr>
          <w:rFonts w:cstheme="minorHAnsi"/>
          <w:szCs w:val="24"/>
        </w:rPr>
        <w:t>ю</w:t>
      </w:r>
      <w:r w:rsidRPr="003560F1">
        <w:rPr>
          <w:rFonts w:cstheme="minorHAnsi"/>
          <w:szCs w:val="24"/>
        </w:rPr>
        <w:t xml:space="preserve"> стратегических </w:t>
      </w:r>
      <w:r>
        <w:rPr>
          <w:rFonts w:cstheme="minorHAnsi"/>
          <w:szCs w:val="24"/>
        </w:rPr>
        <w:t>задач</w:t>
      </w:r>
      <w:r w:rsidRPr="003560F1">
        <w:rPr>
          <w:rFonts w:cstheme="minorHAnsi"/>
          <w:szCs w:val="24"/>
        </w:rPr>
        <w:t xml:space="preserve"> БРЭ и продвижени</w:t>
      </w:r>
      <w:r>
        <w:rPr>
          <w:rFonts w:cstheme="minorHAnsi"/>
          <w:szCs w:val="24"/>
        </w:rPr>
        <w:t>ю</w:t>
      </w:r>
      <w:r w:rsidRPr="003560F1">
        <w:rPr>
          <w:rFonts w:cstheme="minorHAnsi"/>
          <w:szCs w:val="24"/>
        </w:rPr>
        <w:t xml:space="preserve"> региональных приоритетов. Это изучение должно привести к улучшению результатов деятельности исследовательских </w:t>
      </w:r>
      <w:r>
        <w:rPr>
          <w:rFonts w:cstheme="minorHAnsi"/>
          <w:szCs w:val="24"/>
        </w:rPr>
        <w:t>комиссий</w:t>
      </w:r>
      <w:r w:rsidRPr="003560F1">
        <w:rPr>
          <w:rFonts w:cstheme="minorHAnsi"/>
          <w:szCs w:val="24"/>
        </w:rPr>
        <w:t xml:space="preserve"> и обеспечить большую синергию между</w:t>
      </w:r>
      <w:r>
        <w:rPr>
          <w:rFonts w:cstheme="minorHAnsi"/>
          <w:szCs w:val="24"/>
        </w:rPr>
        <w:t xml:space="preserve"> работой</w:t>
      </w:r>
      <w:r w:rsidRPr="003560F1">
        <w:rPr>
          <w:rFonts w:cstheme="minorHAnsi"/>
          <w:szCs w:val="24"/>
        </w:rPr>
        <w:t xml:space="preserve"> исследовательски</w:t>
      </w:r>
      <w:r>
        <w:rPr>
          <w:rFonts w:cstheme="minorHAnsi"/>
          <w:szCs w:val="24"/>
        </w:rPr>
        <w:t>х</w:t>
      </w:r>
      <w:r w:rsidRPr="003560F1">
        <w:rPr>
          <w:rFonts w:cstheme="minorHAnsi"/>
          <w:szCs w:val="24"/>
        </w:rPr>
        <w:t xml:space="preserve"> </w:t>
      </w:r>
      <w:r>
        <w:rPr>
          <w:rFonts w:cstheme="minorHAnsi"/>
          <w:szCs w:val="24"/>
        </w:rPr>
        <w:t>комиссий</w:t>
      </w:r>
      <w:r w:rsidRPr="003560F1">
        <w:rPr>
          <w:rFonts w:cstheme="minorHAnsi"/>
          <w:szCs w:val="24"/>
        </w:rPr>
        <w:t xml:space="preserve"> и другими видами деятельности БРЭ. Также пред</w:t>
      </w:r>
      <w:r>
        <w:rPr>
          <w:rFonts w:cstheme="minorHAnsi"/>
          <w:szCs w:val="24"/>
        </w:rPr>
        <w:t>по</w:t>
      </w:r>
      <w:r w:rsidRPr="003560F1">
        <w:rPr>
          <w:rFonts w:cstheme="minorHAnsi"/>
          <w:szCs w:val="24"/>
        </w:rPr>
        <w:t>лагается, что</w:t>
      </w:r>
      <w:r>
        <w:rPr>
          <w:rFonts w:cstheme="minorHAnsi"/>
          <w:szCs w:val="24"/>
        </w:rPr>
        <w:t xml:space="preserve"> подходящим форматом была бы</w:t>
      </w:r>
      <w:r w:rsidRPr="003560F1">
        <w:rPr>
          <w:rFonts w:cstheme="minorHAnsi"/>
          <w:szCs w:val="24"/>
        </w:rPr>
        <w:t xml:space="preserve"> </w:t>
      </w:r>
      <w:r>
        <w:rPr>
          <w:rFonts w:cstheme="minorHAnsi"/>
          <w:szCs w:val="24"/>
        </w:rPr>
        <w:t>работающая по переписке</w:t>
      </w:r>
      <w:r w:rsidRPr="003560F1">
        <w:rPr>
          <w:rFonts w:cstheme="minorHAnsi"/>
          <w:szCs w:val="24"/>
        </w:rPr>
        <w:t xml:space="preserve"> группа </w:t>
      </w:r>
      <w:r>
        <w:rPr>
          <w:rFonts w:cstheme="minorHAnsi"/>
          <w:szCs w:val="24"/>
        </w:rPr>
        <w:t>КГРЭ</w:t>
      </w:r>
      <w:r w:rsidRPr="003560F1">
        <w:rPr>
          <w:rFonts w:cstheme="minorHAnsi"/>
          <w:szCs w:val="24"/>
        </w:rPr>
        <w:t xml:space="preserve"> для проведения обстоятельных обсуждений между </w:t>
      </w:r>
      <w:r>
        <w:rPr>
          <w:rFonts w:cstheme="minorHAnsi"/>
          <w:szCs w:val="24"/>
        </w:rPr>
        <w:t>КГРЭ</w:t>
      </w:r>
      <w:r w:rsidRPr="003560F1">
        <w:rPr>
          <w:rFonts w:cstheme="minorHAnsi"/>
          <w:szCs w:val="24"/>
        </w:rPr>
        <w:t xml:space="preserve">-20 и </w:t>
      </w:r>
      <w:r>
        <w:rPr>
          <w:rFonts w:cstheme="minorHAnsi"/>
          <w:szCs w:val="24"/>
        </w:rPr>
        <w:t>КГРЭ-</w:t>
      </w:r>
      <w:r w:rsidRPr="003560F1">
        <w:rPr>
          <w:rFonts w:cstheme="minorHAnsi"/>
          <w:szCs w:val="24"/>
        </w:rPr>
        <w:t>21 в отношении инноваций и исследовательски</w:t>
      </w:r>
      <w:r>
        <w:rPr>
          <w:rFonts w:cstheme="minorHAnsi"/>
          <w:szCs w:val="24"/>
        </w:rPr>
        <w:t>х</w:t>
      </w:r>
      <w:r w:rsidRPr="003560F1">
        <w:rPr>
          <w:rFonts w:cstheme="minorHAnsi"/>
          <w:szCs w:val="24"/>
        </w:rPr>
        <w:t xml:space="preserve"> </w:t>
      </w:r>
      <w:r>
        <w:rPr>
          <w:rFonts w:cstheme="minorHAnsi"/>
          <w:szCs w:val="24"/>
        </w:rPr>
        <w:t>комиссий</w:t>
      </w:r>
      <w:r w:rsidRPr="003560F1">
        <w:rPr>
          <w:rFonts w:cstheme="minorHAnsi"/>
          <w:szCs w:val="24"/>
        </w:rPr>
        <w:t xml:space="preserve"> </w:t>
      </w:r>
      <w:r>
        <w:rPr>
          <w:rFonts w:cstheme="minorHAnsi"/>
          <w:szCs w:val="24"/>
        </w:rPr>
        <w:t>МСЭ</w:t>
      </w:r>
      <w:r w:rsidRPr="003560F1">
        <w:rPr>
          <w:rFonts w:cstheme="minorHAnsi"/>
          <w:szCs w:val="24"/>
        </w:rPr>
        <w:t xml:space="preserve">-D, а также для определения вариантов или рекомендаций от Государств-Членов, </w:t>
      </w:r>
      <w:r>
        <w:rPr>
          <w:rFonts w:cstheme="minorHAnsi"/>
          <w:szCs w:val="24"/>
        </w:rPr>
        <w:t>что будет способствовать</w:t>
      </w:r>
      <w:r w:rsidRPr="003560F1">
        <w:rPr>
          <w:rFonts w:cstheme="minorHAnsi"/>
          <w:szCs w:val="24"/>
        </w:rPr>
        <w:t xml:space="preserve"> подготовке</w:t>
      </w:r>
      <w:r>
        <w:rPr>
          <w:rFonts w:cstheme="minorHAnsi"/>
          <w:szCs w:val="24"/>
        </w:rPr>
        <w:t xml:space="preserve"> ВКРЭ</w:t>
      </w:r>
      <w:r w:rsidRPr="003560F1">
        <w:rPr>
          <w:rFonts w:cstheme="minorHAnsi"/>
          <w:szCs w:val="24"/>
        </w:rPr>
        <w:t>-21.</w:t>
      </w:r>
    </w:p>
    <w:tbl>
      <w:tblPr>
        <w:tblStyle w:val="TableGrid"/>
        <w:tblW w:w="0" w:type="auto"/>
        <w:tblLook w:val="04A0" w:firstRow="1" w:lastRow="0" w:firstColumn="1" w:lastColumn="0" w:noHBand="0" w:noVBand="1"/>
      </w:tblPr>
      <w:tblGrid>
        <w:gridCol w:w="9628"/>
      </w:tblGrid>
      <w:tr w:rsidR="00125DA8" w:rsidRPr="00D94ED7" w14:paraId="45B9A600" w14:textId="77777777" w:rsidTr="00E526B6">
        <w:tc>
          <w:tcPr>
            <w:tcW w:w="9629" w:type="dxa"/>
          </w:tcPr>
          <w:p w14:paraId="3E4A5C09" w14:textId="419D5958" w:rsidR="00125DA8" w:rsidRPr="00D94ED7" w:rsidRDefault="00125DA8" w:rsidP="00D94ED7">
            <w:pPr>
              <w:spacing w:after="120"/>
              <w:rPr>
                <w:sz w:val="22"/>
              </w:rPr>
            </w:pPr>
            <w:bookmarkStart w:id="125" w:name="_Hlk42616197"/>
            <w:r w:rsidRPr="00D94ED7">
              <w:rPr>
                <w:sz w:val="22"/>
              </w:rPr>
              <w:t>КГРЭ поблагодарила всех участников за их конструктивные предложения, признавая, что все они направлены на повышение эффективности и значимости ВКРЭ. КГРЭ приняла решение создать рабочую группу, которая рассмотрит вклад МСЭ-D в стратегический план МСЭ. Группу возглавит г</w:t>
            </w:r>
            <w:r w:rsidR="00DB4339" w:rsidRPr="00D94ED7">
              <w:rPr>
                <w:sz w:val="22"/>
              </w:rPr>
              <w:noBreakHyphen/>
            </w:r>
            <w:r w:rsidRPr="00D94ED7">
              <w:rPr>
                <w:sz w:val="22"/>
              </w:rPr>
              <w:t>жа Бланка Гонсалес (</w:t>
            </w:r>
            <w:r w:rsidRPr="00D94ED7">
              <w:rPr>
                <w:b/>
                <w:sz w:val="22"/>
              </w:rPr>
              <w:t>Испания</w:t>
            </w:r>
            <w:r w:rsidRPr="00D94ED7">
              <w:rPr>
                <w:sz w:val="22"/>
              </w:rPr>
              <w:t>), при содействии г-на Кристофера Кемея (</w:t>
            </w:r>
            <w:r w:rsidRPr="00D94ED7">
              <w:rPr>
                <w:b/>
                <w:sz w:val="22"/>
              </w:rPr>
              <w:t>Кения</w:t>
            </w:r>
            <w:r w:rsidRPr="00D94ED7">
              <w:rPr>
                <w:sz w:val="22"/>
              </w:rPr>
              <w:t>) и г-на Вима Ралленса (</w:t>
            </w:r>
            <w:r w:rsidRPr="00D94ED7">
              <w:rPr>
                <w:b/>
                <w:sz w:val="22"/>
              </w:rPr>
              <w:t>Нидерланды</w:t>
            </w:r>
            <w:r w:rsidRPr="00D94ED7">
              <w:rPr>
                <w:sz w:val="22"/>
              </w:rPr>
              <w:t xml:space="preserve">). Был утвержден круг ведения этой группы, содержащийся в Документе </w:t>
            </w:r>
            <w:hyperlink r:id="rId49" w:history="1">
              <w:r w:rsidRPr="00D94ED7">
                <w:rPr>
                  <w:rStyle w:val="Hyperlink"/>
                  <w:sz w:val="22"/>
                </w:rPr>
                <w:t>DT/7</w:t>
              </w:r>
            </w:hyperlink>
            <w:r w:rsidRPr="00D94ED7">
              <w:rPr>
                <w:sz w:val="22"/>
              </w:rPr>
              <w:t>. КГРЭ также приняла решение о создании двух рабочих групп по подготовке к ВКРЭ-21: группы для работы над подготовкой к ВКРЭ и группы для работы над такими административными результатами, как резолюции и Декларация. КГРЭ обсудила использование предложений, содержащихся в представленном Директором Документе 51, в качестве основы для дальнейшей работы и согласовала проведение внеочередного собрания КГРЭ 16 или 17 июня с целью установления круга ведения высокого уровня для обеих групп. КГРЭ было принято решение, что группу по подготовке к ВКРЭ возглавит Сантьяго Рейес-Борда (</w:t>
            </w:r>
            <w:r w:rsidRPr="00A41FDF">
              <w:rPr>
                <w:b/>
                <w:sz w:val="22"/>
              </w:rPr>
              <w:t>Канада</w:t>
            </w:r>
            <w:r w:rsidRPr="00D94ED7">
              <w:rPr>
                <w:sz w:val="22"/>
              </w:rPr>
              <w:t>). Дата проведения собрания была впоследствии установлена на 16 июня 2020 года.</w:t>
            </w:r>
          </w:p>
        </w:tc>
      </w:tr>
    </w:tbl>
    <w:bookmarkEnd w:id="125"/>
    <w:p w14:paraId="7E223AF1" w14:textId="3C663E09" w:rsidR="00125DA8" w:rsidRPr="00C84588" w:rsidRDefault="000F4E98" w:rsidP="000F4E98">
      <w:pPr>
        <w:pStyle w:val="Heading2"/>
      </w:pPr>
      <w:r>
        <w:rPr>
          <w:lang w:val="en-US"/>
        </w:rPr>
        <w:t>12.2</w:t>
      </w:r>
      <w:r>
        <w:rPr>
          <w:lang w:val="en-US"/>
        </w:rPr>
        <w:tab/>
      </w:r>
      <w:r w:rsidR="00125DA8">
        <w:t>Упорядочение резолюций</w:t>
      </w:r>
    </w:p>
    <w:p w14:paraId="023C33CE" w14:textId="77777777" w:rsidR="00125DA8" w:rsidRPr="005967F8" w:rsidRDefault="00083D22" w:rsidP="00E526B6">
      <w:pPr>
        <w:spacing w:after="120"/>
        <w:rPr>
          <w:rFonts w:cstheme="minorHAnsi"/>
          <w:szCs w:val="24"/>
        </w:rPr>
      </w:pPr>
      <w:hyperlink r:id="rId50" w:history="1">
        <w:r w:rsidR="00125DA8" w:rsidRPr="005967F8">
          <w:rPr>
            <w:rStyle w:val="Hyperlink"/>
            <w:rFonts w:cstheme="minorHAnsi"/>
            <w:szCs w:val="24"/>
          </w:rPr>
          <w:t>Документ 22</w:t>
        </w:r>
      </w:hyperlink>
      <w:r w:rsidR="00125DA8" w:rsidRPr="005967F8">
        <w:rPr>
          <w:rFonts w:cstheme="minorHAnsi"/>
          <w:szCs w:val="24"/>
        </w:rPr>
        <w:t xml:space="preserve"> и </w:t>
      </w:r>
      <w:hyperlink r:id="rId51" w:history="1">
        <w:r w:rsidR="00125DA8" w:rsidRPr="005967F8">
          <w:rPr>
            <w:rStyle w:val="Hyperlink"/>
            <w:rFonts w:cstheme="minorHAnsi"/>
            <w:szCs w:val="24"/>
          </w:rPr>
          <w:t>Документ 34</w:t>
        </w:r>
      </w:hyperlink>
      <w:r w:rsidR="00125DA8" w:rsidRPr="005967F8">
        <w:rPr>
          <w:rFonts w:cstheme="minorHAnsi"/>
          <w:szCs w:val="24"/>
        </w:rPr>
        <w:t xml:space="preserve"> были представлены вместе.</w:t>
      </w:r>
    </w:p>
    <w:p w14:paraId="5A9C09E0" w14:textId="77777777" w:rsidR="00125DA8" w:rsidRPr="005967F8" w:rsidRDefault="00125DA8" w:rsidP="000F4E98">
      <w:r>
        <w:t>В з</w:t>
      </w:r>
      <w:r w:rsidRPr="005967F8">
        <w:t>аявлени</w:t>
      </w:r>
      <w:r>
        <w:t>и</w:t>
      </w:r>
      <w:r w:rsidRPr="005967F8">
        <w:t xml:space="preserve"> </w:t>
      </w:r>
      <w:r>
        <w:t>о взаимодействии</w:t>
      </w:r>
      <w:r w:rsidRPr="005967F8">
        <w:t xml:space="preserve"> от </w:t>
      </w:r>
      <w:proofErr w:type="spellStart"/>
      <w:r>
        <w:t>КГСЭ</w:t>
      </w:r>
      <w:proofErr w:type="spellEnd"/>
      <w:r w:rsidRPr="005967F8">
        <w:t xml:space="preserve"> </w:t>
      </w:r>
      <w:r>
        <w:t>приводится сопоставление</w:t>
      </w:r>
      <w:r w:rsidRPr="005967F8">
        <w:t xml:space="preserve"> резолюций Полномочной конференции МСЭ и Секторов МСЭ, а также </w:t>
      </w:r>
      <w:r>
        <w:t>содержится</w:t>
      </w:r>
      <w:r w:rsidRPr="005967F8">
        <w:t xml:space="preserve"> несколько предложений по упорядочению резолюций </w:t>
      </w:r>
      <w:proofErr w:type="spellStart"/>
      <w:r w:rsidRPr="005967F8">
        <w:t>ВАСЭ</w:t>
      </w:r>
      <w:proofErr w:type="spellEnd"/>
      <w:r w:rsidRPr="005967F8">
        <w:t>:</w:t>
      </w:r>
    </w:p>
    <w:p w14:paraId="2F33BE61" w14:textId="20F2A176" w:rsidR="00125DA8" w:rsidRPr="009D2006" w:rsidRDefault="000F4E98" w:rsidP="000F4E98">
      <w:pPr>
        <w:pStyle w:val="enumlev1"/>
      </w:pPr>
      <w:r w:rsidRPr="000F4E98">
        <w:t>−</w:t>
      </w:r>
      <w:r w:rsidRPr="000F4E98">
        <w:tab/>
      </w:r>
      <w:r w:rsidR="00125DA8" w:rsidRPr="003560F1">
        <w:t>Прил</w:t>
      </w:r>
      <w:r w:rsidR="00125DA8">
        <w:t>агаемый документ</w:t>
      </w:r>
      <w:r w:rsidR="00125DA8" w:rsidRPr="003560F1">
        <w:t xml:space="preserve"> 1 </w:t>
      </w:r>
      <w:r w:rsidRPr="000F4E98">
        <w:t>−</w:t>
      </w:r>
      <w:r w:rsidR="00125DA8" w:rsidRPr="003560F1">
        <w:t xml:space="preserve"> </w:t>
      </w:r>
      <w:r w:rsidR="00125DA8">
        <w:t>Сопоставление</w:t>
      </w:r>
      <w:r w:rsidR="00125DA8" w:rsidRPr="003560F1">
        <w:t xml:space="preserve"> резолюций </w:t>
      </w:r>
      <w:proofErr w:type="spellStart"/>
      <w:r w:rsidR="00125DA8">
        <w:t>ВАСЭ</w:t>
      </w:r>
      <w:proofErr w:type="spellEnd"/>
      <w:r w:rsidR="00125DA8" w:rsidRPr="003560F1">
        <w:t xml:space="preserve">, </w:t>
      </w:r>
      <w:proofErr w:type="spellStart"/>
      <w:r w:rsidR="00125DA8">
        <w:t>ВКРЭ</w:t>
      </w:r>
      <w:proofErr w:type="spellEnd"/>
      <w:r w:rsidR="00125DA8" w:rsidRPr="003560F1">
        <w:t xml:space="preserve"> и </w:t>
      </w:r>
      <w:r w:rsidR="00125DA8">
        <w:t>АР</w:t>
      </w:r>
      <w:r w:rsidR="00125DA8" w:rsidRPr="003560F1">
        <w:t xml:space="preserve"> </w:t>
      </w:r>
      <w:r w:rsidR="00125DA8">
        <w:t>с</w:t>
      </w:r>
      <w:r w:rsidR="00125DA8" w:rsidRPr="003560F1">
        <w:t xml:space="preserve"> </w:t>
      </w:r>
      <w:r w:rsidR="00125DA8">
        <w:t>р</w:t>
      </w:r>
      <w:r w:rsidR="00125DA8" w:rsidRPr="003560F1">
        <w:t>езолюци</w:t>
      </w:r>
      <w:r w:rsidR="00125DA8">
        <w:t xml:space="preserve">ями </w:t>
      </w:r>
      <w:r w:rsidR="00125DA8" w:rsidRPr="003560F1">
        <w:t>П</w:t>
      </w:r>
      <w:r w:rsidR="00125DA8">
        <w:t>К</w:t>
      </w:r>
      <w:r w:rsidR="00125DA8" w:rsidRPr="003560F1">
        <w:t xml:space="preserve"> с целью определения резолюций-кандидатов на </w:t>
      </w:r>
      <w:r w:rsidR="00125DA8">
        <w:t>упорядочение</w:t>
      </w:r>
      <w:r w:rsidR="00125DA8" w:rsidRPr="003560F1">
        <w:t xml:space="preserve"> </w:t>
      </w:r>
      <w:r w:rsidR="00125DA8" w:rsidRPr="009D2006">
        <w:t>(</w:t>
      </w:r>
      <w:r w:rsidR="00125DA8" w:rsidRPr="003560F1">
        <w:rPr>
          <w:lang w:val="en-US"/>
        </w:rPr>
        <w:t>TSAG</w:t>
      </w:r>
      <w:r w:rsidR="00125DA8" w:rsidRPr="009D2006">
        <w:t>-</w:t>
      </w:r>
      <w:r w:rsidR="00125DA8" w:rsidRPr="003560F1">
        <w:rPr>
          <w:lang w:val="en-US"/>
        </w:rPr>
        <w:t>TD</w:t>
      </w:r>
      <w:r w:rsidR="00125DA8" w:rsidRPr="009D2006">
        <w:t>587-</w:t>
      </w:r>
      <w:r w:rsidR="00125DA8" w:rsidRPr="003560F1">
        <w:rPr>
          <w:lang w:val="en-US"/>
        </w:rPr>
        <w:t>R</w:t>
      </w:r>
      <w:r w:rsidR="00125DA8" w:rsidRPr="009D2006">
        <w:t>3).</w:t>
      </w:r>
    </w:p>
    <w:p w14:paraId="6F1B5E36" w14:textId="05AC2ECA" w:rsidR="00125DA8" w:rsidRPr="009D2006" w:rsidRDefault="000F4E98" w:rsidP="000F4E98">
      <w:pPr>
        <w:pStyle w:val="enumlev1"/>
      </w:pPr>
      <w:r w:rsidRPr="000F4E98">
        <w:t>−</w:t>
      </w:r>
      <w:r w:rsidRPr="000F4E98">
        <w:tab/>
      </w:r>
      <w:r w:rsidR="00125DA8" w:rsidRPr="003560F1">
        <w:t>Прил</w:t>
      </w:r>
      <w:r w:rsidR="00125DA8">
        <w:t xml:space="preserve">агаемый документ </w:t>
      </w:r>
      <w:r w:rsidR="00125DA8" w:rsidRPr="003560F1">
        <w:t xml:space="preserve">2 </w:t>
      </w:r>
      <w:r w:rsidRPr="000F4E98">
        <w:t>−</w:t>
      </w:r>
      <w:r w:rsidR="00125DA8" w:rsidRPr="003560F1">
        <w:t xml:space="preserve"> Анализ резолюций </w:t>
      </w:r>
      <w:proofErr w:type="spellStart"/>
      <w:r w:rsidR="00125DA8" w:rsidRPr="003560F1">
        <w:t>ВАС</w:t>
      </w:r>
      <w:r w:rsidR="00125DA8">
        <w:t>Э</w:t>
      </w:r>
      <w:proofErr w:type="spellEnd"/>
      <w:r w:rsidR="00125DA8" w:rsidRPr="003560F1">
        <w:t xml:space="preserve"> и их потенциала для </w:t>
      </w:r>
      <w:r w:rsidR="00125DA8">
        <w:t>упорядочения путем сокращения</w:t>
      </w:r>
      <w:r w:rsidR="00125DA8" w:rsidRPr="003560F1">
        <w:t xml:space="preserve"> </w:t>
      </w:r>
      <w:r w:rsidR="00125DA8" w:rsidRPr="009D2006">
        <w:t>(</w:t>
      </w:r>
      <w:r w:rsidR="00125DA8" w:rsidRPr="003560F1">
        <w:rPr>
          <w:lang w:val="en-US"/>
        </w:rPr>
        <w:t>TSAG</w:t>
      </w:r>
      <w:r w:rsidR="00125DA8" w:rsidRPr="009D2006">
        <w:t>-</w:t>
      </w:r>
      <w:r w:rsidR="00125DA8" w:rsidRPr="003560F1">
        <w:rPr>
          <w:lang w:val="en-US"/>
        </w:rPr>
        <w:t>TD</w:t>
      </w:r>
      <w:r w:rsidR="00125DA8" w:rsidRPr="009D2006">
        <w:t>601).</w:t>
      </w:r>
    </w:p>
    <w:p w14:paraId="07FA28B2" w14:textId="77777777" w:rsidR="00125DA8" w:rsidRPr="003560F1" w:rsidRDefault="00083D22" w:rsidP="00E526B6">
      <w:pPr>
        <w:spacing w:after="120"/>
        <w:rPr>
          <w:rFonts w:cstheme="minorHAnsi"/>
          <w:szCs w:val="24"/>
        </w:rPr>
      </w:pPr>
      <w:hyperlink r:id="rId52" w:history="1">
        <w:r w:rsidR="00125DA8" w:rsidRPr="009D2006">
          <w:rPr>
            <w:rStyle w:val="Hyperlink"/>
            <w:rFonts w:cstheme="minorHAnsi"/>
            <w:szCs w:val="24"/>
          </w:rPr>
          <w:t>Документ 34</w:t>
        </w:r>
      </w:hyperlink>
      <w:r w:rsidR="00125DA8" w:rsidRPr="003560F1">
        <w:rPr>
          <w:rFonts w:cstheme="minorHAnsi"/>
          <w:szCs w:val="24"/>
        </w:rPr>
        <w:t xml:space="preserve">: </w:t>
      </w:r>
      <w:r w:rsidR="00125DA8">
        <w:rPr>
          <w:rFonts w:cstheme="minorHAnsi"/>
          <w:szCs w:val="24"/>
        </w:rPr>
        <w:t>В</w:t>
      </w:r>
      <w:r w:rsidR="00125DA8" w:rsidRPr="003560F1">
        <w:rPr>
          <w:rFonts w:cstheme="minorHAnsi"/>
          <w:szCs w:val="24"/>
        </w:rPr>
        <w:t xml:space="preserve"> заявлении о </w:t>
      </w:r>
      <w:r w:rsidR="00125DA8">
        <w:rPr>
          <w:rFonts w:cstheme="minorHAnsi"/>
          <w:szCs w:val="24"/>
        </w:rPr>
        <w:t>взаимодействии</w:t>
      </w:r>
      <w:r w:rsidR="00125DA8" w:rsidRPr="005967F8">
        <w:rPr>
          <w:rFonts w:cstheme="minorHAnsi"/>
          <w:szCs w:val="24"/>
        </w:rPr>
        <w:t xml:space="preserve"> </w:t>
      </w:r>
      <w:r w:rsidR="00125DA8">
        <w:rPr>
          <w:rFonts w:cstheme="minorHAnsi"/>
          <w:szCs w:val="24"/>
        </w:rPr>
        <w:t>от</w:t>
      </w:r>
      <w:r w:rsidR="00125DA8" w:rsidRPr="003560F1">
        <w:rPr>
          <w:rFonts w:cstheme="minorHAnsi"/>
          <w:szCs w:val="24"/>
        </w:rPr>
        <w:t xml:space="preserve"> </w:t>
      </w:r>
      <w:r w:rsidR="00125DA8">
        <w:rPr>
          <w:rFonts w:cstheme="minorHAnsi"/>
          <w:szCs w:val="24"/>
        </w:rPr>
        <w:t>КГСЭ</w:t>
      </w:r>
      <w:r w:rsidR="00125DA8" w:rsidRPr="003560F1">
        <w:rPr>
          <w:rFonts w:cstheme="minorHAnsi"/>
          <w:szCs w:val="24"/>
        </w:rPr>
        <w:t xml:space="preserve"> излагается текущая работа Группы Докладчик</w:t>
      </w:r>
      <w:r w:rsidR="00125DA8">
        <w:rPr>
          <w:rFonts w:cstheme="minorHAnsi"/>
          <w:szCs w:val="24"/>
        </w:rPr>
        <w:t>а</w:t>
      </w:r>
      <w:r w:rsidR="00125DA8" w:rsidRPr="003560F1">
        <w:rPr>
          <w:rFonts w:cstheme="minorHAnsi"/>
          <w:szCs w:val="24"/>
        </w:rPr>
        <w:t xml:space="preserve"> </w:t>
      </w:r>
      <w:r w:rsidR="00125DA8" w:rsidRPr="009D2006">
        <w:t>по рассмотрению резолюций ВАСЭ (ГД-</w:t>
      </w:r>
      <w:r w:rsidR="00125DA8">
        <w:t>ResReview</w:t>
      </w:r>
      <w:r w:rsidR="00125DA8" w:rsidRPr="009D2006">
        <w:t>)</w:t>
      </w:r>
      <w:r w:rsidR="00125DA8" w:rsidRPr="003560F1">
        <w:rPr>
          <w:rFonts w:cstheme="minorHAnsi"/>
          <w:szCs w:val="24"/>
        </w:rPr>
        <w:t>.</w:t>
      </w:r>
    </w:p>
    <w:p w14:paraId="22F7D782" w14:textId="77777777" w:rsidR="00125DA8" w:rsidRPr="003560F1" w:rsidRDefault="00125DA8" w:rsidP="000F4E98">
      <w:r w:rsidRPr="003560F1">
        <w:t xml:space="preserve">Был определен ряд резолюций </w:t>
      </w:r>
      <w:r>
        <w:t>ВАСЭ</w:t>
      </w:r>
      <w:r w:rsidRPr="003560F1">
        <w:t xml:space="preserve">, подлежащих упорядочению, и эта работа будет продолжена в преддверии </w:t>
      </w:r>
      <w:r>
        <w:t>ВАСЭ</w:t>
      </w:r>
      <w:r w:rsidRPr="003560F1">
        <w:t>-20.</w:t>
      </w:r>
    </w:p>
    <w:p w14:paraId="19135B77" w14:textId="77777777" w:rsidR="00125DA8" w:rsidRPr="003560F1" w:rsidRDefault="00125DA8" w:rsidP="000F4E98">
      <w:r w:rsidRPr="003560F1">
        <w:t xml:space="preserve">В </w:t>
      </w:r>
      <w:r>
        <w:t>Прилагаемом документе</w:t>
      </w:r>
      <w:r w:rsidRPr="003560F1">
        <w:t xml:space="preserve"> 1 содержатся принципы, руководящие указания по </w:t>
      </w:r>
      <w:r>
        <w:t>упорядочению</w:t>
      </w:r>
      <w:r w:rsidRPr="003560F1">
        <w:t xml:space="preserve"> резолюций и по подготовке проектов резолюций (</w:t>
      </w:r>
      <w:r w:rsidRPr="003560F1">
        <w:rPr>
          <w:lang w:val="en-US"/>
        </w:rPr>
        <w:t>TSAG</w:t>
      </w:r>
      <w:r w:rsidRPr="003560F1">
        <w:t>-</w:t>
      </w:r>
      <w:r w:rsidRPr="003560F1">
        <w:rPr>
          <w:lang w:val="en-US"/>
        </w:rPr>
        <w:t>TD</w:t>
      </w:r>
      <w:r w:rsidRPr="003560F1">
        <w:t>751).</w:t>
      </w:r>
    </w:p>
    <w:p w14:paraId="16A8916A" w14:textId="77777777" w:rsidR="00125DA8" w:rsidRPr="003560F1" w:rsidRDefault="00125DA8" w:rsidP="000F4E98">
      <w:r w:rsidRPr="003560F1">
        <w:t xml:space="preserve">В </w:t>
      </w:r>
      <w:r>
        <w:t>Прилагаемом документе</w:t>
      </w:r>
      <w:r w:rsidRPr="003560F1">
        <w:t xml:space="preserve"> 2 содержится анализ оперативных частей (</w:t>
      </w:r>
      <w:r>
        <w:t xml:space="preserve">разделы </w:t>
      </w:r>
      <w:r w:rsidRPr="00A2557D">
        <w:rPr>
          <w:i/>
          <w:iCs/>
        </w:rPr>
        <w:t>решает</w:t>
      </w:r>
      <w:r w:rsidRPr="003560F1">
        <w:t xml:space="preserve">, </w:t>
      </w:r>
      <w:r w:rsidRPr="00A2557D">
        <w:rPr>
          <w:i/>
          <w:iCs/>
        </w:rPr>
        <w:t>поручает</w:t>
      </w:r>
      <w:r w:rsidRPr="003560F1">
        <w:t xml:space="preserve"> и </w:t>
      </w:r>
      <w:r>
        <w:t>пр</w:t>
      </w:r>
      <w:r w:rsidRPr="003560F1">
        <w:t>.) резолюций ВАС</w:t>
      </w:r>
      <w:r>
        <w:t>Э</w:t>
      </w:r>
      <w:r w:rsidRPr="003560F1">
        <w:t>/П</w:t>
      </w:r>
      <w:r>
        <w:t>К</w:t>
      </w:r>
      <w:r w:rsidRPr="003560F1">
        <w:t>/</w:t>
      </w:r>
      <w:r>
        <w:t>ВКРЭ</w:t>
      </w:r>
      <w:r w:rsidRPr="003560F1">
        <w:t>/</w:t>
      </w:r>
      <w:r>
        <w:t>АР</w:t>
      </w:r>
      <w:r w:rsidRPr="003560F1">
        <w:t xml:space="preserve">/Совета с точки зрения </w:t>
      </w:r>
      <w:r>
        <w:t>передачи</w:t>
      </w:r>
      <w:r w:rsidRPr="003560F1">
        <w:t xml:space="preserve"> исследовательски</w:t>
      </w:r>
      <w:r>
        <w:t>м</w:t>
      </w:r>
      <w:r w:rsidRPr="003560F1">
        <w:t xml:space="preserve"> </w:t>
      </w:r>
      <w:r>
        <w:t>комиссиям</w:t>
      </w:r>
      <w:r w:rsidRPr="003560F1">
        <w:t xml:space="preserve"> МСЭ-Т и </w:t>
      </w:r>
      <w:r>
        <w:t>КГСЭ</w:t>
      </w:r>
      <w:r w:rsidRPr="003560F1">
        <w:t xml:space="preserve"> конкретны</w:t>
      </w:r>
      <w:r>
        <w:t>х</w:t>
      </w:r>
      <w:r w:rsidRPr="003560F1">
        <w:t xml:space="preserve"> мандат</w:t>
      </w:r>
      <w:r>
        <w:t>ов</w:t>
      </w:r>
      <w:r w:rsidRPr="003560F1">
        <w:t xml:space="preserve"> и задач</w:t>
      </w:r>
      <w:r>
        <w:t xml:space="preserve"> </w:t>
      </w:r>
      <w:r w:rsidRPr="003560F1">
        <w:t xml:space="preserve">и их потенциала в плане </w:t>
      </w:r>
      <w:r>
        <w:t>упорядочения</w:t>
      </w:r>
      <w:r w:rsidRPr="003560F1">
        <w:t xml:space="preserve"> (</w:t>
      </w:r>
      <w:r w:rsidRPr="003560F1">
        <w:rPr>
          <w:lang w:val="en-US"/>
        </w:rPr>
        <w:t>TSAG</w:t>
      </w:r>
      <w:r w:rsidRPr="003560F1">
        <w:t>-</w:t>
      </w:r>
      <w:r w:rsidRPr="003560F1">
        <w:rPr>
          <w:lang w:val="en-US"/>
        </w:rPr>
        <w:t>TD</w:t>
      </w:r>
      <w:r w:rsidRPr="003560F1">
        <w:t>706).</w:t>
      </w:r>
    </w:p>
    <w:p w14:paraId="5BDF574A" w14:textId="77777777" w:rsidR="00125DA8" w:rsidRPr="003560F1" w:rsidRDefault="00125DA8" w:rsidP="00E526B6">
      <w:pPr>
        <w:spacing w:after="120"/>
        <w:rPr>
          <w:rFonts w:cstheme="minorHAnsi"/>
          <w:szCs w:val="24"/>
        </w:rPr>
      </w:pPr>
      <w:r w:rsidRPr="003560F1">
        <w:rPr>
          <w:rFonts w:cstheme="minorHAnsi"/>
          <w:szCs w:val="24"/>
        </w:rPr>
        <w:t xml:space="preserve">В </w:t>
      </w:r>
      <w:r>
        <w:rPr>
          <w:rFonts w:cstheme="minorHAnsi"/>
          <w:szCs w:val="24"/>
        </w:rPr>
        <w:t>Прилагаемых документах с</w:t>
      </w:r>
      <w:r w:rsidRPr="003560F1">
        <w:rPr>
          <w:rFonts w:cstheme="minorHAnsi"/>
          <w:szCs w:val="24"/>
        </w:rPr>
        <w:t xml:space="preserve"> 3 по 6 содержатся отчеты о </w:t>
      </w:r>
      <w:r>
        <w:rPr>
          <w:rFonts w:cstheme="minorHAnsi"/>
          <w:szCs w:val="24"/>
        </w:rPr>
        <w:t>собраниях</w:t>
      </w:r>
      <w:r w:rsidRPr="003560F1">
        <w:rPr>
          <w:rFonts w:cstheme="minorHAnsi"/>
          <w:szCs w:val="24"/>
        </w:rPr>
        <w:t xml:space="preserve"> </w:t>
      </w:r>
      <w:r>
        <w:rPr>
          <w:rFonts w:cstheme="minorHAnsi"/>
          <w:szCs w:val="24"/>
        </w:rPr>
        <w:t>ГД</w:t>
      </w:r>
      <w:r w:rsidRPr="003560F1">
        <w:rPr>
          <w:rFonts w:cstheme="minorHAnsi"/>
          <w:szCs w:val="24"/>
        </w:rPr>
        <w:t>-</w:t>
      </w:r>
      <w:r w:rsidRPr="003560F1">
        <w:rPr>
          <w:rFonts w:cstheme="minorHAnsi"/>
          <w:szCs w:val="24"/>
          <w:lang w:val="en-US"/>
        </w:rPr>
        <w:t>ResReview</w:t>
      </w:r>
      <w:r w:rsidRPr="003560F1">
        <w:rPr>
          <w:rFonts w:cstheme="minorHAnsi"/>
          <w:szCs w:val="24"/>
        </w:rPr>
        <w:t>.</w:t>
      </w:r>
    </w:p>
    <w:p w14:paraId="22248C2C" w14:textId="77777777" w:rsidR="00125DA8" w:rsidRPr="003560F1" w:rsidRDefault="00083D22" w:rsidP="00E526B6">
      <w:pPr>
        <w:keepNext/>
        <w:spacing w:after="120"/>
        <w:rPr>
          <w:rFonts w:cstheme="minorHAnsi"/>
          <w:szCs w:val="24"/>
        </w:rPr>
      </w:pPr>
      <w:hyperlink r:id="rId53" w:history="1">
        <w:r w:rsidR="00125DA8" w:rsidRPr="009D2006">
          <w:rPr>
            <w:rStyle w:val="Hyperlink"/>
            <w:rFonts w:cstheme="minorHAnsi"/>
            <w:szCs w:val="24"/>
          </w:rPr>
          <w:t>Документ 45</w:t>
        </w:r>
      </w:hyperlink>
      <w:r w:rsidR="00125DA8" w:rsidRPr="003560F1">
        <w:rPr>
          <w:rFonts w:cstheme="minorHAnsi"/>
          <w:szCs w:val="24"/>
        </w:rPr>
        <w:t>: Этот вклад Российской Федерации представляет собой предлагаемый пересмотренный вариант Резолюции 8 (</w:t>
      </w:r>
      <w:r w:rsidR="00125DA8">
        <w:rPr>
          <w:rFonts w:cstheme="minorHAnsi"/>
          <w:szCs w:val="24"/>
        </w:rPr>
        <w:t>Пересм</w:t>
      </w:r>
      <w:r w:rsidR="00125DA8" w:rsidRPr="003560F1">
        <w:rPr>
          <w:rFonts w:cstheme="minorHAnsi"/>
          <w:szCs w:val="24"/>
        </w:rPr>
        <w:t xml:space="preserve">. Буэнос-Айрес, 2017 г.) </w:t>
      </w:r>
      <w:r w:rsidR="00125DA8">
        <w:rPr>
          <w:rFonts w:cstheme="minorHAnsi"/>
          <w:szCs w:val="24"/>
        </w:rPr>
        <w:t>ВКРЭ</w:t>
      </w:r>
      <w:r w:rsidR="00125DA8" w:rsidRPr="003560F1">
        <w:rPr>
          <w:rFonts w:cstheme="minorHAnsi"/>
          <w:szCs w:val="24"/>
        </w:rPr>
        <w:t xml:space="preserve"> "Сбор и распространение информации и статистических данных". Важно отметить, что в предлагаемом новом пункте (</w:t>
      </w:r>
      <w:r w:rsidR="00125DA8">
        <w:rPr>
          <w:rFonts w:cstheme="minorHAnsi"/>
          <w:szCs w:val="24"/>
        </w:rPr>
        <w:t xml:space="preserve">п. </w:t>
      </w:r>
      <w:r w:rsidR="00125DA8" w:rsidRPr="003560F1">
        <w:rPr>
          <w:rFonts w:cstheme="minorHAnsi"/>
          <w:szCs w:val="24"/>
        </w:rPr>
        <w:t xml:space="preserve">21) </w:t>
      </w:r>
      <w:r w:rsidR="00125DA8">
        <w:rPr>
          <w:rFonts w:cstheme="minorHAnsi"/>
          <w:szCs w:val="24"/>
        </w:rPr>
        <w:t xml:space="preserve">раздела </w:t>
      </w:r>
      <w:r w:rsidR="00125DA8" w:rsidRPr="005D70CA">
        <w:rPr>
          <w:rFonts w:cstheme="minorHAnsi"/>
          <w:i/>
          <w:szCs w:val="24"/>
        </w:rPr>
        <w:t>решает</w:t>
      </w:r>
      <w:r w:rsidR="00125DA8" w:rsidRPr="003560F1">
        <w:rPr>
          <w:rFonts w:cstheme="minorHAnsi"/>
          <w:szCs w:val="24"/>
        </w:rPr>
        <w:t xml:space="preserve"> указывается, что все предложения по новым показателям, представляемые </w:t>
      </w:r>
      <w:r w:rsidR="00125DA8" w:rsidRPr="00C84588">
        <w:rPr>
          <w:rFonts w:cstheme="minorHAnsi"/>
          <w:szCs w:val="24"/>
        </w:rPr>
        <w:t>WTIS</w:t>
      </w:r>
      <w:r w:rsidR="00125DA8" w:rsidRPr="007778AC">
        <w:rPr>
          <w:rFonts w:cstheme="minorHAnsi"/>
          <w:szCs w:val="24"/>
        </w:rPr>
        <w:t xml:space="preserve">, </w:t>
      </w:r>
      <w:r w:rsidR="00125DA8" w:rsidRPr="00C84588">
        <w:rPr>
          <w:rFonts w:cstheme="minorHAnsi"/>
          <w:szCs w:val="24"/>
        </w:rPr>
        <w:t>EGH</w:t>
      </w:r>
      <w:r w:rsidR="00125DA8" w:rsidRPr="007778AC">
        <w:rPr>
          <w:rFonts w:cstheme="minorHAnsi"/>
          <w:szCs w:val="24"/>
        </w:rPr>
        <w:t>/</w:t>
      </w:r>
      <w:r w:rsidR="00125DA8" w:rsidRPr="00C84588">
        <w:rPr>
          <w:rFonts w:cstheme="minorHAnsi"/>
          <w:szCs w:val="24"/>
        </w:rPr>
        <w:t>EGTI</w:t>
      </w:r>
      <w:r w:rsidR="00125DA8" w:rsidRPr="003560F1">
        <w:rPr>
          <w:rFonts w:cstheme="minorHAnsi"/>
          <w:szCs w:val="24"/>
        </w:rPr>
        <w:t xml:space="preserve"> </w:t>
      </w:r>
      <w:r w:rsidR="00125DA8">
        <w:rPr>
          <w:rFonts w:cstheme="minorHAnsi"/>
          <w:szCs w:val="24"/>
        </w:rPr>
        <w:t xml:space="preserve">и </w:t>
      </w:r>
      <w:r w:rsidR="00125DA8" w:rsidRPr="003560F1">
        <w:rPr>
          <w:rFonts w:cstheme="minorHAnsi"/>
          <w:szCs w:val="24"/>
        </w:rPr>
        <w:t xml:space="preserve">исследовательским </w:t>
      </w:r>
      <w:r w:rsidR="00125DA8">
        <w:rPr>
          <w:rFonts w:cstheme="minorHAnsi"/>
          <w:szCs w:val="24"/>
        </w:rPr>
        <w:t>комиссиям</w:t>
      </w:r>
      <w:r w:rsidR="00125DA8" w:rsidRPr="003560F1">
        <w:rPr>
          <w:rFonts w:cstheme="minorHAnsi"/>
          <w:szCs w:val="24"/>
        </w:rPr>
        <w:t xml:space="preserve"> МСЭ-D, должны быть обобщены и представлены </w:t>
      </w:r>
      <w:r w:rsidR="00125DA8">
        <w:rPr>
          <w:rFonts w:cstheme="minorHAnsi"/>
          <w:szCs w:val="24"/>
        </w:rPr>
        <w:t>КГРЭ</w:t>
      </w:r>
      <w:r w:rsidR="00125DA8" w:rsidRPr="003560F1">
        <w:rPr>
          <w:rFonts w:cstheme="minorHAnsi"/>
          <w:szCs w:val="24"/>
        </w:rPr>
        <w:t xml:space="preserve">, а затем </w:t>
      </w:r>
      <w:r w:rsidR="00125DA8">
        <w:rPr>
          <w:rFonts w:cstheme="minorHAnsi"/>
          <w:szCs w:val="24"/>
        </w:rPr>
        <w:t>утверждены</w:t>
      </w:r>
      <w:r w:rsidR="00125DA8" w:rsidRPr="003560F1">
        <w:rPr>
          <w:rFonts w:cstheme="minorHAnsi"/>
          <w:szCs w:val="24"/>
        </w:rPr>
        <w:t xml:space="preserve"> Государствами-Членами на </w:t>
      </w:r>
      <w:r w:rsidR="00125DA8">
        <w:rPr>
          <w:rFonts w:cstheme="minorHAnsi"/>
          <w:szCs w:val="24"/>
        </w:rPr>
        <w:t>ВКРЭ</w:t>
      </w:r>
      <w:r w:rsidR="00125DA8" w:rsidRPr="003560F1">
        <w:rPr>
          <w:rFonts w:cstheme="minorHAnsi"/>
          <w:szCs w:val="24"/>
        </w:rPr>
        <w:t xml:space="preserve">. </w:t>
      </w:r>
      <w:r w:rsidR="00125DA8">
        <w:rPr>
          <w:rFonts w:cstheme="minorHAnsi"/>
          <w:szCs w:val="24"/>
        </w:rPr>
        <w:t xml:space="preserve">Признается важная роль </w:t>
      </w:r>
      <w:r w:rsidR="00125DA8" w:rsidRPr="007778AC">
        <w:t>Симпозиум</w:t>
      </w:r>
      <w:r w:rsidR="00125DA8">
        <w:t>а</w:t>
      </w:r>
      <w:r w:rsidR="00125DA8" w:rsidRPr="007778AC">
        <w:t xml:space="preserve"> МСЭ по всемирным показателям в области электросвязи/ИКТ</w:t>
      </w:r>
      <w:r w:rsidR="00125DA8" w:rsidRPr="003560F1">
        <w:rPr>
          <w:rFonts w:cstheme="minorHAnsi"/>
          <w:szCs w:val="24"/>
        </w:rPr>
        <w:t xml:space="preserve"> (</w:t>
      </w:r>
      <w:r w:rsidR="00125DA8">
        <w:rPr>
          <w:rFonts w:cstheme="minorHAnsi"/>
          <w:szCs w:val="24"/>
          <w:lang w:val="en-US"/>
        </w:rPr>
        <w:t>WTIS</w:t>
      </w:r>
      <w:r w:rsidR="00125DA8" w:rsidRPr="003560F1">
        <w:rPr>
          <w:rFonts w:cstheme="minorHAnsi"/>
          <w:szCs w:val="24"/>
        </w:rPr>
        <w:t xml:space="preserve">) в качестве </w:t>
      </w:r>
      <w:r w:rsidR="00125DA8">
        <w:rPr>
          <w:rFonts w:cstheme="minorHAnsi"/>
          <w:szCs w:val="24"/>
        </w:rPr>
        <w:t>площадки</w:t>
      </w:r>
      <w:r w:rsidR="00125DA8" w:rsidRPr="003560F1">
        <w:rPr>
          <w:rFonts w:cstheme="minorHAnsi"/>
          <w:szCs w:val="24"/>
        </w:rPr>
        <w:t xml:space="preserve"> для проведения международных сопоставлений.</w:t>
      </w:r>
    </w:p>
    <w:p w14:paraId="6F22491A" w14:textId="77777777" w:rsidR="00125DA8" w:rsidRPr="003560F1" w:rsidRDefault="00083D22" w:rsidP="00E526B6">
      <w:pPr>
        <w:spacing w:after="120"/>
      </w:pPr>
      <w:hyperlink r:id="rId54" w:history="1">
        <w:r w:rsidR="00125DA8" w:rsidRPr="005D70CA">
          <w:rPr>
            <w:rStyle w:val="Hyperlink"/>
            <w:rFonts w:cstheme="minorHAnsi"/>
            <w:szCs w:val="24"/>
          </w:rPr>
          <w:t>Документ 46</w:t>
        </w:r>
      </w:hyperlink>
      <w:r w:rsidR="00125DA8" w:rsidRPr="003560F1">
        <w:rPr>
          <w:rFonts w:cstheme="minorHAnsi"/>
          <w:szCs w:val="24"/>
        </w:rPr>
        <w:t xml:space="preserve">: В </w:t>
      </w:r>
      <w:r w:rsidR="00125DA8">
        <w:rPr>
          <w:rFonts w:cstheme="minorHAnsi"/>
          <w:szCs w:val="24"/>
        </w:rPr>
        <w:t>данном вкладе</w:t>
      </w:r>
      <w:r w:rsidR="00125DA8" w:rsidRPr="003560F1">
        <w:rPr>
          <w:rFonts w:cstheme="minorHAnsi"/>
          <w:szCs w:val="24"/>
        </w:rPr>
        <w:t xml:space="preserve"> Российской Федерации предлагается обновить Резолюцию 31</w:t>
      </w:r>
      <w:r w:rsidR="00125DA8">
        <w:rPr>
          <w:rFonts w:cstheme="minorHAnsi"/>
          <w:szCs w:val="24"/>
        </w:rPr>
        <w:t xml:space="preserve"> ВКРЭ</w:t>
      </w:r>
      <w:r w:rsidR="00125DA8" w:rsidRPr="003560F1">
        <w:rPr>
          <w:rFonts w:cstheme="minorHAnsi"/>
          <w:szCs w:val="24"/>
        </w:rPr>
        <w:t xml:space="preserve">, приведя ее в соответствие с Резолюцией 58 Полномочной конференции. В частности, в нем предлагается добавить </w:t>
      </w:r>
      <w:r w:rsidR="00125DA8">
        <w:rPr>
          <w:rFonts w:cstheme="minorHAnsi"/>
          <w:szCs w:val="24"/>
        </w:rPr>
        <w:t xml:space="preserve">раздел </w:t>
      </w:r>
      <w:r w:rsidR="00125DA8" w:rsidRPr="005D70CA">
        <w:rPr>
          <w:rFonts w:cstheme="minorHAnsi"/>
          <w:i/>
          <w:szCs w:val="24"/>
        </w:rPr>
        <w:t>приглашает</w:t>
      </w:r>
      <w:r w:rsidR="00125DA8" w:rsidRPr="003560F1">
        <w:rPr>
          <w:rFonts w:cstheme="minorHAnsi"/>
          <w:szCs w:val="24"/>
        </w:rPr>
        <w:t>, адресованн</w:t>
      </w:r>
      <w:r w:rsidR="00125DA8">
        <w:rPr>
          <w:rFonts w:cstheme="minorHAnsi"/>
          <w:szCs w:val="24"/>
        </w:rPr>
        <w:t>ый</w:t>
      </w:r>
      <w:r w:rsidR="00125DA8" w:rsidRPr="003560F1">
        <w:rPr>
          <w:rFonts w:cstheme="minorHAnsi"/>
          <w:szCs w:val="24"/>
        </w:rPr>
        <w:t xml:space="preserve"> региональным и субрегиональным организациям </w:t>
      </w:r>
      <w:r w:rsidR="00125DA8">
        <w:rPr>
          <w:rFonts w:cstheme="minorHAnsi"/>
          <w:szCs w:val="24"/>
        </w:rPr>
        <w:t>электросвязи</w:t>
      </w:r>
      <w:r w:rsidR="00125DA8" w:rsidRPr="003560F1">
        <w:rPr>
          <w:rFonts w:cstheme="minorHAnsi"/>
          <w:szCs w:val="24"/>
        </w:rPr>
        <w:t>, принять участие в координации и согласовании вклад</w:t>
      </w:r>
      <w:r w:rsidR="00125DA8">
        <w:rPr>
          <w:rFonts w:cstheme="minorHAnsi"/>
          <w:szCs w:val="24"/>
        </w:rPr>
        <w:t>ов</w:t>
      </w:r>
      <w:r w:rsidR="00125DA8" w:rsidRPr="003560F1">
        <w:rPr>
          <w:rFonts w:cstheme="minorHAnsi"/>
          <w:szCs w:val="24"/>
        </w:rPr>
        <w:t xml:space="preserve"> соответствующих Государств-Членов с целью выработки общих предложений, которые, по мере возможности, будут обсуждаться в рамках </w:t>
      </w:r>
      <w:r w:rsidR="00125DA8">
        <w:rPr>
          <w:rFonts w:cstheme="minorHAnsi"/>
          <w:szCs w:val="24"/>
        </w:rPr>
        <w:t>ВКРЭ</w:t>
      </w:r>
      <w:r w:rsidR="00125DA8" w:rsidRPr="003560F1">
        <w:rPr>
          <w:rFonts w:cstheme="minorHAnsi"/>
          <w:szCs w:val="24"/>
        </w:rPr>
        <w:t>.</w:t>
      </w:r>
    </w:p>
    <w:tbl>
      <w:tblPr>
        <w:tblStyle w:val="TableGrid"/>
        <w:tblW w:w="0" w:type="auto"/>
        <w:tblLook w:val="04A0" w:firstRow="1" w:lastRow="0" w:firstColumn="1" w:lastColumn="0" w:noHBand="0" w:noVBand="1"/>
      </w:tblPr>
      <w:tblGrid>
        <w:gridCol w:w="9628"/>
      </w:tblGrid>
      <w:tr w:rsidR="00125DA8" w:rsidRPr="00D94ED7" w14:paraId="77515F80" w14:textId="77777777" w:rsidTr="00E526B6">
        <w:tc>
          <w:tcPr>
            <w:tcW w:w="9629" w:type="dxa"/>
          </w:tcPr>
          <w:p w14:paraId="115B517A" w14:textId="77777777" w:rsidR="00125DA8" w:rsidRPr="00D94ED7" w:rsidRDefault="00125DA8" w:rsidP="00D94ED7">
            <w:pPr>
              <w:spacing w:after="120"/>
              <w:rPr>
                <w:sz w:val="22"/>
              </w:rPr>
            </w:pPr>
            <w:bookmarkStart w:id="126" w:name="_Hlk42616462"/>
            <w:r w:rsidRPr="00D94ED7">
              <w:rPr>
                <w:sz w:val="22"/>
              </w:rPr>
              <w:t>КГРЭ приняла к сведению документы и признала важность заблаговременной работы над резолюциями, что поможет высвободить время конференции для обсуждения вопросов развития ИКТ.</w:t>
            </w:r>
          </w:p>
        </w:tc>
      </w:tr>
    </w:tbl>
    <w:bookmarkEnd w:id="126"/>
    <w:p w14:paraId="07C9BBD2" w14:textId="072CAB00" w:rsidR="00125DA8" w:rsidRPr="00172B8A" w:rsidRDefault="002169C9" w:rsidP="00083D22">
      <w:pPr>
        <w:pStyle w:val="Heading1"/>
        <w:spacing w:before="360"/>
      </w:pPr>
      <w:r w:rsidRPr="002169C9">
        <w:t>13</w:t>
      </w:r>
      <w:r w:rsidRPr="002169C9">
        <w:tab/>
      </w:r>
      <w:r w:rsidR="00125DA8">
        <w:t>Вопросы</w:t>
      </w:r>
      <w:r w:rsidR="00125DA8" w:rsidRPr="00172B8A">
        <w:t xml:space="preserve">, </w:t>
      </w:r>
      <w:r w:rsidR="00125DA8">
        <w:t>связанные</w:t>
      </w:r>
      <w:r w:rsidR="00125DA8" w:rsidRPr="00172B8A">
        <w:t xml:space="preserve"> </w:t>
      </w:r>
      <w:r w:rsidR="00125DA8">
        <w:t>с</w:t>
      </w:r>
      <w:r w:rsidR="00125DA8" w:rsidRPr="00172B8A">
        <w:t xml:space="preserve"> </w:t>
      </w:r>
      <w:r w:rsidR="00125DA8">
        <w:t>членским</w:t>
      </w:r>
      <w:r w:rsidR="00125DA8" w:rsidRPr="00172B8A">
        <w:t xml:space="preserve"> </w:t>
      </w:r>
      <w:r w:rsidR="00125DA8">
        <w:t>составом</w:t>
      </w:r>
      <w:r w:rsidR="00125DA8" w:rsidRPr="00172B8A">
        <w:t xml:space="preserve">, </w:t>
      </w:r>
      <w:r w:rsidR="00125DA8">
        <w:t>партнерствами</w:t>
      </w:r>
      <w:r w:rsidR="00125DA8" w:rsidRPr="00172B8A">
        <w:t xml:space="preserve"> </w:t>
      </w:r>
      <w:r w:rsidR="00125DA8">
        <w:t>и частным сектором</w:t>
      </w:r>
      <w:r w:rsidR="00125DA8" w:rsidRPr="00172B8A">
        <w:t xml:space="preserve"> </w:t>
      </w:r>
    </w:p>
    <w:p w14:paraId="613726C0" w14:textId="77777777" w:rsidR="00125DA8" w:rsidRPr="003560F1" w:rsidRDefault="00125DA8" w:rsidP="00E526B6">
      <w:pPr>
        <w:spacing w:after="120"/>
        <w:rPr>
          <w:rFonts w:cstheme="minorHAnsi"/>
          <w:szCs w:val="24"/>
        </w:rPr>
      </w:pPr>
      <w:r w:rsidRPr="003560F1">
        <w:rPr>
          <w:rFonts w:cstheme="minorHAnsi"/>
          <w:szCs w:val="24"/>
        </w:rPr>
        <w:t xml:space="preserve">В </w:t>
      </w:r>
      <w:hyperlink r:id="rId55" w:history="1">
        <w:r w:rsidRPr="00792369">
          <w:rPr>
            <w:rStyle w:val="Hyperlink"/>
            <w:rFonts w:cstheme="minorHAnsi"/>
            <w:szCs w:val="24"/>
          </w:rPr>
          <w:t>Документе 7</w:t>
        </w:r>
      </w:hyperlink>
      <w:r w:rsidRPr="003560F1">
        <w:rPr>
          <w:rFonts w:cstheme="minorHAnsi"/>
          <w:szCs w:val="24"/>
        </w:rPr>
        <w:t xml:space="preserve"> </w:t>
      </w:r>
      <w:r>
        <w:rPr>
          <w:rFonts w:cstheme="minorHAnsi"/>
          <w:szCs w:val="24"/>
        </w:rPr>
        <w:t>содержится отчет</w:t>
      </w:r>
      <w:r w:rsidRPr="003560F1">
        <w:rPr>
          <w:rFonts w:cstheme="minorHAnsi"/>
          <w:szCs w:val="24"/>
        </w:rPr>
        <w:t xml:space="preserve"> о деятельности и результатах работы БРЭ в области партнерс</w:t>
      </w:r>
      <w:r>
        <w:rPr>
          <w:rFonts w:cstheme="minorHAnsi"/>
          <w:szCs w:val="24"/>
        </w:rPr>
        <w:t>тва</w:t>
      </w:r>
      <w:r w:rsidRPr="003560F1">
        <w:rPr>
          <w:rFonts w:cstheme="minorHAnsi"/>
          <w:szCs w:val="24"/>
        </w:rPr>
        <w:t xml:space="preserve"> и мобилизации ресурсов. В нем также предлагаются пути </w:t>
      </w:r>
      <w:r>
        <w:rPr>
          <w:rFonts w:cstheme="minorHAnsi"/>
          <w:szCs w:val="24"/>
        </w:rPr>
        <w:t>дальнейшей работы в этом направлении</w:t>
      </w:r>
      <w:r w:rsidRPr="003560F1">
        <w:rPr>
          <w:rFonts w:cstheme="minorHAnsi"/>
          <w:szCs w:val="24"/>
        </w:rPr>
        <w:t>.</w:t>
      </w:r>
    </w:p>
    <w:p w14:paraId="1BD68E2F" w14:textId="5C9717AB" w:rsidR="00125DA8" w:rsidRDefault="00125DA8" w:rsidP="00E526B6">
      <w:pPr>
        <w:tabs>
          <w:tab w:val="left" w:pos="567"/>
          <w:tab w:val="left" w:pos="851"/>
          <w:tab w:val="left" w:pos="1418"/>
        </w:tabs>
        <w:spacing w:after="120"/>
        <w:rPr>
          <w:rFonts w:cstheme="minorHAnsi"/>
          <w:szCs w:val="24"/>
        </w:rPr>
      </w:pPr>
      <w:r w:rsidRPr="003560F1">
        <w:rPr>
          <w:rFonts w:cstheme="minorHAnsi"/>
          <w:szCs w:val="24"/>
        </w:rPr>
        <w:t xml:space="preserve">В </w:t>
      </w:r>
      <w:r>
        <w:rPr>
          <w:rFonts w:cstheme="minorHAnsi"/>
          <w:szCs w:val="24"/>
        </w:rPr>
        <w:t>отчете</w:t>
      </w:r>
      <w:r w:rsidRPr="003560F1">
        <w:rPr>
          <w:rFonts w:cstheme="minorHAnsi"/>
          <w:szCs w:val="24"/>
        </w:rPr>
        <w:t xml:space="preserve"> </w:t>
      </w:r>
      <w:r>
        <w:rPr>
          <w:rFonts w:cstheme="minorHAnsi"/>
          <w:szCs w:val="24"/>
        </w:rPr>
        <w:t>упоминается</w:t>
      </w:r>
      <w:r w:rsidRPr="003560F1">
        <w:rPr>
          <w:rFonts w:cstheme="minorHAnsi"/>
          <w:szCs w:val="24"/>
        </w:rPr>
        <w:t xml:space="preserve"> стратегическ</w:t>
      </w:r>
      <w:r>
        <w:rPr>
          <w:rFonts w:cstheme="minorHAnsi"/>
          <w:szCs w:val="24"/>
        </w:rPr>
        <w:t xml:space="preserve">ая задача по налаживаю </w:t>
      </w:r>
      <w:r w:rsidRPr="003560F1">
        <w:rPr>
          <w:rFonts w:cstheme="minorHAnsi"/>
          <w:szCs w:val="24"/>
        </w:rPr>
        <w:t>партнерс</w:t>
      </w:r>
      <w:r>
        <w:rPr>
          <w:rFonts w:cstheme="minorHAnsi"/>
          <w:szCs w:val="24"/>
        </w:rPr>
        <w:t xml:space="preserve">ких отношений </w:t>
      </w:r>
      <w:r w:rsidRPr="003560F1">
        <w:rPr>
          <w:rFonts w:cstheme="minorHAnsi"/>
          <w:szCs w:val="24"/>
        </w:rPr>
        <w:t>и мобилизации ресурсов, сформулированн</w:t>
      </w:r>
      <w:r>
        <w:rPr>
          <w:rFonts w:cstheme="minorHAnsi"/>
          <w:szCs w:val="24"/>
        </w:rPr>
        <w:t>ая</w:t>
      </w:r>
      <w:r w:rsidRPr="003560F1">
        <w:rPr>
          <w:rFonts w:cstheme="minorHAnsi"/>
          <w:szCs w:val="24"/>
        </w:rPr>
        <w:t xml:space="preserve"> в Плане действий</w:t>
      </w:r>
      <w:r>
        <w:rPr>
          <w:rFonts w:cstheme="minorHAnsi"/>
          <w:szCs w:val="24"/>
        </w:rPr>
        <w:t xml:space="preserve"> и </w:t>
      </w:r>
      <w:r w:rsidR="00F42B12">
        <w:rPr>
          <w:rFonts w:cstheme="minorHAnsi"/>
          <w:szCs w:val="24"/>
        </w:rPr>
        <w:t>р</w:t>
      </w:r>
      <w:r>
        <w:rPr>
          <w:rFonts w:cstheme="minorHAnsi"/>
          <w:szCs w:val="24"/>
        </w:rPr>
        <w:t>езолюциях</w:t>
      </w:r>
      <w:r w:rsidRPr="003560F1">
        <w:rPr>
          <w:rFonts w:cstheme="minorHAnsi"/>
          <w:szCs w:val="24"/>
        </w:rPr>
        <w:t xml:space="preserve"> </w:t>
      </w:r>
      <w:proofErr w:type="spellStart"/>
      <w:r>
        <w:rPr>
          <w:rFonts w:cstheme="minorHAnsi"/>
          <w:szCs w:val="24"/>
        </w:rPr>
        <w:t>ВКРЭ</w:t>
      </w:r>
      <w:proofErr w:type="spellEnd"/>
      <w:r w:rsidRPr="003560F1">
        <w:rPr>
          <w:rFonts w:cstheme="minorHAnsi"/>
          <w:szCs w:val="24"/>
        </w:rPr>
        <w:t xml:space="preserve">-17: </w:t>
      </w:r>
      <w:r w:rsidRPr="00172B8A">
        <w:rPr>
          <w:rFonts w:cstheme="minorHAnsi"/>
          <w:szCs w:val="24"/>
        </w:rPr>
        <w:t>содейств</w:t>
      </w:r>
      <w:r>
        <w:rPr>
          <w:rFonts w:cstheme="minorHAnsi"/>
          <w:szCs w:val="24"/>
        </w:rPr>
        <w:t>овать</w:t>
      </w:r>
      <w:r w:rsidRPr="00172B8A">
        <w:rPr>
          <w:rFonts w:cstheme="minorHAnsi"/>
          <w:szCs w:val="24"/>
        </w:rPr>
        <w:t>, разви</w:t>
      </w:r>
      <w:r>
        <w:rPr>
          <w:rFonts w:cstheme="minorHAnsi"/>
          <w:szCs w:val="24"/>
        </w:rPr>
        <w:t>вать</w:t>
      </w:r>
      <w:r w:rsidRPr="00172B8A">
        <w:rPr>
          <w:rFonts w:cstheme="minorHAnsi"/>
          <w:szCs w:val="24"/>
        </w:rPr>
        <w:t xml:space="preserve"> и укрепл</w:t>
      </w:r>
      <w:r>
        <w:rPr>
          <w:rFonts w:cstheme="minorHAnsi"/>
          <w:szCs w:val="24"/>
        </w:rPr>
        <w:t>ять</w:t>
      </w:r>
      <w:r w:rsidRPr="00172B8A">
        <w:rPr>
          <w:rFonts w:cstheme="minorHAnsi"/>
          <w:szCs w:val="24"/>
        </w:rPr>
        <w:t xml:space="preserve"> сотрудничеств</w:t>
      </w:r>
      <w:r>
        <w:rPr>
          <w:rFonts w:cstheme="minorHAnsi"/>
          <w:szCs w:val="24"/>
        </w:rPr>
        <w:t>о</w:t>
      </w:r>
      <w:r w:rsidRPr="00172B8A">
        <w:rPr>
          <w:rFonts w:cstheme="minorHAnsi"/>
          <w:szCs w:val="24"/>
        </w:rPr>
        <w:t xml:space="preserve"> с как можно более широким кругом партнеров как из развитых, так и из развивающихся стран в целях усиления мобилизации ресурсов для осуществления программ и региональных инициатив</w:t>
      </w:r>
      <w:r>
        <w:rPr>
          <w:rFonts w:cstheme="minorHAnsi"/>
          <w:szCs w:val="24"/>
        </w:rPr>
        <w:t>, а также использовать результаты работы БРЭ.</w:t>
      </w:r>
    </w:p>
    <w:p w14:paraId="11197346" w14:textId="77777777" w:rsidR="00125DA8" w:rsidRPr="003560F1" w:rsidRDefault="00125DA8" w:rsidP="00E526B6">
      <w:pPr>
        <w:tabs>
          <w:tab w:val="left" w:pos="567"/>
          <w:tab w:val="left" w:pos="851"/>
          <w:tab w:val="left" w:pos="1418"/>
        </w:tabs>
        <w:spacing w:after="120"/>
        <w:rPr>
          <w:rFonts w:cstheme="minorHAnsi"/>
          <w:szCs w:val="24"/>
        </w:rPr>
      </w:pPr>
      <w:r w:rsidRPr="003560F1">
        <w:rPr>
          <w:rFonts w:cstheme="minorHAnsi"/>
          <w:szCs w:val="24"/>
        </w:rPr>
        <w:t xml:space="preserve">В </w:t>
      </w:r>
      <w:r>
        <w:rPr>
          <w:rFonts w:cstheme="minorHAnsi"/>
          <w:szCs w:val="24"/>
        </w:rPr>
        <w:t>отчете</w:t>
      </w:r>
      <w:r w:rsidRPr="003560F1">
        <w:rPr>
          <w:rFonts w:cstheme="minorHAnsi"/>
          <w:szCs w:val="24"/>
        </w:rPr>
        <w:t xml:space="preserve"> представлены результаты</w:t>
      </w:r>
      <w:r>
        <w:rPr>
          <w:rFonts w:cstheme="minorHAnsi"/>
          <w:szCs w:val="24"/>
        </w:rPr>
        <w:t xml:space="preserve"> работы за</w:t>
      </w:r>
      <w:r w:rsidRPr="003560F1">
        <w:rPr>
          <w:rFonts w:cstheme="minorHAnsi"/>
          <w:szCs w:val="24"/>
        </w:rPr>
        <w:t xml:space="preserve"> 2019 год, в частности</w:t>
      </w:r>
      <w:r>
        <w:rPr>
          <w:rFonts w:cstheme="minorHAnsi"/>
          <w:szCs w:val="24"/>
        </w:rPr>
        <w:t>,</w:t>
      </w:r>
      <w:r w:rsidRPr="003560F1">
        <w:rPr>
          <w:rFonts w:cstheme="minorHAnsi"/>
          <w:szCs w:val="24"/>
        </w:rPr>
        <w:t xml:space="preserve"> мобилизованные финансовые ресурсы и партнеры, с которыми БРЭ заключил</w:t>
      </w:r>
      <w:r>
        <w:rPr>
          <w:rFonts w:cstheme="minorHAnsi"/>
          <w:szCs w:val="24"/>
        </w:rPr>
        <w:t>о</w:t>
      </w:r>
      <w:r w:rsidRPr="003560F1">
        <w:rPr>
          <w:rFonts w:cstheme="minorHAnsi"/>
          <w:szCs w:val="24"/>
        </w:rPr>
        <w:t xml:space="preserve"> официальные соглашения как финансового, так и нефинансового характера. В </w:t>
      </w:r>
      <w:r>
        <w:rPr>
          <w:rFonts w:cstheme="minorHAnsi"/>
          <w:szCs w:val="24"/>
        </w:rPr>
        <w:t>отчет</w:t>
      </w:r>
      <w:r w:rsidRPr="003560F1">
        <w:rPr>
          <w:rFonts w:cstheme="minorHAnsi"/>
          <w:szCs w:val="24"/>
        </w:rPr>
        <w:t xml:space="preserve"> также включен анализ состава партнеров БРЭ по финансированию и его работы с партнерами с уделением особого внимания учреждениям ООН.</w:t>
      </w:r>
    </w:p>
    <w:p w14:paraId="186801E0" w14:textId="65C2A3C5" w:rsidR="00125DA8" w:rsidRPr="003560F1" w:rsidRDefault="00125DA8" w:rsidP="00E526B6">
      <w:pPr>
        <w:spacing w:after="120"/>
        <w:rPr>
          <w:rFonts w:cstheme="minorHAnsi"/>
          <w:szCs w:val="24"/>
        </w:rPr>
      </w:pPr>
      <w:r w:rsidRPr="003560F1">
        <w:rPr>
          <w:rFonts w:cstheme="minorHAnsi"/>
          <w:szCs w:val="24"/>
        </w:rPr>
        <w:t>Что касается дальнейш</w:t>
      </w:r>
      <w:r>
        <w:rPr>
          <w:rFonts w:cstheme="minorHAnsi"/>
          <w:szCs w:val="24"/>
        </w:rPr>
        <w:t>ей работы</w:t>
      </w:r>
      <w:r w:rsidRPr="003560F1">
        <w:rPr>
          <w:rFonts w:cstheme="minorHAnsi"/>
          <w:szCs w:val="24"/>
        </w:rPr>
        <w:t xml:space="preserve">, то в </w:t>
      </w:r>
      <w:r>
        <w:rPr>
          <w:rFonts w:cstheme="minorHAnsi"/>
          <w:szCs w:val="24"/>
        </w:rPr>
        <w:t xml:space="preserve">отчете </w:t>
      </w:r>
      <w:r w:rsidRPr="003560F1">
        <w:rPr>
          <w:rFonts w:cstheme="minorHAnsi"/>
          <w:szCs w:val="24"/>
        </w:rPr>
        <w:t xml:space="preserve">говорится об усилиях по укреплению мобилизации ресурсов и налаживанию партнерских отношений, например о </w:t>
      </w:r>
      <w:r>
        <w:rPr>
          <w:rFonts w:cstheme="minorHAnsi"/>
          <w:szCs w:val="24"/>
        </w:rPr>
        <w:t>текущем процессе найма консалтинговой компании</w:t>
      </w:r>
      <w:r w:rsidRPr="003560F1">
        <w:rPr>
          <w:rFonts w:cstheme="minorHAnsi"/>
          <w:szCs w:val="24"/>
        </w:rPr>
        <w:t xml:space="preserve"> для разработки надежной, перспективной стратегии и плана мобилизации ресурсов, а также о </w:t>
      </w:r>
      <w:r>
        <w:rPr>
          <w:rFonts w:cstheme="minorHAnsi"/>
          <w:szCs w:val="24"/>
        </w:rPr>
        <w:t>найме</w:t>
      </w:r>
      <w:r w:rsidRPr="003560F1">
        <w:rPr>
          <w:rFonts w:cstheme="minorHAnsi"/>
          <w:szCs w:val="24"/>
        </w:rPr>
        <w:t xml:space="preserve"> на должность </w:t>
      </w:r>
      <w:r w:rsidRPr="00172B8A">
        <w:rPr>
          <w:rFonts w:cstheme="minorHAnsi"/>
          <w:szCs w:val="24"/>
        </w:rPr>
        <w:t>старш</w:t>
      </w:r>
      <w:r>
        <w:rPr>
          <w:rFonts w:cstheme="minorHAnsi"/>
          <w:szCs w:val="24"/>
        </w:rPr>
        <w:t>его</w:t>
      </w:r>
      <w:r w:rsidRPr="00172B8A">
        <w:rPr>
          <w:rFonts w:cstheme="minorHAnsi"/>
          <w:szCs w:val="24"/>
        </w:rPr>
        <w:t xml:space="preserve"> советник</w:t>
      </w:r>
      <w:r>
        <w:rPr>
          <w:rFonts w:cstheme="minorHAnsi"/>
          <w:szCs w:val="24"/>
        </w:rPr>
        <w:t>а</w:t>
      </w:r>
      <w:r w:rsidRPr="00172B8A">
        <w:rPr>
          <w:rFonts w:cstheme="minorHAnsi"/>
          <w:szCs w:val="24"/>
        </w:rPr>
        <w:t xml:space="preserve"> по вопросам мобилизации ресурсов и привлечения заинтересованных сторон</w:t>
      </w:r>
      <w:r w:rsidRPr="003560F1">
        <w:rPr>
          <w:rFonts w:cstheme="minorHAnsi"/>
          <w:szCs w:val="24"/>
        </w:rPr>
        <w:t xml:space="preserve">. В заключение в </w:t>
      </w:r>
      <w:r>
        <w:rPr>
          <w:rFonts w:cstheme="minorHAnsi"/>
          <w:szCs w:val="24"/>
        </w:rPr>
        <w:t>отчете</w:t>
      </w:r>
      <w:r w:rsidRPr="003560F1">
        <w:rPr>
          <w:rFonts w:cstheme="minorHAnsi"/>
          <w:szCs w:val="24"/>
        </w:rPr>
        <w:t xml:space="preserve"> </w:t>
      </w:r>
      <w:r>
        <w:rPr>
          <w:rFonts w:cstheme="minorHAnsi"/>
          <w:szCs w:val="24"/>
        </w:rPr>
        <w:t>упоминается</w:t>
      </w:r>
      <w:r w:rsidRPr="003560F1">
        <w:rPr>
          <w:rFonts w:cstheme="minorHAnsi"/>
          <w:szCs w:val="24"/>
        </w:rPr>
        <w:t xml:space="preserve">, что БРЭ будет продолжать развивать отношения с существующими партнерами, одновременно взаимодействуя с новыми партнерами в целях поддержки осуществления программ и региональных инициатив </w:t>
      </w:r>
      <w:r>
        <w:rPr>
          <w:rFonts w:cstheme="minorHAnsi"/>
          <w:szCs w:val="24"/>
        </w:rPr>
        <w:t>ВКРЭ</w:t>
      </w:r>
      <w:r w:rsidR="0037391C">
        <w:rPr>
          <w:rFonts w:cstheme="minorHAnsi"/>
          <w:szCs w:val="24"/>
        </w:rPr>
        <w:noBreakHyphen/>
      </w:r>
      <w:r w:rsidRPr="003560F1">
        <w:rPr>
          <w:rFonts w:cstheme="minorHAnsi"/>
          <w:szCs w:val="24"/>
        </w:rPr>
        <w:t>17 на глобальном, региональном и национальном уровнях.</w:t>
      </w:r>
    </w:p>
    <w:tbl>
      <w:tblPr>
        <w:tblStyle w:val="TableGrid"/>
        <w:tblW w:w="0" w:type="auto"/>
        <w:tblLook w:val="04A0" w:firstRow="1" w:lastRow="0" w:firstColumn="1" w:lastColumn="0" w:noHBand="0" w:noVBand="1"/>
      </w:tblPr>
      <w:tblGrid>
        <w:gridCol w:w="9628"/>
      </w:tblGrid>
      <w:tr w:rsidR="00125DA8" w:rsidRPr="00D94ED7" w14:paraId="0A297D7E" w14:textId="77777777" w:rsidTr="00E526B6">
        <w:tc>
          <w:tcPr>
            <w:tcW w:w="9629" w:type="dxa"/>
          </w:tcPr>
          <w:p w14:paraId="691C9FC0" w14:textId="77777777" w:rsidR="00125DA8" w:rsidRPr="00D94ED7" w:rsidRDefault="00125DA8" w:rsidP="00D94ED7">
            <w:pPr>
              <w:spacing w:after="120"/>
              <w:rPr>
                <w:sz w:val="22"/>
              </w:rPr>
            </w:pPr>
            <w:r w:rsidRPr="00D94ED7">
              <w:rPr>
                <w:sz w:val="22"/>
              </w:rPr>
              <w:t>КГРЭ с интересом приняла к сведению этот документ и дала ему высокую оценку, признав важность партнерства и мобилизации ресурсов для осуществления программ и региональных инициатив ВКРЭ-17. КГРЭ поддержала план Директора БРЭ по найму консалтинговой фирмы и старшего советника для этой цели, а также по обеспечению подготовки и созданию потенциала сотрудников БРЭ по вопросам мобилизации ресурсов.</w:t>
            </w:r>
          </w:p>
        </w:tc>
      </w:tr>
    </w:tbl>
    <w:p w14:paraId="74BFFE19" w14:textId="77777777" w:rsidR="00125DA8" w:rsidRPr="003560F1" w:rsidRDefault="00125DA8" w:rsidP="0037391C">
      <w:r>
        <w:t xml:space="preserve">В </w:t>
      </w:r>
      <w:hyperlink r:id="rId56" w:history="1">
        <w:r w:rsidRPr="00792369">
          <w:rPr>
            <w:rStyle w:val="Hyperlink"/>
            <w:rFonts w:cstheme="minorHAnsi"/>
            <w:szCs w:val="24"/>
          </w:rPr>
          <w:t>Документ</w:t>
        </w:r>
        <w:r>
          <w:rPr>
            <w:rStyle w:val="Hyperlink"/>
            <w:rFonts w:cstheme="minorHAnsi"/>
            <w:szCs w:val="24"/>
          </w:rPr>
          <w:t>е</w:t>
        </w:r>
        <w:r w:rsidRPr="00792369">
          <w:rPr>
            <w:rStyle w:val="Hyperlink"/>
            <w:rFonts w:cstheme="minorHAnsi"/>
            <w:szCs w:val="24"/>
          </w:rPr>
          <w:t xml:space="preserve"> 11</w:t>
        </w:r>
      </w:hyperlink>
      <w:r w:rsidRPr="003560F1">
        <w:t xml:space="preserve"> содержит</w:t>
      </w:r>
      <w:r>
        <w:t>ся</w:t>
      </w:r>
      <w:r w:rsidRPr="003560F1">
        <w:t xml:space="preserve"> обзор </w:t>
      </w:r>
      <w:r>
        <w:t>изменения состава</w:t>
      </w:r>
      <w:r w:rsidRPr="003560F1">
        <w:t xml:space="preserve"> Член</w:t>
      </w:r>
      <w:r>
        <w:t>ов</w:t>
      </w:r>
      <w:r w:rsidRPr="003560F1">
        <w:t xml:space="preserve"> МСЭ-D и связанных с </w:t>
      </w:r>
      <w:r>
        <w:t>этим</w:t>
      </w:r>
      <w:r w:rsidRPr="003560F1">
        <w:t xml:space="preserve"> целей, стратегий и действий по укреплению членс</w:t>
      </w:r>
      <w:r>
        <w:t>кого состава</w:t>
      </w:r>
      <w:r w:rsidRPr="003560F1">
        <w:t xml:space="preserve"> МСЭ-D в соответствии с итогами </w:t>
      </w:r>
      <w:r>
        <w:t>ВКРЭ</w:t>
      </w:r>
      <w:r w:rsidRPr="003560F1">
        <w:t xml:space="preserve">-17 и </w:t>
      </w:r>
      <w:r>
        <w:t>ПК</w:t>
      </w:r>
      <w:r w:rsidRPr="003560F1">
        <w:t xml:space="preserve">-18. Стратегические </w:t>
      </w:r>
      <w:r>
        <w:t>задачи</w:t>
      </w:r>
      <w:r w:rsidRPr="003560F1">
        <w:t>, обозначенные в документе, включают в себя информационно-</w:t>
      </w:r>
      <w:r w:rsidRPr="003560F1">
        <w:lastRenderedPageBreak/>
        <w:t xml:space="preserve">разъяснительную работу с целью привлечения новых </w:t>
      </w:r>
      <w:r>
        <w:t>структур</w:t>
      </w:r>
      <w:r w:rsidRPr="003560F1">
        <w:t xml:space="preserve"> в качестве Членов Секторов, Ассоциированных </w:t>
      </w:r>
      <w:r>
        <w:t>членов</w:t>
      </w:r>
      <w:r w:rsidRPr="003560F1">
        <w:t>, малых и средних предприятий и Академи</w:t>
      </w:r>
      <w:r>
        <w:t>ческих организаций,</w:t>
      </w:r>
      <w:r w:rsidRPr="003560F1">
        <w:t xml:space="preserve"> а также усилия по </w:t>
      </w:r>
      <w:r>
        <w:t>укреплению</w:t>
      </w:r>
      <w:r w:rsidRPr="003560F1">
        <w:t xml:space="preserve"> платформ и инструментов для привлечения</w:t>
      </w:r>
      <w:r>
        <w:t xml:space="preserve"> новых</w:t>
      </w:r>
      <w:r w:rsidRPr="003560F1">
        <w:t xml:space="preserve"> и удержания существующих Членов, Ассоциированных </w:t>
      </w:r>
      <w:r>
        <w:t>членов</w:t>
      </w:r>
      <w:r w:rsidRPr="003560F1">
        <w:t xml:space="preserve"> и Академи</w:t>
      </w:r>
      <w:r>
        <w:t>ческих организаций</w:t>
      </w:r>
      <w:r w:rsidRPr="003560F1">
        <w:t xml:space="preserve"> Сектор</w:t>
      </w:r>
      <w:r>
        <w:t>а</w:t>
      </w:r>
      <w:r w:rsidRPr="003560F1">
        <w:t xml:space="preserve"> МСЭ-D.</w:t>
      </w:r>
    </w:p>
    <w:p w14:paraId="0483EF2F" w14:textId="77777777" w:rsidR="00125DA8" w:rsidRPr="003560F1" w:rsidRDefault="00083D22" w:rsidP="0037391C">
      <w:hyperlink r:id="rId57" w:history="1">
        <w:r w:rsidR="00125DA8" w:rsidRPr="00792369">
          <w:rPr>
            <w:rStyle w:val="Hyperlink"/>
            <w:rFonts w:cstheme="minorHAnsi"/>
            <w:szCs w:val="24"/>
          </w:rPr>
          <w:t>Информационный документ 13</w:t>
        </w:r>
      </w:hyperlink>
      <w:r w:rsidR="00125DA8" w:rsidRPr="003560F1">
        <w:t xml:space="preserve"> был также представлен Председателем </w:t>
      </w:r>
      <w:r w:rsidR="00125DA8">
        <w:t>собрания с</w:t>
      </w:r>
      <w:r w:rsidR="00125DA8" w:rsidRPr="00792369">
        <w:t>тарших сотрудников по регуляторным вопросам из частного сектора</w:t>
      </w:r>
      <w:r w:rsidR="00125DA8" w:rsidRPr="003560F1">
        <w:t xml:space="preserve"> (</w:t>
      </w:r>
      <w:r w:rsidR="00125DA8">
        <w:t>CRO</w:t>
      </w:r>
      <w:r w:rsidR="00125DA8" w:rsidRPr="003560F1">
        <w:t xml:space="preserve">), который выступил с инициативой разработки проекта круга ведения Отраслевой консультативной группы по вопросам развития и </w:t>
      </w:r>
      <w:r w:rsidR="00125DA8">
        <w:t>с</w:t>
      </w:r>
      <w:r w:rsidR="00125DA8" w:rsidRPr="00792369">
        <w:t>тарших сотрудников по регуляторным вопросам из частного сектора</w:t>
      </w:r>
      <w:r w:rsidR="00125DA8" w:rsidRPr="003560F1">
        <w:t xml:space="preserve"> </w:t>
      </w:r>
      <w:r w:rsidR="00125DA8" w:rsidRPr="00792369">
        <w:t>(</w:t>
      </w:r>
      <w:r w:rsidR="00125DA8" w:rsidRPr="00C84588">
        <w:t>IAGDI</w:t>
      </w:r>
      <w:r w:rsidR="00125DA8" w:rsidRPr="00792369">
        <w:t>-</w:t>
      </w:r>
      <w:r w:rsidR="00125DA8" w:rsidRPr="00C84588">
        <w:t>CRO</w:t>
      </w:r>
      <w:r w:rsidR="00125DA8" w:rsidRPr="00792369">
        <w:t xml:space="preserve">). </w:t>
      </w:r>
      <w:r w:rsidR="00125DA8" w:rsidRPr="003560F1">
        <w:t xml:space="preserve">Этот круг ведения предназначен для </w:t>
      </w:r>
      <w:r w:rsidR="00125DA8">
        <w:t>предоставления руководящих указаний в работе</w:t>
      </w:r>
      <w:r w:rsidR="00125DA8" w:rsidRPr="003560F1">
        <w:t xml:space="preserve"> Членов МСЭ-D в частном секторе, </w:t>
      </w:r>
      <w:r w:rsidR="00125DA8">
        <w:t>отрасли</w:t>
      </w:r>
      <w:r w:rsidR="00125DA8" w:rsidRPr="003560F1">
        <w:t xml:space="preserve">, ассоциациях и академических </w:t>
      </w:r>
      <w:r w:rsidR="00125DA8">
        <w:t>организациях</w:t>
      </w:r>
      <w:r w:rsidR="00125DA8" w:rsidRPr="003560F1">
        <w:t xml:space="preserve">, и в нем содержится призыв к более активному участию членов в </w:t>
      </w:r>
      <w:r w:rsidR="00125DA8">
        <w:t>деятельности</w:t>
      </w:r>
      <w:r w:rsidR="00125DA8" w:rsidRPr="003560F1">
        <w:t xml:space="preserve"> </w:t>
      </w:r>
      <w:r w:rsidR="00125DA8" w:rsidRPr="00C84588">
        <w:t>IAGDI</w:t>
      </w:r>
      <w:r w:rsidR="00125DA8" w:rsidRPr="00792369">
        <w:t>-</w:t>
      </w:r>
      <w:r w:rsidR="00125DA8" w:rsidRPr="00C84588">
        <w:t>CRO</w:t>
      </w:r>
      <w:r w:rsidR="00125DA8" w:rsidRPr="003560F1">
        <w:t>.</w:t>
      </w:r>
    </w:p>
    <w:p w14:paraId="547B9957" w14:textId="5EB03DA1" w:rsidR="00125DA8" w:rsidRPr="003560F1" w:rsidRDefault="00125DA8" w:rsidP="0037391C">
      <w:pPr>
        <w:spacing w:after="120"/>
      </w:pPr>
      <w:r w:rsidRPr="003560F1">
        <w:t>Участники были впечатлены ростом числа Академи</w:t>
      </w:r>
      <w:r>
        <w:t>ческих организаций</w:t>
      </w:r>
      <w:r w:rsidRPr="003560F1">
        <w:t xml:space="preserve"> в МСЭ (с 25 в 2011</w:t>
      </w:r>
      <w:r>
        <w:t> </w:t>
      </w:r>
      <w:r w:rsidRPr="003560F1">
        <w:t>г</w:t>
      </w:r>
      <w:r w:rsidR="00FB1337" w:rsidRPr="00FB1337">
        <w:t>.</w:t>
      </w:r>
      <w:r w:rsidRPr="003560F1">
        <w:t xml:space="preserve"> до 163 в 2020 г</w:t>
      </w:r>
      <w:r w:rsidR="00FB1337" w:rsidRPr="00FB1337">
        <w:t>.</w:t>
      </w:r>
      <w:r w:rsidRPr="003560F1">
        <w:t>) и попросили объяснить изменение числа Членов Сектор</w:t>
      </w:r>
      <w:r>
        <w:t>а</w:t>
      </w:r>
      <w:r w:rsidRPr="003560F1">
        <w:t xml:space="preserve"> (с</w:t>
      </w:r>
      <w:r>
        <w:t> </w:t>
      </w:r>
      <w:r w:rsidRPr="003560F1">
        <w:t xml:space="preserve">316 </w:t>
      </w:r>
      <w:r w:rsidR="003A48AE">
        <w:t>в 2009 г</w:t>
      </w:r>
      <w:r w:rsidR="00FB1337" w:rsidRPr="00FB1337">
        <w:t>.</w:t>
      </w:r>
      <w:r w:rsidR="003A48AE">
        <w:t xml:space="preserve"> до 307 в 2020 </w:t>
      </w:r>
      <w:r w:rsidRPr="003560F1">
        <w:t>г</w:t>
      </w:r>
      <w:r w:rsidR="00FB1337" w:rsidRPr="00FB1337">
        <w:t>.</w:t>
      </w:r>
      <w:r w:rsidRPr="003560F1">
        <w:t>).</w:t>
      </w:r>
    </w:p>
    <w:tbl>
      <w:tblPr>
        <w:tblStyle w:val="TableGrid"/>
        <w:tblW w:w="0" w:type="auto"/>
        <w:tblLook w:val="04A0" w:firstRow="1" w:lastRow="0" w:firstColumn="1" w:lastColumn="0" w:noHBand="0" w:noVBand="1"/>
      </w:tblPr>
      <w:tblGrid>
        <w:gridCol w:w="9628"/>
      </w:tblGrid>
      <w:tr w:rsidR="00125DA8" w:rsidRPr="00D94ED7" w14:paraId="7084D070" w14:textId="77777777" w:rsidTr="00E526B6">
        <w:tc>
          <w:tcPr>
            <w:tcW w:w="9629" w:type="dxa"/>
          </w:tcPr>
          <w:p w14:paraId="24B69272" w14:textId="77777777" w:rsidR="00125DA8" w:rsidRPr="0037391C" w:rsidRDefault="00125DA8" w:rsidP="00D94ED7">
            <w:pPr>
              <w:spacing w:after="120"/>
              <w:rPr>
                <w:sz w:val="22"/>
              </w:rPr>
            </w:pPr>
            <w:r w:rsidRPr="0037391C">
              <w:rPr>
                <w:sz w:val="22"/>
              </w:rPr>
              <w:t>КГРЭ с интересом приняла к сведению оба отчета и дала им высокую оценку. В частности, КГРЭ отметила стратегии, которые были приняты для расширения охвата и участия членов, такие как перекрестное предложение услуг между Секторами МСЭ, диверсификация с новыми отраслями, цифровой маркетинг для укрепления приобретения новых и удержания нынешних членов путем привлечения их к деятельности и мероприятиям МСЭ-D. Секретариат БРЭ и Директор БРЭ представили дополнительную информацию о факторах, влияющих на снижение числа Членов Сектора, таких как консолидация отрасли, экономическое положение, неспособность некоторых членов уплачивать ежегодные членские взносы, задержки с утверждением Государствами-Членами, а также решения некоторых Членов Сектора о переходе в категории Академических организаций и Ассоциированных членов.</w:t>
            </w:r>
          </w:p>
          <w:p w14:paraId="0B1CF237" w14:textId="77777777" w:rsidR="00125DA8" w:rsidRPr="00D94ED7" w:rsidRDefault="00125DA8" w:rsidP="00D94ED7">
            <w:pPr>
              <w:spacing w:after="120"/>
              <w:rPr>
                <w:sz w:val="22"/>
              </w:rPr>
            </w:pPr>
            <w:r w:rsidRPr="0037391C">
              <w:rPr>
                <w:sz w:val="22"/>
              </w:rPr>
              <w:t>Большему числу развитых стран было предложено принять участие в собраниях исследовательских комиссий Сектора, поскольку в начале 2020 года в них участвовало слишком мало представителей этих стран.</w:t>
            </w:r>
          </w:p>
        </w:tc>
      </w:tr>
    </w:tbl>
    <w:p w14:paraId="476EF594" w14:textId="77777777" w:rsidR="00535CBF" w:rsidRPr="000A3A6C" w:rsidRDefault="00535CBF" w:rsidP="00083D22">
      <w:pPr>
        <w:pStyle w:val="Heading1"/>
        <w:spacing w:before="360"/>
        <w:rPr>
          <w:rFonts w:cstheme="minorHAnsi"/>
        </w:rPr>
      </w:pPr>
      <w:r w:rsidRPr="000A3A6C">
        <w:rPr>
          <w:rFonts w:cstheme="minorHAnsi"/>
        </w:rPr>
        <w:t>14</w:t>
      </w:r>
      <w:r w:rsidRPr="000A3A6C">
        <w:rPr>
          <w:rFonts w:cstheme="minorHAnsi"/>
        </w:rPr>
        <w:tab/>
      </w:r>
      <w:r w:rsidRPr="000A3A6C">
        <w:rPr>
          <w:shd w:val="clear" w:color="auto" w:fill="FFFFFF"/>
        </w:rPr>
        <w:t xml:space="preserve">Отчет </w:t>
      </w:r>
      <w:r w:rsidRPr="00083D22">
        <w:t>Председателя</w:t>
      </w:r>
      <w:r w:rsidRPr="000A3A6C">
        <w:rPr>
          <w:shd w:val="clear" w:color="auto" w:fill="FFFFFF"/>
        </w:rPr>
        <w:t xml:space="preserve"> Группы по инициативам в области создания потенциала (ГИСП)</w:t>
      </w:r>
    </w:p>
    <w:p w14:paraId="06CFF92D" w14:textId="77777777" w:rsidR="00535CBF" w:rsidRPr="000A3A6C" w:rsidRDefault="00083D22" w:rsidP="00E526B6">
      <w:pPr>
        <w:spacing w:after="120"/>
        <w:rPr>
          <w:rFonts w:cstheme="minorHAnsi"/>
          <w:bCs/>
        </w:rPr>
      </w:pPr>
      <w:hyperlink r:id="rId58" w:history="1">
        <w:r w:rsidR="00535CBF" w:rsidRPr="000A3A6C">
          <w:rPr>
            <w:rStyle w:val="Hyperlink"/>
            <w:rFonts w:cstheme="minorHAnsi"/>
          </w:rPr>
          <w:t>Документ 27</w:t>
        </w:r>
      </w:hyperlink>
      <w:r w:rsidR="00535CBF" w:rsidRPr="000A3A6C">
        <w:rPr>
          <w:rFonts w:cstheme="minorHAnsi"/>
        </w:rPr>
        <w:t xml:space="preserve">: </w:t>
      </w:r>
      <w:r w:rsidR="00535CBF" w:rsidRPr="000A3A6C">
        <w:t>В настоящем документе описывается работа, проведенная Группой по инициативам в области создания потенциала (ГИСП) после предыдущего собрания КГРЭ. Группа была создана для того, чтобы представлять Директору Бюро развития электросвязи (БРЭ) рекомендации по вопросам, касающимся создания потенциала, согласно Резолюции 40, принятой на Всемирной конференции по развитию электросвязи 2010 года (ВКРЭ-10) и пересмотренной на ВКРЭ-17</w:t>
      </w:r>
      <w:r w:rsidR="00535CBF" w:rsidRPr="000A3A6C">
        <w:rPr>
          <w:rFonts w:cstheme="minorHAnsi"/>
          <w:bCs/>
        </w:rPr>
        <w:t xml:space="preserve">. </w:t>
      </w:r>
    </w:p>
    <w:tbl>
      <w:tblPr>
        <w:tblStyle w:val="TableGrid"/>
        <w:tblW w:w="0" w:type="auto"/>
        <w:tblLook w:val="04A0" w:firstRow="1" w:lastRow="0" w:firstColumn="1" w:lastColumn="0" w:noHBand="0" w:noVBand="1"/>
      </w:tblPr>
      <w:tblGrid>
        <w:gridCol w:w="9628"/>
      </w:tblGrid>
      <w:tr w:rsidR="00535CBF" w:rsidRPr="00535CBF" w14:paraId="7D39544E" w14:textId="77777777" w:rsidTr="00E526B6">
        <w:tc>
          <w:tcPr>
            <w:tcW w:w="9629" w:type="dxa"/>
          </w:tcPr>
          <w:p w14:paraId="7396DA15" w14:textId="669C422B" w:rsidR="00535CBF" w:rsidRPr="00535CBF" w:rsidRDefault="00535CBF" w:rsidP="00535CBF">
            <w:pPr>
              <w:spacing w:after="120"/>
              <w:rPr>
                <w:color w:val="000000" w:themeColor="text1"/>
                <w:sz w:val="22"/>
              </w:rPr>
            </w:pPr>
            <w:r w:rsidRPr="00535CBF">
              <w:rPr>
                <w:sz w:val="22"/>
              </w:rPr>
              <w:t xml:space="preserve">КГРЭ приняла отчет к сведению, дав ему высокую оценку, и поздравила ГИСП с прекрасно проделанной работой. КГРЭ отметила значение создания потенциала в работе БРЭ, поскольку это является одним из приоритетов для четырех из пяти регионов, что отражено в их региональных инициативах. </w:t>
            </w:r>
          </w:p>
        </w:tc>
      </w:tr>
    </w:tbl>
    <w:p w14:paraId="1B643E22" w14:textId="77777777" w:rsidR="00535CBF" w:rsidRPr="000A3A6C" w:rsidRDefault="00535CBF" w:rsidP="00083D22">
      <w:pPr>
        <w:pStyle w:val="Heading1"/>
        <w:spacing w:before="360"/>
      </w:pPr>
      <w:r w:rsidRPr="000A3A6C">
        <w:t>15</w:t>
      </w:r>
      <w:r w:rsidRPr="000A3A6C">
        <w:tab/>
        <w:t xml:space="preserve">Молодежная стратегия МСЭ-D </w:t>
      </w:r>
    </w:p>
    <w:p w14:paraId="6FB05353" w14:textId="77777777" w:rsidR="00535CBF" w:rsidRPr="000A3A6C" w:rsidRDefault="00083D22" w:rsidP="00535CBF">
      <w:hyperlink r:id="rId59" w:history="1">
        <w:r w:rsidR="00535CBF" w:rsidRPr="000A3A6C">
          <w:rPr>
            <w:rStyle w:val="Hyperlink"/>
            <w:rFonts w:asciiTheme="minorHAnsi" w:hAnsiTheme="minorHAnsi" w:cstheme="minorHAnsi"/>
          </w:rPr>
          <w:t>Документ 16</w:t>
        </w:r>
      </w:hyperlink>
      <w:r w:rsidR="00535CBF" w:rsidRPr="00535CBF">
        <w:t>: По информации, имеющейся у КГРЭ, в</w:t>
      </w:r>
      <w:r w:rsidR="00535CBF" w:rsidRPr="000A3A6C">
        <w:rPr>
          <w:lang w:val="en-US"/>
        </w:rPr>
        <w:t> </w:t>
      </w:r>
      <w:r w:rsidR="00535CBF" w:rsidRPr="000A3A6C">
        <w:t>настоящее время в мире насчитывается около 1,8 млрд. молодых людей, из которых почти 90 процентов проживает в развивающихся странах. Во</w:t>
      </w:r>
      <w:r w:rsidR="00535CBF">
        <w:t> </w:t>
      </w:r>
      <w:r w:rsidR="00535CBF" w:rsidRPr="000A3A6C">
        <w:t xml:space="preserve">многих развитых и развивающихся странах молодежь (в возрасте от 15 до 24 лет), особенно девушки и молодые женщины, в непропорционально большой степени подвержена нищете и безработице. ИКТ представляют собой инструменты, с помощью которых как молодые женщины, так и молодые мужчины могут внести значительный вклад в свое социально-экономическое развитие, участвовать в нем и воспользоваться его преимуществами. Молодые люди, которые в наше время </w:t>
      </w:r>
      <w:r w:rsidR="00535CBF" w:rsidRPr="000A3A6C">
        <w:lastRenderedPageBreak/>
        <w:t>соединены между собой, как никогда ранее, хотят вносить вклад в развитие сообществ, в которых они живут, предлагая новаторские решения, выступая катализаторами социального прогресса и стимулируя перемены.</w:t>
      </w:r>
    </w:p>
    <w:p w14:paraId="5A79811A" w14:textId="77777777" w:rsidR="00535CBF" w:rsidRPr="007E7C4E" w:rsidRDefault="00535CBF" w:rsidP="00535CBF">
      <w:r w:rsidRPr="00AB113E">
        <w:t>БРЭ представило отчет о своей стратегии, благодаря которой Бюро намерено расширить права и возможности молодежи с помощью навыков в области цифровых технологий, служащих катализатором достижения всех 17 ЦУР. Стратегические задачи будут в основном посвящены ликвидации цифрового разрыва между молодыми людьми во всем мире и обеспечению участию в работе МСЭ в качестве основных заинтересованных сторон для выполнения Повестки дня на период до 2030 года. БРЭ собирается реализовывать комплексную стратегию в преддверии ВКРЭ</w:t>
      </w:r>
      <w:r w:rsidRPr="00AB113E">
        <w:noBreakHyphen/>
        <w:t>21 и после этой Конференции – стратегию, тесно увязанную с концепцией и задачами Молодежной стратегии ООН на период до 2030 года и связанную с Резолюцией 200 Полномочной конференции МСЭ. Целями</w:t>
      </w:r>
      <w:r w:rsidRPr="007E7C4E">
        <w:t xml:space="preserve"> </w:t>
      </w:r>
      <w:r w:rsidRPr="00AB113E">
        <w:t>стратегии</w:t>
      </w:r>
      <w:r w:rsidRPr="007E7C4E">
        <w:t xml:space="preserve"> </w:t>
      </w:r>
      <w:r w:rsidRPr="00AB113E">
        <w:t>являются</w:t>
      </w:r>
      <w:r w:rsidRPr="007E7C4E">
        <w:t xml:space="preserve"> </w:t>
      </w:r>
      <w:r>
        <w:t>включение</w:t>
      </w:r>
      <w:r w:rsidRPr="007E7C4E">
        <w:t xml:space="preserve"> </w:t>
      </w:r>
      <w:r>
        <w:t>вовлеченности</w:t>
      </w:r>
      <w:r w:rsidRPr="007E7C4E">
        <w:t xml:space="preserve"> </w:t>
      </w:r>
      <w:r>
        <w:t>молодежи</w:t>
      </w:r>
      <w:r w:rsidRPr="007E7C4E">
        <w:t xml:space="preserve"> </w:t>
      </w:r>
      <w:r>
        <w:t>в</w:t>
      </w:r>
      <w:r w:rsidRPr="007E7C4E">
        <w:t xml:space="preserve"> </w:t>
      </w:r>
      <w:r>
        <w:t>основное</w:t>
      </w:r>
      <w:r w:rsidRPr="007E7C4E">
        <w:t xml:space="preserve"> </w:t>
      </w:r>
      <w:r>
        <w:t>русло</w:t>
      </w:r>
      <w:r w:rsidRPr="007E7C4E">
        <w:t xml:space="preserve"> </w:t>
      </w:r>
      <w:r>
        <w:t>деятельности</w:t>
      </w:r>
      <w:r w:rsidRPr="007E7C4E">
        <w:t xml:space="preserve">, </w:t>
      </w:r>
      <w:r>
        <w:t>стимулирование</w:t>
      </w:r>
      <w:r w:rsidRPr="007E7C4E">
        <w:t xml:space="preserve"> </w:t>
      </w:r>
      <w:r>
        <w:t>участия</w:t>
      </w:r>
      <w:r w:rsidRPr="007E7C4E">
        <w:t xml:space="preserve"> </w:t>
      </w:r>
      <w:r>
        <w:t>молодежи</w:t>
      </w:r>
      <w:r w:rsidRPr="007E7C4E">
        <w:t xml:space="preserve">, </w:t>
      </w:r>
      <w:r>
        <w:t>популяризация</w:t>
      </w:r>
      <w:r w:rsidRPr="007E7C4E">
        <w:t xml:space="preserve"> </w:t>
      </w:r>
      <w:r>
        <w:t>связанной</w:t>
      </w:r>
      <w:r w:rsidRPr="007E7C4E">
        <w:t xml:space="preserve"> </w:t>
      </w:r>
      <w:r>
        <w:t>с</w:t>
      </w:r>
      <w:r w:rsidRPr="007E7C4E">
        <w:t xml:space="preserve"> </w:t>
      </w:r>
      <w:r>
        <w:t>молодежью</w:t>
      </w:r>
      <w:r w:rsidRPr="007E7C4E">
        <w:t xml:space="preserve"> </w:t>
      </w:r>
      <w:r>
        <w:t>политики</w:t>
      </w:r>
      <w:r w:rsidRPr="007E7C4E">
        <w:t xml:space="preserve"> </w:t>
      </w:r>
      <w:r>
        <w:t>в</w:t>
      </w:r>
      <w:r w:rsidRPr="007E7C4E">
        <w:t xml:space="preserve"> </w:t>
      </w:r>
      <w:r>
        <w:t>области</w:t>
      </w:r>
      <w:r w:rsidRPr="007E7C4E">
        <w:t xml:space="preserve"> </w:t>
      </w:r>
      <w:r>
        <w:t>ИКТ</w:t>
      </w:r>
      <w:r w:rsidRPr="007E7C4E">
        <w:t xml:space="preserve">, </w:t>
      </w:r>
      <w:r>
        <w:t>постоянное поддержание диалога и включение молодежной тематики в осуществление более широкого Стратегического плана МСЭ</w:t>
      </w:r>
      <w:r w:rsidRPr="007E7C4E">
        <w:t>.</w:t>
      </w:r>
    </w:p>
    <w:p w14:paraId="025A964B" w14:textId="77777777" w:rsidR="00535CBF" w:rsidRPr="006F3D5C" w:rsidRDefault="00535CBF" w:rsidP="00535CBF">
      <w:r w:rsidRPr="006F3D5C">
        <w:rPr>
          <w:rFonts w:cs="Calibri"/>
        </w:rPr>
        <w:t xml:space="preserve">Для этого предлагаемые молодежной стратегией </w:t>
      </w:r>
      <w:r>
        <w:rPr>
          <w:rFonts w:cs="Calibri"/>
        </w:rPr>
        <w:t>виды деятельности</w:t>
      </w:r>
      <w:r w:rsidRPr="006F3D5C">
        <w:rPr>
          <w:rFonts w:cs="Calibri"/>
        </w:rPr>
        <w:t xml:space="preserve"> и усилия разбиты на группы по трем направлениям деятельности</w:t>
      </w:r>
      <w:r w:rsidRPr="006F3D5C">
        <w:t>:</w:t>
      </w:r>
    </w:p>
    <w:p w14:paraId="68447889" w14:textId="77777777" w:rsidR="00535CBF" w:rsidRPr="004B7193" w:rsidRDefault="00535CBF" w:rsidP="00535CBF">
      <w:pPr>
        <w:rPr>
          <w:rFonts w:cs="Calibri"/>
        </w:rPr>
      </w:pPr>
      <w:r w:rsidRPr="004B7193">
        <w:rPr>
          <w:rFonts w:cs="Calibri"/>
        </w:rPr>
        <w:t>РАСШИРЕНИЕ ПРАВ И ВОЗМОЖНОСТЕЙ МОЛОДЕЖИ</w:t>
      </w:r>
      <w:r w:rsidRPr="004B7193">
        <w:rPr>
          <w:rFonts w:cs="Calibri"/>
          <w:b/>
          <w:bCs/>
        </w:rPr>
        <w:t>:</w:t>
      </w:r>
      <w:r w:rsidRPr="004B7193">
        <w:rPr>
          <w:rFonts w:cs="Calibri"/>
        </w:rPr>
        <w:t xml:space="preserve"> поддержка расширения прав и возможностей молодежи путем создания сообщества молодых лидеров</w:t>
      </w:r>
      <w:r>
        <w:rPr>
          <w:rFonts w:cs="Calibri"/>
        </w:rPr>
        <w:t>;</w:t>
      </w:r>
    </w:p>
    <w:p w14:paraId="25D10FF1" w14:textId="77777777" w:rsidR="00535CBF" w:rsidRPr="004B7193" w:rsidRDefault="00535CBF" w:rsidP="00535CBF">
      <w:pPr>
        <w:rPr>
          <w:rFonts w:cs="Calibri"/>
        </w:rPr>
      </w:pPr>
      <w:r w:rsidRPr="00FA1C6A">
        <w:rPr>
          <w:rFonts w:cs="Calibri"/>
        </w:rPr>
        <w:t>ВЗАИМОДЕЙСТВИЕ С МОЛОДЕЖЬЮ:</w:t>
      </w:r>
      <w:r w:rsidRPr="004B7193">
        <w:rPr>
          <w:rFonts w:cs="Calibri"/>
        </w:rPr>
        <w:t xml:space="preserve"> объединение усилий молодых людей для взаимодействия с МСЭ и его членами</w:t>
      </w:r>
      <w:r>
        <w:rPr>
          <w:rFonts w:cs="Calibri"/>
        </w:rPr>
        <w:t>;</w:t>
      </w:r>
    </w:p>
    <w:p w14:paraId="605D57CE" w14:textId="77777777" w:rsidR="00535CBF" w:rsidRDefault="00535CBF" w:rsidP="00535CBF">
      <w:pPr>
        <w:spacing w:after="120"/>
        <w:rPr>
          <w:rFonts w:cs="Calibri"/>
        </w:rPr>
      </w:pPr>
      <w:r w:rsidRPr="00FA1C6A">
        <w:rPr>
          <w:rFonts w:cs="Calibri"/>
        </w:rPr>
        <w:t>УЧАСТИЕ</w:t>
      </w:r>
      <w:r w:rsidRPr="00FB1337">
        <w:rPr>
          <w:rFonts w:cs="Calibri"/>
        </w:rPr>
        <w:t>:</w:t>
      </w:r>
      <w:r w:rsidRPr="004B7193">
        <w:rPr>
          <w:rFonts w:cs="Calibri"/>
        </w:rPr>
        <w:t xml:space="preserve"> стимулирование молодежи к диалогу и участию в деятельности МСЭ и процессах принятия решений.</w:t>
      </w:r>
    </w:p>
    <w:tbl>
      <w:tblPr>
        <w:tblStyle w:val="TableGrid"/>
        <w:tblW w:w="0" w:type="auto"/>
        <w:tblLook w:val="04A0" w:firstRow="1" w:lastRow="0" w:firstColumn="1" w:lastColumn="0" w:noHBand="0" w:noVBand="1"/>
      </w:tblPr>
      <w:tblGrid>
        <w:gridCol w:w="9628"/>
      </w:tblGrid>
      <w:tr w:rsidR="00535CBF" w:rsidRPr="00B17EBB" w14:paraId="771E5481" w14:textId="77777777" w:rsidTr="00E526B6">
        <w:tc>
          <w:tcPr>
            <w:tcW w:w="9629" w:type="dxa"/>
          </w:tcPr>
          <w:p w14:paraId="77FE7012" w14:textId="77777777" w:rsidR="00535CBF" w:rsidRPr="00DC0060" w:rsidRDefault="00535CBF" w:rsidP="00535CBF">
            <w:pPr>
              <w:spacing w:after="120"/>
              <w:rPr>
                <w:rFonts w:cstheme="minorHAnsi"/>
                <w:sz w:val="22"/>
                <w:szCs w:val="22"/>
              </w:rPr>
            </w:pPr>
            <w:r w:rsidRPr="00535CBF">
              <w:rPr>
                <w:sz w:val="22"/>
              </w:rPr>
              <w:t>КГРЭ приняла к сведению документ, получивший значительную поддержку ее членов, дав ему высокую оценку. Участники предложили в рамках стратегии учитывать работу с другими Секторами МСЭ, чтобы превратить ее в инициативу всего МСЭ и включить упоминания о молодежной стратегии в различные резолюции БРЭ. Участники также отметили, что в молодежную стратегию следует включить ведущуюся в МСЭ работу, связанную с девушками и молодыми женщинами, а также молодыми представителями коренных народов, вести эту деятельность на национальном и региональном уровнях и осуществлять при реализации стратегии координацию с системой ООН. Отмечалось значение приемлемых в ценовом отношении устройств, доступа и возможности установления соединений для молодых людей, а также необходимых цифровых навыков для конструктивного применения технологий. КГРЭ рекомендовала БРЭ тесно сотрудничать с региональными отделениями для обеспечения координации и надлежащей реализации.</w:t>
            </w:r>
          </w:p>
        </w:tc>
      </w:tr>
    </w:tbl>
    <w:p w14:paraId="619CBD57" w14:textId="77777777" w:rsidR="00535CBF" w:rsidRPr="008938C8" w:rsidRDefault="00535CBF" w:rsidP="00083D22">
      <w:pPr>
        <w:pStyle w:val="Heading1"/>
        <w:spacing w:before="360"/>
      </w:pPr>
      <w:r w:rsidRPr="008938C8">
        <w:t>16</w:t>
      </w:r>
      <w:r w:rsidRPr="008938C8">
        <w:tab/>
      </w:r>
      <w:r w:rsidRPr="008938C8">
        <w:rPr>
          <w:shd w:val="clear" w:color="auto" w:fill="FFFFFF"/>
        </w:rPr>
        <w:t>Вклад в работу Группы экспертов по Регламенту международной электросвязи (ГЭ</w:t>
      </w:r>
      <w:r>
        <w:rPr>
          <w:shd w:val="clear" w:color="auto" w:fill="FFFFFF"/>
        </w:rPr>
        <w:noBreakHyphen/>
      </w:r>
      <w:r w:rsidRPr="008938C8">
        <w:rPr>
          <w:shd w:val="clear" w:color="auto" w:fill="FFFFFF"/>
        </w:rPr>
        <w:t>РМЭ)</w:t>
      </w:r>
    </w:p>
    <w:p w14:paraId="5518A2C6" w14:textId="77777777" w:rsidR="00535CBF" w:rsidRPr="00492229" w:rsidRDefault="00535CBF" w:rsidP="004002EC">
      <w:r w:rsidRPr="00492229">
        <w:t xml:space="preserve">В </w:t>
      </w:r>
      <w:hyperlink r:id="rId60" w:history="1">
        <w:r w:rsidRPr="00492229">
          <w:rPr>
            <w:rStyle w:val="Hyperlink"/>
            <w:rFonts w:asciiTheme="minorHAnsi" w:hAnsiTheme="minorHAnsi" w:cstheme="minorHAnsi"/>
          </w:rPr>
          <w:t>Документе 9</w:t>
        </w:r>
      </w:hyperlink>
      <w:r w:rsidRPr="00492229">
        <w:t xml:space="preserve"> описывается ход работы ГЭ-РМЭ и основные результаты двух собраний, прошедших 16–17 сентября 2019 года и 12–13 февраля 2020 года. Важно отметить </w:t>
      </w:r>
      <w:r w:rsidRPr="00492229">
        <w:rPr>
          <w:u w:val="single"/>
        </w:rPr>
        <w:t>Записку председателя ГЭ-РМЭ, адресованную Директорам</w:t>
      </w:r>
      <w:r w:rsidRPr="00450C14">
        <w:rPr>
          <w:u w:val="single"/>
        </w:rPr>
        <w:t xml:space="preserve"> </w:t>
      </w:r>
      <w:r w:rsidRPr="00492229">
        <w:rPr>
          <w:u w:val="single"/>
        </w:rPr>
        <w:t>Бюро</w:t>
      </w:r>
      <w:r w:rsidRPr="00450C14">
        <w:rPr>
          <w:u w:val="single"/>
        </w:rPr>
        <w:t xml:space="preserve"> </w:t>
      </w:r>
      <w:r w:rsidRPr="00492229">
        <w:rPr>
          <w:u w:val="single"/>
        </w:rPr>
        <w:t>с</w:t>
      </w:r>
      <w:r w:rsidRPr="00450C14">
        <w:rPr>
          <w:u w:val="single"/>
        </w:rPr>
        <w:t xml:space="preserve"> </w:t>
      </w:r>
      <w:r w:rsidRPr="00492229">
        <w:rPr>
          <w:u w:val="single"/>
        </w:rPr>
        <w:t>целью</w:t>
      </w:r>
      <w:r w:rsidRPr="00450C14">
        <w:rPr>
          <w:u w:val="single"/>
        </w:rPr>
        <w:t xml:space="preserve"> </w:t>
      </w:r>
      <w:r w:rsidRPr="00492229">
        <w:rPr>
          <w:u w:val="single"/>
        </w:rPr>
        <w:t>получения</w:t>
      </w:r>
      <w:r w:rsidRPr="00450C14">
        <w:rPr>
          <w:u w:val="single"/>
        </w:rPr>
        <w:t xml:space="preserve"> </w:t>
      </w:r>
      <w:r w:rsidRPr="00492229">
        <w:rPr>
          <w:u w:val="single"/>
        </w:rPr>
        <w:t>рекомендаций</w:t>
      </w:r>
      <w:r w:rsidRPr="00450C14">
        <w:rPr>
          <w:u w:val="single"/>
        </w:rPr>
        <w:t xml:space="preserve"> </w:t>
      </w:r>
      <w:r w:rsidRPr="00492229">
        <w:rPr>
          <w:u w:val="single"/>
        </w:rPr>
        <w:t>от</w:t>
      </w:r>
      <w:r w:rsidRPr="00450C14">
        <w:rPr>
          <w:u w:val="single"/>
        </w:rPr>
        <w:t xml:space="preserve"> </w:t>
      </w:r>
      <w:r w:rsidRPr="00492229">
        <w:rPr>
          <w:u w:val="single"/>
        </w:rPr>
        <w:t>соответствующих</w:t>
      </w:r>
      <w:r w:rsidRPr="00450C14">
        <w:rPr>
          <w:u w:val="single"/>
        </w:rPr>
        <w:t xml:space="preserve"> </w:t>
      </w:r>
      <w:r w:rsidRPr="00492229">
        <w:rPr>
          <w:u w:val="single"/>
        </w:rPr>
        <w:t>консультативных</w:t>
      </w:r>
      <w:r w:rsidRPr="00450C14">
        <w:rPr>
          <w:u w:val="single"/>
        </w:rPr>
        <w:t xml:space="preserve"> </w:t>
      </w:r>
      <w:r w:rsidRPr="00492229">
        <w:rPr>
          <w:u w:val="single"/>
        </w:rPr>
        <w:t>групп</w:t>
      </w:r>
      <w:r w:rsidRPr="00450C14">
        <w:rPr>
          <w:u w:val="single"/>
        </w:rPr>
        <w:t xml:space="preserve"> </w:t>
      </w:r>
      <w:r w:rsidRPr="00492229">
        <w:rPr>
          <w:u w:val="single"/>
        </w:rPr>
        <w:t>Секторов</w:t>
      </w:r>
      <w:r w:rsidRPr="00450C14">
        <w:rPr>
          <w:u w:val="single"/>
        </w:rPr>
        <w:t xml:space="preserve"> </w:t>
      </w:r>
      <w:r w:rsidRPr="00492229">
        <w:rPr>
          <w:u w:val="single"/>
        </w:rPr>
        <w:t>для</w:t>
      </w:r>
      <w:r w:rsidRPr="00450C14">
        <w:rPr>
          <w:u w:val="single"/>
        </w:rPr>
        <w:t xml:space="preserve"> </w:t>
      </w:r>
      <w:r w:rsidRPr="00492229">
        <w:rPr>
          <w:u w:val="single"/>
        </w:rPr>
        <w:t>внесения</w:t>
      </w:r>
      <w:r w:rsidRPr="00450C14">
        <w:rPr>
          <w:u w:val="single"/>
        </w:rPr>
        <w:t xml:space="preserve"> </w:t>
      </w:r>
      <w:r w:rsidRPr="00492229">
        <w:rPr>
          <w:u w:val="single"/>
        </w:rPr>
        <w:t>вклада</w:t>
      </w:r>
      <w:r w:rsidRPr="00450C14">
        <w:rPr>
          <w:u w:val="single"/>
        </w:rPr>
        <w:t xml:space="preserve"> </w:t>
      </w:r>
      <w:r w:rsidRPr="00492229">
        <w:rPr>
          <w:u w:val="single"/>
        </w:rPr>
        <w:t>в</w:t>
      </w:r>
      <w:r w:rsidRPr="00450C14">
        <w:rPr>
          <w:u w:val="single"/>
        </w:rPr>
        <w:t xml:space="preserve"> </w:t>
      </w:r>
      <w:r w:rsidRPr="00492229">
        <w:rPr>
          <w:u w:val="single"/>
        </w:rPr>
        <w:t>работу</w:t>
      </w:r>
      <w:r w:rsidRPr="00450C14">
        <w:rPr>
          <w:u w:val="single"/>
        </w:rPr>
        <w:t xml:space="preserve"> </w:t>
      </w:r>
      <w:r w:rsidRPr="00492229">
        <w:rPr>
          <w:u w:val="single"/>
        </w:rPr>
        <w:t>ГЭ</w:t>
      </w:r>
      <w:r w:rsidRPr="00450C14">
        <w:rPr>
          <w:u w:val="single"/>
        </w:rPr>
        <w:t>-</w:t>
      </w:r>
      <w:r w:rsidRPr="00492229">
        <w:rPr>
          <w:u w:val="single"/>
        </w:rPr>
        <w:t>РМЭ</w:t>
      </w:r>
      <w:r w:rsidRPr="00450C14">
        <w:t xml:space="preserve"> (</w:t>
      </w:r>
      <w:r w:rsidRPr="00492229">
        <w:t>в</w:t>
      </w:r>
      <w:r w:rsidRPr="00450C14">
        <w:t xml:space="preserve"> </w:t>
      </w:r>
      <w:r w:rsidRPr="00492229">
        <w:t>соответствии</w:t>
      </w:r>
      <w:r w:rsidRPr="00450C14">
        <w:t xml:space="preserve"> </w:t>
      </w:r>
      <w:r w:rsidRPr="00492229">
        <w:t>с</w:t>
      </w:r>
      <w:r w:rsidRPr="00450C14">
        <w:t xml:space="preserve"> </w:t>
      </w:r>
      <w:r w:rsidRPr="00492229">
        <w:t>Резолюцией </w:t>
      </w:r>
      <w:r w:rsidRPr="00450C14">
        <w:t>146 (</w:t>
      </w:r>
      <w:r w:rsidRPr="00492229">
        <w:t>Пересм</w:t>
      </w:r>
      <w:r w:rsidRPr="00450C14">
        <w:t xml:space="preserve">. </w:t>
      </w:r>
      <w:r w:rsidRPr="00492229">
        <w:t>Дубай</w:t>
      </w:r>
      <w:r w:rsidRPr="00450C14">
        <w:t>, 2018</w:t>
      </w:r>
      <w:r w:rsidRPr="00492229">
        <w:t> г</w:t>
      </w:r>
      <w:r w:rsidRPr="00450C14">
        <w:t xml:space="preserve">.) </w:t>
      </w:r>
      <w:r w:rsidRPr="00492229">
        <w:t xml:space="preserve">Полномочной конференции о </w:t>
      </w:r>
      <w:bookmarkStart w:id="127" w:name="_Toc407102949"/>
      <w:bookmarkStart w:id="128" w:name="_Toc164569897"/>
      <w:r w:rsidRPr="00492229">
        <w:t>регулярном рассмотрении и пересмотре Регламента международной</w:t>
      </w:r>
      <w:bookmarkEnd w:id="127"/>
      <w:bookmarkEnd w:id="128"/>
      <w:r w:rsidRPr="00492229">
        <w:t xml:space="preserve"> электросвязи</w:t>
      </w:r>
      <w:r w:rsidRPr="00492229">
        <w:rPr>
          <w:bdr w:val="none" w:sz="0" w:space="0" w:color="auto" w:frame="1"/>
          <w:lang w:eastAsia="en-GB"/>
        </w:rPr>
        <w:t>; и Резолюцией </w:t>
      </w:r>
      <w:r w:rsidRPr="00492229">
        <w:t>1379 Совета по той же теме</w:t>
      </w:r>
      <w:r>
        <w:t>)</w:t>
      </w:r>
      <w:r w:rsidRPr="00492229">
        <w:t>.</w:t>
      </w:r>
    </w:p>
    <w:p w14:paraId="2D295C8C" w14:textId="0BBEB09E" w:rsidR="00535CBF" w:rsidRDefault="00535CBF" w:rsidP="004002EC">
      <w:pPr>
        <w:spacing w:after="120"/>
      </w:pPr>
      <w:r w:rsidRPr="00492229">
        <w:t xml:space="preserve">ГЭ-РМЭ в настоящее время работает над постатейным рассмотрением, используя утвержденную </w:t>
      </w:r>
      <w:r w:rsidRPr="00450C14">
        <w:t>"</w:t>
      </w:r>
      <w:r w:rsidRPr="00492229">
        <w:t>Таблицу</w:t>
      </w:r>
      <w:r w:rsidRPr="00450C14">
        <w:t xml:space="preserve"> </w:t>
      </w:r>
      <w:r w:rsidRPr="00492229">
        <w:t>для</w:t>
      </w:r>
      <w:r w:rsidRPr="00450C14">
        <w:t xml:space="preserve"> </w:t>
      </w:r>
      <w:r w:rsidRPr="00492229">
        <w:t>рассмотрения</w:t>
      </w:r>
      <w:r w:rsidRPr="00450C14">
        <w:t xml:space="preserve">". </w:t>
      </w:r>
      <w:r w:rsidRPr="00492229">
        <w:t>К настоящему времени в феврале 2020 года было завершено рассмотрение 44 положений Преамбулы и Статей 1–4. Таблица для рассмотрения отражает результаты обсуждения в Группе следующих аспектов: 1)</w:t>
      </w:r>
      <w:r w:rsidRPr="00492229">
        <w:rPr>
          <w:lang w:val="en-US"/>
        </w:rPr>
        <w:t> </w:t>
      </w:r>
      <w:r>
        <w:t>п</w:t>
      </w:r>
      <w:r w:rsidRPr="00492229">
        <w:t xml:space="preserve">рименимость для содействия </w:t>
      </w:r>
      <w:r w:rsidRPr="00492229">
        <w:lastRenderedPageBreak/>
        <w:t>предоставлению и развитию сетей и услуг; 2)</w:t>
      </w:r>
      <w:r w:rsidRPr="00492229">
        <w:rPr>
          <w:lang w:val="en-US"/>
        </w:rPr>
        <w:t> </w:t>
      </w:r>
      <w:r>
        <w:t>г</w:t>
      </w:r>
      <w:r w:rsidRPr="00492229">
        <w:t>ибкость для учета новых тенденций и возникающих вопросов РМЭ; 3)</w:t>
      </w:r>
      <w:r w:rsidRPr="00492229">
        <w:rPr>
          <w:lang w:val="en-US"/>
        </w:rPr>
        <w:t> </w:t>
      </w:r>
      <w:r>
        <w:t>к</w:t>
      </w:r>
      <w:r w:rsidRPr="00492229">
        <w:t>раткое изложение итогов обсуждений, на основе пунктов 1) и 2), выше. (Обновленная Таблица для рассмотрения приводится в Документе </w:t>
      </w:r>
      <w:hyperlink r:id="rId61" w:history="1">
        <w:r w:rsidRPr="00492229">
          <w:rPr>
            <w:rStyle w:val="Hyperlink"/>
            <w:rFonts w:asciiTheme="minorHAnsi" w:hAnsiTheme="minorHAnsi" w:cstheme="minorHAnsi"/>
            <w:lang w:val="en-US"/>
          </w:rPr>
          <w:t>EG</w:t>
        </w:r>
        <w:r w:rsidRPr="00492229">
          <w:rPr>
            <w:rStyle w:val="Hyperlink"/>
            <w:rFonts w:asciiTheme="minorHAnsi" w:hAnsiTheme="minorHAnsi" w:cstheme="minorHAnsi"/>
          </w:rPr>
          <w:t>-</w:t>
        </w:r>
        <w:r w:rsidRPr="00492229">
          <w:rPr>
            <w:rStyle w:val="Hyperlink"/>
            <w:rFonts w:asciiTheme="minorHAnsi" w:hAnsiTheme="minorHAnsi" w:cstheme="minorHAnsi"/>
            <w:lang w:val="en-US"/>
          </w:rPr>
          <w:t>ITRs</w:t>
        </w:r>
        <w:r w:rsidRPr="00492229">
          <w:rPr>
            <w:rStyle w:val="Hyperlink"/>
            <w:rFonts w:asciiTheme="minorHAnsi" w:hAnsiTheme="minorHAnsi" w:cstheme="minorHAnsi"/>
          </w:rPr>
          <w:t>-2/</w:t>
        </w:r>
        <w:r w:rsidRPr="00492229">
          <w:rPr>
            <w:rStyle w:val="Hyperlink"/>
            <w:rFonts w:asciiTheme="minorHAnsi" w:hAnsiTheme="minorHAnsi" w:cstheme="minorHAnsi"/>
            <w:lang w:val="en-US"/>
          </w:rPr>
          <w:t>DL</w:t>
        </w:r>
        <w:r w:rsidRPr="00492229">
          <w:rPr>
            <w:rStyle w:val="Hyperlink"/>
            <w:rFonts w:asciiTheme="minorHAnsi" w:hAnsiTheme="minorHAnsi" w:cstheme="minorHAnsi"/>
          </w:rPr>
          <w:t>/2</w:t>
        </w:r>
      </w:hyperlink>
      <w:r w:rsidRPr="002559F9">
        <w:rPr>
          <w:rStyle w:val="Hyperlink"/>
          <w:rFonts w:asciiTheme="minorHAnsi" w:hAnsiTheme="minorHAnsi" w:cstheme="minorHAnsi"/>
        </w:rPr>
        <w:t>.</w:t>
      </w:r>
      <w:r w:rsidRPr="00492229">
        <w:t>) В этом документе также представлен план работы ГЭ-РМЭ, включая ее следующее собрание 17–18 сентября 2020 года.</w:t>
      </w:r>
    </w:p>
    <w:tbl>
      <w:tblPr>
        <w:tblStyle w:val="TableGrid"/>
        <w:tblW w:w="0" w:type="auto"/>
        <w:tblLook w:val="04A0" w:firstRow="1" w:lastRow="0" w:firstColumn="1" w:lastColumn="0" w:noHBand="0" w:noVBand="1"/>
      </w:tblPr>
      <w:tblGrid>
        <w:gridCol w:w="9628"/>
      </w:tblGrid>
      <w:tr w:rsidR="00535CBF" w:rsidRPr="004002EC" w14:paraId="1E2C6641" w14:textId="77777777" w:rsidTr="004002EC">
        <w:tc>
          <w:tcPr>
            <w:tcW w:w="9628" w:type="dxa"/>
          </w:tcPr>
          <w:p w14:paraId="26D03FCD" w14:textId="77777777" w:rsidR="00535CBF" w:rsidRPr="004002EC" w:rsidRDefault="00535CBF" w:rsidP="004002EC">
            <w:pPr>
              <w:spacing w:after="120"/>
              <w:rPr>
                <w:sz w:val="22"/>
              </w:rPr>
            </w:pPr>
            <w:r w:rsidRPr="004002EC">
              <w:rPr>
                <w:sz w:val="22"/>
              </w:rPr>
              <w:t>КГРЭ приняла отчет к сведению и будет следить за ходом работы Группы экспертов по РМЭ.</w:t>
            </w:r>
          </w:p>
        </w:tc>
      </w:tr>
    </w:tbl>
    <w:p w14:paraId="285B89BB" w14:textId="77777777" w:rsidR="00535CBF" w:rsidRPr="00D80FDA" w:rsidRDefault="00535CBF" w:rsidP="00083D22">
      <w:pPr>
        <w:pStyle w:val="Heading1"/>
        <w:spacing w:before="360"/>
        <w:rPr>
          <w:rFonts w:cstheme="minorHAnsi"/>
          <w:sz w:val="20"/>
        </w:rPr>
      </w:pPr>
      <w:r w:rsidRPr="00D80FDA">
        <w:rPr>
          <w:rFonts w:cstheme="minorHAnsi"/>
        </w:rPr>
        <w:t>17</w:t>
      </w:r>
      <w:r w:rsidRPr="00D80FDA">
        <w:rPr>
          <w:rFonts w:cstheme="minorHAnsi"/>
        </w:rPr>
        <w:tab/>
      </w:r>
      <w:r w:rsidRPr="00D80FDA">
        <w:rPr>
          <w:shd w:val="clear" w:color="auto" w:fill="FFFFFF"/>
        </w:rPr>
        <w:t>Отчет о технико-экономическом обосновании создания в МСЭ института профессиональной подготовки</w:t>
      </w:r>
    </w:p>
    <w:p w14:paraId="5ABF94A9" w14:textId="702969BF" w:rsidR="00535CBF" w:rsidRPr="00321361" w:rsidRDefault="00535CBF" w:rsidP="00E526B6">
      <w:pPr>
        <w:pStyle w:val="CEONormal"/>
        <w:rPr>
          <w:rFonts w:asciiTheme="minorHAnsi" w:hAnsiTheme="minorHAnsi" w:cstheme="minorHAnsi"/>
          <w:sz w:val="22"/>
          <w:szCs w:val="22"/>
          <w:lang w:val="ru-RU"/>
        </w:rPr>
      </w:pPr>
      <w:r>
        <w:rPr>
          <w:lang w:val="ru-RU"/>
        </w:rPr>
        <w:t>В</w:t>
      </w:r>
      <w:r w:rsidRPr="00321361">
        <w:rPr>
          <w:lang w:val="ru-RU"/>
        </w:rPr>
        <w:t xml:space="preserve"> </w:t>
      </w:r>
      <w:hyperlink r:id="rId62" w:history="1">
        <w:r w:rsidRPr="00321361">
          <w:rPr>
            <w:rStyle w:val="Hyperlink"/>
            <w:rFonts w:asciiTheme="minorHAnsi" w:hAnsiTheme="minorHAnsi" w:cstheme="minorHAnsi"/>
            <w:sz w:val="22"/>
            <w:szCs w:val="22"/>
            <w:lang w:val="ru-RU"/>
          </w:rPr>
          <w:t>Документ</w:t>
        </w:r>
        <w:r>
          <w:rPr>
            <w:rStyle w:val="Hyperlink"/>
            <w:rFonts w:asciiTheme="minorHAnsi" w:hAnsiTheme="minorHAnsi" w:cstheme="minorHAnsi"/>
            <w:sz w:val="22"/>
            <w:szCs w:val="22"/>
            <w:lang w:val="ru-RU"/>
          </w:rPr>
          <w:t>е</w:t>
        </w:r>
        <w:r w:rsidRPr="00321361">
          <w:rPr>
            <w:rStyle w:val="Hyperlink"/>
            <w:rFonts w:asciiTheme="minorHAnsi" w:hAnsiTheme="minorHAnsi" w:cstheme="minorHAnsi"/>
            <w:sz w:val="22"/>
            <w:szCs w:val="22"/>
            <w:lang w:val="ru-RU"/>
          </w:rPr>
          <w:t xml:space="preserve"> 26</w:t>
        </w:r>
      </w:hyperlink>
      <w:r w:rsidRPr="00083D22">
        <w:rPr>
          <w:lang w:val="ru-RU"/>
        </w:rPr>
        <w:t xml:space="preserve"> представлен статус</w:t>
      </w:r>
      <w:r w:rsidR="00FB1337" w:rsidRPr="00FB1337">
        <w:rPr>
          <w:lang w:val="ru-RU"/>
        </w:rPr>
        <w:t xml:space="preserve"> </w:t>
      </w:r>
      <w:r w:rsidRPr="00321361">
        <w:rPr>
          <w:rFonts w:asciiTheme="minorHAnsi" w:hAnsiTheme="minorHAnsi" w:cstheme="minorHAnsi"/>
          <w:sz w:val="22"/>
          <w:szCs w:val="18"/>
          <w:shd w:val="clear" w:color="auto" w:fill="FFFFFF"/>
          <w:lang w:val="ru-RU"/>
        </w:rPr>
        <w:t>технико-экономическо</w:t>
      </w:r>
      <w:r>
        <w:rPr>
          <w:rFonts w:asciiTheme="minorHAnsi" w:hAnsiTheme="minorHAnsi" w:cstheme="minorHAnsi"/>
          <w:sz w:val="22"/>
          <w:szCs w:val="18"/>
          <w:shd w:val="clear" w:color="auto" w:fill="FFFFFF"/>
          <w:lang w:val="ru-RU"/>
        </w:rPr>
        <w:t>го</w:t>
      </w:r>
      <w:r w:rsidRPr="00321361">
        <w:rPr>
          <w:rFonts w:asciiTheme="minorHAnsi" w:hAnsiTheme="minorHAnsi" w:cstheme="minorHAnsi"/>
          <w:sz w:val="22"/>
          <w:szCs w:val="18"/>
          <w:shd w:val="clear" w:color="auto" w:fill="FFFFFF"/>
          <w:lang w:val="ru-RU"/>
        </w:rPr>
        <w:t xml:space="preserve"> обосновани</w:t>
      </w:r>
      <w:r>
        <w:rPr>
          <w:rFonts w:asciiTheme="minorHAnsi" w:hAnsiTheme="minorHAnsi" w:cstheme="minorHAnsi"/>
          <w:sz w:val="22"/>
          <w:szCs w:val="18"/>
          <w:shd w:val="clear" w:color="auto" w:fill="FFFFFF"/>
          <w:lang w:val="ru-RU"/>
        </w:rPr>
        <w:t>я</w:t>
      </w:r>
      <w:r w:rsidRPr="00321361">
        <w:rPr>
          <w:rFonts w:asciiTheme="minorHAnsi" w:hAnsiTheme="minorHAnsi" w:cstheme="minorHAnsi"/>
          <w:sz w:val="22"/>
          <w:szCs w:val="18"/>
          <w:shd w:val="clear" w:color="auto" w:fill="FFFFFF"/>
          <w:lang w:val="ru-RU"/>
        </w:rPr>
        <w:t xml:space="preserve"> </w:t>
      </w:r>
      <w:r>
        <w:rPr>
          <w:rFonts w:asciiTheme="minorHAnsi" w:hAnsiTheme="minorHAnsi" w:cstheme="minorHAnsi"/>
          <w:sz w:val="22"/>
          <w:szCs w:val="18"/>
          <w:shd w:val="clear" w:color="auto" w:fill="FFFFFF"/>
          <w:lang w:val="ru-RU"/>
        </w:rPr>
        <w:t xml:space="preserve">учреждения </w:t>
      </w:r>
      <w:r w:rsidRPr="00321361">
        <w:rPr>
          <w:rFonts w:asciiTheme="minorHAnsi" w:hAnsiTheme="minorHAnsi" w:cstheme="minorHAnsi"/>
          <w:sz w:val="22"/>
          <w:szCs w:val="18"/>
          <w:shd w:val="clear" w:color="auto" w:fill="FFFFFF"/>
          <w:lang w:val="ru-RU"/>
        </w:rPr>
        <w:t xml:space="preserve">в МСЭ института </w:t>
      </w:r>
      <w:r>
        <w:rPr>
          <w:rFonts w:asciiTheme="minorHAnsi" w:hAnsiTheme="minorHAnsi" w:cstheme="minorHAnsi"/>
          <w:sz w:val="22"/>
          <w:szCs w:val="18"/>
          <w:shd w:val="clear" w:color="auto" w:fill="FFFFFF"/>
          <w:lang w:val="ru-RU"/>
        </w:rPr>
        <w:t>по созданию потенциала</w:t>
      </w:r>
      <w:r w:rsidRPr="00321361">
        <w:rPr>
          <w:rFonts w:asciiTheme="minorHAnsi" w:hAnsiTheme="minorHAnsi" w:cstheme="minorHAnsi"/>
          <w:sz w:val="22"/>
          <w:szCs w:val="22"/>
          <w:lang w:val="ru-RU"/>
        </w:rPr>
        <w:t>. Совет МСЭ на своей сессии в июне 2019 года поручил Директору БРЭ "провести подробный анализ и</w:t>
      </w:r>
      <w:r w:rsidRPr="00321361">
        <w:rPr>
          <w:rFonts w:asciiTheme="minorHAnsi" w:hAnsiTheme="minorHAnsi" w:cstheme="minorHAnsi"/>
          <w:sz w:val="22"/>
          <w:szCs w:val="22"/>
        </w:rPr>
        <w:t> </w:t>
      </w:r>
      <w:r w:rsidRPr="00321361">
        <w:rPr>
          <w:rFonts w:asciiTheme="minorHAnsi" w:hAnsiTheme="minorHAnsi" w:cstheme="minorHAnsi"/>
          <w:sz w:val="22"/>
          <w:szCs w:val="22"/>
          <w:lang w:val="ru-RU"/>
        </w:rPr>
        <w:t>обзор текущих мероприятий в области профессиональной подготовки и создания потенциала, проводимых Группой по инициативам в области создания потенциала, Академией МСЭ и центрами профессионального мастерства, и представить Совету 2020</w:t>
      </w:r>
      <w:r>
        <w:rPr>
          <w:rFonts w:asciiTheme="minorHAnsi" w:hAnsiTheme="minorHAnsi" w:cstheme="minorHAnsi"/>
          <w:sz w:val="22"/>
          <w:szCs w:val="22"/>
          <w:lang w:val="ru-RU"/>
        </w:rPr>
        <w:t> </w:t>
      </w:r>
      <w:r w:rsidRPr="00321361">
        <w:rPr>
          <w:rFonts w:asciiTheme="minorHAnsi" w:hAnsiTheme="minorHAnsi" w:cstheme="minorHAnsi"/>
          <w:sz w:val="22"/>
          <w:szCs w:val="22"/>
          <w:lang w:val="ru-RU"/>
        </w:rPr>
        <w:t>года отчет о результатах исследования и о</w:t>
      </w:r>
      <w:r w:rsidRPr="00321361">
        <w:rPr>
          <w:rFonts w:asciiTheme="minorHAnsi" w:hAnsiTheme="minorHAnsi" w:cstheme="minorHAnsi"/>
          <w:sz w:val="22"/>
          <w:szCs w:val="22"/>
        </w:rPr>
        <w:t> </w:t>
      </w:r>
      <w:r w:rsidRPr="00321361">
        <w:rPr>
          <w:rFonts w:asciiTheme="minorHAnsi" w:hAnsiTheme="minorHAnsi" w:cstheme="minorHAnsi"/>
          <w:sz w:val="22"/>
          <w:szCs w:val="22"/>
          <w:lang w:val="ru-RU"/>
        </w:rPr>
        <w:t>возможности учреждения института по созданию потенциала в МСЭ</w:t>
      </w:r>
      <w:r>
        <w:rPr>
          <w:rFonts w:asciiTheme="minorHAnsi" w:hAnsiTheme="minorHAnsi" w:cstheme="minorHAnsi"/>
          <w:sz w:val="22"/>
          <w:szCs w:val="22"/>
          <w:lang w:val="ru-RU"/>
        </w:rPr>
        <w:t>"</w:t>
      </w:r>
      <w:r w:rsidRPr="00321361">
        <w:rPr>
          <w:rFonts w:asciiTheme="minorHAnsi" w:hAnsiTheme="minorHAnsi" w:cstheme="minorHAnsi"/>
          <w:sz w:val="22"/>
          <w:szCs w:val="22"/>
          <w:lang w:val="ru-RU"/>
        </w:rPr>
        <w:t>.</w:t>
      </w:r>
    </w:p>
    <w:p w14:paraId="02B70D69" w14:textId="77777777" w:rsidR="00535CBF" w:rsidRPr="008929D2" w:rsidRDefault="00535CBF" w:rsidP="0080178A">
      <w:r w:rsidRPr="00321361">
        <w:t xml:space="preserve">Основываясь на вышеуказанном поручении Совета, МСЭ подготовил круг ведения для технико-экономического обоснования. </w:t>
      </w:r>
      <w:r>
        <w:t>В</w:t>
      </w:r>
      <w:r w:rsidRPr="008929D2">
        <w:t xml:space="preserve"> </w:t>
      </w:r>
      <w:r>
        <w:t>исследовании</w:t>
      </w:r>
      <w:r w:rsidRPr="008929D2">
        <w:t xml:space="preserve"> </w:t>
      </w:r>
      <w:r>
        <w:t>будет</w:t>
      </w:r>
      <w:r w:rsidRPr="008929D2">
        <w:t xml:space="preserve"> </w:t>
      </w:r>
      <w:r>
        <w:t>рассматриваться</w:t>
      </w:r>
      <w:r w:rsidRPr="008929D2">
        <w:t xml:space="preserve"> </w:t>
      </w:r>
      <w:r>
        <w:t>деятельность</w:t>
      </w:r>
      <w:r w:rsidRPr="008929D2">
        <w:t xml:space="preserve"> </w:t>
      </w:r>
      <w:r>
        <w:t>по</w:t>
      </w:r>
      <w:r w:rsidRPr="008929D2">
        <w:t xml:space="preserve"> </w:t>
      </w:r>
      <w:r>
        <w:t>созданию</w:t>
      </w:r>
      <w:r w:rsidRPr="008929D2">
        <w:t xml:space="preserve"> </w:t>
      </w:r>
      <w:r>
        <w:t>потенциала</w:t>
      </w:r>
      <w:r w:rsidRPr="008929D2">
        <w:t xml:space="preserve">, </w:t>
      </w:r>
      <w:r>
        <w:t>ведущаяся</w:t>
      </w:r>
      <w:r w:rsidRPr="008929D2">
        <w:t xml:space="preserve"> </w:t>
      </w:r>
      <w:r>
        <w:t>в</w:t>
      </w:r>
      <w:r w:rsidRPr="008929D2">
        <w:t xml:space="preserve"> </w:t>
      </w:r>
      <w:r>
        <w:t>трех</w:t>
      </w:r>
      <w:r w:rsidRPr="008929D2">
        <w:t xml:space="preserve"> </w:t>
      </w:r>
      <w:r>
        <w:t>Бюро</w:t>
      </w:r>
      <w:r w:rsidRPr="008929D2">
        <w:t xml:space="preserve"> </w:t>
      </w:r>
      <w:r>
        <w:t>МСЭ</w:t>
      </w:r>
      <w:r w:rsidRPr="008929D2">
        <w:t xml:space="preserve">, </w:t>
      </w:r>
      <w:r>
        <w:t>будут</w:t>
      </w:r>
      <w:r w:rsidRPr="008929D2">
        <w:t xml:space="preserve"> </w:t>
      </w:r>
      <w:r>
        <w:t>определяться</w:t>
      </w:r>
      <w:r w:rsidRPr="008929D2">
        <w:t xml:space="preserve"> </w:t>
      </w:r>
      <w:r>
        <w:t>имеющиеся</w:t>
      </w:r>
      <w:r w:rsidRPr="008929D2">
        <w:t xml:space="preserve"> </w:t>
      </w:r>
      <w:r>
        <w:t>пробелы</w:t>
      </w:r>
      <w:r w:rsidRPr="008929D2">
        <w:t xml:space="preserve"> </w:t>
      </w:r>
      <w:r>
        <w:t>и</w:t>
      </w:r>
      <w:r w:rsidRPr="008929D2">
        <w:t xml:space="preserve"> </w:t>
      </w:r>
      <w:r>
        <w:t>сферы</w:t>
      </w:r>
      <w:r w:rsidRPr="008929D2">
        <w:t xml:space="preserve"> </w:t>
      </w:r>
      <w:r>
        <w:t>совершенствования</w:t>
      </w:r>
      <w:r w:rsidRPr="008929D2">
        <w:t xml:space="preserve">, </w:t>
      </w:r>
      <w:r>
        <w:t>оцениваться потребность в новом институте профессиональной подготовки, устанавливаться потребности в ресурсах, рассматриваться альтернативные варианты и предлагаться рекомендации по дальнейшей работе</w:t>
      </w:r>
      <w:r w:rsidRPr="008929D2">
        <w:t xml:space="preserve">. </w:t>
      </w:r>
    </w:p>
    <w:p w14:paraId="438A2BD8" w14:textId="77777777" w:rsidR="00535CBF" w:rsidRPr="00D15EEC" w:rsidRDefault="00535CBF" w:rsidP="0080178A">
      <w:pPr>
        <w:spacing w:after="120"/>
      </w:pPr>
      <w:r w:rsidRPr="00D15EEC">
        <w:t xml:space="preserve">Исследование будет проводиться независимой консалтинговой компанией. В начале 2020 года МСЭ опубликовал объявление о принятии предложений. Было получено пять предложений, и был отобран поставщик. </w:t>
      </w:r>
      <w:r>
        <w:t>Р</w:t>
      </w:r>
      <w:r w:rsidRPr="00D15EEC">
        <w:t>абота начнется в июне 2020 года и продолжится в течение четырех-пяти месяцев.</w:t>
      </w:r>
    </w:p>
    <w:tbl>
      <w:tblPr>
        <w:tblStyle w:val="TableGrid"/>
        <w:tblW w:w="0" w:type="auto"/>
        <w:tblLook w:val="04A0" w:firstRow="1" w:lastRow="0" w:firstColumn="1" w:lastColumn="0" w:noHBand="0" w:noVBand="1"/>
      </w:tblPr>
      <w:tblGrid>
        <w:gridCol w:w="9628"/>
      </w:tblGrid>
      <w:tr w:rsidR="00535CBF" w:rsidRPr="0080178A" w14:paraId="4CC0B504" w14:textId="77777777" w:rsidTr="00E526B6">
        <w:tc>
          <w:tcPr>
            <w:tcW w:w="9629" w:type="dxa"/>
          </w:tcPr>
          <w:p w14:paraId="26C0C7E0" w14:textId="77777777" w:rsidR="00535CBF" w:rsidRPr="0080178A" w:rsidRDefault="00535CBF" w:rsidP="0080178A">
            <w:pPr>
              <w:spacing w:after="120"/>
              <w:rPr>
                <w:sz w:val="22"/>
              </w:rPr>
            </w:pPr>
            <w:r w:rsidRPr="0080178A">
              <w:rPr>
                <w:sz w:val="22"/>
              </w:rPr>
              <w:t>КГРЭ приняла к сведению принятые Директором меры по выполнению поручений Совета относительно института по созданию потенциала в МСЭ и дала высокую оценку этим мерам.</w:t>
            </w:r>
          </w:p>
        </w:tc>
      </w:tr>
    </w:tbl>
    <w:p w14:paraId="17ED2FB9" w14:textId="77777777" w:rsidR="00535CBF" w:rsidRPr="002030D1" w:rsidRDefault="00535CBF" w:rsidP="00083D22">
      <w:pPr>
        <w:pStyle w:val="Heading1"/>
        <w:spacing w:before="360"/>
      </w:pPr>
      <w:r w:rsidRPr="002030D1">
        <w:t>18</w:t>
      </w:r>
      <w:r w:rsidRPr="002030D1">
        <w:tab/>
      </w:r>
      <w:r>
        <w:t>Отчет</w:t>
      </w:r>
      <w:r w:rsidRPr="002030D1">
        <w:t xml:space="preserve"> </w:t>
      </w:r>
      <w:r>
        <w:t>по</w:t>
      </w:r>
      <w:r w:rsidRPr="002030D1">
        <w:t xml:space="preserve"> </w:t>
      </w:r>
      <w:r>
        <w:t>управлению</w:t>
      </w:r>
      <w:r w:rsidRPr="002030D1">
        <w:t xml:space="preserve">, </w:t>
      </w:r>
      <w:r>
        <w:t>ориентированному на результаты</w:t>
      </w:r>
      <w:r w:rsidRPr="002030D1">
        <w:t xml:space="preserve"> (</w:t>
      </w:r>
      <w:r>
        <w:t>УОР</w:t>
      </w:r>
      <w:r w:rsidRPr="002030D1">
        <w:t>)</w:t>
      </w:r>
    </w:p>
    <w:p w14:paraId="014C9AD0" w14:textId="77777777" w:rsidR="00535CBF" w:rsidRPr="00B17EBB" w:rsidRDefault="00083D22" w:rsidP="00E526B6">
      <w:pPr>
        <w:spacing w:after="120"/>
        <w:rPr>
          <w:rFonts w:cstheme="minorHAnsi"/>
        </w:rPr>
      </w:pPr>
      <w:hyperlink r:id="rId63" w:history="1">
        <w:r w:rsidR="00535CBF" w:rsidRPr="0082092D">
          <w:rPr>
            <w:rStyle w:val="Hyperlink"/>
            <w:rFonts w:cstheme="minorHAnsi"/>
          </w:rPr>
          <w:t>Документ 28</w:t>
        </w:r>
      </w:hyperlink>
      <w:r w:rsidR="00535CBF" w:rsidRPr="0082092D">
        <w:rPr>
          <w:rFonts w:cstheme="minorHAnsi"/>
        </w:rPr>
        <w:t xml:space="preserve">: </w:t>
      </w:r>
      <w:r w:rsidR="00535CBF" w:rsidRPr="0082092D">
        <w:rPr>
          <w:rFonts w:cs="Calibri"/>
        </w:rPr>
        <w:t>В 2019 году БРЭ приступило к комплексному реформированию своего подхода к управлению, ориентированному на результаты, с тем чтобы дать МСЭ-</w:t>
      </w:r>
      <w:r w:rsidR="00535CBF" w:rsidRPr="0082092D">
        <w:rPr>
          <w:rFonts w:cs="Calibri"/>
          <w:lang w:val="en-US"/>
        </w:rPr>
        <w:t>D</w:t>
      </w:r>
      <w:r w:rsidR="00535CBF" w:rsidRPr="0082092D">
        <w:rPr>
          <w:rFonts w:cs="Calibri"/>
        </w:rPr>
        <w:t xml:space="preserve"> возможность решать задачи, возникающие в условиях стремительно меняющейся ситуации в области развития, и получить возможность четко отвечать своему назначению </w:t>
      </w:r>
      <w:r w:rsidR="00535CBF" w:rsidRPr="00B17EBB">
        <w:rPr>
          <w:rFonts w:cs="Calibri"/>
        </w:rPr>
        <w:t>(</w:t>
      </w:r>
      <w:r w:rsidR="00535CBF" w:rsidRPr="0082092D">
        <w:rPr>
          <w:rFonts w:cs="Calibri"/>
        </w:rPr>
        <w:t>Fit</w:t>
      </w:r>
      <w:r w:rsidR="00535CBF" w:rsidRPr="00B17EBB">
        <w:rPr>
          <w:rFonts w:cs="Calibri"/>
        </w:rPr>
        <w:t>4</w:t>
      </w:r>
      <w:r w:rsidR="00535CBF" w:rsidRPr="0082092D">
        <w:rPr>
          <w:rFonts w:cs="Calibri"/>
        </w:rPr>
        <w:t>Purpose</w:t>
      </w:r>
      <w:r w:rsidR="00535CBF" w:rsidRPr="00B17EBB">
        <w:rPr>
          <w:rFonts w:cs="Calibri"/>
        </w:rPr>
        <w:t>).</w:t>
      </w:r>
    </w:p>
    <w:p w14:paraId="72DBBF6D" w14:textId="77777777" w:rsidR="00535CBF" w:rsidRPr="00944460" w:rsidRDefault="00535CBF" w:rsidP="00E526B6">
      <w:pPr>
        <w:spacing w:after="120"/>
        <w:rPr>
          <w:rFonts w:cstheme="minorHAnsi"/>
          <w:bCs/>
        </w:rPr>
      </w:pPr>
      <w:r>
        <w:rPr>
          <w:rFonts w:cstheme="minorHAnsi"/>
        </w:rPr>
        <w:t>Внедрение</w:t>
      </w:r>
      <w:r w:rsidRPr="001D79B9">
        <w:rPr>
          <w:rFonts w:cstheme="minorHAnsi"/>
        </w:rPr>
        <w:t xml:space="preserve"> </w:t>
      </w:r>
      <w:r>
        <w:rPr>
          <w:rFonts w:cstheme="minorHAnsi"/>
        </w:rPr>
        <w:t>в</w:t>
      </w:r>
      <w:r w:rsidRPr="001D79B9">
        <w:rPr>
          <w:rFonts w:cstheme="minorHAnsi"/>
        </w:rPr>
        <w:t xml:space="preserve"> </w:t>
      </w:r>
      <w:r>
        <w:rPr>
          <w:rFonts w:cstheme="minorHAnsi"/>
        </w:rPr>
        <w:t>БРЭ</w:t>
      </w:r>
      <w:r w:rsidRPr="001D79B9">
        <w:rPr>
          <w:rFonts w:cstheme="minorHAnsi"/>
        </w:rPr>
        <w:t xml:space="preserve"> </w:t>
      </w:r>
      <w:r>
        <w:rPr>
          <w:rFonts w:cstheme="minorHAnsi"/>
        </w:rPr>
        <w:t>управления</w:t>
      </w:r>
      <w:r w:rsidRPr="001D79B9">
        <w:rPr>
          <w:rFonts w:cstheme="minorHAnsi"/>
        </w:rPr>
        <w:t xml:space="preserve">, </w:t>
      </w:r>
      <w:r>
        <w:rPr>
          <w:rFonts w:cstheme="minorHAnsi"/>
        </w:rPr>
        <w:t>ориентированного</w:t>
      </w:r>
      <w:r w:rsidRPr="001D79B9">
        <w:rPr>
          <w:rFonts w:cstheme="minorHAnsi"/>
        </w:rPr>
        <w:t xml:space="preserve"> </w:t>
      </w:r>
      <w:r>
        <w:rPr>
          <w:rFonts w:cstheme="minorHAnsi"/>
        </w:rPr>
        <w:t>на</w:t>
      </w:r>
      <w:r w:rsidRPr="001D79B9">
        <w:rPr>
          <w:rFonts w:cstheme="minorHAnsi"/>
        </w:rPr>
        <w:t xml:space="preserve"> </w:t>
      </w:r>
      <w:r>
        <w:rPr>
          <w:rFonts w:cstheme="minorHAnsi"/>
        </w:rPr>
        <w:t>результаты</w:t>
      </w:r>
      <w:r w:rsidRPr="001D79B9">
        <w:rPr>
          <w:rFonts w:cstheme="minorHAnsi"/>
        </w:rPr>
        <w:t xml:space="preserve">, </w:t>
      </w:r>
      <w:r>
        <w:rPr>
          <w:rFonts w:cstheme="minorHAnsi"/>
        </w:rPr>
        <w:t>обеспечивает</w:t>
      </w:r>
      <w:r w:rsidRPr="001D79B9">
        <w:rPr>
          <w:rFonts w:cstheme="minorHAnsi"/>
        </w:rPr>
        <w:t xml:space="preserve"> </w:t>
      </w:r>
      <w:r>
        <w:rPr>
          <w:rFonts w:cstheme="minorHAnsi"/>
        </w:rPr>
        <w:t>надежный</w:t>
      </w:r>
      <w:r w:rsidRPr="001D79B9">
        <w:rPr>
          <w:rFonts w:cstheme="minorHAnsi"/>
        </w:rPr>
        <w:t xml:space="preserve">, </w:t>
      </w:r>
      <w:r>
        <w:rPr>
          <w:rFonts w:cstheme="minorHAnsi"/>
        </w:rPr>
        <w:t>последовательный</w:t>
      </w:r>
      <w:r w:rsidRPr="001D79B9">
        <w:rPr>
          <w:rFonts w:cstheme="minorHAnsi"/>
        </w:rPr>
        <w:t xml:space="preserve"> </w:t>
      </w:r>
      <w:r>
        <w:rPr>
          <w:rFonts w:cstheme="minorHAnsi"/>
        </w:rPr>
        <w:t>и</w:t>
      </w:r>
      <w:r w:rsidRPr="001D79B9">
        <w:rPr>
          <w:rFonts w:cstheme="minorHAnsi"/>
        </w:rPr>
        <w:t xml:space="preserve"> </w:t>
      </w:r>
      <w:r>
        <w:rPr>
          <w:rFonts w:cstheme="minorHAnsi"/>
        </w:rPr>
        <w:t>согласованный</w:t>
      </w:r>
      <w:r w:rsidRPr="001D79B9">
        <w:rPr>
          <w:rFonts w:cstheme="minorHAnsi"/>
        </w:rPr>
        <w:t xml:space="preserve"> </w:t>
      </w:r>
      <w:r>
        <w:rPr>
          <w:rFonts w:cstheme="minorHAnsi"/>
        </w:rPr>
        <w:t>подход</w:t>
      </w:r>
      <w:r w:rsidRPr="001D79B9">
        <w:rPr>
          <w:rFonts w:cstheme="minorHAnsi"/>
        </w:rPr>
        <w:t xml:space="preserve"> </w:t>
      </w:r>
      <w:r w:rsidRPr="0082092D">
        <w:rPr>
          <w:rFonts w:cs="Calibri"/>
        </w:rPr>
        <w:t>в</w:t>
      </w:r>
      <w:r w:rsidRPr="001D79B9">
        <w:rPr>
          <w:rFonts w:cs="Calibri"/>
        </w:rPr>
        <w:t xml:space="preserve"> </w:t>
      </w:r>
      <w:r w:rsidRPr="0082092D">
        <w:rPr>
          <w:rFonts w:cs="Calibri"/>
        </w:rPr>
        <w:t>условиях</w:t>
      </w:r>
      <w:r w:rsidRPr="001D79B9">
        <w:rPr>
          <w:rFonts w:cs="Calibri"/>
        </w:rPr>
        <w:t xml:space="preserve"> </w:t>
      </w:r>
      <w:r w:rsidRPr="0082092D">
        <w:rPr>
          <w:rFonts w:cs="Calibri"/>
        </w:rPr>
        <w:t>стремительно</w:t>
      </w:r>
      <w:r w:rsidRPr="001D79B9">
        <w:rPr>
          <w:rFonts w:cs="Calibri"/>
        </w:rPr>
        <w:t xml:space="preserve"> </w:t>
      </w:r>
      <w:r w:rsidRPr="0082092D">
        <w:rPr>
          <w:rFonts w:cs="Calibri"/>
        </w:rPr>
        <w:t>меняющейся</w:t>
      </w:r>
      <w:r w:rsidRPr="001D79B9">
        <w:rPr>
          <w:rFonts w:cs="Calibri"/>
        </w:rPr>
        <w:t xml:space="preserve"> </w:t>
      </w:r>
      <w:r w:rsidRPr="0082092D">
        <w:rPr>
          <w:rFonts w:cs="Calibri"/>
        </w:rPr>
        <w:t>ситуации</w:t>
      </w:r>
      <w:r w:rsidRPr="001D79B9">
        <w:rPr>
          <w:rFonts w:cs="Calibri"/>
        </w:rPr>
        <w:t xml:space="preserve"> </w:t>
      </w:r>
      <w:r w:rsidRPr="0082092D">
        <w:rPr>
          <w:rFonts w:cs="Calibri"/>
        </w:rPr>
        <w:t>в</w:t>
      </w:r>
      <w:r w:rsidRPr="001D79B9">
        <w:rPr>
          <w:rFonts w:cs="Calibri"/>
        </w:rPr>
        <w:t xml:space="preserve"> </w:t>
      </w:r>
      <w:r w:rsidRPr="0082092D">
        <w:rPr>
          <w:rFonts w:cs="Calibri"/>
        </w:rPr>
        <w:t>области</w:t>
      </w:r>
      <w:r w:rsidRPr="001D79B9">
        <w:rPr>
          <w:rFonts w:cs="Calibri"/>
        </w:rPr>
        <w:t xml:space="preserve"> </w:t>
      </w:r>
      <w:r w:rsidRPr="0082092D">
        <w:rPr>
          <w:rFonts w:cs="Calibri"/>
        </w:rPr>
        <w:t>развития</w:t>
      </w:r>
      <w:r w:rsidRPr="001D79B9">
        <w:rPr>
          <w:rFonts w:cstheme="minorHAnsi"/>
        </w:rPr>
        <w:t xml:space="preserve">. </w:t>
      </w:r>
      <w:r w:rsidRPr="00944460">
        <w:rPr>
          <w:rFonts w:cstheme="minorHAnsi"/>
        </w:rPr>
        <w:t xml:space="preserve">Проведенный в 2019 году базовый анализ показал, </w:t>
      </w:r>
      <w:r>
        <w:rPr>
          <w:rFonts w:cstheme="minorHAnsi"/>
        </w:rPr>
        <w:t>что</w:t>
      </w:r>
      <w:r w:rsidRPr="00944460">
        <w:rPr>
          <w:rFonts w:cstheme="minorHAnsi"/>
        </w:rPr>
        <w:t xml:space="preserve"> </w:t>
      </w:r>
      <w:r>
        <w:rPr>
          <w:rFonts w:cstheme="minorHAnsi"/>
        </w:rPr>
        <w:t>программы</w:t>
      </w:r>
      <w:r w:rsidRPr="00944460">
        <w:rPr>
          <w:rFonts w:cstheme="minorHAnsi"/>
        </w:rPr>
        <w:t xml:space="preserve"> </w:t>
      </w:r>
      <w:r>
        <w:rPr>
          <w:rFonts w:cstheme="minorHAnsi"/>
        </w:rPr>
        <w:t>работы</w:t>
      </w:r>
      <w:r w:rsidRPr="00944460">
        <w:rPr>
          <w:rFonts w:cstheme="minorHAnsi"/>
        </w:rPr>
        <w:t xml:space="preserve"> </w:t>
      </w:r>
      <w:r>
        <w:rPr>
          <w:rFonts w:cstheme="minorHAnsi"/>
        </w:rPr>
        <w:t>БРЭ</w:t>
      </w:r>
      <w:r w:rsidRPr="00944460">
        <w:rPr>
          <w:rFonts w:cstheme="minorHAnsi"/>
        </w:rPr>
        <w:t xml:space="preserve"> </w:t>
      </w:r>
      <w:r>
        <w:rPr>
          <w:rFonts w:cstheme="minorHAnsi"/>
        </w:rPr>
        <w:t>раздроблены</w:t>
      </w:r>
      <w:r w:rsidRPr="00944460">
        <w:rPr>
          <w:rFonts w:cstheme="minorHAnsi"/>
        </w:rPr>
        <w:t xml:space="preserve"> </w:t>
      </w:r>
      <w:r>
        <w:rPr>
          <w:rFonts w:cstheme="minorHAnsi"/>
        </w:rPr>
        <w:t>и</w:t>
      </w:r>
      <w:r w:rsidRPr="00944460">
        <w:rPr>
          <w:rFonts w:cstheme="minorHAnsi"/>
        </w:rPr>
        <w:t xml:space="preserve"> </w:t>
      </w:r>
      <w:r>
        <w:rPr>
          <w:rFonts w:cstheme="minorHAnsi"/>
        </w:rPr>
        <w:t>осуществляются</w:t>
      </w:r>
      <w:r w:rsidRPr="00944460">
        <w:rPr>
          <w:rFonts w:cstheme="minorHAnsi"/>
        </w:rPr>
        <w:t xml:space="preserve"> </w:t>
      </w:r>
      <w:r>
        <w:rPr>
          <w:rFonts w:cstheme="minorHAnsi"/>
        </w:rPr>
        <w:t>при</w:t>
      </w:r>
      <w:r w:rsidRPr="00944460">
        <w:rPr>
          <w:rFonts w:cstheme="minorHAnsi"/>
        </w:rPr>
        <w:t xml:space="preserve"> </w:t>
      </w:r>
      <w:r>
        <w:rPr>
          <w:rFonts w:cstheme="minorHAnsi"/>
        </w:rPr>
        <w:t>отсутствии</w:t>
      </w:r>
      <w:r w:rsidRPr="00944460">
        <w:rPr>
          <w:rFonts w:cstheme="minorHAnsi"/>
        </w:rPr>
        <w:t xml:space="preserve"> </w:t>
      </w:r>
      <w:r>
        <w:rPr>
          <w:rFonts w:cstheme="minorHAnsi"/>
        </w:rPr>
        <w:t>взаимодействия;</w:t>
      </w:r>
      <w:r w:rsidRPr="00944460">
        <w:rPr>
          <w:rFonts w:cstheme="minorHAnsi"/>
          <w:bCs/>
        </w:rPr>
        <w:t xml:space="preserve"> </w:t>
      </w:r>
      <w:r>
        <w:rPr>
          <w:rFonts w:cstheme="minorHAnsi"/>
          <w:bCs/>
        </w:rPr>
        <w:t>при</w:t>
      </w:r>
      <w:r w:rsidRPr="00944460">
        <w:rPr>
          <w:rFonts w:cstheme="minorHAnsi"/>
          <w:bCs/>
        </w:rPr>
        <w:t xml:space="preserve"> </w:t>
      </w:r>
      <w:r>
        <w:rPr>
          <w:rFonts w:cstheme="minorHAnsi"/>
          <w:bCs/>
        </w:rPr>
        <w:t>осуществлении</w:t>
      </w:r>
      <w:r w:rsidRPr="00944460">
        <w:rPr>
          <w:rFonts w:cstheme="minorHAnsi"/>
          <w:bCs/>
        </w:rPr>
        <w:t xml:space="preserve"> </w:t>
      </w:r>
      <w:r>
        <w:rPr>
          <w:rFonts w:cstheme="minorHAnsi"/>
          <w:bCs/>
        </w:rPr>
        <w:t>региональных</w:t>
      </w:r>
      <w:r w:rsidRPr="00944460">
        <w:rPr>
          <w:rFonts w:cstheme="minorHAnsi"/>
          <w:bCs/>
        </w:rPr>
        <w:t xml:space="preserve"> </w:t>
      </w:r>
      <w:r>
        <w:rPr>
          <w:rFonts w:cstheme="minorHAnsi"/>
          <w:bCs/>
        </w:rPr>
        <w:t>инициатив</w:t>
      </w:r>
      <w:r w:rsidRPr="00944460">
        <w:rPr>
          <w:rFonts w:cstheme="minorHAnsi"/>
          <w:bCs/>
        </w:rPr>
        <w:t xml:space="preserve"> </w:t>
      </w:r>
      <w:r>
        <w:rPr>
          <w:rFonts w:cstheme="minorHAnsi"/>
          <w:bCs/>
        </w:rPr>
        <w:t>не</w:t>
      </w:r>
      <w:r w:rsidRPr="00944460">
        <w:rPr>
          <w:rFonts w:cstheme="minorHAnsi"/>
          <w:bCs/>
        </w:rPr>
        <w:t xml:space="preserve"> </w:t>
      </w:r>
      <w:r>
        <w:rPr>
          <w:rFonts w:cstheme="minorHAnsi"/>
          <w:bCs/>
        </w:rPr>
        <w:t>используются</w:t>
      </w:r>
      <w:r w:rsidRPr="00944460">
        <w:rPr>
          <w:rFonts w:cstheme="minorHAnsi"/>
          <w:bCs/>
        </w:rPr>
        <w:t xml:space="preserve"> </w:t>
      </w:r>
      <w:r>
        <w:rPr>
          <w:rFonts w:cstheme="minorHAnsi"/>
          <w:bCs/>
        </w:rPr>
        <w:t>преимущества</w:t>
      </w:r>
      <w:r w:rsidRPr="00944460">
        <w:rPr>
          <w:rFonts w:cstheme="minorHAnsi"/>
          <w:bCs/>
        </w:rPr>
        <w:t xml:space="preserve"> </w:t>
      </w:r>
      <w:r>
        <w:rPr>
          <w:rFonts w:cstheme="minorHAnsi"/>
          <w:bCs/>
        </w:rPr>
        <w:t>возможностей</w:t>
      </w:r>
      <w:r w:rsidRPr="00944460">
        <w:rPr>
          <w:rFonts w:cstheme="minorHAnsi"/>
          <w:bCs/>
        </w:rPr>
        <w:t xml:space="preserve"> </w:t>
      </w:r>
      <w:r>
        <w:rPr>
          <w:rFonts w:cstheme="minorHAnsi"/>
          <w:bCs/>
        </w:rPr>
        <w:t>масштабирования</w:t>
      </w:r>
      <w:r w:rsidRPr="00944460">
        <w:rPr>
          <w:rFonts w:cstheme="minorHAnsi"/>
          <w:bCs/>
        </w:rPr>
        <w:t xml:space="preserve"> </w:t>
      </w:r>
      <w:r>
        <w:rPr>
          <w:rFonts w:cstheme="minorHAnsi"/>
          <w:bCs/>
        </w:rPr>
        <w:t>и</w:t>
      </w:r>
      <w:r w:rsidRPr="00944460">
        <w:rPr>
          <w:rFonts w:cstheme="minorHAnsi"/>
          <w:bCs/>
        </w:rPr>
        <w:t xml:space="preserve"> </w:t>
      </w:r>
      <w:r>
        <w:rPr>
          <w:rFonts w:cstheme="minorHAnsi"/>
          <w:bCs/>
        </w:rPr>
        <w:t>мобилизации</w:t>
      </w:r>
      <w:r w:rsidRPr="00944460">
        <w:rPr>
          <w:rFonts w:cstheme="minorHAnsi"/>
          <w:bCs/>
        </w:rPr>
        <w:t xml:space="preserve"> </w:t>
      </w:r>
      <w:r>
        <w:rPr>
          <w:rFonts w:cstheme="minorHAnsi"/>
          <w:bCs/>
        </w:rPr>
        <w:t>ресурсов</w:t>
      </w:r>
      <w:r w:rsidRPr="00944460">
        <w:rPr>
          <w:rFonts w:cstheme="minorHAnsi"/>
          <w:bCs/>
        </w:rPr>
        <w:t xml:space="preserve">; </w:t>
      </w:r>
      <w:r>
        <w:rPr>
          <w:rFonts w:cstheme="minorHAnsi"/>
          <w:bCs/>
        </w:rPr>
        <w:t>сложно отслеживать воздействие и обнародовать достижения</w:t>
      </w:r>
      <w:r w:rsidRPr="00944460">
        <w:rPr>
          <w:rFonts w:cstheme="minorHAnsi"/>
          <w:bCs/>
        </w:rPr>
        <w:t xml:space="preserve">; </w:t>
      </w:r>
      <w:r>
        <w:rPr>
          <w:rFonts w:cstheme="minorHAnsi"/>
          <w:bCs/>
        </w:rPr>
        <w:t>значение БРЭ для развития ИКТ не признано в достаточной мере другими ведущими международными организациями и Государствами-Членами</w:t>
      </w:r>
      <w:r w:rsidRPr="00944460">
        <w:rPr>
          <w:rFonts w:cstheme="minorHAnsi"/>
          <w:bCs/>
        </w:rPr>
        <w:t>.</w:t>
      </w:r>
    </w:p>
    <w:p w14:paraId="734BBCB2" w14:textId="77777777" w:rsidR="00535CBF" w:rsidRPr="003C76FF" w:rsidRDefault="00535CBF" w:rsidP="00E526B6">
      <w:pPr>
        <w:spacing w:after="120"/>
        <w:rPr>
          <w:rFonts w:cstheme="minorHAnsi"/>
          <w:bCs/>
        </w:rPr>
      </w:pPr>
      <w:r>
        <w:rPr>
          <w:rFonts w:cstheme="minorHAnsi"/>
          <w:bCs/>
          <w:iCs/>
        </w:rPr>
        <w:t>К</w:t>
      </w:r>
      <w:r w:rsidRPr="003C76FF">
        <w:rPr>
          <w:rFonts w:cstheme="minorHAnsi"/>
          <w:bCs/>
          <w:iCs/>
        </w:rPr>
        <w:t xml:space="preserve"> </w:t>
      </w:r>
      <w:r>
        <w:rPr>
          <w:rFonts w:cstheme="minorHAnsi"/>
          <w:bCs/>
          <w:iCs/>
        </w:rPr>
        <w:t>основным</w:t>
      </w:r>
      <w:r w:rsidRPr="003C76FF">
        <w:rPr>
          <w:rFonts w:cstheme="minorHAnsi"/>
          <w:bCs/>
          <w:iCs/>
        </w:rPr>
        <w:t xml:space="preserve"> </w:t>
      </w:r>
      <w:r>
        <w:rPr>
          <w:rFonts w:cstheme="minorHAnsi"/>
          <w:bCs/>
          <w:iCs/>
        </w:rPr>
        <w:t>результатам</w:t>
      </w:r>
      <w:r w:rsidRPr="003C76FF">
        <w:rPr>
          <w:rFonts w:cstheme="minorHAnsi"/>
          <w:bCs/>
          <w:iCs/>
        </w:rPr>
        <w:t xml:space="preserve"> </w:t>
      </w:r>
      <w:r>
        <w:rPr>
          <w:rFonts w:cstheme="minorHAnsi"/>
          <w:bCs/>
          <w:iCs/>
        </w:rPr>
        <w:t>применения</w:t>
      </w:r>
      <w:r w:rsidRPr="003C76FF">
        <w:rPr>
          <w:rFonts w:cstheme="minorHAnsi"/>
          <w:bCs/>
          <w:iCs/>
        </w:rPr>
        <w:t xml:space="preserve"> </w:t>
      </w:r>
      <w:r>
        <w:rPr>
          <w:rFonts w:cstheme="minorHAnsi"/>
          <w:bCs/>
          <w:iCs/>
        </w:rPr>
        <w:t>управления</w:t>
      </w:r>
      <w:r w:rsidRPr="003C76FF">
        <w:rPr>
          <w:rFonts w:cstheme="minorHAnsi"/>
          <w:bCs/>
          <w:iCs/>
        </w:rPr>
        <w:t xml:space="preserve">, </w:t>
      </w:r>
      <w:r>
        <w:rPr>
          <w:rFonts w:cstheme="minorHAnsi"/>
          <w:bCs/>
          <w:iCs/>
        </w:rPr>
        <w:t>ориентированного на результаты, относятся</w:t>
      </w:r>
      <w:r w:rsidRPr="003C76FF">
        <w:rPr>
          <w:rFonts w:cstheme="minorHAnsi"/>
          <w:bCs/>
          <w:iCs/>
        </w:rPr>
        <w:t>:</w:t>
      </w:r>
    </w:p>
    <w:p w14:paraId="3B92E709" w14:textId="775A6F6E" w:rsidR="00535CBF" w:rsidRPr="003C76FF" w:rsidRDefault="00D3041E" w:rsidP="00D3041E">
      <w:pPr>
        <w:pStyle w:val="enumlev1"/>
      </w:pPr>
      <w:r w:rsidRPr="00D3041E">
        <w:t>−</w:t>
      </w:r>
      <w:r w:rsidRPr="00D3041E">
        <w:tab/>
      </w:r>
      <w:r w:rsidR="00535CBF">
        <w:t>подход</w:t>
      </w:r>
      <w:r w:rsidR="00535CBF" w:rsidRPr="003C76FF">
        <w:t xml:space="preserve">, </w:t>
      </w:r>
      <w:r w:rsidR="00535CBF">
        <w:t>ориентированный</w:t>
      </w:r>
      <w:r w:rsidR="00535CBF" w:rsidRPr="003C76FF">
        <w:t xml:space="preserve"> </w:t>
      </w:r>
      <w:r w:rsidR="00535CBF">
        <w:t>на</w:t>
      </w:r>
      <w:r w:rsidR="00535CBF" w:rsidRPr="003C76FF">
        <w:t xml:space="preserve"> </w:t>
      </w:r>
      <w:r w:rsidR="00535CBF">
        <w:t>тематические</w:t>
      </w:r>
      <w:r w:rsidR="00535CBF" w:rsidRPr="003C76FF">
        <w:t xml:space="preserve"> </w:t>
      </w:r>
      <w:r w:rsidR="00535CBF">
        <w:t>приоритеты</w:t>
      </w:r>
      <w:r w:rsidR="00535CBF" w:rsidRPr="003C76FF">
        <w:t xml:space="preserve">, </w:t>
      </w:r>
      <w:r w:rsidR="00535CBF">
        <w:t>определенные</w:t>
      </w:r>
      <w:r w:rsidR="00535CBF" w:rsidRPr="003C76FF">
        <w:t xml:space="preserve"> </w:t>
      </w:r>
      <w:r w:rsidR="00535CBF">
        <w:t>в</w:t>
      </w:r>
      <w:r w:rsidR="00535CBF" w:rsidRPr="003C76FF">
        <w:t xml:space="preserve"> </w:t>
      </w:r>
      <w:r w:rsidR="00535CBF">
        <w:t>программах</w:t>
      </w:r>
      <w:r w:rsidR="00535CBF" w:rsidRPr="003C76FF">
        <w:t xml:space="preserve"> </w:t>
      </w:r>
      <w:r w:rsidR="00535CBF">
        <w:t>Плана</w:t>
      </w:r>
      <w:r w:rsidR="00535CBF" w:rsidRPr="003C76FF">
        <w:t xml:space="preserve"> </w:t>
      </w:r>
      <w:r w:rsidR="00535CBF">
        <w:t>действий</w:t>
      </w:r>
      <w:r w:rsidR="00535CBF" w:rsidRPr="003C76FF">
        <w:t xml:space="preserve"> </w:t>
      </w:r>
      <w:r w:rsidR="00535CBF">
        <w:t>Буэнос-Айреса;</w:t>
      </w:r>
    </w:p>
    <w:p w14:paraId="0DB60D2E" w14:textId="21FFA925" w:rsidR="00535CBF" w:rsidRPr="004D1FC8" w:rsidRDefault="00D3041E" w:rsidP="00D3041E">
      <w:pPr>
        <w:pStyle w:val="enumlev1"/>
      </w:pPr>
      <w:r w:rsidRPr="00D3041E">
        <w:lastRenderedPageBreak/>
        <w:t>−</w:t>
      </w:r>
      <w:r w:rsidRPr="00D3041E">
        <w:tab/>
      </w:r>
      <w:r w:rsidR="00535CBF">
        <w:t>целостный</w:t>
      </w:r>
      <w:r w:rsidR="00535CBF" w:rsidRPr="004D1FC8">
        <w:t xml:space="preserve"> </w:t>
      </w:r>
      <w:r w:rsidR="00535CBF">
        <w:t>программный</w:t>
      </w:r>
      <w:r w:rsidR="00535CBF" w:rsidRPr="004D1FC8">
        <w:t xml:space="preserve"> </w:t>
      </w:r>
      <w:r w:rsidR="00535CBF">
        <w:t>подход</w:t>
      </w:r>
      <w:r w:rsidR="00535CBF" w:rsidRPr="004D1FC8">
        <w:t xml:space="preserve">, </w:t>
      </w:r>
      <w:r w:rsidR="00535CBF">
        <w:t>сочетающий</w:t>
      </w:r>
      <w:r w:rsidR="00535CBF" w:rsidRPr="004D1FC8">
        <w:t xml:space="preserve"> </w:t>
      </w:r>
      <w:r w:rsidR="00535CBF">
        <w:t>все</w:t>
      </w:r>
      <w:r w:rsidR="00535CBF" w:rsidRPr="004D1FC8">
        <w:t xml:space="preserve"> </w:t>
      </w:r>
      <w:r w:rsidR="00535CBF">
        <w:t>имеющиеся</w:t>
      </w:r>
      <w:r w:rsidR="00535CBF" w:rsidRPr="004D1FC8">
        <w:t xml:space="preserve"> </w:t>
      </w:r>
      <w:r w:rsidR="00535CBF">
        <w:t>ресурсы</w:t>
      </w:r>
      <w:r w:rsidR="00535CBF" w:rsidRPr="004D1FC8">
        <w:t xml:space="preserve"> </w:t>
      </w:r>
      <w:r w:rsidR="00535CBF">
        <w:t>из</w:t>
      </w:r>
      <w:r w:rsidR="00535CBF" w:rsidRPr="004D1FC8">
        <w:t xml:space="preserve"> </w:t>
      </w:r>
      <w:r w:rsidR="00535CBF">
        <w:t>различных</w:t>
      </w:r>
      <w:r w:rsidR="00535CBF" w:rsidRPr="004D1FC8">
        <w:t xml:space="preserve"> </w:t>
      </w:r>
      <w:r w:rsidR="00535CBF">
        <w:t>источников</w:t>
      </w:r>
      <w:r w:rsidR="00535CBF" w:rsidRPr="004D1FC8">
        <w:t xml:space="preserve">, </w:t>
      </w:r>
      <w:r w:rsidR="00535CBF">
        <w:t>таких</w:t>
      </w:r>
      <w:r w:rsidR="00535CBF" w:rsidRPr="004D1FC8">
        <w:t xml:space="preserve"> </w:t>
      </w:r>
      <w:r w:rsidR="00535CBF">
        <w:t>как</w:t>
      </w:r>
      <w:r w:rsidR="00535CBF" w:rsidRPr="004D1FC8">
        <w:t xml:space="preserve"> </w:t>
      </w:r>
      <w:r w:rsidR="00535CBF">
        <w:t>бюджет</w:t>
      </w:r>
      <w:r w:rsidR="00535CBF" w:rsidRPr="004D1FC8">
        <w:t xml:space="preserve"> </w:t>
      </w:r>
      <w:r w:rsidR="00535CBF">
        <w:t>оперативного</w:t>
      </w:r>
      <w:r w:rsidR="00535CBF" w:rsidRPr="004D1FC8">
        <w:t xml:space="preserve"> </w:t>
      </w:r>
      <w:r w:rsidR="00535CBF">
        <w:t>плана</w:t>
      </w:r>
      <w:r w:rsidR="00535CBF" w:rsidRPr="004D1FC8">
        <w:t xml:space="preserve">, </w:t>
      </w:r>
      <w:r w:rsidR="00535CBF">
        <w:t>проекты</w:t>
      </w:r>
      <w:r w:rsidR="00535CBF" w:rsidRPr="004D1FC8">
        <w:t xml:space="preserve">, </w:t>
      </w:r>
      <w:r w:rsidR="00535CBF">
        <w:t>региональные инициативы и целевые фонды;</w:t>
      </w:r>
    </w:p>
    <w:p w14:paraId="1C244713" w14:textId="5F16A30C" w:rsidR="00535CBF" w:rsidRPr="004D1FC8" w:rsidRDefault="00D3041E" w:rsidP="00D3041E">
      <w:pPr>
        <w:pStyle w:val="enumlev1"/>
      </w:pPr>
      <w:r w:rsidRPr="00D3041E">
        <w:t>−</w:t>
      </w:r>
      <w:r w:rsidRPr="00D3041E">
        <w:tab/>
      </w:r>
      <w:r w:rsidR="00535CBF">
        <w:t>новый</w:t>
      </w:r>
      <w:r w:rsidR="00535CBF" w:rsidRPr="004D1FC8">
        <w:t xml:space="preserve"> </w:t>
      </w:r>
      <w:r w:rsidR="00535CBF">
        <w:t>процесс</w:t>
      </w:r>
      <w:r w:rsidR="00535CBF" w:rsidRPr="004D1FC8">
        <w:t xml:space="preserve"> </w:t>
      </w:r>
      <w:r w:rsidR="00535CBF">
        <w:t>принятия</w:t>
      </w:r>
      <w:r w:rsidR="00535CBF" w:rsidRPr="004D1FC8">
        <w:t xml:space="preserve"> </w:t>
      </w:r>
      <w:r w:rsidR="00535CBF">
        <w:t>решений</w:t>
      </w:r>
      <w:r w:rsidR="00535CBF" w:rsidRPr="004D1FC8">
        <w:t xml:space="preserve"> </w:t>
      </w:r>
      <w:r w:rsidR="00535CBF">
        <w:t>для</w:t>
      </w:r>
      <w:r w:rsidR="00535CBF" w:rsidRPr="004D1FC8">
        <w:t xml:space="preserve"> </w:t>
      </w:r>
      <w:r w:rsidR="00535CBF">
        <w:t>делегирования</w:t>
      </w:r>
      <w:r w:rsidR="00535CBF" w:rsidRPr="004D1FC8">
        <w:t xml:space="preserve"> </w:t>
      </w:r>
      <w:r w:rsidR="00535CBF">
        <w:t>полномочий</w:t>
      </w:r>
      <w:r w:rsidR="00535CBF" w:rsidRPr="004D1FC8">
        <w:t xml:space="preserve"> </w:t>
      </w:r>
      <w:r w:rsidR="00535CBF">
        <w:t>в</w:t>
      </w:r>
      <w:r w:rsidR="00535CBF" w:rsidRPr="004D1FC8">
        <w:t xml:space="preserve"> </w:t>
      </w:r>
      <w:r w:rsidR="00535CBF">
        <w:t>сочетании</w:t>
      </w:r>
      <w:r w:rsidR="00535CBF" w:rsidRPr="004D1FC8">
        <w:t xml:space="preserve"> </w:t>
      </w:r>
      <w:r w:rsidR="00535CBF">
        <w:t>с</w:t>
      </w:r>
      <w:r w:rsidR="00535CBF" w:rsidRPr="004D1FC8">
        <w:t xml:space="preserve"> </w:t>
      </w:r>
      <w:r w:rsidR="00535CBF">
        <w:t>требуемыми</w:t>
      </w:r>
      <w:r w:rsidR="00535CBF" w:rsidRPr="004D1FC8">
        <w:t xml:space="preserve"> </w:t>
      </w:r>
      <w:r w:rsidR="00535CBF">
        <w:t>ресурсами</w:t>
      </w:r>
      <w:r w:rsidR="00535CBF" w:rsidRPr="004D1FC8">
        <w:t xml:space="preserve"> </w:t>
      </w:r>
      <w:r w:rsidR="00535CBF">
        <w:t>для</w:t>
      </w:r>
      <w:r w:rsidR="00535CBF" w:rsidRPr="004D1FC8">
        <w:t xml:space="preserve"> </w:t>
      </w:r>
      <w:r w:rsidR="00535CBF">
        <w:t>координаторов</w:t>
      </w:r>
      <w:r w:rsidR="00535CBF" w:rsidRPr="004D1FC8">
        <w:t xml:space="preserve"> </w:t>
      </w:r>
      <w:r w:rsidR="00535CBF">
        <w:t>тематических</w:t>
      </w:r>
      <w:r w:rsidR="00535CBF" w:rsidRPr="004D1FC8">
        <w:t xml:space="preserve"> </w:t>
      </w:r>
      <w:r w:rsidR="00535CBF">
        <w:t>приоритетов</w:t>
      </w:r>
      <w:r w:rsidR="00535CBF" w:rsidRPr="004D1FC8">
        <w:t xml:space="preserve"> </w:t>
      </w:r>
      <w:r w:rsidR="00535CBF">
        <w:t>и директоров региональных отделений;</w:t>
      </w:r>
    </w:p>
    <w:p w14:paraId="36C76192" w14:textId="102508A3" w:rsidR="00535CBF" w:rsidRPr="00132CCD" w:rsidRDefault="00D3041E" w:rsidP="00D3041E">
      <w:pPr>
        <w:pStyle w:val="enumlev1"/>
      </w:pPr>
      <w:r w:rsidRPr="00D3041E">
        <w:t>−</w:t>
      </w:r>
      <w:r w:rsidRPr="00D3041E">
        <w:tab/>
      </w:r>
      <w:r w:rsidR="00535CBF">
        <w:t>определение</w:t>
      </w:r>
      <w:r w:rsidR="00535CBF" w:rsidRPr="00132CCD">
        <w:t xml:space="preserve"> </w:t>
      </w:r>
      <w:r w:rsidR="00535CBF">
        <w:t>партнерств</w:t>
      </w:r>
      <w:r w:rsidR="00535CBF" w:rsidRPr="00132CCD">
        <w:t xml:space="preserve">, </w:t>
      </w:r>
      <w:r w:rsidR="00535CBF">
        <w:t>мобилизация</w:t>
      </w:r>
      <w:r w:rsidR="00535CBF" w:rsidRPr="00132CCD">
        <w:t xml:space="preserve"> </w:t>
      </w:r>
      <w:r w:rsidR="00535CBF">
        <w:t>ресурсов</w:t>
      </w:r>
      <w:r w:rsidR="00535CBF" w:rsidRPr="00132CCD">
        <w:t xml:space="preserve"> </w:t>
      </w:r>
      <w:r w:rsidR="00535CBF">
        <w:t>и</w:t>
      </w:r>
      <w:r w:rsidR="00535CBF" w:rsidRPr="00132CCD">
        <w:t xml:space="preserve"> </w:t>
      </w:r>
      <w:r w:rsidR="00535CBF">
        <w:t>стратегии</w:t>
      </w:r>
      <w:r w:rsidR="00535CBF" w:rsidRPr="00132CCD">
        <w:t xml:space="preserve"> </w:t>
      </w:r>
      <w:r w:rsidR="00535CBF">
        <w:t>взаимодействия</w:t>
      </w:r>
      <w:r w:rsidR="00535CBF" w:rsidRPr="00132CCD">
        <w:t xml:space="preserve">, </w:t>
      </w:r>
      <w:r w:rsidR="00535CBF">
        <w:t>в</w:t>
      </w:r>
      <w:r w:rsidR="00535CBF" w:rsidRPr="00132CCD">
        <w:t xml:space="preserve"> </w:t>
      </w:r>
      <w:r w:rsidR="00535CBF">
        <w:t>которых</w:t>
      </w:r>
      <w:r w:rsidR="00535CBF" w:rsidRPr="00132CCD">
        <w:t xml:space="preserve"> </w:t>
      </w:r>
      <w:r w:rsidR="00535CBF">
        <w:t>основное</w:t>
      </w:r>
      <w:r w:rsidR="00535CBF" w:rsidRPr="00132CCD">
        <w:t xml:space="preserve"> </w:t>
      </w:r>
      <w:r w:rsidR="00535CBF">
        <w:t>внимание</w:t>
      </w:r>
      <w:r w:rsidR="00535CBF" w:rsidRPr="00132CCD">
        <w:t xml:space="preserve"> </w:t>
      </w:r>
      <w:r w:rsidR="00535CBF">
        <w:t>уделяется</w:t>
      </w:r>
      <w:r w:rsidR="00535CBF" w:rsidRPr="00132CCD">
        <w:t xml:space="preserve"> </w:t>
      </w:r>
      <w:r w:rsidR="00535CBF">
        <w:t>воздействию и итогам на основании теорий перемен по тематическим приоритетам;</w:t>
      </w:r>
    </w:p>
    <w:p w14:paraId="19F6E453" w14:textId="3AA56B49" w:rsidR="00535CBF" w:rsidRPr="00574E1C" w:rsidRDefault="00D3041E" w:rsidP="00D3041E">
      <w:pPr>
        <w:pStyle w:val="enumlev1"/>
        <w:spacing w:after="120"/>
      </w:pPr>
      <w:r w:rsidRPr="00D3041E">
        <w:t>−</w:t>
      </w:r>
      <w:r w:rsidRPr="00D3041E">
        <w:tab/>
      </w:r>
      <w:r w:rsidR="00535CBF">
        <w:t>ежеквартальные</w:t>
      </w:r>
      <w:r w:rsidR="00535CBF" w:rsidRPr="006E11A4">
        <w:t xml:space="preserve"> </w:t>
      </w:r>
      <w:r w:rsidR="00535CBF">
        <w:t>обзорные</w:t>
      </w:r>
      <w:r w:rsidR="00535CBF" w:rsidRPr="006E11A4">
        <w:t xml:space="preserve"> </w:t>
      </w:r>
      <w:r w:rsidR="00535CBF">
        <w:t>собрания</w:t>
      </w:r>
      <w:r w:rsidR="00535CBF" w:rsidRPr="00F560E5">
        <w:t xml:space="preserve"> для наблюдения за ходом работы и корректирования все элементов программ работы, причем основное внимание уделяется </w:t>
      </w:r>
      <w:r w:rsidR="00535CBF" w:rsidRPr="00F560E5">
        <w:rPr>
          <w:color w:val="000000"/>
        </w:rPr>
        <w:t>отвечающим SMART</w:t>
      </w:r>
      <w:r w:rsidR="00535CBF" w:rsidRPr="00574E1C">
        <w:rPr>
          <w:color w:val="000000"/>
        </w:rPr>
        <w:noBreakHyphen/>
      </w:r>
      <w:r w:rsidR="00535CBF" w:rsidRPr="00F560E5">
        <w:rPr>
          <w:color w:val="000000"/>
        </w:rPr>
        <w:t>критериям ключевым показателям деятельности и оценке операционных риско</w:t>
      </w:r>
      <w:r w:rsidR="00535CBF">
        <w:rPr>
          <w:color w:val="000000"/>
        </w:rPr>
        <w:t>в</w:t>
      </w:r>
      <w:r w:rsidR="00535CBF" w:rsidRPr="00F560E5">
        <w:rPr>
          <w:color w:val="000000"/>
        </w:rPr>
        <w:t xml:space="preserve"> по каждому тематическому приоритету</w:t>
      </w:r>
      <w:r w:rsidR="00535CBF" w:rsidRPr="00F560E5">
        <w:t>. Первое</w:t>
      </w:r>
      <w:r w:rsidR="00535CBF" w:rsidRPr="00574E1C">
        <w:t xml:space="preserve"> </w:t>
      </w:r>
      <w:r w:rsidR="00535CBF" w:rsidRPr="00F560E5">
        <w:t>ежеквартальное</w:t>
      </w:r>
      <w:r w:rsidR="00535CBF" w:rsidRPr="00574E1C">
        <w:t xml:space="preserve"> </w:t>
      </w:r>
      <w:r w:rsidR="00535CBF" w:rsidRPr="00F560E5">
        <w:t>обзорное</w:t>
      </w:r>
      <w:r w:rsidR="00535CBF" w:rsidRPr="00574E1C">
        <w:t xml:space="preserve"> </w:t>
      </w:r>
      <w:r w:rsidR="00535CBF" w:rsidRPr="00F560E5">
        <w:t>собрание</w:t>
      </w:r>
      <w:r w:rsidR="00535CBF" w:rsidRPr="00574E1C">
        <w:t xml:space="preserve"> </w:t>
      </w:r>
      <w:r w:rsidR="00535CBF" w:rsidRPr="00F560E5">
        <w:t>состоялось</w:t>
      </w:r>
      <w:r w:rsidR="00535CBF" w:rsidRPr="00574E1C">
        <w:t xml:space="preserve"> 4</w:t>
      </w:r>
      <w:r w:rsidR="00535CBF" w:rsidRPr="00F560E5">
        <w:t> мая</w:t>
      </w:r>
      <w:r w:rsidR="00535CBF" w:rsidRPr="00574E1C">
        <w:t xml:space="preserve"> 2020</w:t>
      </w:r>
      <w:r w:rsidR="00535CBF" w:rsidRPr="00F560E5">
        <w:t> года</w:t>
      </w:r>
      <w:r w:rsidR="00535CBF" w:rsidRPr="00574E1C">
        <w:t>.</w:t>
      </w:r>
    </w:p>
    <w:tbl>
      <w:tblPr>
        <w:tblStyle w:val="TableGrid"/>
        <w:tblW w:w="0" w:type="auto"/>
        <w:tblLook w:val="04A0" w:firstRow="1" w:lastRow="0" w:firstColumn="1" w:lastColumn="0" w:noHBand="0" w:noVBand="1"/>
      </w:tblPr>
      <w:tblGrid>
        <w:gridCol w:w="9628"/>
      </w:tblGrid>
      <w:tr w:rsidR="00535CBF" w:rsidRPr="00D3041E" w14:paraId="75D35411" w14:textId="77777777" w:rsidTr="00E526B6">
        <w:tc>
          <w:tcPr>
            <w:tcW w:w="9629" w:type="dxa"/>
          </w:tcPr>
          <w:p w14:paraId="2FA2062A" w14:textId="77777777" w:rsidR="00535CBF" w:rsidRPr="00D3041E" w:rsidRDefault="00535CBF" w:rsidP="00D3041E">
            <w:pPr>
              <w:spacing w:after="120"/>
              <w:rPr>
                <w:sz w:val="22"/>
              </w:rPr>
            </w:pPr>
            <w:r w:rsidRPr="00D3041E">
              <w:rPr>
                <w:sz w:val="22"/>
              </w:rPr>
              <w:t>КГРЭ с интересом приняла документ к сведению и дала ему высокую оценку, поддерживает прогресс, достигнутый БРЭ по осуществлению УОР, и будет рада познакомиться с обновленными сведениями. Директор БРЭ пояснила в ходе ответов на задаваемые вопросы, что осуществление УОР полностью финансируется из основного бюджета БРЭ, поскольку входит в обязанности всех сотрудников БРЭ, а дополнительные расходы покрываются канцелярией Директора БРЭ.</w:t>
            </w:r>
          </w:p>
        </w:tc>
      </w:tr>
    </w:tbl>
    <w:p w14:paraId="474D1613" w14:textId="77777777" w:rsidR="00535CBF" w:rsidRPr="007F57F1" w:rsidRDefault="00535CBF" w:rsidP="00083D22">
      <w:pPr>
        <w:pStyle w:val="Heading1"/>
        <w:spacing w:before="360"/>
      </w:pPr>
      <w:r w:rsidRPr="007F57F1">
        <w:t>19</w:t>
      </w:r>
      <w:r w:rsidRPr="007F57F1">
        <w:tab/>
      </w:r>
      <w:r>
        <w:t>Виды деятельности, касающиеся пандемии</w:t>
      </w:r>
      <w:r w:rsidRPr="007F57F1">
        <w:t xml:space="preserve"> COVID-19</w:t>
      </w:r>
    </w:p>
    <w:p w14:paraId="7354A127" w14:textId="77777777" w:rsidR="00535CBF" w:rsidRPr="00C402B3" w:rsidRDefault="00535CBF" w:rsidP="00E526B6">
      <w:pPr>
        <w:spacing w:after="120"/>
        <w:rPr>
          <w:rFonts w:cstheme="minorHAnsi"/>
        </w:rPr>
      </w:pPr>
      <w:r>
        <w:rPr>
          <w:rFonts w:cstheme="minorHAnsi"/>
        </w:rPr>
        <w:t>В</w:t>
      </w:r>
      <w:r w:rsidRPr="00C402B3">
        <w:rPr>
          <w:rFonts w:cstheme="minorHAnsi"/>
        </w:rPr>
        <w:t xml:space="preserve"> </w:t>
      </w:r>
      <w:hyperlink r:id="rId64" w:history="1">
        <w:r w:rsidRPr="00C402B3">
          <w:rPr>
            <w:rStyle w:val="Hyperlink"/>
            <w:rFonts w:cstheme="minorHAnsi"/>
          </w:rPr>
          <w:t>Документ</w:t>
        </w:r>
        <w:r>
          <w:rPr>
            <w:rStyle w:val="Hyperlink"/>
            <w:rFonts w:cstheme="minorHAnsi"/>
          </w:rPr>
          <w:t>е</w:t>
        </w:r>
        <w:r w:rsidRPr="00C402B3">
          <w:rPr>
            <w:rStyle w:val="Hyperlink"/>
            <w:rFonts w:cstheme="minorHAnsi"/>
          </w:rPr>
          <w:t xml:space="preserve"> 14</w:t>
        </w:r>
      </w:hyperlink>
      <w:r w:rsidRPr="00C402B3">
        <w:rPr>
          <w:rFonts w:cstheme="minorHAnsi"/>
        </w:rPr>
        <w:t xml:space="preserve"> </w:t>
      </w:r>
      <w:r>
        <w:rPr>
          <w:rFonts w:cstheme="minorHAnsi"/>
        </w:rPr>
        <w:t>приводится</w:t>
      </w:r>
      <w:r w:rsidRPr="00C402B3">
        <w:rPr>
          <w:rFonts w:cstheme="minorHAnsi"/>
        </w:rPr>
        <w:t xml:space="preserve"> </w:t>
      </w:r>
      <w:r>
        <w:rPr>
          <w:rFonts w:cstheme="minorHAnsi"/>
        </w:rPr>
        <w:t>обзор</w:t>
      </w:r>
      <w:r w:rsidRPr="00C402B3">
        <w:rPr>
          <w:rFonts w:cstheme="minorHAnsi"/>
        </w:rPr>
        <w:t xml:space="preserve"> </w:t>
      </w:r>
      <w:r>
        <w:rPr>
          <w:rFonts w:cstheme="minorHAnsi"/>
        </w:rPr>
        <w:t>деятельности</w:t>
      </w:r>
      <w:r w:rsidRPr="00C402B3">
        <w:rPr>
          <w:rFonts w:cstheme="minorHAnsi"/>
        </w:rPr>
        <w:t xml:space="preserve">, </w:t>
      </w:r>
      <w:r>
        <w:rPr>
          <w:rFonts w:cstheme="minorHAnsi"/>
        </w:rPr>
        <w:t>проводимой</w:t>
      </w:r>
      <w:r w:rsidRPr="00C402B3">
        <w:rPr>
          <w:rFonts w:cstheme="minorHAnsi"/>
        </w:rPr>
        <w:t xml:space="preserve"> </w:t>
      </w:r>
      <w:r>
        <w:rPr>
          <w:rFonts w:cstheme="minorHAnsi"/>
        </w:rPr>
        <w:t>БРЭ</w:t>
      </w:r>
      <w:r w:rsidRPr="00C402B3">
        <w:rPr>
          <w:rFonts w:cstheme="minorHAnsi"/>
        </w:rPr>
        <w:t xml:space="preserve"> </w:t>
      </w:r>
      <w:r>
        <w:rPr>
          <w:rFonts w:cstheme="minorHAnsi"/>
        </w:rPr>
        <w:t>для</w:t>
      </w:r>
      <w:r w:rsidRPr="00C402B3">
        <w:rPr>
          <w:rFonts w:cstheme="minorHAnsi"/>
        </w:rPr>
        <w:t xml:space="preserve"> </w:t>
      </w:r>
      <w:r>
        <w:rPr>
          <w:rFonts w:cstheme="minorHAnsi"/>
        </w:rPr>
        <w:t>помощи</w:t>
      </w:r>
      <w:r w:rsidRPr="00C402B3">
        <w:rPr>
          <w:rFonts w:cstheme="minorHAnsi"/>
        </w:rPr>
        <w:t xml:space="preserve"> </w:t>
      </w:r>
      <w:r>
        <w:rPr>
          <w:rFonts w:cstheme="minorHAnsi"/>
        </w:rPr>
        <w:t>Государствам</w:t>
      </w:r>
      <w:r w:rsidRPr="00C402B3">
        <w:rPr>
          <w:rFonts w:cstheme="minorHAnsi"/>
        </w:rPr>
        <w:t>-</w:t>
      </w:r>
      <w:r>
        <w:rPr>
          <w:rFonts w:cstheme="minorHAnsi"/>
        </w:rPr>
        <w:t>Членам</w:t>
      </w:r>
      <w:r w:rsidRPr="00C402B3">
        <w:rPr>
          <w:rFonts w:cstheme="minorHAnsi"/>
        </w:rPr>
        <w:t xml:space="preserve"> </w:t>
      </w:r>
      <w:r>
        <w:rPr>
          <w:rFonts w:cstheme="minorHAnsi"/>
        </w:rPr>
        <w:t>в</w:t>
      </w:r>
      <w:r w:rsidRPr="00C402B3">
        <w:rPr>
          <w:rFonts w:cstheme="minorHAnsi"/>
        </w:rPr>
        <w:t xml:space="preserve"> </w:t>
      </w:r>
      <w:r>
        <w:rPr>
          <w:rFonts w:cstheme="minorHAnsi"/>
        </w:rPr>
        <w:t>принятии</w:t>
      </w:r>
      <w:r w:rsidRPr="00C402B3">
        <w:rPr>
          <w:rFonts w:cstheme="minorHAnsi"/>
        </w:rPr>
        <w:t xml:space="preserve"> </w:t>
      </w:r>
      <w:r>
        <w:rPr>
          <w:rFonts w:cstheme="minorHAnsi"/>
        </w:rPr>
        <w:t>мер</w:t>
      </w:r>
      <w:r w:rsidRPr="00C402B3">
        <w:rPr>
          <w:rFonts w:cstheme="minorHAnsi"/>
        </w:rPr>
        <w:t xml:space="preserve"> </w:t>
      </w:r>
      <w:r>
        <w:rPr>
          <w:rFonts w:cstheme="minorHAnsi"/>
        </w:rPr>
        <w:t>в</w:t>
      </w:r>
      <w:r w:rsidRPr="00C402B3">
        <w:rPr>
          <w:rFonts w:cstheme="minorHAnsi"/>
        </w:rPr>
        <w:t xml:space="preserve"> </w:t>
      </w:r>
      <w:r>
        <w:rPr>
          <w:rFonts w:cstheme="minorHAnsi"/>
        </w:rPr>
        <w:t>связи</w:t>
      </w:r>
      <w:r w:rsidRPr="00C402B3">
        <w:rPr>
          <w:rFonts w:cstheme="minorHAnsi"/>
        </w:rPr>
        <w:t xml:space="preserve"> </w:t>
      </w:r>
      <w:r>
        <w:rPr>
          <w:rFonts w:cstheme="minorHAnsi"/>
        </w:rPr>
        <w:t>с</w:t>
      </w:r>
      <w:r w:rsidRPr="00C402B3">
        <w:rPr>
          <w:rFonts w:cstheme="minorHAnsi"/>
        </w:rPr>
        <w:t xml:space="preserve"> </w:t>
      </w:r>
      <w:r w:rsidRPr="007F57F1">
        <w:rPr>
          <w:rFonts w:cstheme="minorHAnsi"/>
        </w:rPr>
        <w:t>COVID</w:t>
      </w:r>
      <w:r w:rsidRPr="00C402B3">
        <w:rPr>
          <w:rFonts w:cstheme="minorHAnsi"/>
        </w:rPr>
        <w:t xml:space="preserve">-19 </w:t>
      </w:r>
      <w:r>
        <w:rPr>
          <w:rFonts w:cstheme="minorHAnsi"/>
        </w:rPr>
        <w:t>содействия в связи с растущей нагрузкой на сети электросвязи/ИКТ</w:t>
      </w:r>
      <w:r w:rsidRPr="00C402B3">
        <w:rPr>
          <w:rFonts w:cstheme="minorHAnsi"/>
        </w:rPr>
        <w:t>.</w:t>
      </w:r>
    </w:p>
    <w:p w14:paraId="10B75599" w14:textId="77777777" w:rsidR="00535CBF" w:rsidRPr="00CE125D" w:rsidRDefault="00535CBF" w:rsidP="00E526B6">
      <w:pPr>
        <w:spacing w:after="120"/>
        <w:rPr>
          <w:rFonts w:cstheme="minorHAnsi"/>
        </w:rPr>
      </w:pPr>
      <w:r>
        <w:rPr>
          <w:rFonts w:cstheme="minorHAnsi"/>
        </w:rPr>
        <w:t>Пандемия</w:t>
      </w:r>
      <w:r w:rsidRPr="00CE125D">
        <w:rPr>
          <w:rFonts w:cstheme="minorHAnsi"/>
        </w:rPr>
        <w:t xml:space="preserve"> </w:t>
      </w:r>
      <w:r w:rsidRPr="007F57F1">
        <w:rPr>
          <w:rFonts w:cstheme="minorHAnsi"/>
        </w:rPr>
        <w:t>COVID</w:t>
      </w:r>
      <w:r w:rsidRPr="00CE125D">
        <w:rPr>
          <w:rFonts w:cstheme="minorHAnsi"/>
        </w:rPr>
        <w:t xml:space="preserve">-19 </w:t>
      </w:r>
      <w:r>
        <w:rPr>
          <w:rFonts w:cstheme="minorHAnsi"/>
        </w:rPr>
        <w:t>наглядно</w:t>
      </w:r>
      <w:r w:rsidRPr="00CE125D">
        <w:rPr>
          <w:rFonts w:cstheme="minorHAnsi"/>
        </w:rPr>
        <w:t xml:space="preserve"> </w:t>
      </w:r>
      <w:r>
        <w:rPr>
          <w:rFonts w:cstheme="minorHAnsi"/>
        </w:rPr>
        <w:t>показала</w:t>
      </w:r>
      <w:r w:rsidRPr="00CE125D">
        <w:rPr>
          <w:rFonts w:cstheme="minorHAnsi"/>
        </w:rPr>
        <w:t xml:space="preserve"> </w:t>
      </w:r>
      <w:r>
        <w:rPr>
          <w:rFonts w:cstheme="minorHAnsi"/>
        </w:rPr>
        <w:t>решающее</w:t>
      </w:r>
      <w:r w:rsidRPr="00CE125D">
        <w:rPr>
          <w:rFonts w:cstheme="minorHAnsi"/>
        </w:rPr>
        <w:t xml:space="preserve"> </w:t>
      </w:r>
      <w:r>
        <w:rPr>
          <w:rFonts w:cstheme="minorHAnsi"/>
        </w:rPr>
        <w:t>значение</w:t>
      </w:r>
      <w:r w:rsidRPr="00CE125D">
        <w:rPr>
          <w:rFonts w:cstheme="minorHAnsi"/>
        </w:rPr>
        <w:t xml:space="preserve"> </w:t>
      </w:r>
      <w:r>
        <w:rPr>
          <w:rFonts w:cstheme="minorHAnsi"/>
        </w:rPr>
        <w:t>ИКТ</w:t>
      </w:r>
      <w:r w:rsidRPr="00CE125D">
        <w:rPr>
          <w:rFonts w:cstheme="minorHAnsi"/>
        </w:rPr>
        <w:t xml:space="preserve"> </w:t>
      </w:r>
      <w:r>
        <w:rPr>
          <w:rFonts w:cstheme="minorHAnsi"/>
        </w:rPr>
        <w:t>и</w:t>
      </w:r>
      <w:r w:rsidRPr="00CE125D">
        <w:rPr>
          <w:rFonts w:cstheme="minorHAnsi"/>
        </w:rPr>
        <w:t xml:space="preserve"> </w:t>
      </w:r>
      <w:r>
        <w:rPr>
          <w:rFonts w:cstheme="minorHAnsi"/>
        </w:rPr>
        <w:t>сетей</w:t>
      </w:r>
      <w:r w:rsidRPr="00CE125D">
        <w:rPr>
          <w:rFonts w:cstheme="minorHAnsi"/>
        </w:rPr>
        <w:t xml:space="preserve"> </w:t>
      </w:r>
      <w:r>
        <w:rPr>
          <w:rFonts w:cstheme="minorHAnsi"/>
        </w:rPr>
        <w:t>связи</w:t>
      </w:r>
      <w:r w:rsidRPr="00CE125D">
        <w:rPr>
          <w:rFonts w:cstheme="minorHAnsi"/>
        </w:rPr>
        <w:t xml:space="preserve"> </w:t>
      </w:r>
      <w:r>
        <w:rPr>
          <w:rFonts w:cstheme="minorHAnsi"/>
        </w:rPr>
        <w:t>и</w:t>
      </w:r>
      <w:r w:rsidRPr="00CE125D">
        <w:rPr>
          <w:rFonts w:cstheme="minorHAnsi"/>
        </w:rPr>
        <w:t xml:space="preserve"> </w:t>
      </w:r>
      <w:r>
        <w:rPr>
          <w:rFonts w:cstheme="minorHAnsi"/>
        </w:rPr>
        <w:t>сильную</w:t>
      </w:r>
      <w:r w:rsidRPr="00CE125D">
        <w:rPr>
          <w:rFonts w:cstheme="minorHAnsi"/>
        </w:rPr>
        <w:t xml:space="preserve"> </w:t>
      </w:r>
      <w:r>
        <w:rPr>
          <w:rFonts w:cstheme="minorHAnsi"/>
        </w:rPr>
        <w:t>зависимость</w:t>
      </w:r>
      <w:r w:rsidRPr="00CE125D">
        <w:rPr>
          <w:rFonts w:cstheme="minorHAnsi"/>
        </w:rPr>
        <w:t xml:space="preserve"> </w:t>
      </w:r>
      <w:r>
        <w:rPr>
          <w:rFonts w:cstheme="minorHAnsi"/>
        </w:rPr>
        <w:t>от них</w:t>
      </w:r>
      <w:r w:rsidRPr="00CE125D">
        <w:rPr>
          <w:rFonts w:cstheme="minorHAnsi"/>
        </w:rPr>
        <w:t xml:space="preserve">. </w:t>
      </w:r>
      <w:r>
        <w:rPr>
          <w:rFonts w:cstheme="minorHAnsi"/>
        </w:rPr>
        <w:t>БРЭ</w:t>
      </w:r>
      <w:r w:rsidRPr="00CE125D">
        <w:rPr>
          <w:rFonts w:cstheme="minorHAnsi"/>
        </w:rPr>
        <w:t xml:space="preserve"> </w:t>
      </w:r>
      <w:r>
        <w:rPr>
          <w:rFonts w:cstheme="minorHAnsi"/>
        </w:rPr>
        <w:t>осуществляло</w:t>
      </w:r>
      <w:r w:rsidRPr="00CE125D">
        <w:rPr>
          <w:rFonts w:cstheme="minorHAnsi"/>
        </w:rPr>
        <w:t xml:space="preserve"> </w:t>
      </w:r>
      <w:r>
        <w:rPr>
          <w:rFonts w:cstheme="minorHAnsi"/>
        </w:rPr>
        <w:t>инициативы</w:t>
      </w:r>
      <w:r w:rsidRPr="00CE125D">
        <w:rPr>
          <w:rFonts w:cstheme="minorHAnsi"/>
        </w:rPr>
        <w:t xml:space="preserve"> </w:t>
      </w:r>
      <w:r>
        <w:rPr>
          <w:rFonts w:cstheme="minorHAnsi"/>
        </w:rPr>
        <w:t>для</w:t>
      </w:r>
      <w:r w:rsidRPr="00CE125D">
        <w:rPr>
          <w:rFonts w:cstheme="minorHAnsi"/>
        </w:rPr>
        <w:t xml:space="preserve"> </w:t>
      </w:r>
      <w:r>
        <w:rPr>
          <w:rFonts w:cstheme="minorHAnsi"/>
        </w:rPr>
        <w:t>поддержки</w:t>
      </w:r>
      <w:r w:rsidRPr="00CE125D">
        <w:rPr>
          <w:rFonts w:cstheme="minorHAnsi"/>
        </w:rPr>
        <w:t xml:space="preserve"> </w:t>
      </w:r>
      <w:r>
        <w:rPr>
          <w:rFonts w:cstheme="minorHAnsi"/>
        </w:rPr>
        <w:t>членов</w:t>
      </w:r>
      <w:r w:rsidRPr="00CE125D">
        <w:rPr>
          <w:rFonts w:cstheme="minorHAnsi"/>
        </w:rPr>
        <w:t xml:space="preserve">, </w:t>
      </w:r>
      <w:r>
        <w:rPr>
          <w:rFonts w:cstheme="minorHAnsi"/>
        </w:rPr>
        <w:t>такие</w:t>
      </w:r>
      <w:r w:rsidRPr="00CE125D">
        <w:rPr>
          <w:rFonts w:cstheme="minorHAnsi"/>
        </w:rPr>
        <w:t xml:space="preserve"> </w:t>
      </w:r>
      <w:r>
        <w:rPr>
          <w:rFonts w:cstheme="minorHAnsi"/>
        </w:rPr>
        <w:t>как</w:t>
      </w:r>
      <w:r w:rsidRPr="00CE125D">
        <w:rPr>
          <w:rFonts w:cstheme="minorHAnsi"/>
        </w:rPr>
        <w:t xml:space="preserve"> </w:t>
      </w:r>
      <w:r w:rsidRPr="00CE125D">
        <w:rPr>
          <w:color w:val="000000"/>
          <w:szCs w:val="18"/>
        </w:rPr>
        <w:t xml:space="preserve">Глобальная платформа по обеспечению устойчивости сетей, </w:t>
      </w:r>
      <w:r>
        <w:rPr>
          <w:color w:val="000000"/>
          <w:szCs w:val="18"/>
        </w:rPr>
        <w:t>чтобы</w:t>
      </w:r>
      <w:r w:rsidRPr="00CE125D">
        <w:rPr>
          <w:color w:val="000000"/>
          <w:szCs w:val="18"/>
        </w:rPr>
        <w:t xml:space="preserve"> </w:t>
      </w:r>
      <w:r>
        <w:rPr>
          <w:color w:val="000000"/>
          <w:szCs w:val="18"/>
        </w:rPr>
        <w:t xml:space="preserve">сети и услуги электросвязи оставались </w:t>
      </w:r>
      <w:r w:rsidRPr="00CE125D">
        <w:rPr>
          <w:color w:val="000000"/>
        </w:rPr>
        <w:t>безопасными и доступными</w:t>
      </w:r>
      <w:r w:rsidRPr="00CE125D">
        <w:rPr>
          <w:rFonts w:cstheme="minorHAnsi"/>
        </w:rPr>
        <w:t xml:space="preserve">. К числе инициатив также относилось обновление </w:t>
      </w:r>
      <w:r w:rsidRPr="00CE125D">
        <w:rPr>
          <w:color w:val="000000"/>
        </w:rPr>
        <w:t xml:space="preserve">Руководящих указаний МСЭ по разработке национальных планов в области электросвязи в чрезвычайных ситуациях, сотрудничество с другими организациями и ассоциациями, в том числе с Комиссией по широкополосной связи, и совместная работа МСЭ, Всемирного банка, Ассоциации </w:t>
      </w:r>
      <w:r w:rsidRPr="00CE125D">
        <w:rPr>
          <w:rFonts w:cstheme="minorHAnsi"/>
        </w:rPr>
        <w:t>GSM и Всемирного экономического форума в условиях кризиса, вызванного COVID-19.</w:t>
      </w:r>
    </w:p>
    <w:tbl>
      <w:tblPr>
        <w:tblStyle w:val="TableGrid"/>
        <w:tblW w:w="0" w:type="auto"/>
        <w:tblLook w:val="04A0" w:firstRow="1" w:lastRow="0" w:firstColumn="1" w:lastColumn="0" w:noHBand="0" w:noVBand="1"/>
      </w:tblPr>
      <w:tblGrid>
        <w:gridCol w:w="9628"/>
      </w:tblGrid>
      <w:tr w:rsidR="00535CBF" w:rsidRPr="00BF3EFB" w14:paraId="2787B4E1" w14:textId="77777777" w:rsidTr="00E526B6">
        <w:tc>
          <w:tcPr>
            <w:tcW w:w="9629" w:type="dxa"/>
          </w:tcPr>
          <w:p w14:paraId="645B8EF2" w14:textId="77777777" w:rsidR="00535CBF" w:rsidRPr="00BF3EFB" w:rsidRDefault="00535CBF" w:rsidP="00E526B6">
            <w:pPr>
              <w:spacing w:after="120"/>
              <w:rPr>
                <w:sz w:val="22"/>
              </w:rPr>
            </w:pPr>
            <w:r w:rsidRPr="00BF3EFB">
              <w:rPr>
                <w:sz w:val="22"/>
              </w:rPr>
              <w:t>КГРЭ высоко оценила оперативное реагирование БРЭ на кризис и предоставление актуальной и полезной информации для поддержки эффективного и безопасного использования сетевых ресурсов. КГРЭ также приняла к сведению постоянные усилия исследовательских комиссий МСЭ</w:t>
            </w:r>
            <w:r w:rsidRPr="00BF3EFB">
              <w:rPr>
                <w:sz w:val="22"/>
              </w:rPr>
              <w:noBreakHyphen/>
              <w:t>D по поддержке ведущейся БРЭ работы по вопросам, связанным с COVID-19, и приветствовала объявления о будущих проектах, финансируемых Государствами-Членами для помощи развивающимся странам. Многие члены предложили свою помощь и заявили о желании поддержать усилия БРЭ, используя платформу для распространения собственных инициатив. Несмотря на объем поступающих на платформу материалов, члены просили переводить некоторые материалы на другие языки Союза и подчеркивали необходимость объединения информации по инициативам всех Секторов для представления Совету.</w:t>
            </w:r>
          </w:p>
        </w:tc>
      </w:tr>
    </w:tbl>
    <w:p w14:paraId="1C32E2D9" w14:textId="77777777" w:rsidR="00535CBF" w:rsidRPr="007F57F1" w:rsidRDefault="00535CBF" w:rsidP="00083D22">
      <w:pPr>
        <w:pStyle w:val="Heading1"/>
        <w:spacing w:before="360"/>
      </w:pPr>
      <w:r w:rsidRPr="007F57F1">
        <w:t>20</w:t>
      </w:r>
      <w:r w:rsidRPr="007F57F1">
        <w:tab/>
      </w:r>
      <w:r>
        <w:t>Календарь</w:t>
      </w:r>
      <w:r w:rsidRPr="003A476A">
        <w:t xml:space="preserve"> </w:t>
      </w:r>
      <w:r>
        <w:t>мероприятий</w:t>
      </w:r>
      <w:r w:rsidRPr="003A476A">
        <w:t xml:space="preserve"> </w:t>
      </w:r>
      <w:r>
        <w:t>МСЭ</w:t>
      </w:r>
      <w:r>
        <w:noBreakHyphen/>
      </w:r>
      <w:r w:rsidRPr="007F57F1">
        <w:t xml:space="preserve">D </w:t>
      </w:r>
    </w:p>
    <w:p w14:paraId="673560C4" w14:textId="1ADFCA45" w:rsidR="00535CBF" w:rsidRPr="00E526B6" w:rsidRDefault="00083D22" w:rsidP="00E526B6">
      <w:pPr>
        <w:pStyle w:val="CEONormal"/>
        <w:rPr>
          <w:lang w:val="ru-RU"/>
        </w:rPr>
      </w:pPr>
      <w:hyperlink r:id="rId65" w:history="1">
        <w:r w:rsidR="00535CBF" w:rsidRPr="00B17EBB">
          <w:rPr>
            <w:rStyle w:val="Hyperlink"/>
            <w:rFonts w:asciiTheme="minorHAnsi" w:hAnsiTheme="minorHAnsi" w:cstheme="minorHAnsi"/>
            <w:sz w:val="22"/>
            <w:szCs w:val="22"/>
            <w:lang w:val="ru-RU"/>
          </w:rPr>
          <w:t>Документ 15</w:t>
        </w:r>
      </w:hyperlink>
      <w:r w:rsidR="00535CBF" w:rsidRPr="00E526B6">
        <w:rPr>
          <w:rFonts w:ascii="Calibri" w:eastAsia="Times New Roman" w:hAnsi="Calibri" w:cstheme="minorHAnsi"/>
          <w:sz w:val="22"/>
          <w:szCs w:val="22"/>
          <w:lang w:val="ru-RU"/>
        </w:rPr>
        <w:t>: В этом документе представлен календарь мероприятий МСЭ</w:t>
      </w:r>
      <w:r w:rsidR="00535CBF" w:rsidRPr="00E526B6">
        <w:rPr>
          <w:rFonts w:ascii="Calibri" w:eastAsia="Times New Roman" w:hAnsi="Calibri" w:cstheme="minorHAnsi"/>
          <w:sz w:val="22"/>
          <w:szCs w:val="22"/>
          <w:lang w:val="ru-RU"/>
        </w:rPr>
        <w:noBreakHyphen/>
        <w:t>D, планируемых на 2020</w:t>
      </w:r>
      <w:r w:rsidR="00E526B6" w:rsidRPr="00E526B6">
        <w:rPr>
          <w:rFonts w:ascii="Calibri" w:eastAsia="Times New Roman" w:hAnsi="Calibri" w:cstheme="minorHAnsi"/>
          <w:sz w:val="22"/>
          <w:szCs w:val="22"/>
          <w:lang w:val="ru-RU"/>
        </w:rPr>
        <w:t>−</w:t>
      </w:r>
      <w:r w:rsidR="00535CBF" w:rsidRPr="00E526B6">
        <w:rPr>
          <w:rFonts w:ascii="Calibri" w:eastAsia="Times New Roman" w:hAnsi="Calibri" w:cstheme="minorHAnsi"/>
          <w:sz w:val="22"/>
          <w:szCs w:val="22"/>
          <w:lang w:val="ru-RU"/>
        </w:rPr>
        <w:t>2021 годы.</w:t>
      </w:r>
    </w:p>
    <w:p w14:paraId="05CE396A" w14:textId="77777777" w:rsidR="00535CBF" w:rsidRPr="00780853" w:rsidRDefault="00535CBF" w:rsidP="00E526B6">
      <w:pPr>
        <w:spacing w:after="120"/>
      </w:pPr>
      <w:r w:rsidRPr="007F57F1">
        <w:lastRenderedPageBreak/>
        <w:t>В</w:t>
      </w:r>
      <w:r w:rsidRPr="004D71B1">
        <w:t xml:space="preserve"> </w:t>
      </w:r>
      <w:hyperlink r:id="rId66" w:history="1">
        <w:r w:rsidRPr="004D71B1">
          <w:rPr>
            <w:rStyle w:val="Hyperlink"/>
            <w:rFonts w:asciiTheme="minorHAnsi" w:hAnsiTheme="minorHAnsi" w:cstheme="minorHAnsi"/>
          </w:rPr>
          <w:t>Документ</w:t>
        </w:r>
        <w:r w:rsidRPr="007F57F1">
          <w:rPr>
            <w:rStyle w:val="Hyperlink"/>
            <w:rFonts w:asciiTheme="minorHAnsi" w:hAnsiTheme="minorHAnsi" w:cstheme="minorHAnsi"/>
          </w:rPr>
          <w:t>е</w:t>
        </w:r>
        <w:r w:rsidRPr="004D71B1">
          <w:rPr>
            <w:rStyle w:val="Hyperlink"/>
            <w:rFonts w:asciiTheme="minorHAnsi" w:hAnsiTheme="minorHAnsi" w:cstheme="minorHAnsi"/>
          </w:rPr>
          <w:t xml:space="preserve"> 33</w:t>
        </w:r>
      </w:hyperlink>
      <w:r w:rsidRPr="004D71B1">
        <w:t xml:space="preserve"> </w:t>
      </w:r>
      <w:r>
        <w:rPr>
          <w:b/>
          <w:bCs/>
        </w:rPr>
        <w:t>Бутан</w:t>
      </w:r>
      <w:r w:rsidRPr="004D71B1">
        <w:rPr>
          <w:b/>
          <w:bCs/>
        </w:rPr>
        <w:t xml:space="preserve"> </w:t>
      </w:r>
      <w:r>
        <w:t>отмечает</w:t>
      </w:r>
      <w:r w:rsidRPr="004D71B1">
        <w:t xml:space="preserve">, </w:t>
      </w:r>
      <w:r>
        <w:t>что</w:t>
      </w:r>
      <w:r w:rsidRPr="004D71B1">
        <w:t xml:space="preserve"> </w:t>
      </w:r>
      <w:r>
        <w:t>МСЭ</w:t>
      </w:r>
      <w:r w:rsidRPr="004D71B1">
        <w:t xml:space="preserve"> </w:t>
      </w:r>
      <w:r>
        <w:t>организует</w:t>
      </w:r>
      <w:r w:rsidRPr="004D71B1">
        <w:t xml:space="preserve"> </w:t>
      </w:r>
      <w:r>
        <w:t>несколько</w:t>
      </w:r>
      <w:r w:rsidRPr="004D71B1">
        <w:t xml:space="preserve"> </w:t>
      </w:r>
      <w:r>
        <w:t>собраний</w:t>
      </w:r>
      <w:r w:rsidRPr="004D71B1">
        <w:t xml:space="preserve"> </w:t>
      </w:r>
      <w:r>
        <w:t>высокого</w:t>
      </w:r>
      <w:r w:rsidRPr="004D71B1">
        <w:t xml:space="preserve"> </w:t>
      </w:r>
      <w:r>
        <w:t>уровня</w:t>
      </w:r>
      <w:r w:rsidRPr="004D71B1">
        <w:t xml:space="preserve"> </w:t>
      </w:r>
      <w:r>
        <w:t>и</w:t>
      </w:r>
      <w:r w:rsidRPr="004D71B1">
        <w:t xml:space="preserve"> </w:t>
      </w:r>
      <w:r>
        <w:t>что</w:t>
      </w:r>
      <w:r w:rsidRPr="004D71B1">
        <w:t xml:space="preserve"> </w:t>
      </w:r>
      <w:r>
        <w:t>может</w:t>
      </w:r>
      <w:r w:rsidRPr="004D71B1">
        <w:t xml:space="preserve"> </w:t>
      </w:r>
      <w:r>
        <w:t>потребоваться</w:t>
      </w:r>
      <w:r w:rsidRPr="004D71B1">
        <w:t xml:space="preserve"> </w:t>
      </w:r>
      <w:r>
        <w:t>сократить число таких собраний</w:t>
      </w:r>
      <w:r w:rsidRPr="004D71B1">
        <w:t xml:space="preserve">. </w:t>
      </w:r>
      <w:r>
        <w:t>Наряду</w:t>
      </w:r>
      <w:r w:rsidRPr="004D71B1">
        <w:t xml:space="preserve"> </w:t>
      </w:r>
      <w:r>
        <w:t>с</w:t>
      </w:r>
      <w:r w:rsidRPr="004D71B1">
        <w:t xml:space="preserve"> </w:t>
      </w:r>
      <w:r>
        <w:t>этим</w:t>
      </w:r>
      <w:r w:rsidRPr="004D71B1">
        <w:t xml:space="preserve"> </w:t>
      </w:r>
      <w:r>
        <w:t>МСЭ</w:t>
      </w:r>
      <w:r w:rsidRPr="004D71B1">
        <w:t xml:space="preserve"> </w:t>
      </w:r>
      <w:r>
        <w:t>проводит</w:t>
      </w:r>
      <w:r w:rsidRPr="004D71B1">
        <w:t xml:space="preserve"> </w:t>
      </w:r>
      <w:r>
        <w:t>мероприятия</w:t>
      </w:r>
      <w:r w:rsidRPr="004D71B1">
        <w:t xml:space="preserve"> </w:t>
      </w:r>
      <w:r>
        <w:t>практически</w:t>
      </w:r>
      <w:r w:rsidRPr="004D71B1">
        <w:t xml:space="preserve"> </w:t>
      </w:r>
      <w:r>
        <w:t>ежедневно</w:t>
      </w:r>
      <w:r w:rsidRPr="004D71B1">
        <w:t xml:space="preserve">, </w:t>
      </w:r>
      <w:r>
        <w:t>причем</w:t>
      </w:r>
      <w:r w:rsidRPr="004D71B1">
        <w:t xml:space="preserve"> </w:t>
      </w:r>
      <w:r>
        <w:t>большинство</w:t>
      </w:r>
      <w:r w:rsidRPr="004D71B1">
        <w:t xml:space="preserve"> </w:t>
      </w:r>
      <w:r>
        <w:t>из</w:t>
      </w:r>
      <w:r w:rsidRPr="004D71B1">
        <w:t xml:space="preserve"> </w:t>
      </w:r>
      <w:r>
        <w:t>них</w:t>
      </w:r>
      <w:r w:rsidRPr="004D71B1">
        <w:t xml:space="preserve"> </w:t>
      </w:r>
      <w:r>
        <w:t>проходят</w:t>
      </w:r>
      <w:r w:rsidRPr="004D71B1">
        <w:t xml:space="preserve"> </w:t>
      </w:r>
      <w:r>
        <w:t>в</w:t>
      </w:r>
      <w:r w:rsidRPr="004D71B1">
        <w:t xml:space="preserve"> </w:t>
      </w:r>
      <w:r>
        <w:t>Женеве</w:t>
      </w:r>
      <w:r w:rsidRPr="004D71B1">
        <w:t xml:space="preserve"> </w:t>
      </w:r>
      <w:r>
        <w:t>или</w:t>
      </w:r>
      <w:r w:rsidRPr="004D71B1">
        <w:t xml:space="preserve"> </w:t>
      </w:r>
      <w:r>
        <w:t>других</w:t>
      </w:r>
      <w:r w:rsidRPr="004D71B1">
        <w:t xml:space="preserve"> </w:t>
      </w:r>
      <w:r>
        <w:t>европейских</w:t>
      </w:r>
      <w:r w:rsidRPr="004D71B1">
        <w:t xml:space="preserve"> </w:t>
      </w:r>
      <w:r>
        <w:t>городах</w:t>
      </w:r>
      <w:r w:rsidRPr="004D71B1">
        <w:t xml:space="preserve">, </w:t>
      </w:r>
      <w:r>
        <w:t>что</w:t>
      </w:r>
      <w:r w:rsidRPr="004D71B1">
        <w:t xml:space="preserve"> </w:t>
      </w:r>
      <w:r>
        <w:t>создает</w:t>
      </w:r>
      <w:r w:rsidRPr="004D71B1">
        <w:t xml:space="preserve"> </w:t>
      </w:r>
      <w:r>
        <w:t>огромную</w:t>
      </w:r>
      <w:r w:rsidRPr="004D71B1">
        <w:t xml:space="preserve"> </w:t>
      </w:r>
      <w:r>
        <w:t>нагрузку</w:t>
      </w:r>
      <w:r w:rsidRPr="004D71B1">
        <w:t xml:space="preserve"> </w:t>
      </w:r>
      <w:r>
        <w:t>на</w:t>
      </w:r>
      <w:r w:rsidRPr="004D71B1">
        <w:t xml:space="preserve"> </w:t>
      </w:r>
      <w:r>
        <w:t>ограниченные</w:t>
      </w:r>
      <w:r w:rsidRPr="004D71B1">
        <w:t xml:space="preserve"> </w:t>
      </w:r>
      <w:r>
        <w:t>финансовые</w:t>
      </w:r>
      <w:r w:rsidRPr="004D71B1">
        <w:t xml:space="preserve"> </w:t>
      </w:r>
      <w:r>
        <w:t>ресурсы многих стран, особенно развивающихся</w:t>
      </w:r>
      <w:r w:rsidRPr="004D71B1">
        <w:t xml:space="preserve">. </w:t>
      </w:r>
      <w:r>
        <w:t>Бутан предлагает проводить часть этих мероприятий в регионах</w:t>
      </w:r>
      <w:r w:rsidRPr="00780853">
        <w:t>.</w:t>
      </w:r>
    </w:p>
    <w:tbl>
      <w:tblPr>
        <w:tblStyle w:val="TableGrid"/>
        <w:tblW w:w="0" w:type="auto"/>
        <w:tblLook w:val="04A0" w:firstRow="1" w:lastRow="0" w:firstColumn="1" w:lastColumn="0" w:noHBand="0" w:noVBand="1"/>
      </w:tblPr>
      <w:tblGrid>
        <w:gridCol w:w="9628"/>
      </w:tblGrid>
      <w:tr w:rsidR="00535CBF" w:rsidRPr="00E526B6" w14:paraId="0A2B0648" w14:textId="77777777" w:rsidTr="00E526B6">
        <w:tc>
          <w:tcPr>
            <w:tcW w:w="9629" w:type="dxa"/>
          </w:tcPr>
          <w:p w14:paraId="537D54CC" w14:textId="77777777" w:rsidR="00535CBF" w:rsidRPr="00E526B6" w:rsidRDefault="00535CBF" w:rsidP="00E526B6">
            <w:pPr>
              <w:spacing w:after="120"/>
              <w:rPr>
                <w:sz w:val="22"/>
              </w:rPr>
            </w:pPr>
            <w:r w:rsidRPr="00E526B6">
              <w:rPr>
                <w:sz w:val="22"/>
              </w:rPr>
              <w:t>КГРЭ с интересом приняла к сведению содержание этих документов. В отношении календаря мероприятий МСЭ</w:t>
            </w:r>
            <w:r w:rsidRPr="00E526B6">
              <w:rPr>
                <w:sz w:val="22"/>
              </w:rPr>
              <w:noBreakHyphen/>
              <w:t>D КГРЭ отметила, что важно избегать проведения двух основных мероприятий МСЭ в один и тот же календарный год.</w:t>
            </w:r>
          </w:p>
        </w:tc>
      </w:tr>
    </w:tbl>
    <w:p w14:paraId="2F9CA869" w14:textId="77777777" w:rsidR="00535CBF" w:rsidRPr="00E526B6" w:rsidRDefault="00535CBF" w:rsidP="00083D22">
      <w:pPr>
        <w:pStyle w:val="Heading1"/>
        <w:spacing w:before="360"/>
      </w:pPr>
      <w:r w:rsidRPr="00E526B6">
        <w:t>21</w:t>
      </w:r>
      <w:r w:rsidRPr="00E526B6">
        <w:tab/>
        <w:t>Любые другие вопросы</w:t>
      </w:r>
    </w:p>
    <w:p w14:paraId="27F59D16" w14:textId="77777777" w:rsidR="00535CBF" w:rsidRPr="00971635" w:rsidRDefault="00535CBF" w:rsidP="00E526B6">
      <w:r>
        <w:t>В</w:t>
      </w:r>
      <w:r w:rsidRPr="00E7604D">
        <w:t xml:space="preserve"> </w:t>
      </w:r>
      <w:hyperlink r:id="rId67" w:history="1">
        <w:r w:rsidRPr="00E7604D">
          <w:rPr>
            <w:rStyle w:val="Hyperlink"/>
            <w:rFonts w:asciiTheme="minorHAnsi" w:hAnsiTheme="minorHAnsi" w:cstheme="minorHAnsi"/>
          </w:rPr>
          <w:t>Документ</w:t>
        </w:r>
        <w:r>
          <w:rPr>
            <w:rStyle w:val="Hyperlink"/>
            <w:rFonts w:asciiTheme="minorHAnsi" w:hAnsiTheme="minorHAnsi" w:cstheme="minorHAnsi"/>
          </w:rPr>
          <w:t>е</w:t>
        </w:r>
        <w:r w:rsidRPr="00E7604D">
          <w:rPr>
            <w:rStyle w:val="Hyperlink"/>
            <w:rFonts w:asciiTheme="minorHAnsi" w:hAnsiTheme="minorHAnsi" w:cstheme="minorHAnsi"/>
          </w:rPr>
          <w:t xml:space="preserve"> 47</w:t>
        </w:r>
      </w:hyperlink>
      <w:r w:rsidRPr="00E7604D">
        <w:rPr>
          <w:rStyle w:val="Hyperlink"/>
          <w:rFonts w:asciiTheme="minorHAnsi" w:hAnsiTheme="minorHAnsi" w:cstheme="minorHAnsi"/>
        </w:rPr>
        <w:t xml:space="preserve"> </w:t>
      </w:r>
      <w:r w:rsidRPr="00E526B6">
        <w:t>представлены обновленные сведения о праздновании Дня "Девушки в ИКТ" в 2020 году, в котором, несмотря на пандемию</w:t>
      </w:r>
      <w:r w:rsidRPr="00E7604D">
        <w:t xml:space="preserve"> </w:t>
      </w:r>
      <w:r w:rsidRPr="007F57F1">
        <w:t>COVID</w:t>
      </w:r>
      <w:r w:rsidRPr="004E2AA6">
        <w:t xml:space="preserve">-19, </w:t>
      </w:r>
      <w:r>
        <w:t>приняли</w:t>
      </w:r>
      <w:r w:rsidRPr="004E2AA6">
        <w:t xml:space="preserve"> </w:t>
      </w:r>
      <w:r>
        <w:t>участие</w:t>
      </w:r>
      <w:r w:rsidRPr="004E2AA6">
        <w:t xml:space="preserve"> </w:t>
      </w:r>
      <w:r>
        <w:t>впечатляющее</w:t>
      </w:r>
      <w:r w:rsidRPr="004E2AA6">
        <w:t xml:space="preserve"> </w:t>
      </w:r>
      <w:r>
        <w:t>число</w:t>
      </w:r>
      <w:r w:rsidRPr="004E2AA6">
        <w:t xml:space="preserve"> </w:t>
      </w:r>
      <w:r>
        <w:t>правительств</w:t>
      </w:r>
      <w:r w:rsidRPr="004E2AA6">
        <w:t xml:space="preserve">, </w:t>
      </w:r>
      <w:r>
        <w:t>организаций</w:t>
      </w:r>
      <w:r w:rsidRPr="004E2AA6">
        <w:t xml:space="preserve"> </w:t>
      </w:r>
      <w:r>
        <w:t>гражданского</w:t>
      </w:r>
      <w:r w:rsidRPr="004E2AA6">
        <w:t xml:space="preserve"> </w:t>
      </w:r>
      <w:r>
        <w:t>общества</w:t>
      </w:r>
      <w:r w:rsidRPr="004E2AA6">
        <w:t xml:space="preserve">, </w:t>
      </w:r>
      <w:r>
        <w:t>предприятий</w:t>
      </w:r>
      <w:r w:rsidRPr="004E2AA6">
        <w:t xml:space="preserve"> </w:t>
      </w:r>
      <w:r>
        <w:t>частного</w:t>
      </w:r>
      <w:r w:rsidRPr="004E2AA6">
        <w:t xml:space="preserve"> </w:t>
      </w:r>
      <w:r>
        <w:t>сектора</w:t>
      </w:r>
      <w:r w:rsidRPr="004E2AA6">
        <w:t xml:space="preserve"> </w:t>
      </w:r>
      <w:r>
        <w:t>и</w:t>
      </w:r>
      <w:r w:rsidRPr="004E2AA6">
        <w:t xml:space="preserve"> </w:t>
      </w:r>
      <w:r>
        <w:t>государственных</w:t>
      </w:r>
      <w:r w:rsidRPr="004E2AA6">
        <w:t xml:space="preserve"> </w:t>
      </w:r>
      <w:r>
        <w:t>учреждений</w:t>
      </w:r>
      <w:r w:rsidRPr="004E2AA6">
        <w:t xml:space="preserve"> </w:t>
      </w:r>
      <w:r>
        <w:t>всего</w:t>
      </w:r>
      <w:r w:rsidRPr="004E2AA6">
        <w:t xml:space="preserve"> </w:t>
      </w:r>
      <w:r>
        <w:t>мира</w:t>
      </w:r>
      <w:r w:rsidRPr="004E2AA6">
        <w:t xml:space="preserve">, </w:t>
      </w:r>
      <w:r>
        <w:t>что</w:t>
      </w:r>
      <w:r w:rsidRPr="004E2AA6">
        <w:t xml:space="preserve"> </w:t>
      </w:r>
      <w:r>
        <w:t>показывает</w:t>
      </w:r>
      <w:r w:rsidRPr="004E2AA6">
        <w:t xml:space="preserve"> </w:t>
      </w:r>
      <w:r>
        <w:t>способность</w:t>
      </w:r>
      <w:r w:rsidRPr="004E2AA6">
        <w:t xml:space="preserve"> </w:t>
      </w:r>
      <w:r>
        <w:t>технологий изменять жизнь людей</w:t>
      </w:r>
      <w:r w:rsidRPr="004E2AA6">
        <w:t xml:space="preserve">. </w:t>
      </w:r>
      <w:r>
        <w:t>День "Девушки в ИКТ" отмечается ежегодно в четвертый четверг апреля</w:t>
      </w:r>
      <w:r w:rsidRPr="00711FB1">
        <w:t xml:space="preserve">. </w:t>
      </w:r>
      <w:r>
        <w:t>В</w:t>
      </w:r>
      <w:r w:rsidRPr="00971635">
        <w:t xml:space="preserve"> </w:t>
      </w:r>
      <w:r>
        <w:t>этом</w:t>
      </w:r>
      <w:r w:rsidRPr="00971635">
        <w:t xml:space="preserve"> </w:t>
      </w:r>
      <w:r>
        <w:t>году</w:t>
      </w:r>
      <w:r w:rsidRPr="00971635">
        <w:t xml:space="preserve"> </w:t>
      </w:r>
      <w:r>
        <w:t>БРЭ</w:t>
      </w:r>
      <w:r w:rsidRPr="00971635">
        <w:t xml:space="preserve"> </w:t>
      </w:r>
      <w:r>
        <w:t>организовало</w:t>
      </w:r>
      <w:r w:rsidRPr="00971635">
        <w:t xml:space="preserve"> </w:t>
      </w:r>
      <w:r>
        <w:t>три</w:t>
      </w:r>
      <w:r w:rsidRPr="00971635">
        <w:t xml:space="preserve"> </w:t>
      </w:r>
      <w:r>
        <w:t>мероприятия</w:t>
      </w:r>
      <w:r w:rsidRPr="00971635">
        <w:t xml:space="preserve"> </w:t>
      </w:r>
      <w:r>
        <w:t>в</w:t>
      </w:r>
      <w:r w:rsidRPr="00971635">
        <w:t xml:space="preserve"> </w:t>
      </w:r>
      <w:r>
        <w:t>честь этого Дня</w:t>
      </w:r>
      <w:r w:rsidRPr="00971635">
        <w:t>:</w:t>
      </w:r>
    </w:p>
    <w:p w14:paraId="14981FC6" w14:textId="3BF3B039" w:rsidR="00535CBF" w:rsidRPr="00D2205D" w:rsidRDefault="000E18DD" w:rsidP="000E18DD">
      <w:pPr>
        <w:pStyle w:val="enumlev1"/>
      </w:pPr>
      <w:r w:rsidRPr="000E18DD">
        <w:t>−</w:t>
      </w:r>
      <w:r w:rsidRPr="000E18DD">
        <w:tab/>
      </w:r>
      <w:hyperlink r:id="rId68" w:history="1">
        <w:r w:rsidR="00535CBF" w:rsidRPr="008946E5">
          <w:rPr>
            <w:rStyle w:val="Hyperlink"/>
            <w:rFonts w:cstheme="minorHAnsi"/>
            <w:b/>
            <w:bCs/>
          </w:rPr>
          <w:t>онлайновый</w:t>
        </w:r>
        <w:r w:rsidR="00535CBF" w:rsidRPr="003F5809">
          <w:rPr>
            <w:rStyle w:val="Hyperlink"/>
            <w:rFonts w:cstheme="minorHAnsi"/>
            <w:b/>
            <w:bCs/>
          </w:rPr>
          <w:t xml:space="preserve"> </w:t>
        </w:r>
        <w:r w:rsidR="00535CBF" w:rsidRPr="008946E5">
          <w:rPr>
            <w:rStyle w:val="Hyperlink"/>
            <w:rFonts w:cstheme="minorHAnsi"/>
            <w:b/>
            <w:bCs/>
          </w:rPr>
          <w:t>диалог</w:t>
        </w:r>
      </w:hyperlink>
      <w:r w:rsidR="00535CBF" w:rsidRPr="003F5809">
        <w:t xml:space="preserve"> </w:t>
      </w:r>
      <w:r w:rsidR="00535CBF">
        <w:t>с</w:t>
      </w:r>
      <w:r w:rsidR="00535CBF" w:rsidRPr="003F5809">
        <w:t xml:space="preserve"> </w:t>
      </w:r>
      <w:r w:rsidR="00535CBF">
        <w:t>участием</w:t>
      </w:r>
      <w:r w:rsidR="00535CBF" w:rsidRPr="003F5809">
        <w:t xml:space="preserve"> </w:t>
      </w:r>
      <w:r w:rsidR="00535CBF">
        <w:t>экспертов</w:t>
      </w:r>
      <w:r w:rsidR="00535CBF" w:rsidRPr="003F5809">
        <w:t xml:space="preserve"> </w:t>
      </w:r>
      <w:r w:rsidR="00535CBF">
        <w:t>от</w:t>
      </w:r>
      <w:r w:rsidR="00535CBF" w:rsidRPr="003F5809">
        <w:t xml:space="preserve"> </w:t>
      </w:r>
      <w:r w:rsidR="00535CBF">
        <w:t>правительств</w:t>
      </w:r>
      <w:r w:rsidR="00535CBF" w:rsidRPr="003F5809">
        <w:t xml:space="preserve">, </w:t>
      </w:r>
      <w:r w:rsidR="00535CBF">
        <w:t>НПО</w:t>
      </w:r>
      <w:r w:rsidR="00535CBF" w:rsidRPr="003F5809">
        <w:t xml:space="preserve">, </w:t>
      </w:r>
      <w:r w:rsidR="00535CBF">
        <w:t>академических</w:t>
      </w:r>
      <w:r w:rsidR="00535CBF" w:rsidRPr="003F5809">
        <w:t xml:space="preserve"> </w:t>
      </w:r>
      <w:r w:rsidR="00535CBF">
        <w:t>и</w:t>
      </w:r>
      <w:r w:rsidR="00535CBF" w:rsidRPr="003F5809">
        <w:t xml:space="preserve"> </w:t>
      </w:r>
      <w:r w:rsidR="00535CBF">
        <w:t>международных</w:t>
      </w:r>
      <w:r w:rsidR="00535CBF" w:rsidRPr="003F5809">
        <w:t xml:space="preserve"> </w:t>
      </w:r>
      <w:r w:rsidR="00535CBF">
        <w:t>организаций</w:t>
      </w:r>
      <w:r w:rsidR="00535CBF" w:rsidRPr="003F5809">
        <w:t xml:space="preserve">, </w:t>
      </w:r>
      <w:r w:rsidR="00535CBF">
        <w:t>с</w:t>
      </w:r>
      <w:r w:rsidR="00535CBF" w:rsidRPr="003F5809">
        <w:t xml:space="preserve"> </w:t>
      </w:r>
      <w:r w:rsidR="00535CBF">
        <w:t>интересом</w:t>
      </w:r>
      <w:r w:rsidR="00535CBF" w:rsidRPr="003F5809">
        <w:t xml:space="preserve"> </w:t>
      </w:r>
      <w:r w:rsidR="00535CBF">
        <w:t>обсуждавших</w:t>
      </w:r>
      <w:r w:rsidR="00535CBF" w:rsidRPr="003F5809">
        <w:t xml:space="preserve"> </w:t>
      </w:r>
      <w:r w:rsidR="00535CBF">
        <w:t>роль правительств в расширении прав и возможностей женщин с помощью технологий, наряду со значением примеров для подражания и наставников</w:t>
      </w:r>
      <w:r w:rsidR="00535CBF" w:rsidRPr="003F5809">
        <w:t xml:space="preserve">. </w:t>
      </w:r>
      <w:r w:rsidR="00535CBF">
        <w:t>Диалог</w:t>
      </w:r>
      <w:r w:rsidR="00535CBF" w:rsidRPr="00D2205D">
        <w:t xml:space="preserve"> </w:t>
      </w:r>
      <w:r w:rsidR="00535CBF">
        <w:t>прошел</w:t>
      </w:r>
      <w:r w:rsidR="00535CBF" w:rsidRPr="00D2205D">
        <w:t xml:space="preserve"> </w:t>
      </w:r>
      <w:r w:rsidR="00535CBF">
        <w:t>чрезвычайно</w:t>
      </w:r>
      <w:r w:rsidR="00535CBF" w:rsidRPr="00D2205D">
        <w:t xml:space="preserve"> </w:t>
      </w:r>
      <w:r w:rsidR="00535CBF">
        <w:t>энергично</w:t>
      </w:r>
      <w:r w:rsidR="00535CBF" w:rsidRPr="00D2205D">
        <w:t xml:space="preserve"> </w:t>
      </w:r>
      <w:r w:rsidR="00535CBF">
        <w:t>и</w:t>
      </w:r>
      <w:r w:rsidR="00535CBF" w:rsidRPr="00D2205D">
        <w:t xml:space="preserve"> </w:t>
      </w:r>
      <w:r w:rsidR="00535CBF">
        <w:t>активно</w:t>
      </w:r>
      <w:r w:rsidR="00535CBF" w:rsidRPr="00D2205D">
        <w:t>, 348</w:t>
      </w:r>
      <w:r w:rsidR="00535CBF" w:rsidRPr="007F57F1">
        <w:t> </w:t>
      </w:r>
      <w:r w:rsidR="00535CBF">
        <w:t>участников</w:t>
      </w:r>
      <w:r w:rsidR="00535CBF" w:rsidRPr="00D2205D">
        <w:t xml:space="preserve"> </w:t>
      </w:r>
      <w:r w:rsidR="00535CBF">
        <w:t>задали</w:t>
      </w:r>
      <w:r w:rsidR="00535CBF" w:rsidRPr="00D2205D">
        <w:t xml:space="preserve"> </w:t>
      </w:r>
      <w:r w:rsidR="00535CBF">
        <w:t>множество</w:t>
      </w:r>
      <w:r w:rsidR="00535CBF" w:rsidRPr="00D2205D">
        <w:t xml:space="preserve"> </w:t>
      </w:r>
      <w:r w:rsidR="00535CBF">
        <w:t>вопросов, касающихся роли ИКТ и расширения прав и возможностей женщин;</w:t>
      </w:r>
      <w:r w:rsidR="00535CBF" w:rsidRPr="00D2205D">
        <w:t xml:space="preserve"> </w:t>
      </w:r>
    </w:p>
    <w:p w14:paraId="2B07AD0C" w14:textId="3D3AE6D8" w:rsidR="00535CBF" w:rsidRPr="00120BA3" w:rsidRDefault="000E18DD" w:rsidP="000E18DD">
      <w:pPr>
        <w:pStyle w:val="enumlev1"/>
      </w:pPr>
      <w:r w:rsidRPr="000E18DD">
        <w:rPr>
          <w:b/>
          <w:bCs/>
        </w:rPr>
        <w:t>−</w:t>
      </w:r>
      <w:r w:rsidRPr="000E18DD">
        <w:rPr>
          <w:b/>
          <w:bCs/>
        </w:rPr>
        <w:tab/>
      </w:r>
      <w:hyperlink r:id="rId69" w:history="1">
        <w:r w:rsidR="00535CBF" w:rsidRPr="000E18DD">
          <w:rPr>
            <w:rStyle w:val="Hyperlink"/>
            <w:b/>
            <w:bCs/>
          </w:rPr>
          <w:t>чат РАВНЫЕ в Twitter в День "Девушки в ИКТ"</w:t>
        </w:r>
      </w:hyperlink>
      <w:r w:rsidR="00535CBF" w:rsidRPr="00B702E7">
        <w:t xml:space="preserve">, </w:t>
      </w:r>
      <w:r w:rsidR="00535CBF">
        <w:t>беседа</w:t>
      </w:r>
      <w:r w:rsidR="00535CBF" w:rsidRPr="00B702E7">
        <w:t xml:space="preserve"> </w:t>
      </w:r>
      <w:r w:rsidR="00535CBF">
        <w:t>в</w:t>
      </w:r>
      <w:r w:rsidR="00535CBF" w:rsidRPr="00B702E7">
        <w:t xml:space="preserve"> </w:t>
      </w:r>
      <w:r w:rsidR="00535CBF">
        <w:t>социальных</w:t>
      </w:r>
      <w:r w:rsidR="00535CBF" w:rsidRPr="00B702E7">
        <w:t xml:space="preserve"> </w:t>
      </w:r>
      <w:r w:rsidR="00535CBF">
        <w:t>сетях</w:t>
      </w:r>
      <w:r w:rsidR="00535CBF" w:rsidRPr="00B702E7">
        <w:t xml:space="preserve">, </w:t>
      </w:r>
      <w:r w:rsidR="00535CBF">
        <w:t>посвященная</w:t>
      </w:r>
      <w:r w:rsidR="00535CBF" w:rsidRPr="00B702E7">
        <w:t xml:space="preserve"> "</w:t>
      </w:r>
      <w:r w:rsidR="00535CBF">
        <w:t>цифровым</w:t>
      </w:r>
      <w:r w:rsidR="00535CBF" w:rsidRPr="00B702E7">
        <w:t xml:space="preserve"> </w:t>
      </w:r>
      <w:r w:rsidR="00535CBF">
        <w:t>супергероям</w:t>
      </w:r>
      <w:r w:rsidR="00535CBF" w:rsidRPr="00B702E7">
        <w:t xml:space="preserve">" </w:t>
      </w:r>
      <w:r w:rsidR="00535CBF">
        <w:t>из</w:t>
      </w:r>
      <w:r w:rsidR="00535CBF" w:rsidRPr="00B702E7">
        <w:t xml:space="preserve"> </w:t>
      </w:r>
      <w:r w:rsidR="00535CBF">
        <w:t>разных</w:t>
      </w:r>
      <w:r w:rsidR="00535CBF" w:rsidRPr="00B702E7">
        <w:t xml:space="preserve"> </w:t>
      </w:r>
      <w:r w:rsidR="00535CBF">
        <w:t>стран</w:t>
      </w:r>
      <w:r w:rsidR="00535CBF" w:rsidRPr="00B702E7">
        <w:t xml:space="preserve"> </w:t>
      </w:r>
      <w:r w:rsidR="00535CBF">
        <w:t>мира</w:t>
      </w:r>
      <w:r w:rsidR="00535CBF" w:rsidRPr="00B702E7">
        <w:t xml:space="preserve">, </w:t>
      </w:r>
      <w:r w:rsidR="00535CBF">
        <w:t>служащим</w:t>
      </w:r>
      <w:r w:rsidR="00535CBF" w:rsidRPr="00B702E7">
        <w:t xml:space="preserve"> </w:t>
      </w:r>
      <w:r w:rsidR="00535CBF">
        <w:t>образцами</w:t>
      </w:r>
      <w:r w:rsidR="00535CBF" w:rsidRPr="00B702E7">
        <w:t xml:space="preserve"> </w:t>
      </w:r>
      <w:r w:rsidR="00535CBF">
        <w:t>для</w:t>
      </w:r>
      <w:r w:rsidR="00535CBF" w:rsidRPr="00B702E7">
        <w:t xml:space="preserve"> </w:t>
      </w:r>
      <w:r w:rsidR="00535CBF">
        <w:t>подражания и создающим программы, которые помогают девушкам осуществлять свои мечты о профессиональном росте в сфере технологий</w:t>
      </w:r>
      <w:r w:rsidR="00535CBF" w:rsidRPr="00B702E7">
        <w:t xml:space="preserve">. </w:t>
      </w:r>
      <w:r w:rsidR="00535CBF">
        <w:t>РАВНЫЕ</w:t>
      </w:r>
      <w:r w:rsidR="00535CBF" w:rsidRPr="00120BA3">
        <w:t xml:space="preserve"> – </w:t>
      </w:r>
      <w:r w:rsidR="00535CBF">
        <w:t>это</w:t>
      </w:r>
      <w:r w:rsidR="00535CBF" w:rsidRPr="00120BA3">
        <w:t xml:space="preserve"> </w:t>
      </w:r>
      <w:r w:rsidR="00535CBF">
        <w:t>глобальное</w:t>
      </w:r>
      <w:r w:rsidR="00535CBF" w:rsidRPr="00120BA3">
        <w:t xml:space="preserve"> </w:t>
      </w:r>
      <w:r w:rsidR="00535CBF">
        <w:t>партнерство</w:t>
      </w:r>
      <w:r w:rsidR="00535CBF" w:rsidRPr="00120BA3">
        <w:t xml:space="preserve">, </w:t>
      </w:r>
      <w:r w:rsidR="00535CBF">
        <w:t>куда</w:t>
      </w:r>
      <w:r w:rsidR="00535CBF" w:rsidRPr="00120BA3">
        <w:t xml:space="preserve"> </w:t>
      </w:r>
      <w:r w:rsidR="00535CBF">
        <w:t>входят</w:t>
      </w:r>
      <w:r w:rsidR="00535CBF" w:rsidRPr="00120BA3">
        <w:t xml:space="preserve"> </w:t>
      </w:r>
      <w:r w:rsidR="00535CBF">
        <w:t>свыше</w:t>
      </w:r>
      <w:r w:rsidR="00535CBF" w:rsidRPr="00120BA3">
        <w:t xml:space="preserve"> 90</w:t>
      </w:r>
      <w:r w:rsidR="00535CBF" w:rsidRPr="00B702E7">
        <w:t> </w:t>
      </w:r>
      <w:r w:rsidR="00535CBF">
        <w:t>организаций</w:t>
      </w:r>
      <w:r w:rsidR="00535CBF" w:rsidRPr="00120BA3">
        <w:t xml:space="preserve">, </w:t>
      </w:r>
      <w:r w:rsidR="00535CBF">
        <w:t>ставящих</w:t>
      </w:r>
      <w:r w:rsidR="00535CBF" w:rsidRPr="00120BA3">
        <w:t xml:space="preserve"> </w:t>
      </w:r>
      <w:r w:rsidR="00535CBF">
        <w:t>своей</w:t>
      </w:r>
      <w:r w:rsidR="00535CBF" w:rsidRPr="00120BA3">
        <w:t xml:space="preserve"> </w:t>
      </w:r>
      <w:r w:rsidR="00535CBF">
        <w:t>целью</w:t>
      </w:r>
      <w:r w:rsidR="00535CBF" w:rsidRPr="00120BA3">
        <w:t xml:space="preserve"> </w:t>
      </w:r>
      <w:r w:rsidR="00535CBF">
        <w:t>сокращение</w:t>
      </w:r>
      <w:r w:rsidR="00535CBF" w:rsidRPr="00120BA3">
        <w:t xml:space="preserve"> </w:t>
      </w:r>
      <w:r w:rsidR="00535CBF">
        <w:t>гендерного</w:t>
      </w:r>
      <w:r w:rsidR="00535CBF" w:rsidRPr="00120BA3">
        <w:t xml:space="preserve"> </w:t>
      </w:r>
      <w:r w:rsidR="00535CBF">
        <w:t>цифрового</w:t>
      </w:r>
      <w:r w:rsidR="00535CBF" w:rsidRPr="00120BA3">
        <w:t xml:space="preserve"> </w:t>
      </w:r>
      <w:r w:rsidR="00535CBF">
        <w:t>разрыва</w:t>
      </w:r>
      <w:r w:rsidR="00535CBF" w:rsidRPr="00120BA3">
        <w:t xml:space="preserve"> </w:t>
      </w:r>
      <w:r w:rsidR="00535CBF">
        <w:t>в</w:t>
      </w:r>
      <w:r w:rsidR="00535CBF" w:rsidRPr="00120BA3">
        <w:t xml:space="preserve"> </w:t>
      </w:r>
      <w:r w:rsidR="00535CBF">
        <w:t>доступе</w:t>
      </w:r>
      <w:r w:rsidR="00535CBF" w:rsidRPr="00120BA3">
        <w:t xml:space="preserve">, </w:t>
      </w:r>
      <w:r w:rsidR="00535CBF">
        <w:t>навыках</w:t>
      </w:r>
      <w:r w:rsidR="00535CBF" w:rsidRPr="00120BA3">
        <w:t xml:space="preserve"> </w:t>
      </w:r>
      <w:r w:rsidR="00535CBF">
        <w:t>и</w:t>
      </w:r>
      <w:r w:rsidR="00535CBF" w:rsidRPr="00120BA3">
        <w:t xml:space="preserve"> </w:t>
      </w:r>
      <w:r w:rsidR="00535CBF">
        <w:t>перспективах</w:t>
      </w:r>
      <w:r w:rsidR="00535CBF" w:rsidRPr="00120BA3">
        <w:t xml:space="preserve"> </w:t>
      </w:r>
      <w:r w:rsidR="00535CBF">
        <w:t>лидерства на основании результатов исследований, ориентированных на данные;</w:t>
      </w:r>
      <w:r w:rsidR="00535CBF" w:rsidRPr="00120BA3">
        <w:t xml:space="preserve"> </w:t>
      </w:r>
    </w:p>
    <w:p w14:paraId="60866F16" w14:textId="420C202E" w:rsidR="00535CBF" w:rsidRPr="007F57F1" w:rsidRDefault="000E18DD" w:rsidP="000E18DD">
      <w:pPr>
        <w:pStyle w:val="enumlev1"/>
      </w:pPr>
      <w:r w:rsidRPr="000E18DD">
        <w:t>−</w:t>
      </w:r>
      <w:r w:rsidRPr="000E18DD">
        <w:tab/>
      </w:r>
      <w:hyperlink r:id="rId70" w:history="1">
        <w:r w:rsidR="00535CBF" w:rsidRPr="00120BA3">
          <w:rPr>
            <w:rStyle w:val="Hyperlink"/>
            <w:rFonts w:cstheme="minorHAnsi"/>
            <w:b/>
          </w:rPr>
          <w:t>24-часовое всемирное турне Дня "Девушки в ИКТ", посвященное основным моментам празднований</w:t>
        </w:r>
      </w:hyperlink>
      <w:r w:rsidR="00535CBF" w:rsidRPr="00120BA3">
        <w:rPr>
          <w:bCs/>
        </w:rPr>
        <w:t xml:space="preserve">, </w:t>
      </w:r>
      <w:r w:rsidR="00535CBF">
        <w:rPr>
          <w:bCs/>
        </w:rPr>
        <w:t>в ходе которого освещались основные виртуальные торжества, проходившие в этот день в разных странах мира</w:t>
      </w:r>
      <w:r w:rsidR="00535CBF" w:rsidRPr="00120BA3">
        <w:t xml:space="preserve">. </w:t>
      </w:r>
      <w:r w:rsidR="00535CBF">
        <w:t>Были</w:t>
      </w:r>
      <w:r w:rsidR="00535CBF" w:rsidRPr="005D2CF9">
        <w:t xml:space="preserve"> </w:t>
      </w:r>
      <w:r w:rsidR="00535CBF">
        <w:t>представлены</w:t>
      </w:r>
      <w:r w:rsidR="00535CBF" w:rsidRPr="005D2CF9">
        <w:t xml:space="preserve"> 36</w:t>
      </w:r>
      <w:r w:rsidR="00535CBF" w:rsidRPr="007F57F1">
        <w:t> </w:t>
      </w:r>
      <w:r w:rsidR="00535CBF">
        <w:t>мероприятий</w:t>
      </w:r>
      <w:r w:rsidR="00535CBF" w:rsidRPr="005D2CF9">
        <w:t xml:space="preserve"> </w:t>
      </w:r>
      <w:r w:rsidR="00535CBF">
        <w:t>из</w:t>
      </w:r>
      <w:r w:rsidR="00535CBF" w:rsidRPr="005D2CF9">
        <w:t xml:space="preserve"> 25 </w:t>
      </w:r>
      <w:r w:rsidR="00535CBF">
        <w:t>стран</w:t>
      </w:r>
      <w:r w:rsidR="00535CBF" w:rsidRPr="005D2CF9">
        <w:t xml:space="preserve">, </w:t>
      </w:r>
      <w:r w:rsidR="00535CBF">
        <w:t>которые</w:t>
      </w:r>
      <w:r w:rsidR="00535CBF" w:rsidRPr="005D2CF9">
        <w:t xml:space="preserve"> </w:t>
      </w:r>
      <w:r w:rsidR="00535CBF">
        <w:t>координировались</w:t>
      </w:r>
      <w:r w:rsidR="00535CBF" w:rsidRPr="005D2CF9">
        <w:t xml:space="preserve"> </w:t>
      </w:r>
      <w:r w:rsidR="00535CBF">
        <w:t>заинтересованными</w:t>
      </w:r>
      <w:r w:rsidR="00535CBF" w:rsidRPr="005D2CF9">
        <w:t xml:space="preserve"> </w:t>
      </w:r>
      <w:r w:rsidR="00535CBF">
        <w:t>сторонами</w:t>
      </w:r>
      <w:r w:rsidR="00535CBF" w:rsidRPr="005D2CF9">
        <w:t xml:space="preserve">, </w:t>
      </w:r>
      <w:r w:rsidR="00535CBF">
        <w:t>представлявшими правительства, отрасль, академические организации и гражданское общество</w:t>
      </w:r>
      <w:r w:rsidR="00535CBF" w:rsidRPr="005D2CF9">
        <w:t xml:space="preserve">. </w:t>
      </w:r>
      <w:r w:rsidR="00535CBF">
        <w:t>Основные факты и цифры</w:t>
      </w:r>
      <w:r w:rsidR="00535CBF" w:rsidRPr="007F57F1">
        <w:t xml:space="preserve">: </w:t>
      </w:r>
    </w:p>
    <w:p w14:paraId="20609502" w14:textId="1AD6D93C" w:rsidR="00535CBF" w:rsidRPr="00F25212" w:rsidRDefault="000E18DD" w:rsidP="000E18DD">
      <w:pPr>
        <w:pStyle w:val="enumlev1"/>
      </w:pPr>
      <w:r w:rsidRPr="000E18DD">
        <w:t>−</w:t>
      </w:r>
      <w:r w:rsidRPr="000E18DD">
        <w:tab/>
      </w:r>
      <w:r w:rsidR="00535CBF">
        <w:t>охват</w:t>
      </w:r>
      <w:r w:rsidR="00535CBF" w:rsidRPr="00F25212">
        <w:t xml:space="preserve"> </w:t>
      </w:r>
      <w:r w:rsidR="00535CBF">
        <w:t>мероприятий</w:t>
      </w:r>
      <w:r w:rsidR="00535CBF" w:rsidRPr="00F25212">
        <w:t xml:space="preserve"> (</w:t>
      </w:r>
      <w:r w:rsidR="00535CBF">
        <w:t>число</w:t>
      </w:r>
      <w:r w:rsidR="00535CBF" w:rsidRPr="00F25212">
        <w:t xml:space="preserve"> </w:t>
      </w:r>
      <w:r w:rsidR="00535CBF">
        <w:t>участвовавших</w:t>
      </w:r>
      <w:r w:rsidR="00535CBF" w:rsidRPr="00F25212">
        <w:t xml:space="preserve"> </w:t>
      </w:r>
      <w:r w:rsidR="00535CBF">
        <w:t>женщин</w:t>
      </w:r>
      <w:r w:rsidR="00535CBF" w:rsidRPr="00F25212">
        <w:t>/</w:t>
      </w:r>
      <w:r w:rsidR="00535CBF">
        <w:t>девушек</w:t>
      </w:r>
      <w:r w:rsidR="00535CBF" w:rsidRPr="00F25212">
        <w:t>) 45</w:t>
      </w:r>
      <w:r w:rsidR="00535CBF" w:rsidRPr="007F57F1">
        <w:t> </w:t>
      </w:r>
      <w:r w:rsidR="00535CBF" w:rsidRPr="00F25212">
        <w:t>496</w:t>
      </w:r>
      <w:r w:rsidR="00535CBF" w:rsidRPr="007F57F1">
        <w:t> </w:t>
      </w:r>
      <w:r w:rsidR="00535CBF">
        <w:t>участниц;</w:t>
      </w:r>
    </w:p>
    <w:p w14:paraId="3441246D" w14:textId="58C210F4" w:rsidR="00535CBF" w:rsidRPr="00F25212" w:rsidRDefault="000E18DD" w:rsidP="000E18DD">
      <w:pPr>
        <w:pStyle w:val="enumlev1"/>
      </w:pPr>
      <w:r w:rsidRPr="000E18DD">
        <w:t>−</w:t>
      </w:r>
      <w:r w:rsidRPr="000E18DD">
        <w:tab/>
      </w:r>
      <w:r w:rsidR="00535CBF">
        <w:t>просмотров</w:t>
      </w:r>
      <w:r w:rsidR="00535CBF" w:rsidRPr="00F25212">
        <w:t xml:space="preserve"> </w:t>
      </w:r>
      <w:r w:rsidR="00535CBF">
        <w:t>чата</w:t>
      </w:r>
      <w:r w:rsidR="00535CBF" w:rsidRPr="00F25212">
        <w:t xml:space="preserve"> </w:t>
      </w:r>
      <w:r w:rsidR="00535CBF">
        <w:t>в</w:t>
      </w:r>
      <w:r w:rsidR="00535CBF" w:rsidRPr="00F25212">
        <w:t xml:space="preserve"> </w:t>
      </w:r>
      <w:r w:rsidR="00535CBF">
        <w:t>T</w:t>
      </w:r>
      <w:r w:rsidR="00535CBF" w:rsidRPr="007F57F1">
        <w:t>witter</w:t>
      </w:r>
      <w:r w:rsidR="00535CBF" w:rsidRPr="00F25212">
        <w:t xml:space="preserve"> </w:t>
      </w:r>
      <w:r w:rsidR="00535CBF">
        <w:t>в реальном времени</w:t>
      </w:r>
      <w:r w:rsidR="00535CBF" w:rsidRPr="00F25212">
        <w:t>: 937</w:t>
      </w:r>
      <w:r w:rsidR="00535CBF" w:rsidRPr="007F57F1">
        <w:t> </w:t>
      </w:r>
      <w:r w:rsidR="00535CBF" w:rsidRPr="00F25212">
        <w:t>400</w:t>
      </w:r>
      <w:r w:rsidR="00535CBF">
        <w:t>;</w:t>
      </w:r>
    </w:p>
    <w:p w14:paraId="421F3400" w14:textId="2E868826" w:rsidR="00535CBF" w:rsidRPr="00F25212" w:rsidRDefault="000E18DD" w:rsidP="00752324">
      <w:pPr>
        <w:pStyle w:val="enumlev1"/>
        <w:spacing w:after="120"/>
      </w:pPr>
      <w:r w:rsidRPr="000E18DD">
        <w:t>−</w:t>
      </w:r>
      <w:r w:rsidRPr="000E18DD">
        <w:tab/>
      </w:r>
      <w:r w:rsidR="00535CBF">
        <w:t>хэштег</w:t>
      </w:r>
      <w:r w:rsidR="00535CBF" w:rsidRPr="00F25212">
        <w:t xml:space="preserve"> "</w:t>
      </w:r>
      <w:r w:rsidR="00535CBF">
        <w:t>Девушки</w:t>
      </w:r>
      <w:r w:rsidR="00535CBF" w:rsidRPr="00F25212">
        <w:t xml:space="preserve"> </w:t>
      </w:r>
      <w:r w:rsidR="00535CBF">
        <w:t>в</w:t>
      </w:r>
      <w:r w:rsidR="00535CBF" w:rsidRPr="00F25212">
        <w:t xml:space="preserve"> </w:t>
      </w:r>
      <w:r w:rsidR="00535CBF">
        <w:t>ИКТ</w:t>
      </w:r>
      <w:r w:rsidR="00535CBF" w:rsidRPr="00F25212">
        <w:t xml:space="preserve">" </w:t>
      </w:r>
      <w:r w:rsidR="00535CBF">
        <w:t>охватил</w:t>
      </w:r>
      <w:r w:rsidR="00535CBF" w:rsidRPr="00F25212">
        <w:t xml:space="preserve"> </w:t>
      </w:r>
      <w:r w:rsidR="00535CBF">
        <w:t>пользователей</w:t>
      </w:r>
      <w:r w:rsidR="00535CBF" w:rsidRPr="00F25212">
        <w:t xml:space="preserve"> </w:t>
      </w:r>
      <w:r w:rsidR="00535CBF" w:rsidRPr="007F57F1">
        <w:t>TikTok</w:t>
      </w:r>
      <w:r w:rsidR="00535CBF" w:rsidRPr="00F25212">
        <w:t xml:space="preserve"> </w:t>
      </w:r>
      <w:r w:rsidR="00535CBF">
        <w:t>во</w:t>
      </w:r>
      <w:r w:rsidR="00535CBF" w:rsidRPr="00F25212">
        <w:t xml:space="preserve"> </w:t>
      </w:r>
      <w:r w:rsidR="00535CBF">
        <w:t>всем</w:t>
      </w:r>
      <w:r w:rsidR="00535CBF" w:rsidRPr="00F25212">
        <w:t xml:space="preserve"> </w:t>
      </w:r>
      <w:r w:rsidR="00535CBF">
        <w:t>мире</w:t>
      </w:r>
      <w:r w:rsidR="00535CBF" w:rsidRPr="00F25212">
        <w:t xml:space="preserve">, </w:t>
      </w:r>
      <w:r w:rsidR="00535CBF">
        <w:t>и</w:t>
      </w:r>
      <w:r w:rsidR="00535CBF" w:rsidRPr="00F25212">
        <w:t xml:space="preserve"> </w:t>
      </w:r>
      <w:r w:rsidR="00535CBF">
        <w:t>сегодня</w:t>
      </w:r>
      <w:r w:rsidR="00535CBF" w:rsidRPr="00F25212">
        <w:t xml:space="preserve"> </w:t>
      </w:r>
      <w:r w:rsidR="00535CBF">
        <w:t>видео</w:t>
      </w:r>
      <w:r w:rsidR="00535CBF" w:rsidRPr="00F25212">
        <w:t xml:space="preserve"> </w:t>
      </w:r>
      <w:r w:rsidR="00535CBF">
        <w:t>по</w:t>
      </w:r>
      <w:r w:rsidR="00535CBF" w:rsidRPr="00F25212">
        <w:t xml:space="preserve"> </w:t>
      </w:r>
      <w:r w:rsidR="00535CBF">
        <w:t>хэштегу</w:t>
      </w:r>
      <w:r w:rsidR="00535CBF" w:rsidRPr="00F25212">
        <w:t xml:space="preserve"> #</w:t>
      </w:r>
      <w:r w:rsidR="00535CBF" w:rsidRPr="007F57F1">
        <w:t>GirlsinICT</w:t>
      </w:r>
      <w:r w:rsidR="00535CBF" w:rsidRPr="00F25212">
        <w:t xml:space="preserve"> </w:t>
      </w:r>
      <w:r w:rsidR="00535CBF">
        <w:t>имеют свыше</w:t>
      </w:r>
      <w:r w:rsidR="00535CBF" w:rsidRPr="00F25212">
        <w:t xml:space="preserve"> 21</w:t>
      </w:r>
      <w:r w:rsidR="00535CBF" w:rsidRPr="007F57F1">
        <w:t> </w:t>
      </w:r>
      <w:r w:rsidR="00535CBF">
        <w:t>млн. просмотров на этой платформе</w:t>
      </w:r>
      <w:r w:rsidR="00535CBF" w:rsidRPr="00F25212">
        <w:t>.</w:t>
      </w:r>
    </w:p>
    <w:tbl>
      <w:tblPr>
        <w:tblStyle w:val="TableGrid"/>
        <w:tblW w:w="0" w:type="auto"/>
        <w:tblLook w:val="04A0" w:firstRow="1" w:lastRow="0" w:firstColumn="1" w:lastColumn="0" w:noHBand="0" w:noVBand="1"/>
      </w:tblPr>
      <w:tblGrid>
        <w:gridCol w:w="9628"/>
      </w:tblGrid>
      <w:tr w:rsidR="00535CBF" w:rsidRPr="00752324" w14:paraId="1910FA56" w14:textId="77777777" w:rsidTr="00E526B6">
        <w:tc>
          <w:tcPr>
            <w:tcW w:w="9629" w:type="dxa"/>
          </w:tcPr>
          <w:p w14:paraId="421ACC00" w14:textId="77777777" w:rsidR="00535CBF" w:rsidRPr="00752324" w:rsidRDefault="00535CBF" w:rsidP="00752324">
            <w:pPr>
              <w:spacing w:after="120"/>
              <w:rPr>
                <w:sz w:val="22"/>
              </w:rPr>
            </w:pPr>
            <w:bookmarkStart w:id="129" w:name="_Hlk42618785"/>
            <w:r w:rsidRPr="00752324">
              <w:rPr>
                <w:sz w:val="22"/>
              </w:rPr>
              <w:t xml:space="preserve">КГРЭ с интересом приняла к сведению содержание отчета и дала ему высокую оценку. КГРЭ выразила поддержку этой глобальной инициативе и поблагодарила БРЭ за помощь, оказанную всем заинтересованным сторонам в их усилиях по виртуальному празднованию Дня "Девушки в ИКТ", с тем чтобы стимулировать девушек и молодых женщин выбирать получение образования и профессиональный рост в областях STEM, а также использовать мощь цифровых технологий, несмотря на ограничения, созданные текущим глобальным кризисом в области здравоохранения (COVID-19). КГРЭ признала значение создания более широких партнерств и сотрудничества с </w:t>
            </w:r>
            <w:r w:rsidRPr="00752324">
              <w:rPr>
                <w:sz w:val="22"/>
              </w:rPr>
              <w:lastRenderedPageBreak/>
              <w:t>правительствами, гражданским обществом, академическими организациями и отраслью, а также подчеркнула важность активного участия девушек в Молодежном форуме на ВКРЭ</w:t>
            </w:r>
            <w:r w:rsidRPr="00752324">
              <w:rPr>
                <w:sz w:val="22"/>
              </w:rPr>
              <w:noBreakHyphen/>
              <w:t>21.</w:t>
            </w:r>
          </w:p>
        </w:tc>
      </w:tr>
    </w:tbl>
    <w:bookmarkEnd w:id="129"/>
    <w:p w14:paraId="3B608305" w14:textId="77777777" w:rsidR="00535CBF" w:rsidRPr="00752324" w:rsidRDefault="00535CBF" w:rsidP="00752324">
      <w:pPr>
        <w:spacing w:after="120"/>
        <w:rPr>
          <w:rFonts w:eastAsia="Calibri" w:cstheme="minorHAnsi"/>
        </w:rPr>
      </w:pPr>
      <w:r w:rsidRPr="00752324">
        <w:rPr>
          <w:rFonts w:eastAsia="Calibri" w:cstheme="minorHAnsi"/>
        </w:rPr>
        <w:lastRenderedPageBreak/>
        <w:t xml:space="preserve">В </w:t>
      </w:r>
      <w:hyperlink r:id="rId71" w:history="1">
        <w:r w:rsidRPr="00752324">
          <w:rPr>
            <w:rStyle w:val="Hyperlink"/>
          </w:rPr>
          <w:t>Документе 48</w:t>
        </w:r>
      </w:hyperlink>
      <w:r w:rsidRPr="00752324">
        <w:rPr>
          <w:rFonts w:eastAsia="Calibri" w:cstheme="minorHAnsi"/>
        </w:rPr>
        <w:t xml:space="preserve"> приводятся обновленные сведения о пересмотре руководящих указаний по защите ребенка в онлайновой среде, произведенном по поручению Полномочной конференции 2018 года. </w:t>
      </w:r>
    </w:p>
    <w:p w14:paraId="008F1F20" w14:textId="04556422" w:rsidR="00535CBF" w:rsidRPr="00A06644" w:rsidRDefault="00535CBF" w:rsidP="00E526B6">
      <w:pPr>
        <w:spacing w:after="120"/>
        <w:rPr>
          <w:rFonts w:cstheme="minorHAnsi"/>
        </w:rPr>
      </w:pPr>
      <w:r>
        <w:rPr>
          <w:rFonts w:eastAsia="Calibri" w:cstheme="minorHAnsi"/>
        </w:rPr>
        <w:t>Рабочая</w:t>
      </w:r>
      <w:r w:rsidRPr="00A77789">
        <w:rPr>
          <w:rFonts w:eastAsia="Calibri" w:cstheme="minorHAnsi"/>
        </w:rPr>
        <w:t xml:space="preserve"> </w:t>
      </w:r>
      <w:r>
        <w:rPr>
          <w:rFonts w:eastAsia="Calibri" w:cstheme="minorHAnsi"/>
        </w:rPr>
        <w:t>группа</w:t>
      </w:r>
      <w:r w:rsidRPr="00A77789">
        <w:rPr>
          <w:rFonts w:eastAsia="Calibri" w:cstheme="minorHAnsi"/>
        </w:rPr>
        <w:t xml:space="preserve"> </w:t>
      </w:r>
      <w:r>
        <w:rPr>
          <w:rFonts w:eastAsia="Calibri" w:cstheme="minorHAnsi"/>
        </w:rPr>
        <w:t>экспертов</w:t>
      </w:r>
      <w:r w:rsidRPr="00A77789">
        <w:rPr>
          <w:rFonts w:eastAsia="Calibri" w:cstheme="minorHAnsi"/>
        </w:rPr>
        <w:t xml:space="preserve"> </w:t>
      </w:r>
      <w:r>
        <w:rPr>
          <w:rFonts w:eastAsia="Calibri" w:cstheme="minorHAnsi"/>
        </w:rPr>
        <w:t>с</w:t>
      </w:r>
      <w:r w:rsidRPr="00A77789">
        <w:rPr>
          <w:rFonts w:eastAsia="Calibri" w:cstheme="minorHAnsi"/>
        </w:rPr>
        <w:t xml:space="preserve"> </w:t>
      </w:r>
      <w:r>
        <w:rPr>
          <w:rFonts w:eastAsia="Calibri" w:cstheme="minorHAnsi"/>
        </w:rPr>
        <w:t>участием</w:t>
      </w:r>
      <w:r w:rsidRPr="00A77789">
        <w:rPr>
          <w:rFonts w:eastAsia="Calibri" w:cstheme="minorHAnsi"/>
        </w:rPr>
        <w:t xml:space="preserve"> </w:t>
      </w:r>
      <w:r>
        <w:rPr>
          <w:rFonts w:eastAsia="Calibri" w:cstheme="minorHAnsi"/>
        </w:rPr>
        <w:t>многих</w:t>
      </w:r>
      <w:r w:rsidRPr="00A77789">
        <w:rPr>
          <w:rFonts w:eastAsia="Calibri" w:cstheme="minorHAnsi"/>
        </w:rPr>
        <w:t xml:space="preserve"> </w:t>
      </w:r>
      <w:r>
        <w:rPr>
          <w:rFonts w:eastAsia="Calibri" w:cstheme="minorHAnsi"/>
        </w:rPr>
        <w:t>заинтересованных</w:t>
      </w:r>
      <w:r w:rsidRPr="00A77789">
        <w:rPr>
          <w:rFonts w:eastAsia="Calibri" w:cstheme="minorHAnsi"/>
        </w:rPr>
        <w:t xml:space="preserve"> </w:t>
      </w:r>
      <w:r>
        <w:rPr>
          <w:rFonts w:eastAsia="Calibri" w:cstheme="minorHAnsi"/>
        </w:rPr>
        <w:t>сторон</w:t>
      </w:r>
      <w:r w:rsidRPr="00A77789">
        <w:rPr>
          <w:rFonts w:eastAsia="Calibri" w:cstheme="minorHAnsi"/>
        </w:rPr>
        <w:t xml:space="preserve">, </w:t>
      </w:r>
      <w:r>
        <w:rPr>
          <w:rFonts w:eastAsia="Calibri" w:cstheme="minorHAnsi"/>
        </w:rPr>
        <w:t>в</w:t>
      </w:r>
      <w:r w:rsidRPr="00A77789">
        <w:rPr>
          <w:rFonts w:eastAsia="Calibri" w:cstheme="minorHAnsi"/>
        </w:rPr>
        <w:t xml:space="preserve"> </w:t>
      </w:r>
      <w:r>
        <w:rPr>
          <w:rFonts w:eastAsia="Calibri" w:cstheme="minorHAnsi"/>
        </w:rPr>
        <w:t>которую</w:t>
      </w:r>
      <w:r w:rsidRPr="00A77789">
        <w:rPr>
          <w:rFonts w:eastAsia="Calibri" w:cstheme="minorHAnsi"/>
        </w:rPr>
        <w:t xml:space="preserve"> </w:t>
      </w:r>
      <w:r>
        <w:rPr>
          <w:rFonts w:eastAsia="Calibri" w:cstheme="minorHAnsi"/>
        </w:rPr>
        <w:t>входят</w:t>
      </w:r>
      <w:r w:rsidRPr="00A77789">
        <w:rPr>
          <w:rFonts w:eastAsia="Calibri" w:cstheme="minorHAnsi"/>
        </w:rPr>
        <w:t xml:space="preserve"> </w:t>
      </w:r>
      <w:r>
        <w:rPr>
          <w:rFonts w:eastAsia="Calibri" w:cstheme="minorHAnsi"/>
        </w:rPr>
        <w:t>более</w:t>
      </w:r>
      <w:r w:rsidRPr="00A77789">
        <w:rPr>
          <w:rFonts w:eastAsia="Calibri" w:cstheme="minorHAnsi"/>
        </w:rPr>
        <w:t xml:space="preserve"> 50 </w:t>
      </w:r>
      <w:r>
        <w:rPr>
          <w:rFonts w:eastAsia="Calibri" w:cstheme="minorHAnsi"/>
        </w:rPr>
        <w:t>организаций</w:t>
      </w:r>
      <w:r w:rsidRPr="00A77789">
        <w:rPr>
          <w:rFonts w:eastAsia="Calibri" w:cstheme="minorHAnsi"/>
        </w:rPr>
        <w:t xml:space="preserve"> </w:t>
      </w:r>
      <w:r>
        <w:rPr>
          <w:rFonts w:eastAsia="Calibri" w:cstheme="minorHAnsi"/>
        </w:rPr>
        <w:t>и</w:t>
      </w:r>
      <w:r w:rsidRPr="00A77789">
        <w:rPr>
          <w:rFonts w:eastAsia="Calibri" w:cstheme="minorHAnsi"/>
        </w:rPr>
        <w:t xml:space="preserve"> </w:t>
      </w:r>
      <w:r>
        <w:rPr>
          <w:rFonts w:eastAsia="Calibri" w:cstheme="minorHAnsi"/>
        </w:rPr>
        <w:t>отдельных</w:t>
      </w:r>
      <w:r w:rsidRPr="00A77789">
        <w:rPr>
          <w:rFonts w:eastAsia="Calibri" w:cstheme="minorHAnsi"/>
        </w:rPr>
        <w:t xml:space="preserve"> </w:t>
      </w:r>
      <w:r>
        <w:rPr>
          <w:rFonts w:eastAsia="Calibri" w:cstheme="minorHAnsi"/>
        </w:rPr>
        <w:t>экспертов</w:t>
      </w:r>
      <w:r w:rsidRPr="00A77789">
        <w:rPr>
          <w:rFonts w:eastAsia="Calibri" w:cstheme="minorHAnsi"/>
        </w:rPr>
        <w:t xml:space="preserve">, </w:t>
      </w:r>
      <w:r>
        <w:rPr>
          <w:rFonts w:eastAsia="Calibri" w:cstheme="minorHAnsi"/>
        </w:rPr>
        <w:t>рассмотрела</w:t>
      </w:r>
      <w:r w:rsidRPr="00A77789">
        <w:rPr>
          <w:rFonts w:eastAsia="Calibri" w:cstheme="minorHAnsi"/>
        </w:rPr>
        <w:t xml:space="preserve"> </w:t>
      </w:r>
      <w:hyperlink r:id="rId72">
        <w:r>
          <w:rPr>
            <w:rStyle w:val="Hyperlink"/>
            <w:rFonts w:eastAsia="Calibri" w:cstheme="minorHAnsi"/>
          </w:rPr>
          <w:t>Руководящие указания по защите ребенка в онлайновой среде</w:t>
        </w:r>
      </w:hyperlink>
      <w:r>
        <w:rPr>
          <w:rFonts w:eastAsia="Calibri" w:cstheme="minorHAnsi"/>
        </w:rPr>
        <w:t>, впервые выпущенные в</w:t>
      </w:r>
      <w:r w:rsidRPr="00A77789">
        <w:rPr>
          <w:rFonts w:eastAsia="Calibri" w:cstheme="minorHAnsi"/>
        </w:rPr>
        <w:t xml:space="preserve"> 2009</w:t>
      </w:r>
      <w:r>
        <w:rPr>
          <w:rFonts w:eastAsia="Calibri" w:cstheme="minorHAnsi"/>
        </w:rPr>
        <w:t> году</w:t>
      </w:r>
      <w:r w:rsidRPr="00A77789">
        <w:rPr>
          <w:rFonts w:eastAsia="Calibri" w:cstheme="minorHAnsi"/>
        </w:rPr>
        <w:t xml:space="preserve">. </w:t>
      </w:r>
      <w:r>
        <w:rPr>
          <w:rFonts w:eastAsia="Calibri" w:cstheme="minorHAnsi"/>
        </w:rPr>
        <w:t>Основные</w:t>
      </w:r>
      <w:r w:rsidRPr="00A06644">
        <w:rPr>
          <w:rFonts w:eastAsia="Calibri" w:cstheme="minorHAnsi"/>
        </w:rPr>
        <w:t xml:space="preserve"> </w:t>
      </w:r>
      <w:r>
        <w:rPr>
          <w:rFonts w:eastAsia="Calibri" w:cstheme="minorHAnsi"/>
        </w:rPr>
        <w:t>пересмотренные</w:t>
      </w:r>
      <w:r w:rsidRPr="00A06644">
        <w:rPr>
          <w:rFonts w:eastAsia="Calibri" w:cstheme="minorHAnsi"/>
        </w:rPr>
        <w:t xml:space="preserve"> </w:t>
      </w:r>
      <w:r>
        <w:rPr>
          <w:rFonts w:eastAsia="Calibri" w:cstheme="minorHAnsi"/>
        </w:rPr>
        <w:t>положения</w:t>
      </w:r>
      <w:r w:rsidRPr="00A06644">
        <w:rPr>
          <w:rFonts w:eastAsia="Calibri" w:cstheme="minorHAnsi"/>
        </w:rPr>
        <w:t xml:space="preserve"> </w:t>
      </w:r>
      <w:r>
        <w:rPr>
          <w:rFonts w:eastAsia="Calibri" w:cstheme="minorHAnsi"/>
        </w:rPr>
        <w:t>в</w:t>
      </w:r>
      <w:r w:rsidRPr="00A06644">
        <w:rPr>
          <w:rFonts w:eastAsia="Calibri" w:cstheme="minorHAnsi"/>
        </w:rPr>
        <w:t xml:space="preserve"> </w:t>
      </w:r>
      <w:r>
        <w:rPr>
          <w:rFonts w:eastAsia="Calibri" w:cstheme="minorHAnsi"/>
        </w:rPr>
        <w:t>Руководящих</w:t>
      </w:r>
      <w:r w:rsidRPr="00A06644">
        <w:rPr>
          <w:rFonts w:eastAsia="Calibri" w:cstheme="minorHAnsi"/>
        </w:rPr>
        <w:t xml:space="preserve"> </w:t>
      </w:r>
      <w:r>
        <w:rPr>
          <w:rFonts w:eastAsia="Calibri" w:cstheme="minorHAnsi"/>
        </w:rPr>
        <w:t>указаниях</w:t>
      </w:r>
      <w:r w:rsidRPr="00A06644">
        <w:rPr>
          <w:rFonts w:eastAsia="Calibri" w:cstheme="minorHAnsi"/>
        </w:rPr>
        <w:t xml:space="preserve"> 2020</w:t>
      </w:r>
      <w:r w:rsidRPr="00A36EA5">
        <w:rPr>
          <w:rFonts w:eastAsia="Calibri" w:cstheme="minorHAnsi"/>
        </w:rPr>
        <w:t> </w:t>
      </w:r>
      <w:r>
        <w:rPr>
          <w:rFonts w:eastAsia="Calibri" w:cstheme="minorHAnsi"/>
        </w:rPr>
        <w:t>года</w:t>
      </w:r>
      <w:r w:rsidRPr="00A06644">
        <w:rPr>
          <w:rFonts w:eastAsia="Calibri" w:cstheme="minorHAnsi"/>
        </w:rPr>
        <w:t xml:space="preserve"> </w:t>
      </w:r>
      <w:r>
        <w:rPr>
          <w:rFonts w:eastAsia="Calibri" w:cstheme="minorHAnsi"/>
        </w:rPr>
        <w:t>касаются</w:t>
      </w:r>
      <w:r w:rsidRPr="00A06644">
        <w:rPr>
          <w:rFonts w:eastAsia="Calibri" w:cstheme="minorHAnsi"/>
        </w:rPr>
        <w:t xml:space="preserve"> </w:t>
      </w:r>
      <w:r>
        <w:rPr>
          <w:rFonts w:eastAsia="Calibri" w:cstheme="minorHAnsi"/>
        </w:rPr>
        <w:t>необходимости</w:t>
      </w:r>
      <w:r w:rsidRPr="00A06644">
        <w:rPr>
          <w:rFonts w:eastAsia="Calibri" w:cstheme="minorHAnsi"/>
        </w:rPr>
        <w:t xml:space="preserve"> </w:t>
      </w:r>
      <w:r>
        <w:rPr>
          <w:rFonts w:eastAsia="Calibri" w:cstheme="minorHAnsi"/>
        </w:rPr>
        <w:t>придания</w:t>
      </w:r>
      <w:r w:rsidRPr="00A06644">
        <w:rPr>
          <w:rFonts w:eastAsia="Calibri" w:cstheme="minorHAnsi"/>
        </w:rPr>
        <w:t xml:space="preserve"> </w:t>
      </w:r>
      <w:r>
        <w:rPr>
          <w:rFonts w:eastAsia="Calibri" w:cstheme="minorHAnsi"/>
        </w:rPr>
        <w:t>особого</w:t>
      </w:r>
      <w:r w:rsidRPr="00A06644">
        <w:rPr>
          <w:rFonts w:eastAsia="Calibri" w:cstheme="minorHAnsi"/>
        </w:rPr>
        <w:t xml:space="preserve"> </w:t>
      </w:r>
      <w:r>
        <w:rPr>
          <w:rFonts w:eastAsia="Calibri" w:cstheme="minorHAnsi"/>
        </w:rPr>
        <w:t>значения</w:t>
      </w:r>
      <w:r w:rsidRPr="00A06644">
        <w:rPr>
          <w:rFonts w:eastAsia="Calibri" w:cstheme="minorHAnsi"/>
        </w:rPr>
        <w:t xml:space="preserve"> </w:t>
      </w:r>
      <w:r>
        <w:rPr>
          <w:rFonts w:eastAsia="Calibri" w:cstheme="minorHAnsi"/>
        </w:rPr>
        <w:t>новым</w:t>
      </w:r>
      <w:r w:rsidRPr="00A06644">
        <w:rPr>
          <w:rFonts w:eastAsia="Calibri" w:cstheme="minorHAnsi"/>
        </w:rPr>
        <w:t xml:space="preserve"> </w:t>
      </w:r>
      <w:r>
        <w:rPr>
          <w:rFonts w:eastAsia="Calibri" w:cstheme="minorHAnsi"/>
        </w:rPr>
        <w:t>и</w:t>
      </w:r>
      <w:r w:rsidRPr="00A06644">
        <w:rPr>
          <w:rFonts w:eastAsia="Calibri" w:cstheme="minorHAnsi"/>
        </w:rPr>
        <w:t xml:space="preserve"> </w:t>
      </w:r>
      <w:r>
        <w:rPr>
          <w:rFonts w:eastAsia="Calibri" w:cstheme="minorHAnsi"/>
        </w:rPr>
        <w:t>возникающим</w:t>
      </w:r>
      <w:r w:rsidRPr="00A06644">
        <w:rPr>
          <w:rFonts w:eastAsia="Calibri" w:cstheme="minorHAnsi"/>
        </w:rPr>
        <w:t xml:space="preserve"> </w:t>
      </w:r>
      <w:r>
        <w:rPr>
          <w:rFonts w:eastAsia="Calibri" w:cstheme="minorHAnsi"/>
        </w:rPr>
        <w:t>технологиям</w:t>
      </w:r>
      <w:r w:rsidRPr="00A06644">
        <w:rPr>
          <w:rFonts w:eastAsia="Calibri" w:cstheme="minorHAnsi"/>
        </w:rPr>
        <w:t xml:space="preserve"> </w:t>
      </w:r>
      <w:r>
        <w:rPr>
          <w:rFonts w:eastAsia="Calibri" w:cstheme="minorHAnsi"/>
        </w:rPr>
        <w:t>и</w:t>
      </w:r>
      <w:r w:rsidRPr="00A06644">
        <w:rPr>
          <w:rFonts w:eastAsia="Calibri" w:cstheme="minorHAnsi"/>
        </w:rPr>
        <w:t xml:space="preserve"> </w:t>
      </w:r>
      <w:r>
        <w:rPr>
          <w:rFonts w:eastAsia="Calibri" w:cstheme="minorHAnsi"/>
        </w:rPr>
        <w:t>особого</w:t>
      </w:r>
      <w:r w:rsidRPr="00A06644">
        <w:rPr>
          <w:rFonts w:eastAsia="Calibri" w:cstheme="minorHAnsi"/>
        </w:rPr>
        <w:t xml:space="preserve"> </w:t>
      </w:r>
      <w:r>
        <w:rPr>
          <w:rFonts w:eastAsia="Calibri" w:cstheme="minorHAnsi"/>
        </w:rPr>
        <w:t>положения детей с ограниченными возможностями</w:t>
      </w:r>
      <w:r w:rsidRPr="00A06644">
        <w:rPr>
          <w:rFonts w:cstheme="minorHAnsi"/>
        </w:rPr>
        <w:t xml:space="preserve">. </w:t>
      </w:r>
      <w:r>
        <w:rPr>
          <w:rFonts w:cstheme="minorHAnsi"/>
        </w:rPr>
        <w:t>Руководящие</w:t>
      </w:r>
      <w:r w:rsidRPr="00A06644">
        <w:rPr>
          <w:rFonts w:cstheme="minorHAnsi"/>
        </w:rPr>
        <w:t xml:space="preserve"> </w:t>
      </w:r>
      <w:r>
        <w:rPr>
          <w:rFonts w:cstheme="minorHAnsi"/>
        </w:rPr>
        <w:t>указания</w:t>
      </w:r>
      <w:r w:rsidRPr="00A06644">
        <w:rPr>
          <w:rFonts w:cstheme="minorHAnsi"/>
        </w:rPr>
        <w:t xml:space="preserve"> </w:t>
      </w:r>
      <w:r>
        <w:rPr>
          <w:rFonts w:cstheme="minorHAnsi"/>
        </w:rPr>
        <w:t>будут</w:t>
      </w:r>
      <w:r w:rsidRPr="00A06644">
        <w:rPr>
          <w:rFonts w:cstheme="minorHAnsi"/>
        </w:rPr>
        <w:t xml:space="preserve"> </w:t>
      </w:r>
      <w:r>
        <w:rPr>
          <w:rFonts w:cstheme="minorHAnsi"/>
        </w:rPr>
        <w:t>обнародованы</w:t>
      </w:r>
      <w:r w:rsidRPr="00A06644">
        <w:rPr>
          <w:rFonts w:cstheme="minorHAnsi"/>
        </w:rPr>
        <w:t xml:space="preserve"> </w:t>
      </w:r>
      <w:r>
        <w:rPr>
          <w:rFonts w:cstheme="minorHAnsi"/>
        </w:rPr>
        <w:t>в</w:t>
      </w:r>
      <w:r w:rsidRPr="00A06644">
        <w:rPr>
          <w:rFonts w:cstheme="minorHAnsi"/>
        </w:rPr>
        <w:t xml:space="preserve"> </w:t>
      </w:r>
      <w:r>
        <w:rPr>
          <w:rFonts w:cstheme="minorHAnsi"/>
        </w:rPr>
        <w:t>конце</w:t>
      </w:r>
      <w:r w:rsidRPr="00A06644">
        <w:rPr>
          <w:rFonts w:cstheme="minorHAnsi"/>
        </w:rPr>
        <w:t xml:space="preserve"> </w:t>
      </w:r>
      <w:r>
        <w:rPr>
          <w:rFonts w:cstheme="minorHAnsi"/>
        </w:rPr>
        <w:t>июня</w:t>
      </w:r>
      <w:r w:rsidRPr="00A06644">
        <w:rPr>
          <w:rFonts w:cstheme="minorHAnsi"/>
        </w:rPr>
        <w:t xml:space="preserve"> 2020 </w:t>
      </w:r>
      <w:r>
        <w:rPr>
          <w:rFonts w:cstheme="minorHAnsi"/>
        </w:rPr>
        <w:t>года</w:t>
      </w:r>
      <w:r w:rsidRPr="00A06644">
        <w:rPr>
          <w:rFonts w:cstheme="minorHAnsi"/>
        </w:rPr>
        <w:t xml:space="preserve"> </w:t>
      </w:r>
      <w:r>
        <w:rPr>
          <w:rFonts w:cstheme="minorHAnsi"/>
        </w:rPr>
        <w:t>и</w:t>
      </w:r>
      <w:r w:rsidRPr="00A06644">
        <w:rPr>
          <w:rFonts w:cstheme="minorHAnsi"/>
        </w:rPr>
        <w:t xml:space="preserve"> </w:t>
      </w:r>
      <w:r>
        <w:rPr>
          <w:rFonts w:cstheme="minorHAnsi"/>
        </w:rPr>
        <w:t>размещены</w:t>
      </w:r>
      <w:r w:rsidRPr="00A06644">
        <w:rPr>
          <w:rFonts w:cstheme="minorHAnsi"/>
        </w:rPr>
        <w:t xml:space="preserve"> </w:t>
      </w:r>
      <w:r>
        <w:rPr>
          <w:rFonts w:cstheme="minorHAnsi"/>
        </w:rPr>
        <w:t>на</w:t>
      </w:r>
      <w:r w:rsidRPr="00A06644">
        <w:rPr>
          <w:rFonts w:cstheme="minorHAnsi"/>
        </w:rPr>
        <w:t xml:space="preserve"> </w:t>
      </w:r>
      <w:hyperlink r:id="rId73" w:history="1">
        <w:r w:rsidRPr="00A06644">
          <w:rPr>
            <w:rStyle w:val="Hyperlink"/>
            <w:rFonts w:cstheme="minorHAnsi"/>
          </w:rPr>
          <w:t>веб-сайте</w:t>
        </w:r>
      </w:hyperlink>
      <w:r w:rsidRPr="00A06644">
        <w:rPr>
          <w:rFonts w:cstheme="minorHAnsi"/>
        </w:rPr>
        <w:t xml:space="preserve"> </w:t>
      </w:r>
      <w:r>
        <w:rPr>
          <w:rFonts w:cstheme="minorHAnsi"/>
        </w:rPr>
        <w:t>новых Руководящих</w:t>
      </w:r>
      <w:r w:rsidRPr="00A06644">
        <w:rPr>
          <w:rFonts w:cstheme="minorHAnsi"/>
        </w:rPr>
        <w:t xml:space="preserve"> </w:t>
      </w:r>
      <w:r>
        <w:rPr>
          <w:rFonts w:cstheme="minorHAnsi"/>
        </w:rPr>
        <w:t>указаний по</w:t>
      </w:r>
      <w:r w:rsidRPr="00A06644">
        <w:rPr>
          <w:rFonts w:cstheme="minorHAnsi"/>
        </w:rPr>
        <w:t xml:space="preserve"> </w:t>
      </w:r>
      <w:r w:rsidRPr="007F57F1">
        <w:rPr>
          <w:rFonts w:cstheme="minorHAnsi"/>
          <w:lang w:val="en-AU"/>
        </w:rPr>
        <w:t>COP</w:t>
      </w:r>
      <w:r w:rsidR="00752324" w:rsidRPr="00752324">
        <w:rPr>
          <w:rFonts w:cstheme="minorHAnsi"/>
        </w:rPr>
        <w:t>.</w:t>
      </w:r>
      <w:r w:rsidRPr="00A06644">
        <w:rPr>
          <w:rFonts w:cstheme="minorHAnsi"/>
        </w:rPr>
        <w:t xml:space="preserve"> </w:t>
      </w:r>
      <w:r>
        <w:rPr>
          <w:rFonts w:cstheme="minorHAnsi"/>
        </w:rPr>
        <w:t>В</w:t>
      </w:r>
      <w:r w:rsidRPr="00A06644">
        <w:rPr>
          <w:rFonts w:cstheme="minorHAnsi"/>
        </w:rPr>
        <w:t xml:space="preserve"> </w:t>
      </w:r>
      <w:r>
        <w:rPr>
          <w:rFonts w:cstheme="minorHAnsi"/>
        </w:rPr>
        <w:t>настоящее</w:t>
      </w:r>
      <w:r w:rsidRPr="00A06644">
        <w:rPr>
          <w:rFonts w:cstheme="minorHAnsi"/>
        </w:rPr>
        <w:t xml:space="preserve"> </w:t>
      </w:r>
      <w:r>
        <w:rPr>
          <w:rFonts w:cstheme="minorHAnsi"/>
        </w:rPr>
        <w:t>время</w:t>
      </w:r>
      <w:r w:rsidRPr="00A06644">
        <w:rPr>
          <w:rFonts w:cstheme="minorHAnsi"/>
        </w:rPr>
        <w:t xml:space="preserve"> </w:t>
      </w:r>
      <w:r>
        <w:rPr>
          <w:rFonts w:cstheme="minorHAnsi"/>
        </w:rPr>
        <w:t>также</w:t>
      </w:r>
      <w:r w:rsidRPr="00A06644">
        <w:rPr>
          <w:rFonts w:cstheme="minorHAnsi"/>
        </w:rPr>
        <w:t xml:space="preserve"> </w:t>
      </w:r>
      <w:r>
        <w:rPr>
          <w:rFonts w:cstheme="minorHAnsi"/>
        </w:rPr>
        <w:t>планируется</w:t>
      </w:r>
      <w:r w:rsidRPr="00A06644">
        <w:rPr>
          <w:rFonts w:cstheme="minorHAnsi"/>
        </w:rPr>
        <w:t xml:space="preserve"> </w:t>
      </w:r>
      <w:r>
        <w:rPr>
          <w:rFonts w:cstheme="minorHAnsi"/>
        </w:rPr>
        <w:t>кампания</w:t>
      </w:r>
      <w:r w:rsidRPr="00A06644">
        <w:rPr>
          <w:rFonts w:cstheme="minorHAnsi"/>
        </w:rPr>
        <w:t xml:space="preserve"> </w:t>
      </w:r>
      <w:r>
        <w:rPr>
          <w:rFonts w:cstheme="minorHAnsi"/>
        </w:rPr>
        <w:t>в</w:t>
      </w:r>
      <w:r w:rsidRPr="00A06644">
        <w:rPr>
          <w:rFonts w:cstheme="minorHAnsi"/>
        </w:rPr>
        <w:t xml:space="preserve"> </w:t>
      </w:r>
      <w:r>
        <w:rPr>
          <w:rFonts w:cstheme="minorHAnsi"/>
        </w:rPr>
        <w:t>социальных</w:t>
      </w:r>
      <w:r w:rsidRPr="00A06644">
        <w:rPr>
          <w:rFonts w:cstheme="minorHAnsi"/>
        </w:rPr>
        <w:t xml:space="preserve"> </w:t>
      </w:r>
      <w:r>
        <w:rPr>
          <w:rFonts w:cstheme="minorHAnsi"/>
        </w:rPr>
        <w:t>сетях</w:t>
      </w:r>
      <w:r w:rsidRPr="00A06644">
        <w:rPr>
          <w:rFonts w:cstheme="minorHAnsi"/>
        </w:rPr>
        <w:t xml:space="preserve"> </w:t>
      </w:r>
      <w:r>
        <w:rPr>
          <w:rFonts w:cstheme="minorHAnsi"/>
        </w:rPr>
        <w:t>для</w:t>
      </w:r>
      <w:r w:rsidRPr="00A06644">
        <w:rPr>
          <w:rFonts w:cstheme="minorHAnsi"/>
        </w:rPr>
        <w:t xml:space="preserve"> </w:t>
      </w:r>
      <w:r>
        <w:rPr>
          <w:rFonts w:cstheme="minorHAnsi"/>
        </w:rPr>
        <w:t>охвата</w:t>
      </w:r>
      <w:r w:rsidRPr="00A06644">
        <w:rPr>
          <w:rFonts w:cstheme="minorHAnsi"/>
        </w:rPr>
        <w:t xml:space="preserve"> </w:t>
      </w:r>
      <w:r>
        <w:rPr>
          <w:rFonts w:cstheme="minorHAnsi"/>
        </w:rPr>
        <w:t>молодежной аудитории</w:t>
      </w:r>
      <w:r w:rsidRPr="00A06644">
        <w:rPr>
          <w:rFonts w:cstheme="minorHAnsi"/>
        </w:rPr>
        <w:t xml:space="preserve">. </w:t>
      </w:r>
    </w:p>
    <w:p w14:paraId="0DA9CCF8" w14:textId="77777777" w:rsidR="00535CBF" w:rsidRPr="00752324" w:rsidRDefault="00535CBF" w:rsidP="00752324">
      <w:pPr>
        <w:spacing w:after="120"/>
        <w:rPr>
          <w:rFonts w:eastAsia="Calibri" w:cstheme="minorHAnsi"/>
        </w:rPr>
      </w:pPr>
      <w:r w:rsidRPr="00752324">
        <w:rPr>
          <w:rFonts w:eastAsia="Calibri" w:cstheme="minorHAnsi"/>
        </w:rPr>
        <w:t>БРЭ заявило, что МСЭ настоятельно рекомендует своим членам присоединиться к реализации Руководящих указаний по COP, принимая действенные и ориентированные на результаты меры для ускорения разработки и принятия надежных стратегий защиты ребенка в онлайновой среде на национальном уровне, создания комплексных планов действий для правительств, совершенствования мер и инструментов онлайновой защиты для отрасли и создания потенциала цифрового обучения с целью расширения прав и возможностей детей и родителей на местном и глобальном уровнях.</w:t>
      </w:r>
    </w:p>
    <w:tbl>
      <w:tblPr>
        <w:tblStyle w:val="TableGrid"/>
        <w:tblW w:w="0" w:type="auto"/>
        <w:tblLook w:val="04A0" w:firstRow="1" w:lastRow="0" w:firstColumn="1" w:lastColumn="0" w:noHBand="0" w:noVBand="1"/>
      </w:tblPr>
      <w:tblGrid>
        <w:gridCol w:w="9628"/>
      </w:tblGrid>
      <w:tr w:rsidR="00535CBF" w:rsidRPr="00752324" w14:paraId="4D82FF9F" w14:textId="77777777" w:rsidTr="00E526B6">
        <w:tc>
          <w:tcPr>
            <w:tcW w:w="9629" w:type="dxa"/>
          </w:tcPr>
          <w:p w14:paraId="4628FE5E" w14:textId="77777777" w:rsidR="00535CBF" w:rsidRPr="00752324" w:rsidRDefault="00535CBF" w:rsidP="00752324">
            <w:pPr>
              <w:spacing w:after="120"/>
              <w:rPr>
                <w:sz w:val="22"/>
              </w:rPr>
            </w:pPr>
            <w:r w:rsidRPr="00752324">
              <w:rPr>
                <w:sz w:val="22"/>
              </w:rPr>
              <w:t>КГРЭ приняла этот документ к сведению и дала ему высокую оценку, а также приветствовала участие Государств-Членов в процессе пересмотра Руководящих указаний по защите ребенка в онлайновой среде 2020 года.</w:t>
            </w:r>
          </w:p>
          <w:p w14:paraId="2DB32AF0" w14:textId="77777777" w:rsidR="00535CBF" w:rsidRPr="00752324" w:rsidRDefault="00535CBF" w:rsidP="00752324">
            <w:pPr>
              <w:spacing w:after="120"/>
              <w:rPr>
                <w:sz w:val="22"/>
              </w:rPr>
            </w:pPr>
            <w:r w:rsidRPr="00752324">
              <w:rPr>
                <w:sz w:val="22"/>
              </w:rPr>
              <w:t>КГРЭ настоятельно рекомендовала всем Государствам-Членам принять к сведению содержание Руководящих указаний.</w:t>
            </w:r>
          </w:p>
        </w:tc>
      </w:tr>
    </w:tbl>
    <w:p w14:paraId="359546B6" w14:textId="77777777" w:rsidR="00535CBF" w:rsidRPr="00F26A7C" w:rsidRDefault="00535CBF" w:rsidP="00E526B6">
      <w:pPr>
        <w:tabs>
          <w:tab w:val="left" w:pos="0"/>
        </w:tabs>
        <w:spacing w:after="120"/>
        <w:rPr>
          <w:rFonts w:cstheme="minorHAnsi"/>
        </w:rPr>
      </w:pPr>
      <w:r>
        <w:t>В</w:t>
      </w:r>
      <w:r w:rsidRPr="00231C5D">
        <w:t xml:space="preserve"> </w:t>
      </w:r>
      <w:hyperlink r:id="rId74" w:history="1">
        <w:r w:rsidRPr="00231C5D">
          <w:rPr>
            <w:rStyle w:val="Hyperlink"/>
            <w:rFonts w:cstheme="minorHAnsi"/>
          </w:rPr>
          <w:t>Документ</w:t>
        </w:r>
        <w:r>
          <w:rPr>
            <w:rStyle w:val="Hyperlink"/>
            <w:rFonts w:cstheme="minorHAnsi"/>
          </w:rPr>
          <w:t>е</w:t>
        </w:r>
        <w:r w:rsidRPr="00231C5D">
          <w:rPr>
            <w:rStyle w:val="Hyperlink"/>
            <w:rFonts w:cstheme="minorHAnsi"/>
          </w:rPr>
          <w:t xml:space="preserve"> 49</w:t>
        </w:r>
      </w:hyperlink>
      <w:r w:rsidRPr="00231C5D">
        <w:rPr>
          <w:rFonts w:cstheme="minorHAnsi"/>
        </w:rPr>
        <w:t xml:space="preserve"> </w:t>
      </w:r>
      <w:r>
        <w:rPr>
          <w:rFonts w:cstheme="minorHAnsi"/>
        </w:rPr>
        <w:t>описывается</w:t>
      </w:r>
      <w:r w:rsidRPr="00231C5D">
        <w:rPr>
          <w:rFonts w:cstheme="minorHAnsi"/>
        </w:rPr>
        <w:t xml:space="preserve"> </w:t>
      </w:r>
      <w:r w:rsidRPr="00231C5D">
        <w:rPr>
          <w:color w:val="000000"/>
          <w:szCs w:val="18"/>
        </w:rPr>
        <w:t xml:space="preserve">совместный проект МСЭ и ЮНИСЕФ по подключению школ, </w:t>
      </w:r>
      <w:r>
        <w:rPr>
          <w:color w:val="000000"/>
          <w:szCs w:val="18"/>
        </w:rPr>
        <w:t>известный</w:t>
      </w:r>
      <w:r w:rsidRPr="00231C5D">
        <w:rPr>
          <w:color w:val="000000"/>
          <w:szCs w:val="18"/>
        </w:rPr>
        <w:t xml:space="preserve"> </w:t>
      </w:r>
      <w:r>
        <w:rPr>
          <w:color w:val="000000"/>
          <w:szCs w:val="18"/>
        </w:rPr>
        <w:t>также</w:t>
      </w:r>
      <w:r w:rsidRPr="00231C5D">
        <w:rPr>
          <w:color w:val="000000"/>
          <w:szCs w:val="18"/>
        </w:rPr>
        <w:t xml:space="preserve"> </w:t>
      </w:r>
      <w:r>
        <w:rPr>
          <w:color w:val="000000"/>
          <w:szCs w:val="18"/>
        </w:rPr>
        <w:t>как</w:t>
      </w:r>
      <w:r w:rsidRPr="00231C5D">
        <w:rPr>
          <w:color w:val="000000"/>
          <w:szCs w:val="18"/>
        </w:rPr>
        <w:t xml:space="preserve"> </w:t>
      </w:r>
      <w:r>
        <w:rPr>
          <w:color w:val="000000"/>
          <w:szCs w:val="18"/>
        </w:rPr>
        <w:t>Инициатива "</w:t>
      </w:r>
      <w:r w:rsidRPr="007F57F1">
        <w:rPr>
          <w:rFonts w:cstheme="minorHAnsi"/>
        </w:rPr>
        <w:t>GIGA</w:t>
      </w:r>
      <w:r>
        <w:rPr>
          <w:rFonts w:cstheme="minorHAnsi"/>
        </w:rPr>
        <w:t>", который был представлен на сессии Генеральной Ассамблеи Организации Объединенных Наций в сентябре 2019 года</w:t>
      </w:r>
      <w:r w:rsidRPr="00231C5D">
        <w:rPr>
          <w:rFonts w:cstheme="minorHAnsi"/>
        </w:rPr>
        <w:t xml:space="preserve">”. </w:t>
      </w:r>
      <w:r>
        <w:rPr>
          <w:rFonts w:cstheme="minorHAnsi"/>
        </w:rPr>
        <w:t>Учитывая</w:t>
      </w:r>
      <w:r w:rsidRPr="00E7674F">
        <w:rPr>
          <w:rFonts w:cstheme="minorHAnsi"/>
        </w:rPr>
        <w:t xml:space="preserve">, </w:t>
      </w:r>
      <w:r>
        <w:rPr>
          <w:rFonts w:cstheme="minorHAnsi"/>
        </w:rPr>
        <w:t>что</w:t>
      </w:r>
      <w:r w:rsidRPr="00E7674F">
        <w:rPr>
          <w:rFonts w:cstheme="minorHAnsi"/>
        </w:rPr>
        <w:t xml:space="preserve"> </w:t>
      </w:r>
      <w:r>
        <w:rPr>
          <w:rFonts w:cstheme="minorHAnsi"/>
        </w:rPr>
        <w:t>доступа</w:t>
      </w:r>
      <w:r w:rsidRPr="00E7674F">
        <w:rPr>
          <w:rFonts w:cstheme="minorHAnsi"/>
        </w:rPr>
        <w:t xml:space="preserve"> </w:t>
      </w:r>
      <w:r>
        <w:rPr>
          <w:rFonts w:cstheme="minorHAnsi"/>
        </w:rPr>
        <w:t>к</w:t>
      </w:r>
      <w:r w:rsidRPr="00E7674F">
        <w:rPr>
          <w:rFonts w:cstheme="minorHAnsi"/>
        </w:rPr>
        <w:t xml:space="preserve"> </w:t>
      </w:r>
      <w:r>
        <w:rPr>
          <w:rFonts w:cstheme="minorHAnsi"/>
        </w:rPr>
        <w:t>интернету</w:t>
      </w:r>
      <w:r w:rsidRPr="00E7674F">
        <w:rPr>
          <w:rFonts w:cstheme="minorHAnsi"/>
        </w:rPr>
        <w:t xml:space="preserve"> </w:t>
      </w:r>
      <w:r>
        <w:rPr>
          <w:rFonts w:cstheme="minorHAnsi"/>
        </w:rPr>
        <w:t>лишены</w:t>
      </w:r>
      <w:r w:rsidRPr="00E7674F">
        <w:rPr>
          <w:rFonts w:cstheme="minorHAnsi"/>
        </w:rPr>
        <w:t xml:space="preserve"> </w:t>
      </w:r>
      <w:r>
        <w:rPr>
          <w:rFonts w:cstheme="minorHAnsi"/>
        </w:rPr>
        <w:t>около</w:t>
      </w:r>
      <w:r w:rsidRPr="00E7674F">
        <w:rPr>
          <w:rFonts w:cstheme="minorHAnsi"/>
        </w:rPr>
        <w:t xml:space="preserve"> 3,7 </w:t>
      </w:r>
      <w:r>
        <w:rPr>
          <w:rFonts w:cstheme="minorHAnsi"/>
        </w:rPr>
        <w:t>млрд</w:t>
      </w:r>
      <w:r w:rsidRPr="00E7674F">
        <w:rPr>
          <w:rFonts w:cstheme="minorHAnsi"/>
        </w:rPr>
        <w:t xml:space="preserve">. </w:t>
      </w:r>
      <w:r>
        <w:rPr>
          <w:rFonts w:cstheme="minorHAnsi"/>
        </w:rPr>
        <w:t>человек</w:t>
      </w:r>
      <w:r w:rsidRPr="00E7674F">
        <w:rPr>
          <w:rFonts w:cstheme="minorHAnsi"/>
        </w:rPr>
        <w:t xml:space="preserve">, </w:t>
      </w:r>
      <w:r>
        <w:rPr>
          <w:rFonts w:cstheme="minorHAnsi"/>
        </w:rPr>
        <w:t>из</w:t>
      </w:r>
      <w:r w:rsidRPr="00E7674F">
        <w:rPr>
          <w:rFonts w:cstheme="minorHAnsi"/>
        </w:rPr>
        <w:t xml:space="preserve"> </w:t>
      </w:r>
      <w:r>
        <w:rPr>
          <w:rFonts w:cstheme="minorHAnsi"/>
        </w:rPr>
        <w:t>которых</w:t>
      </w:r>
      <w:r w:rsidRPr="00E7674F">
        <w:rPr>
          <w:rFonts w:cstheme="minorHAnsi"/>
        </w:rPr>
        <w:t xml:space="preserve"> 360 </w:t>
      </w:r>
      <w:r>
        <w:rPr>
          <w:rFonts w:cstheme="minorHAnsi"/>
        </w:rPr>
        <w:t>млн</w:t>
      </w:r>
      <w:r w:rsidRPr="00E7674F">
        <w:rPr>
          <w:rFonts w:cstheme="minorHAnsi"/>
        </w:rPr>
        <w:t xml:space="preserve">. – </w:t>
      </w:r>
      <w:r>
        <w:rPr>
          <w:rFonts w:cstheme="minorHAnsi"/>
        </w:rPr>
        <w:t>молодые</w:t>
      </w:r>
      <w:r w:rsidRPr="00E7674F">
        <w:rPr>
          <w:rFonts w:cstheme="minorHAnsi"/>
        </w:rPr>
        <w:t xml:space="preserve"> </w:t>
      </w:r>
      <w:r>
        <w:rPr>
          <w:rFonts w:cstheme="minorHAnsi"/>
        </w:rPr>
        <w:t>люди</w:t>
      </w:r>
      <w:r w:rsidRPr="00E7674F">
        <w:rPr>
          <w:rFonts w:cstheme="minorHAnsi"/>
        </w:rPr>
        <w:t xml:space="preserve">, </w:t>
      </w:r>
      <w:r>
        <w:rPr>
          <w:rFonts w:cstheme="minorHAnsi"/>
        </w:rPr>
        <w:t>в</w:t>
      </w:r>
      <w:r w:rsidRPr="00E7674F">
        <w:rPr>
          <w:rFonts w:cstheme="minorHAnsi"/>
        </w:rPr>
        <w:t xml:space="preserve"> </w:t>
      </w:r>
      <w:r>
        <w:rPr>
          <w:rFonts w:cstheme="minorHAnsi"/>
        </w:rPr>
        <w:t>рамках</w:t>
      </w:r>
      <w:r w:rsidRPr="00E7674F">
        <w:rPr>
          <w:rFonts w:cstheme="minorHAnsi"/>
        </w:rPr>
        <w:t xml:space="preserve"> </w:t>
      </w:r>
      <w:r w:rsidRPr="007F57F1">
        <w:rPr>
          <w:rFonts w:cstheme="minorHAnsi"/>
        </w:rPr>
        <w:t>GIGA</w:t>
      </w:r>
      <w:r w:rsidRPr="00E7674F">
        <w:rPr>
          <w:rFonts w:cstheme="minorHAnsi"/>
        </w:rPr>
        <w:t xml:space="preserve"> </w:t>
      </w:r>
      <w:r>
        <w:rPr>
          <w:rFonts w:cstheme="minorHAnsi"/>
        </w:rPr>
        <w:t>ставится задача обеспечить соединениями все школы мира</w:t>
      </w:r>
      <w:r w:rsidRPr="00E7674F">
        <w:rPr>
          <w:rFonts w:cstheme="minorHAnsi"/>
        </w:rPr>
        <w:t xml:space="preserve">. </w:t>
      </w:r>
      <w:r w:rsidRPr="00F26A7C">
        <w:rPr>
          <w:color w:val="000000"/>
          <w:szCs w:val="18"/>
        </w:rPr>
        <w:t xml:space="preserve">Инициатива GIGA </w:t>
      </w:r>
      <w:r>
        <w:rPr>
          <w:color w:val="000000"/>
          <w:szCs w:val="18"/>
        </w:rPr>
        <w:t>имеет</w:t>
      </w:r>
      <w:r w:rsidRPr="00F26A7C">
        <w:rPr>
          <w:color w:val="000000"/>
          <w:szCs w:val="18"/>
        </w:rPr>
        <w:t xml:space="preserve"> целью ускорени</w:t>
      </w:r>
      <w:r>
        <w:rPr>
          <w:color w:val="000000"/>
          <w:szCs w:val="18"/>
        </w:rPr>
        <w:t>е</w:t>
      </w:r>
      <w:r w:rsidRPr="00F26A7C">
        <w:rPr>
          <w:color w:val="000000"/>
          <w:szCs w:val="18"/>
        </w:rPr>
        <w:t xml:space="preserve"> доступа молодых людей к образовательным ресурсам и возможностям.</w:t>
      </w:r>
      <w:r w:rsidRPr="00F26A7C">
        <w:rPr>
          <w:rFonts w:cstheme="minorHAnsi"/>
          <w:sz w:val="20"/>
        </w:rPr>
        <w:t xml:space="preserve"> </w:t>
      </w:r>
      <w:r w:rsidRPr="00F26A7C">
        <w:rPr>
          <w:color w:val="000000"/>
          <w:szCs w:val="18"/>
        </w:rPr>
        <w:t xml:space="preserve">GIGA также служит платформой для формирования инфраструктуры </w:t>
      </w:r>
      <w:r>
        <w:rPr>
          <w:color w:val="000000"/>
          <w:szCs w:val="18"/>
        </w:rPr>
        <w:t>с целью</w:t>
      </w:r>
      <w:r w:rsidRPr="00F26A7C">
        <w:rPr>
          <w:color w:val="000000"/>
          <w:szCs w:val="18"/>
        </w:rPr>
        <w:t xml:space="preserve"> обеспечения возможности установления цифровых соединений по всей стране, для каждого сообщества и каждого гражданина</w:t>
      </w:r>
      <w:r w:rsidRPr="00F26A7C">
        <w:rPr>
          <w:rFonts w:cstheme="minorHAnsi"/>
        </w:rPr>
        <w:t xml:space="preserve">. </w:t>
      </w:r>
      <w:r>
        <w:rPr>
          <w:rFonts w:cstheme="minorHAnsi"/>
        </w:rPr>
        <w:t>Школы</w:t>
      </w:r>
      <w:r w:rsidRPr="00F26A7C">
        <w:rPr>
          <w:rFonts w:cstheme="minorHAnsi"/>
        </w:rPr>
        <w:t xml:space="preserve"> </w:t>
      </w:r>
      <w:r>
        <w:rPr>
          <w:rFonts w:cstheme="minorHAnsi"/>
        </w:rPr>
        <w:t>используются</w:t>
      </w:r>
      <w:r w:rsidRPr="00F26A7C">
        <w:rPr>
          <w:rFonts w:cstheme="minorHAnsi"/>
        </w:rPr>
        <w:t xml:space="preserve"> </w:t>
      </w:r>
      <w:r>
        <w:rPr>
          <w:rFonts w:cstheme="minorHAnsi"/>
        </w:rPr>
        <w:t>для</w:t>
      </w:r>
      <w:r w:rsidRPr="00F26A7C">
        <w:rPr>
          <w:rFonts w:cstheme="minorHAnsi"/>
        </w:rPr>
        <w:t xml:space="preserve"> </w:t>
      </w:r>
      <w:r>
        <w:rPr>
          <w:rFonts w:cstheme="minorHAnsi"/>
        </w:rPr>
        <w:t>определения</w:t>
      </w:r>
      <w:r w:rsidRPr="00F26A7C">
        <w:rPr>
          <w:rFonts w:cstheme="minorHAnsi"/>
        </w:rPr>
        <w:t xml:space="preserve"> </w:t>
      </w:r>
      <w:r>
        <w:rPr>
          <w:rFonts w:cstheme="minorHAnsi"/>
        </w:rPr>
        <w:t>спроса</w:t>
      </w:r>
      <w:r w:rsidRPr="00F26A7C">
        <w:rPr>
          <w:rFonts w:cstheme="minorHAnsi"/>
        </w:rPr>
        <w:t xml:space="preserve"> </w:t>
      </w:r>
      <w:r>
        <w:rPr>
          <w:rFonts w:cstheme="minorHAnsi"/>
        </w:rPr>
        <w:t>на</w:t>
      </w:r>
      <w:r w:rsidRPr="00F26A7C">
        <w:rPr>
          <w:rFonts w:cstheme="minorHAnsi"/>
        </w:rPr>
        <w:t xml:space="preserve"> </w:t>
      </w:r>
      <w:r>
        <w:rPr>
          <w:rFonts w:cstheme="minorHAnsi"/>
        </w:rPr>
        <w:t>возможность</w:t>
      </w:r>
      <w:r w:rsidRPr="00F26A7C">
        <w:rPr>
          <w:rFonts w:cstheme="minorHAnsi"/>
        </w:rPr>
        <w:t xml:space="preserve"> </w:t>
      </w:r>
      <w:r>
        <w:rPr>
          <w:rFonts w:cstheme="minorHAnsi"/>
        </w:rPr>
        <w:t>установления</w:t>
      </w:r>
      <w:r w:rsidRPr="00F26A7C">
        <w:rPr>
          <w:rFonts w:cstheme="minorHAnsi"/>
        </w:rPr>
        <w:t xml:space="preserve"> </w:t>
      </w:r>
      <w:r>
        <w:rPr>
          <w:rFonts w:cstheme="minorHAnsi"/>
        </w:rPr>
        <w:t>соединений</w:t>
      </w:r>
      <w:r w:rsidRPr="00F26A7C">
        <w:rPr>
          <w:rFonts w:cstheme="minorHAnsi"/>
        </w:rPr>
        <w:t xml:space="preserve">, </w:t>
      </w:r>
      <w:r>
        <w:rPr>
          <w:rFonts w:cstheme="minorHAnsi"/>
        </w:rPr>
        <w:t>как</w:t>
      </w:r>
      <w:r w:rsidRPr="00F26A7C">
        <w:rPr>
          <w:rFonts w:cstheme="minorHAnsi"/>
        </w:rPr>
        <w:t xml:space="preserve"> </w:t>
      </w:r>
      <w:r>
        <w:rPr>
          <w:rFonts w:cstheme="minorHAnsi"/>
        </w:rPr>
        <w:t>и</w:t>
      </w:r>
      <w:r w:rsidRPr="00F26A7C">
        <w:rPr>
          <w:rFonts w:cstheme="minorHAnsi"/>
        </w:rPr>
        <w:t xml:space="preserve"> </w:t>
      </w:r>
      <w:r>
        <w:rPr>
          <w:rFonts w:cstheme="minorHAnsi"/>
        </w:rPr>
        <w:t>для обучения и соединения</w:t>
      </w:r>
      <w:r w:rsidRPr="00F26A7C">
        <w:rPr>
          <w:rFonts w:cstheme="minorHAnsi"/>
        </w:rPr>
        <w:t xml:space="preserve">. </w:t>
      </w:r>
    </w:p>
    <w:p w14:paraId="3AC686B0" w14:textId="77777777" w:rsidR="00535CBF" w:rsidRPr="003E2548" w:rsidRDefault="00535CBF" w:rsidP="00E526B6">
      <w:pPr>
        <w:spacing w:after="120"/>
        <w:rPr>
          <w:rFonts w:cstheme="minorHAnsi"/>
        </w:rPr>
      </w:pPr>
      <w:r>
        <w:rPr>
          <w:rFonts w:cstheme="minorHAnsi"/>
        </w:rPr>
        <w:t>Инициатива</w:t>
      </w:r>
      <w:r w:rsidRPr="002C57D8">
        <w:rPr>
          <w:rFonts w:cstheme="minorHAnsi"/>
        </w:rPr>
        <w:t xml:space="preserve"> </w:t>
      </w:r>
      <w:r w:rsidRPr="007F57F1">
        <w:rPr>
          <w:rFonts w:cstheme="minorHAnsi"/>
        </w:rPr>
        <w:t>GIGA</w:t>
      </w:r>
      <w:r w:rsidRPr="002C57D8">
        <w:rPr>
          <w:rFonts w:cstheme="minorHAnsi"/>
        </w:rPr>
        <w:t xml:space="preserve"> </w:t>
      </w:r>
      <w:r>
        <w:rPr>
          <w:rFonts w:cstheme="minorHAnsi"/>
        </w:rPr>
        <w:t>играет</w:t>
      </w:r>
      <w:r w:rsidRPr="002C57D8">
        <w:rPr>
          <w:rFonts w:cstheme="minorHAnsi"/>
        </w:rPr>
        <w:t xml:space="preserve"> </w:t>
      </w:r>
      <w:r>
        <w:rPr>
          <w:rFonts w:cstheme="minorHAnsi"/>
        </w:rPr>
        <w:t>ключевую</w:t>
      </w:r>
      <w:r w:rsidRPr="002C57D8">
        <w:rPr>
          <w:rFonts w:cstheme="minorHAnsi"/>
        </w:rPr>
        <w:t xml:space="preserve"> </w:t>
      </w:r>
      <w:r>
        <w:rPr>
          <w:rFonts w:cstheme="minorHAnsi"/>
        </w:rPr>
        <w:t>роль</w:t>
      </w:r>
      <w:r w:rsidRPr="002C57D8">
        <w:rPr>
          <w:rFonts w:cstheme="minorHAnsi"/>
        </w:rPr>
        <w:t xml:space="preserve"> </w:t>
      </w:r>
      <w:r>
        <w:rPr>
          <w:rFonts w:cstheme="minorHAnsi"/>
        </w:rPr>
        <w:t>для</w:t>
      </w:r>
      <w:r w:rsidRPr="002C57D8">
        <w:rPr>
          <w:rFonts w:cstheme="minorHAnsi"/>
        </w:rPr>
        <w:t xml:space="preserve"> </w:t>
      </w:r>
      <w:r>
        <w:rPr>
          <w:rFonts w:cstheme="minorHAnsi"/>
        </w:rPr>
        <w:t>Повестки</w:t>
      </w:r>
      <w:r w:rsidRPr="002C57D8">
        <w:rPr>
          <w:rFonts w:cstheme="minorHAnsi"/>
        </w:rPr>
        <w:t xml:space="preserve"> </w:t>
      </w:r>
      <w:r>
        <w:rPr>
          <w:rFonts w:cstheme="minorHAnsi"/>
        </w:rPr>
        <w:t>дня</w:t>
      </w:r>
      <w:r w:rsidRPr="002C57D8">
        <w:rPr>
          <w:rFonts w:cstheme="minorHAnsi"/>
        </w:rPr>
        <w:t xml:space="preserve"> </w:t>
      </w:r>
      <w:r>
        <w:rPr>
          <w:rFonts w:cstheme="minorHAnsi"/>
        </w:rPr>
        <w:t>МСЭ</w:t>
      </w:r>
      <w:r w:rsidRPr="002C57D8">
        <w:rPr>
          <w:rFonts w:cstheme="minorHAnsi"/>
        </w:rPr>
        <w:t xml:space="preserve"> "</w:t>
      </w:r>
      <w:r>
        <w:rPr>
          <w:rFonts w:cstheme="minorHAnsi"/>
        </w:rPr>
        <w:t>Соединим</w:t>
      </w:r>
      <w:r w:rsidRPr="002C57D8">
        <w:rPr>
          <w:rFonts w:cstheme="minorHAnsi"/>
        </w:rPr>
        <w:t xml:space="preserve"> </w:t>
      </w:r>
      <w:r>
        <w:rPr>
          <w:rFonts w:cstheme="minorHAnsi"/>
        </w:rPr>
        <w:t>к</w:t>
      </w:r>
      <w:r w:rsidRPr="002C57D8">
        <w:rPr>
          <w:rFonts w:cstheme="minorHAnsi"/>
        </w:rPr>
        <w:t xml:space="preserve"> 2030 </w:t>
      </w:r>
      <w:r>
        <w:rPr>
          <w:rFonts w:cstheme="minorHAnsi"/>
        </w:rPr>
        <w:t>году",</w:t>
      </w:r>
      <w:r w:rsidRPr="002C57D8">
        <w:rPr>
          <w:rFonts w:cstheme="minorHAnsi"/>
        </w:rPr>
        <w:t xml:space="preserve"> </w:t>
      </w:r>
      <w:r>
        <w:rPr>
          <w:rFonts w:cstheme="minorHAnsi"/>
        </w:rPr>
        <w:t>в</w:t>
      </w:r>
      <w:r w:rsidRPr="002C57D8">
        <w:rPr>
          <w:rFonts w:cstheme="minorHAnsi"/>
        </w:rPr>
        <w:t xml:space="preserve"> </w:t>
      </w:r>
      <w:r>
        <w:rPr>
          <w:rFonts w:cstheme="minorHAnsi"/>
        </w:rPr>
        <w:t>частности</w:t>
      </w:r>
      <w:r w:rsidRPr="002C57D8">
        <w:rPr>
          <w:rFonts w:cstheme="minorHAnsi"/>
        </w:rPr>
        <w:t xml:space="preserve"> </w:t>
      </w:r>
      <w:r>
        <w:rPr>
          <w:rFonts w:cstheme="minorHAnsi"/>
        </w:rPr>
        <w:t>для</w:t>
      </w:r>
      <w:r w:rsidRPr="002C57D8">
        <w:rPr>
          <w:rFonts w:cstheme="minorHAnsi"/>
        </w:rPr>
        <w:t xml:space="preserve"> </w:t>
      </w:r>
      <w:r>
        <w:rPr>
          <w:rFonts w:cstheme="minorHAnsi"/>
        </w:rPr>
        <w:t>Цели</w:t>
      </w:r>
      <w:r w:rsidRPr="002C57D8">
        <w:rPr>
          <w:rFonts w:cstheme="minorHAnsi"/>
        </w:rPr>
        <w:t xml:space="preserve"> 1 </w:t>
      </w:r>
      <w:r>
        <w:rPr>
          <w:rFonts w:cstheme="minorHAnsi"/>
        </w:rPr>
        <w:t>(рост) и Цели 2 (открытость)</w:t>
      </w:r>
      <w:r w:rsidRPr="002C57D8">
        <w:rPr>
          <w:rFonts w:cstheme="minorHAnsi"/>
        </w:rPr>
        <w:t xml:space="preserve">. </w:t>
      </w:r>
      <w:r w:rsidRPr="007F57F1">
        <w:rPr>
          <w:rFonts w:cstheme="minorHAnsi"/>
        </w:rPr>
        <w:t>GIGA</w:t>
      </w:r>
      <w:r w:rsidRPr="00C52EFB">
        <w:rPr>
          <w:rFonts w:cstheme="minorHAnsi"/>
        </w:rPr>
        <w:t xml:space="preserve"> </w:t>
      </w:r>
      <w:r>
        <w:rPr>
          <w:rFonts w:cstheme="minorHAnsi"/>
        </w:rPr>
        <w:t>напрямую</w:t>
      </w:r>
      <w:r w:rsidRPr="00C52EFB">
        <w:rPr>
          <w:rFonts w:cstheme="minorHAnsi"/>
        </w:rPr>
        <w:t xml:space="preserve"> </w:t>
      </w:r>
      <w:r>
        <w:rPr>
          <w:rFonts w:cstheme="minorHAnsi"/>
        </w:rPr>
        <w:t>увязана</w:t>
      </w:r>
      <w:r w:rsidRPr="00C52EFB">
        <w:rPr>
          <w:rFonts w:cstheme="minorHAnsi"/>
        </w:rPr>
        <w:t xml:space="preserve"> </w:t>
      </w:r>
      <w:r>
        <w:rPr>
          <w:rFonts w:cstheme="minorHAnsi"/>
        </w:rPr>
        <w:t>с</w:t>
      </w:r>
      <w:r w:rsidRPr="00C52EFB">
        <w:rPr>
          <w:rFonts w:cstheme="minorHAnsi"/>
        </w:rPr>
        <w:t xml:space="preserve"> </w:t>
      </w:r>
      <w:r>
        <w:rPr>
          <w:rFonts w:cstheme="minorHAnsi"/>
        </w:rPr>
        <w:t>целевыми</w:t>
      </w:r>
      <w:r w:rsidRPr="00C52EFB">
        <w:rPr>
          <w:rFonts w:cstheme="minorHAnsi"/>
        </w:rPr>
        <w:t xml:space="preserve"> </w:t>
      </w:r>
      <w:r>
        <w:rPr>
          <w:rFonts w:cstheme="minorHAnsi"/>
        </w:rPr>
        <w:t>показателями</w:t>
      </w:r>
      <w:r w:rsidRPr="00C52EFB">
        <w:rPr>
          <w:rFonts w:cstheme="minorHAnsi"/>
        </w:rPr>
        <w:t xml:space="preserve"> </w:t>
      </w:r>
      <w:r>
        <w:rPr>
          <w:rFonts w:cstheme="minorHAnsi"/>
        </w:rPr>
        <w:t>ВВУИО</w:t>
      </w:r>
      <w:r w:rsidRPr="00C52EFB">
        <w:rPr>
          <w:rFonts w:cstheme="minorHAnsi"/>
        </w:rPr>
        <w:t xml:space="preserve">, </w:t>
      </w:r>
      <w:r>
        <w:rPr>
          <w:rFonts w:cstheme="minorHAnsi"/>
        </w:rPr>
        <w:t>соединением</w:t>
      </w:r>
      <w:r w:rsidRPr="00C52EFB">
        <w:rPr>
          <w:rFonts w:cstheme="minorHAnsi"/>
        </w:rPr>
        <w:t xml:space="preserve"> </w:t>
      </w:r>
      <w:r>
        <w:rPr>
          <w:rFonts w:cstheme="minorHAnsi"/>
        </w:rPr>
        <w:t>университетов</w:t>
      </w:r>
      <w:r w:rsidRPr="00C52EFB">
        <w:rPr>
          <w:rFonts w:cstheme="minorHAnsi"/>
        </w:rPr>
        <w:t xml:space="preserve">, </w:t>
      </w:r>
      <w:r>
        <w:rPr>
          <w:rFonts w:cstheme="minorHAnsi"/>
        </w:rPr>
        <w:t>колледжей</w:t>
      </w:r>
      <w:r w:rsidRPr="00C52EFB">
        <w:rPr>
          <w:rFonts w:cstheme="minorHAnsi"/>
        </w:rPr>
        <w:t xml:space="preserve"> </w:t>
      </w:r>
      <w:r>
        <w:rPr>
          <w:rFonts w:cstheme="minorHAnsi"/>
        </w:rPr>
        <w:t>и</w:t>
      </w:r>
      <w:r w:rsidRPr="00C52EFB">
        <w:rPr>
          <w:rFonts w:cstheme="minorHAnsi"/>
        </w:rPr>
        <w:t xml:space="preserve"> </w:t>
      </w:r>
      <w:r>
        <w:rPr>
          <w:rFonts w:cstheme="minorHAnsi"/>
        </w:rPr>
        <w:t>школ</w:t>
      </w:r>
      <w:r w:rsidRPr="00C52EFB">
        <w:rPr>
          <w:rFonts w:cstheme="minorHAnsi"/>
        </w:rPr>
        <w:t xml:space="preserve"> </w:t>
      </w:r>
      <w:r>
        <w:rPr>
          <w:rFonts w:cstheme="minorHAnsi"/>
        </w:rPr>
        <w:t>с интернетом</w:t>
      </w:r>
      <w:r w:rsidRPr="00C52EFB">
        <w:rPr>
          <w:rFonts w:cstheme="minorHAnsi"/>
        </w:rPr>
        <w:t xml:space="preserve">. </w:t>
      </w:r>
      <w:r w:rsidRPr="007F57F1">
        <w:rPr>
          <w:rFonts w:cstheme="minorHAnsi"/>
        </w:rPr>
        <w:t>GIGA</w:t>
      </w:r>
      <w:r w:rsidRPr="003E2548">
        <w:rPr>
          <w:rFonts w:cstheme="minorHAnsi"/>
        </w:rPr>
        <w:t xml:space="preserve"> </w:t>
      </w:r>
      <w:r>
        <w:rPr>
          <w:rFonts w:cstheme="minorHAnsi"/>
        </w:rPr>
        <w:t>также</w:t>
      </w:r>
      <w:r w:rsidRPr="003E2548">
        <w:rPr>
          <w:rFonts w:cstheme="minorHAnsi"/>
        </w:rPr>
        <w:t xml:space="preserve"> </w:t>
      </w:r>
      <w:r>
        <w:rPr>
          <w:rFonts w:cstheme="minorHAnsi"/>
        </w:rPr>
        <w:t>непосредственно</w:t>
      </w:r>
      <w:r w:rsidRPr="003E2548">
        <w:rPr>
          <w:rFonts w:cstheme="minorHAnsi"/>
        </w:rPr>
        <w:t xml:space="preserve"> </w:t>
      </w:r>
      <w:r>
        <w:rPr>
          <w:rFonts w:cstheme="minorHAnsi"/>
        </w:rPr>
        <w:t>связана</w:t>
      </w:r>
      <w:r w:rsidRPr="003E2548">
        <w:rPr>
          <w:rFonts w:cstheme="minorHAnsi"/>
        </w:rPr>
        <w:t xml:space="preserve"> </w:t>
      </w:r>
      <w:r>
        <w:rPr>
          <w:rFonts w:cstheme="minorHAnsi"/>
        </w:rPr>
        <w:t>со</w:t>
      </w:r>
      <w:r w:rsidRPr="003E2548">
        <w:rPr>
          <w:rFonts w:cstheme="minorHAnsi"/>
        </w:rPr>
        <w:t xml:space="preserve"> </w:t>
      </w:r>
      <w:r>
        <w:rPr>
          <w:rFonts w:cstheme="minorHAnsi"/>
        </w:rPr>
        <w:t>многими</w:t>
      </w:r>
      <w:r w:rsidRPr="003E2548">
        <w:rPr>
          <w:rFonts w:cstheme="minorHAnsi"/>
        </w:rPr>
        <w:t xml:space="preserve"> </w:t>
      </w:r>
      <w:r>
        <w:rPr>
          <w:rFonts w:cstheme="minorHAnsi"/>
        </w:rPr>
        <w:t>региональными</w:t>
      </w:r>
      <w:r w:rsidRPr="003E2548">
        <w:rPr>
          <w:rFonts w:cstheme="minorHAnsi"/>
        </w:rPr>
        <w:t xml:space="preserve"> </w:t>
      </w:r>
      <w:r>
        <w:rPr>
          <w:rFonts w:cstheme="minorHAnsi"/>
        </w:rPr>
        <w:t>инициативами</w:t>
      </w:r>
      <w:r w:rsidRPr="003E2548">
        <w:rPr>
          <w:rFonts w:cstheme="minorHAnsi"/>
        </w:rPr>
        <w:t xml:space="preserve"> </w:t>
      </w:r>
      <w:r>
        <w:rPr>
          <w:rFonts w:cstheme="minorHAnsi"/>
        </w:rPr>
        <w:t>в</w:t>
      </w:r>
      <w:r w:rsidRPr="003E2548">
        <w:rPr>
          <w:rFonts w:cstheme="minorHAnsi"/>
        </w:rPr>
        <w:t xml:space="preserve"> </w:t>
      </w:r>
      <w:r>
        <w:rPr>
          <w:rFonts w:cstheme="minorHAnsi"/>
        </w:rPr>
        <w:t>Африке</w:t>
      </w:r>
      <w:r w:rsidRPr="003E2548">
        <w:rPr>
          <w:rFonts w:cstheme="minorHAnsi"/>
        </w:rPr>
        <w:t xml:space="preserve">, </w:t>
      </w:r>
      <w:r>
        <w:rPr>
          <w:rFonts w:cstheme="minorHAnsi"/>
        </w:rPr>
        <w:t>Северной</w:t>
      </w:r>
      <w:r w:rsidRPr="003E2548">
        <w:rPr>
          <w:rFonts w:cstheme="minorHAnsi"/>
        </w:rPr>
        <w:t xml:space="preserve"> </w:t>
      </w:r>
      <w:r>
        <w:rPr>
          <w:rFonts w:cstheme="minorHAnsi"/>
        </w:rPr>
        <w:t>и</w:t>
      </w:r>
      <w:r w:rsidRPr="003E2548">
        <w:rPr>
          <w:rFonts w:cstheme="minorHAnsi"/>
        </w:rPr>
        <w:t xml:space="preserve"> </w:t>
      </w:r>
      <w:r>
        <w:rPr>
          <w:rFonts w:cstheme="minorHAnsi"/>
        </w:rPr>
        <w:t>Южной</w:t>
      </w:r>
      <w:r w:rsidRPr="003E2548">
        <w:rPr>
          <w:rFonts w:cstheme="minorHAnsi"/>
        </w:rPr>
        <w:t xml:space="preserve"> </w:t>
      </w:r>
      <w:r>
        <w:rPr>
          <w:rFonts w:cstheme="minorHAnsi"/>
        </w:rPr>
        <w:t>Америке</w:t>
      </w:r>
      <w:r w:rsidRPr="003E2548">
        <w:rPr>
          <w:rFonts w:cstheme="minorHAnsi"/>
        </w:rPr>
        <w:t xml:space="preserve">, </w:t>
      </w:r>
      <w:r>
        <w:rPr>
          <w:rFonts w:cstheme="minorHAnsi"/>
        </w:rPr>
        <w:t>арабских</w:t>
      </w:r>
      <w:r w:rsidRPr="003E2548">
        <w:rPr>
          <w:rFonts w:cstheme="minorHAnsi"/>
        </w:rPr>
        <w:t xml:space="preserve"> </w:t>
      </w:r>
      <w:r>
        <w:rPr>
          <w:rFonts w:cstheme="minorHAnsi"/>
        </w:rPr>
        <w:t>государствах, Азиатско-Тихоокеанском регионе, Содружестве Независимых Государств и Европе</w:t>
      </w:r>
      <w:r w:rsidRPr="003E2548">
        <w:rPr>
          <w:rFonts w:cstheme="minorHAnsi"/>
        </w:rPr>
        <w:t xml:space="preserve">. </w:t>
      </w:r>
    </w:p>
    <w:tbl>
      <w:tblPr>
        <w:tblStyle w:val="TableGrid"/>
        <w:tblW w:w="0" w:type="auto"/>
        <w:tblLook w:val="04A0" w:firstRow="1" w:lastRow="0" w:firstColumn="1" w:lastColumn="0" w:noHBand="0" w:noVBand="1"/>
      </w:tblPr>
      <w:tblGrid>
        <w:gridCol w:w="9628"/>
      </w:tblGrid>
      <w:tr w:rsidR="00535CBF" w:rsidRPr="00752324" w14:paraId="7CA4C3D7" w14:textId="77777777" w:rsidTr="00E526B6">
        <w:tc>
          <w:tcPr>
            <w:tcW w:w="9629" w:type="dxa"/>
          </w:tcPr>
          <w:p w14:paraId="6D29EE38" w14:textId="77777777" w:rsidR="00535CBF" w:rsidRPr="00752324" w:rsidRDefault="00535CBF" w:rsidP="00752324">
            <w:pPr>
              <w:keepNext/>
              <w:keepLines/>
              <w:spacing w:after="120"/>
              <w:rPr>
                <w:sz w:val="22"/>
              </w:rPr>
            </w:pPr>
            <w:r w:rsidRPr="00752324">
              <w:rPr>
                <w:sz w:val="22"/>
              </w:rPr>
              <w:t>КГРЭ приняла этот документ к сведению и дала ему высокую оценку, а также поддерживает прогресс, достигнутый в рамках GIGA. Руанда, Казахстан и Соединенные Штаты Америки оказывают поддержку GIGA и являются, соответственно, ведущей страной в Африке, ведущей страной в Центральной Азии и поставщиком технической помощи GIGA. Ряд Государств-Членов выразили заинтересованность в получении дополнительных сведений о GIGA, и БРЭ примет соответствующие меры.</w:t>
            </w:r>
          </w:p>
        </w:tc>
      </w:tr>
    </w:tbl>
    <w:p w14:paraId="2DBA2C00" w14:textId="77777777" w:rsidR="00535CBF" w:rsidRPr="00752324" w:rsidRDefault="00535CBF" w:rsidP="00752324">
      <w:r w:rsidRPr="00752324">
        <w:br w:type="page"/>
      </w:r>
    </w:p>
    <w:p w14:paraId="5A36D2C4" w14:textId="77777777" w:rsidR="00535CBF" w:rsidRPr="00D5498E" w:rsidRDefault="00535CBF" w:rsidP="00D5498E">
      <w:pPr>
        <w:pStyle w:val="AnnexNo"/>
      </w:pPr>
      <w:r w:rsidRPr="00D5498E">
        <w:lastRenderedPageBreak/>
        <w:t>Annex 1</w:t>
      </w:r>
    </w:p>
    <w:tbl>
      <w:tblPr>
        <w:tblpPr w:leftFromText="180" w:rightFromText="180" w:vertAnchor="page" w:horzAnchor="margin" w:tblpY="2255"/>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535CBF" w14:paraId="15BFE619" w14:textId="77777777" w:rsidTr="00E526B6">
        <w:trPr>
          <w:cantSplit/>
          <w:trHeight w:val="1134"/>
        </w:trPr>
        <w:tc>
          <w:tcPr>
            <w:tcW w:w="6521" w:type="dxa"/>
          </w:tcPr>
          <w:p w14:paraId="04409015" w14:textId="77777777" w:rsidR="00535CBF" w:rsidRPr="00535CBF" w:rsidRDefault="00535CBF" w:rsidP="00E526B6">
            <w:pPr>
              <w:ind w:left="34" w:right="-142"/>
              <w:rPr>
                <w:b/>
                <w:bCs/>
                <w:sz w:val="32"/>
                <w:szCs w:val="32"/>
                <w:lang w:val="en-US"/>
              </w:rPr>
            </w:pPr>
            <w:r w:rsidRPr="00535CBF">
              <w:rPr>
                <w:b/>
                <w:bCs/>
                <w:sz w:val="32"/>
                <w:szCs w:val="32"/>
                <w:lang w:val="en-US"/>
              </w:rPr>
              <w:t>Telecommunication Development</w:t>
            </w:r>
            <w:r w:rsidRPr="00535CBF">
              <w:rPr>
                <w:b/>
                <w:bCs/>
                <w:sz w:val="32"/>
                <w:szCs w:val="32"/>
                <w:lang w:val="en-US"/>
              </w:rPr>
              <w:br/>
              <w:t>Advisory Group (TDAG)</w:t>
            </w:r>
          </w:p>
          <w:p w14:paraId="3BE4382A" w14:textId="77777777" w:rsidR="00535CBF" w:rsidRPr="00844A56" w:rsidRDefault="00535CBF" w:rsidP="00E526B6">
            <w:pPr>
              <w:spacing w:before="100" w:after="120"/>
              <w:ind w:left="34" w:right="-142"/>
              <w:rPr>
                <w:rFonts w:ascii="Verdana" w:hAnsi="Verdana"/>
                <w:sz w:val="28"/>
                <w:szCs w:val="28"/>
              </w:rPr>
            </w:pPr>
            <w:r w:rsidRPr="00EE0CA8">
              <w:rPr>
                <w:b/>
                <w:bCs/>
                <w:sz w:val="26"/>
                <w:szCs w:val="26"/>
              </w:rPr>
              <w:t>25th Meeting, Geneva, 2-5 June 2020</w:t>
            </w:r>
          </w:p>
        </w:tc>
        <w:tc>
          <w:tcPr>
            <w:tcW w:w="3402" w:type="dxa"/>
            <w:gridSpan w:val="2"/>
          </w:tcPr>
          <w:p w14:paraId="3D4B887D" w14:textId="77777777" w:rsidR="00535CBF" w:rsidRPr="00683C32" w:rsidRDefault="00535CBF" w:rsidP="00E526B6">
            <w:pPr>
              <w:spacing w:before="0"/>
              <w:jc w:val="right"/>
            </w:pPr>
            <w:r>
              <w:rPr>
                <w:noProof/>
                <w:lang w:eastAsia="ru-RU"/>
              </w:rPr>
              <w:drawing>
                <wp:inline distT="0" distB="0" distL="0" distR="0" wp14:anchorId="7D76E633" wp14:editId="556A3AF9">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535CBF" w:rsidRPr="00997358" w14:paraId="016A5F33" w14:textId="77777777" w:rsidTr="00E526B6">
        <w:trPr>
          <w:gridAfter w:val="1"/>
          <w:wAfter w:w="35" w:type="dxa"/>
          <w:cantSplit/>
        </w:trPr>
        <w:tc>
          <w:tcPr>
            <w:tcW w:w="6521" w:type="dxa"/>
            <w:tcBorders>
              <w:top w:val="single" w:sz="12" w:space="0" w:color="auto"/>
            </w:tcBorders>
          </w:tcPr>
          <w:p w14:paraId="7DEB19E1" w14:textId="77777777" w:rsidR="00535CBF" w:rsidRPr="00997358" w:rsidRDefault="00535CBF" w:rsidP="00E526B6">
            <w:pPr>
              <w:spacing w:before="0"/>
              <w:ind w:left="34" w:right="-142"/>
              <w:rPr>
                <w:rFonts w:cs="Arial"/>
                <w:b/>
                <w:bCs/>
                <w:sz w:val="20"/>
              </w:rPr>
            </w:pPr>
          </w:p>
        </w:tc>
        <w:tc>
          <w:tcPr>
            <w:tcW w:w="3367" w:type="dxa"/>
            <w:tcBorders>
              <w:top w:val="single" w:sz="12" w:space="0" w:color="auto"/>
            </w:tcBorders>
          </w:tcPr>
          <w:p w14:paraId="3F4CD3E9" w14:textId="77777777" w:rsidR="00535CBF" w:rsidRPr="00997358" w:rsidRDefault="00535CBF" w:rsidP="00E526B6">
            <w:pPr>
              <w:spacing w:before="0"/>
              <w:ind w:left="34" w:right="-142"/>
              <w:rPr>
                <w:b/>
                <w:bCs/>
                <w:sz w:val="20"/>
              </w:rPr>
            </w:pPr>
          </w:p>
        </w:tc>
      </w:tr>
      <w:tr w:rsidR="00535CBF" w:rsidRPr="00002716" w14:paraId="4B8ADF3B" w14:textId="77777777" w:rsidTr="00E526B6">
        <w:trPr>
          <w:gridAfter w:val="1"/>
          <w:wAfter w:w="35" w:type="dxa"/>
          <w:cantSplit/>
        </w:trPr>
        <w:tc>
          <w:tcPr>
            <w:tcW w:w="6521" w:type="dxa"/>
          </w:tcPr>
          <w:p w14:paraId="68D2DAED" w14:textId="77777777" w:rsidR="00535CBF" w:rsidRPr="007F1CC7" w:rsidRDefault="00535CBF" w:rsidP="00E526B6">
            <w:pPr>
              <w:pStyle w:val="Committee"/>
              <w:framePr w:hSpace="0" w:wrap="auto" w:vAnchor="margin" w:hAnchor="text" w:yAlign="inline"/>
              <w:ind w:left="34" w:right="-142"/>
              <w:rPr>
                <w:b w:val="0"/>
              </w:rPr>
            </w:pPr>
          </w:p>
        </w:tc>
        <w:tc>
          <w:tcPr>
            <w:tcW w:w="3367" w:type="dxa"/>
          </w:tcPr>
          <w:p w14:paraId="7C25A72A" w14:textId="77777777" w:rsidR="00535CBF" w:rsidRPr="007F1CC7" w:rsidRDefault="00535CBF" w:rsidP="00E526B6">
            <w:pPr>
              <w:spacing w:before="0"/>
              <w:ind w:left="34" w:right="-142"/>
              <w:jc w:val="both"/>
              <w:rPr>
                <w:bCs/>
                <w:szCs w:val="24"/>
                <w:lang w:val="en-US"/>
              </w:rPr>
            </w:pPr>
            <w:r w:rsidRPr="00002716">
              <w:rPr>
                <w:b/>
                <w:bCs/>
                <w:lang w:val="en-US"/>
              </w:rPr>
              <w:t>Document</w:t>
            </w:r>
            <w:r w:rsidRPr="00A54E72">
              <w:rPr>
                <w:b/>
                <w:bCs/>
                <w:lang w:val="en-US"/>
              </w:rPr>
              <w:t xml:space="preserve"> </w:t>
            </w:r>
            <w:r w:rsidRPr="00A6503E">
              <w:rPr>
                <w:b/>
                <w:bCs/>
              </w:rPr>
              <w:t>TDAG-20</w:t>
            </w:r>
            <w:r>
              <w:rPr>
                <w:b/>
                <w:bCs/>
              </w:rPr>
              <w:t>/DT/4-E</w:t>
            </w:r>
          </w:p>
        </w:tc>
      </w:tr>
      <w:tr w:rsidR="00535CBF" w14:paraId="7B8F86EF" w14:textId="77777777" w:rsidTr="00E526B6">
        <w:trPr>
          <w:gridAfter w:val="1"/>
          <w:wAfter w:w="35" w:type="dxa"/>
          <w:cantSplit/>
        </w:trPr>
        <w:tc>
          <w:tcPr>
            <w:tcW w:w="6521" w:type="dxa"/>
          </w:tcPr>
          <w:p w14:paraId="29A2C6B5" w14:textId="77777777" w:rsidR="00535CBF" w:rsidRPr="007F1CC7" w:rsidRDefault="00535CBF" w:rsidP="00E526B6">
            <w:pPr>
              <w:spacing w:before="0"/>
              <w:ind w:left="34" w:right="-142"/>
              <w:rPr>
                <w:b/>
                <w:bCs/>
                <w:smallCaps/>
                <w:szCs w:val="24"/>
                <w:lang w:val="en-US"/>
              </w:rPr>
            </w:pPr>
          </w:p>
        </w:tc>
        <w:tc>
          <w:tcPr>
            <w:tcW w:w="3367" w:type="dxa"/>
          </w:tcPr>
          <w:p w14:paraId="64ADD349" w14:textId="77777777" w:rsidR="00535CBF" w:rsidRPr="007F1CC7" w:rsidRDefault="00535CBF" w:rsidP="00E526B6">
            <w:pPr>
              <w:spacing w:before="0"/>
              <w:ind w:left="34" w:right="-142"/>
              <w:rPr>
                <w:b/>
                <w:szCs w:val="24"/>
              </w:rPr>
            </w:pPr>
            <w:r>
              <w:rPr>
                <w:b/>
                <w:szCs w:val="24"/>
              </w:rPr>
              <w:t>26 May 2020</w:t>
            </w:r>
          </w:p>
        </w:tc>
      </w:tr>
      <w:tr w:rsidR="00535CBF" w14:paraId="453E4C89" w14:textId="77777777" w:rsidTr="00E526B6">
        <w:trPr>
          <w:gridAfter w:val="1"/>
          <w:wAfter w:w="35" w:type="dxa"/>
          <w:cantSplit/>
        </w:trPr>
        <w:tc>
          <w:tcPr>
            <w:tcW w:w="6521" w:type="dxa"/>
          </w:tcPr>
          <w:p w14:paraId="4C3882D9" w14:textId="77777777" w:rsidR="00535CBF" w:rsidRPr="007F1CC7" w:rsidRDefault="00535CBF" w:rsidP="00E526B6">
            <w:pPr>
              <w:spacing w:before="0"/>
              <w:ind w:left="34" w:right="-142"/>
              <w:rPr>
                <w:b/>
                <w:bCs/>
                <w:smallCaps/>
                <w:szCs w:val="24"/>
              </w:rPr>
            </w:pPr>
          </w:p>
        </w:tc>
        <w:tc>
          <w:tcPr>
            <w:tcW w:w="3367" w:type="dxa"/>
          </w:tcPr>
          <w:p w14:paraId="2F009AC5" w14:textId="77777777" w:rsidR="00535CBF" w:rsidRPr="007F1CC7" w:rsidRDefault="00535CBF" w:rsidP="00E526B6">
            <w:pPr>
              <w:spacing w:before="0"/>
              <w:ind w:left="34" w:right="-142"/>
              <w:rPr>
                <w:szCs w:val="24"/>
              </w:rPr>
            </w:pPr>
            <w:r>
              <w:rPr>
                <w:b/>
              </w:rPr>
              <w:t>English only</w:t>
            </w:r>
          </w:p>
        </w:tc>
      </w:tr>
      <w:tr w:rsidR="00535CBF" w:rsidRPr="00083D22" w14:paraId="7A935CA2" w14:textId="77777777" w:rsidTr="00E526B6">
        <w:trPr>
          <w:gridAfter w:val="1"/>
          <w:wAfter w:w="35" w:type="dxa"/>
          <w:cantSplit/>
          <w:trHeight w:val="852"/>
        </w:trPr>
        <w:tc>
          <w:tcPr>
            <w:tcW w:w="9888" w:type="dxa"/>
            <w:gridSpan w:val="2"/>
            <w:vAlign w:val="center"/>
          </w:tcPr>
          <w:p w14:paraId="020AFCDD" w14:textId="77777777" w:rsidR="00535CBF" w:rsidRPr="00535CBF" w:rsidRDefault="00535CBF" w:rsidP="00E526B6">
            <w:pPr>
              <w:pStyle w:val="Source"/>
              <w:framePr w:hSpace="0" w:wrap="auto" w:vAnchor="margin" w:hAnchor="text" w:yAlign="inline"/>
              <w:ind w:left="34" w:right="-142"/>
              <w:rPr>
                <w:lang w:val="en-US"/>
              </w:rPr>
            </w:pPr>
            <w:r w:rsidRPr="00535CBF">
              <w:rPr>
                <w:lang w:val="en-US"/>
              </w:rPr>
              <w:t>Chairperson, Telecommunications Development Advisory Group</w:t>
            </w:r>
          </w:p>
        </w:tc>
      </w:tr>
      <w:tr w:rsidR="00535CBF" w:rsidRPr="00083D22" w14:paraId="2D1F04A0" w14:textId="77777777" w:rsidTr="00E526B6">
        <w:trPr>
          <w:gridAfter w:val="1"/>
          <w:wAfter w:w="35" w:type="dxa"/>
          <w:cantSplit/>
        </w:trPr>
        <w:tc>
          <w:tcPr>
            <w:tcW w:w="9888" w:type="dxa"/>
            <w:gridSpan w:val="2"/>
            <w:vAlign w:val="center"/>
          </w:tcPr>
          <w:p w14:paraId="0255B575" w14:textId="77777777" w:rsidR="00535CBF" w:rsidRPr="00535CBF" w:rsidRDefault="00535CBF" w:rsidP="00E526B6">
            <w:pPr>
              <w:pStyle w:val="Normalaftertitle"/>
              <w:spacing w:before="120" w:after="120"/>
              <w:jc w:val="center"/>
              <w:rPr>
                <w:caps/>
                <w:lang w:val="en-US"/>
              </w:rPr>
            </w:pPr>
            <w:r w:rsidRPr="00535CBF">
              <w:rPr>
                <w:caps/>
                <w:sz w:val="28"/>
                <w:lang w:val="en-US"/>
              </w:rPr>
              <w:t>TDAG SCOPE AND RESPONSIBILITIES, TDAG WEB DIALOGUES AND WTDC REFORM</w:t>
            </w:r>
          </w:p>
        </w:tc>
      </w:tr>
      <w:tr w:rsidR="00535CBF" w:rsidRPr="00083D22" w14:paraId="3A41C4CD" w14:textId="77777777" w:rsidTr="00E526B6">
        <w:trPr>
          <w:gridAfter w:val="1"/>
          <w:wAfter w:w="35" w:type="dxa"/>
          <w:cantSplit/>
        </w:trPr>
        <w:tc>
          <w:tcPr>
            <w:tcW w:w="9888" w:type="dxa"/>
            <w:gridSpan w:val="2"/>
            <w:vAlign w:val="center"/>
          </w:tcPr>
          <w:p w14:paraId="1A012DAB" w14:textId="77777777" w:rsidR="00535CBF" w:rsidRPr="00535CBF" w:rsidRDefault="00535CBF" w:rsidP="00E526B6">
            <w:pPr>
              <w:pStyle w:val="Normalaftertitle"/>
              <w:spacing w:before="120"/>
              <w:jc w:val="center"/>
              <w:rPr>
                <w:caps/>
                <w:szCs w:val="24"/>
                <w:lang w:val="en-US"/>
              </w:rPr>
            </w:pPr>
          </w:p>
        </w:tc>
      </w:tr>
      <w:tr w:rsidR="00535CBF" w:rsidRPr="00083D22" w14:paraId="13B6B3ED" w14:textId="77777777" w:rsidTr="00E526B6">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0827B17C" w14:textId="77777777" w:rsidR="00535CBF" w:rsidRPr="00535CBF" w:rsidRDefault="00535CBF" w:rsidP="00E526B6">
            <w:pPr>
              <w:overflowPunct/>
              <w:autoSpaceDE/>
              <w:autoSpaceDN/>
              <w:adjustRightInd/>
              <w:spacing w:after="120"/>
              <w:textAlignment w:val="auto"/>
              <w:rPr>
                <w:b/>
                <w:bCs/>
                <w:szCs w:val="24"/>
                <w:lang w:val="en-US"/>
              </w:rPr>
            </w:pPr>
            <w:r w:rsidRPr="00535CBF">
              <w:rPr>
                <w:b/>
                <w:bCs/>
                <w:szCs w:val="24"/>
                <w:lang w:val="en-US"/>
              </w:rPr>
              <w:t>Summary:</w:t>
            </w:r>
          </w:p>
          <w:p w14:paraId="75D0A0AF" w14:textId="77777777" w:rsidR="00535CBF" w:rsidRPr="00535CBF" w:rsidRDefault="00535CBF" w:rsidP="00E526B6">
            <w:pPr>
              <w:overflowPunct/>
              <w:autoSpaceDE/>
              <w:autoSpaceDN/>
              <w:adjustRightInd/>
              <w:spacing w:after="120"/>
              <w:textAlignment w:val="auto"/>
              <w:rPr>
                <w:szCs w:val="24"/>
                <w:lang w:val="en-US"/>
              </w:rPr>
            </w:pPr>
            <w:r w:rsidRPr="00535CBF">
              <w:rPr>
                <w:szCs w:val="24"/>
                <w:lang w:val="en-US"/>
              </w:rPr>
              <w:t xml:space="preserve">This document provides a brief overview of TDAG and its scope of responsibilities, offers feedback related to the TDAG Web dialogues on WTDC reform, and recommends points to consider for TDAG 2021. </w:t>
            </w:r>
          </w:p>
          <w:p w14:paraId="5FB15415" w14:textId="77777777" w:rsidR="00535CBF" w:rsidRPr="00535CBF" w:rsidRDefault="00535CBF" w:rsidP="00E526B6">
            <w:pPr>
              <w:overflowPunct/>
              <w:autoSpaceDE/>
              <w:autoSpaceDN/>
              <w:adjustRightInd/>
              <w:spacing w:after="120"/>
              <w:textAlignment w:val="auto"/>
              <w:rPr>
                <w:szCs w:val="24"/>
                <w:lang w:val="en-US"/>
              </w:rPr>
            </w:pPr>
            <w:r w:rsidRPr="00535CBF">
              <w:rPr>
                <w:szCs w:val="24"/>
                <w:lang w:val="en-US"/>
              </w:rPr>
              <w:t>The aim is to encourage TDAG to:</w:t>
            </w:r>
          </w:p>
          <w:p w14:paraId="30F382DF" w14:textId="77777777" w:rsidR="00535CBF" w:rsidRPr="00A240E8" w:rsidRDefault="00535CBF" w:rsidP="00535CBF">
            <w:pPr>
              <w:pStyle w:val="ListParagraph"/>
              <w:numPr>
                <w:ilvl w:val="0"/>
                <w:numId w:val="33"/>
              </w:numPr>
              <w:spacing w:before="40" w:after="40"/>
              <w:ind w:left="357" w:right="-142" w:hanging="357"/>
              <w:contextualSpacing w:val="0"/>
              <w:rPr>
                <w:rFonts w:cstheme="minorHAnsi"/>
                <w:szCs w:val="24"/>
                <w:bdr w:val="none" w:sz="0" w:space="0" w:color="auto" w:frame="1"/>
                <w:shd w:val="clear" w:color="auto" w:fill="FFFFFF"/>
              </w:rPr>
            </w:pPr>
            <w:bookmarkStart w:id="130" w:name="Abstract"/>
            <w:bookmarkStart w:id="131" w:name="ActionRequired"/>
            <w:bookmarkEnd w:id="130"/>
            <w:bookmarkEnd w:id="131"/>
            <w:r w:rsidRPr="00A240E8">
              <w:rPr>
                <w:rFonts w:cstheme="minorHAnsi"/>
                <w:szCs w:val="24"/>
                <w:bdr w:val="none" w:sz="0" w:space="0" w:color="auto" w:frame="1"/>
                <w:shd w:val="clear" w:color="auto" w:fill="FFFFFF"/>
              </w:rPr>
              <w:t>Consider its treatment of the Development Sector contribution to the ITU strategic and operational plans,</w:t>
            </w:r>
          </w:p>
          <w:p w14:paraId="08F0654E" w14:textId="77777777" w:rsidR="00535CBF" w:rsidRPr="00A240E8" w:rsidRDefault="00535CBF" w:rsidP="00535CBF">
            <w:pPr>
              <w:pStyle w:val="ListParagraph"/>
              <w:numPr>
                <w:ilvl w:val="0"/>
                <w:numId w:val="33"/>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 xml:space="preserve">Identify some consensus views on regional preparations for WTDC, and </w:t>
            </w:r>
          </w:p>
          <w:p w14:paraId="096B0EF9" w14:textId="77777777" w:rsidR="00535CBF" w:rsidRPr="00A240E8" w:rsidRDefault="00535CBF" w:rsidP="00535CBF">
            <w:pPr>
              <w:pStyle w:val="ListParagraph"/>
              <w:numPr>
                <w:ilvl w:val="0"/>
                <w:numId w:val="33"/>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Consider all ideas and views proposed and establish appropriate groups to chart a way forward on both the administrative and development-oriented facets of the upcoming WTDC.</w:t>
            </w:r>
          </w:p>
          <w:p w14:paraId="6B2A0B52" w14:textId="77777777" w:rsidR="00535CBF" w:rsidRPr="00535CBF" w:rsidRDefault="00535CBF" w:rsidP="00E526B6">
            <w:pPr>
              <w:spacing w:after="120"/>
              <w:ind w:left="34" w:right="-142"/>
              <w:rPr>
                <w:b/>
                <w:bCs/>
                <w:szCs w:val="24"/>
                <w:lang w:val="en-US"/>
              </w:rPr>
            </w:pPr>
            <w:r w:rsidRPr="00535CBF">
              <w:rPr>
                <w:b/>
                <w:bCs/>
                <w:szCs w:val="24"/>
                <w:lang w:val="en-US"/>
              </w:rPr>
              <w:t>References:</w:t>
            </w:r>
            <w:bookmarkStart w:id="132" w:name="References"/>
            <w:bookmarkEnd w:id="132"/>
            <w:r w:rsidRPr="00535CBF">
              <w:rPr>
                <w:b/>
                <w:bCs/>
                <w:szCs w:val="24"/>
                <w:lang w:val="en-US"/>
              </w:rPr>
              <w:t xml:space="preserve"> </w:t>
            </w:r>
          </w:p>
          <w:p w14:paraId="470130B7" w14:textId="77777777" w:rsidR="00535CBF" w:rsidRPr="00535CBF" w:rsidRDefault="00535CBF" w:rsidP="00E526B6">
            <w:pPr>
              <w:spacing w:after="120"/>
              <w:ind w:left="34" w:right="-142"/>
              <w:rPr>
                <w:b/>
                <w:bCs/>
                <w:lang w:val="en-US"/>
              </w:rPr>
            </w:pPr>
            <w:r w:rsidRPr="00535CBF">
              <w:rPr>
                <w:szCs w:val="24"/>
                <w:lang w:val="en-US"/>
              </w:rPr>
              <w:t xml:space="preserve">Resolution 208 (Rev Dubai 2018); Resolution 24 (Rev Dubai 2014); Resolution 1 (Rev Buenos Aires 2017); </w:t>
            </w:r>
            <w:hyperlink r:id="rId75" w:history="1">
              <w:r w:rsidRPr="00535CBF">
                <w:rPr>
                  <w:rStyle w:val="Hyperlink"/>
                  <w:rFonts w:cs="Calibri"/>
                  <w:szCs w:val="24"/>
                  <w:lang w:val="en-US"/>
                </w:rPr>
                <w:t>TDAG-18/7(Rev.1)</w:t>
              </w:r>
            </w:hyperlink>
            <w:r w:rsidRPr="00535CBF">
              <w:rPr>
                <w:rFonts w:cs="Calibri"/>
                <w:szCs w:val="24"/>
                <w:lang w:val="en-US"/>
              </w:rPr>
              <w:t xml:space="preserve"> (</w:t>
            </w:r>
            <w:r w:rsidRPr="00535CBF">
              <w:rPr>
                <w:rFonts w:cs="Calibri"/>
                <w:i/>
                <w:szCs w:val="24"/>
                <w:lang w:val="en-US"/>
              </w:rPr>
              <w:t>TDAG’s Scope and Working Methods</w:t>
            </w:r>
            <w:r w:rsidRPr="00535CBF">
              <w:rPr>
                <w:rFonts w:cs="Calibri"/>
                <w:szCs w:val="24"/>
                <w:lang w:val="en-US"/>
              </w:rPr>
              <w:t>)</w:t>
            </w:r>
          </w:p>
        </w:tc>
      </w:tr>
    </w:tbl>
    <w:p w14:paraId="63213D99" w14:textId="77777777" w:rsidR="00535CBF" w:rsidRPr="00535CBF" w:rsidRDefault="00535CBF" w:rsidP="00E526B6">
      <w:pPr>
        <w:ind w:left="34" w:right="-142"/>
        <w:rPr>
          <w:lang w:val="en-US"/>
        </w:rPr>
      </w:pPr>
    </w:p>
    <w:p w14:paraId="0D4500C2" w14:textId="77777777" w:rsidR="00535CBF" w:rsidRPr="00535CBF" w:rsidRDefault="00535CBF" w:rsidP="00E526B6">
      <w:pPr>
        <w:overflowPunct/>
        <w:autoSpaceDE/>
        <w:autoSpaceDN/>
        <w:adjustRightInd/>
        <w:spacing w:before="0"/>
        <w:textAlignment w:val="auto"/>
        <w:rPr>
          <w:b/>
          <w:lang w:val="en-US"/>
        </w:rPr>
      </w:pPr>
      <w:bookmarkStart w:id="133" w:name="Proposal"/>
      <w:bookmarkEnd w:id="133"/>
      <w:r w:rsidRPr="00535CBF">
        <w:rPr>
          <w:b/>
          <w:lang w:val="en-US"/>
        </w:rPr>
        <w:br w:type="page"/>
      </w:r>
    </w:p>
    <w:p w14:paraId="2B3AD4B7" w14:textId="77777777" w:rsidR="00535CBF" w:rsidRPr="00535CBF" w:rsidRDefault="00535CBF" w:rsidP="00E526B6">
      <w:pPr>
        <w:keepNext/>
        <w:overflowPunct/>
        <w:autoSpaceDE/>
        <w:autoSpaceDN/>
        <w:adjustRightInd/>
        <w:spacing w:after="120"/>
        <w:rPr>
          <w:b/>
          <w:lang w:val="en-US"/>
        </w:rPr>
      </w:pPr>
      <w:r w:rsidRPr="00535CBF">
        <w:rPr>
          <w:b/>
          <w:lang w:val="en-US"/>
        </w:rPr>
        <w:lastRenderedPageBreak/>
        <w:t>Introduction</w:t>
      </w:r>
    </w:p>
    <w:p w14:paraId="0AFF39D7" w14:textId="292494F8" w:rsidR="00535CBF" w:rsidRPr="00535CBF" w:rsidRDefault="00535CBF" w:rsidP="00E526B6">
      <w:pPr>
        <w:overflowPunct/>
        <w:autoSpaceDE/>
        <w:autoSpaceDN/>
        <w:adjustRightInd/>
        <w:spacing w:after="120"/>
        <w:textAlignment w:val="auto"/>
        <w:rPr>
          <w:lang w:val="en-US"/>
        </w:rPr>
      </w:pPr>
      <w:r w:rsidRPr="00535CBF">
        <w:rPr>
          <w:lang w:val="en-US"/>
        </w:rPr>
        <w:t>This assembly marks the third of four TDAG meetings in the 2018-2021 cycle, and is the first virtual advisory group meeting in the 28-year history of the ITU Development Sector. It is also the first TDAG meeting convened</w:t>
      </w:r>
      <w:r w:rsidR="003D1AD0">
        <w:rPr>
          <w:lang w:val="en-US"/>
        </w:rPr>
        <w:t xml:space="preserve"> during a world-wide pandemic. </w:t>
      </w:r>
    </w:p>
    <w:p w14:paraId="7C5A99E9" w14:textId="77777777" w:rsidR="00535CBF" w:rsidRPr="00535CBF" w:rsidRDefault="00535CBF" w:rsidP="00E526B6">
      <w:pPr>
        <w:overflowPunct/>
        <w:autoSpaceDE/>
        <w:autoSpaceDN/>
        <w:adjustRightInd/>
        <w:spacing w:after="120"/>
        <w:textAlignment w:val="auto"/>
        <w:rPr>
          <w:lang w:val="en-US"/>
        </w:rPr>
      </w:pPr>
      <w:r w:rsidRPr="00535CBF">
        <w:rPr>
          <w:lang w:val="en-US"/>
        </w:rPr>
        <w:t xml:space="preserve">This document provides a brief overview of TDAG and its scope of responsibilities, offers feedback on the TDAG Web dialogues on World Telecommunication Development Conference (WTDC) reform for consideration at this meeting and related deliberations, and recommends points to consider for TDAG 2021. </w:t>
      </w:r>
    </w:p>
    <w:p w14:paraId="3ACF7150" w14:textId="4BD79957" w:rsidR="00535CBF" w:rsidRPr="00535CBF" w:rsidRDefault="00535CBF" w:rsidP="00E526B6">
      <w:pPr>
        <w:overflowPunct/>
        <w:autoSpaceDE/>
        <w:autoSpaceDN/>
        <w:adjustRightInd/>
        <w:spacing w:after="120"/>
        <w:textAlignment w:val="auto"/>
        <w:rPr>
          <w:lang w:val="en-US"/>
        </w:rPr>
      </w:pPr>
      <w:r w:rsidRPr="00535CBF">
        <w:rPr>
          <w:lang w:val="en-US"/>
        </w:rPr>
        <w:t>Given the availability of a full four-year cycle, TDAG 2018 made the decision to constitute working groups to prepare for WTDC-21 at a time in closer proximity to the conference itself. As of June 2020, WTDC-21 is planned to take place in approximately 17 months in Addis Ababa, Ethiopia, from November 8 - 19, 2021. In addition to endorsing the draft operational plan, I would propose that TDAG 2020 establish its working group on the strategic plan, identify some consensus views on regional preparations for WTDC, and establish appropriate groups to chart a way forward on both the administrative and development-oriented facets of the upcoming WTDC.</w:t>
      </w:r>
    </w:p>
    <w:p w14:paraId="433AD2AB" w14:textId="77777777" w:rsidR="00535CBF" w:rsidRPr="00083D22" w:rsidRDefault="00535CBF" w:rsidP="00E526B6">
      <w:pPr>
        <w:keepNext/>
        <w:overflowPunct/>
        <w:autoSpaceDE/>
        <w:autoSpaceDN/>
        <w:adjustRightInd/>
        <w:spacing w:after="120"/>
        <w:rPr>
          <w:b/>
          <w:lang w:val="en-GB"/>
        </w:rPr>
      </w:pPr>
      <w:r w:rsidRPr="00083D22">
        <w:rPr>
          <w:b/>
          <w:lang w:val="en-GB"/>
        </w:rPr>
        <w:t>TDAG Scope and Responsibilities</w:t>
      </w:r>
    </w:p>
    <w:p w14:paraId="42B0C456" w14:textId="491E313E" w:rsidR="00535CBF" w:rsidRPr="00535CBF" w:rsidRDefault="00535CBF" w:rsidP="00E526B6">
      <w:pPr>
        <w:shd w:val="clear" w:color="auto" w:fill="FFFFFF"/>
        <w:spacing w:after="120"/>
        <w:rPr>
          <w:lang w:val="en-US"/>
        </w:rPr>
      </w:pPr>
      <w:r w:rsidRPr="00535CBF">
        <w:rPr>
          <w:rFonts w:cs="Calibri"/>
          <w:color w:val="000000"/>
          <w:lang w:val="en-US"/>
        </w:rPr>
        <w:t>Acting through the Director, TDAG is charged with reviewing the relationship between the objectives in the ITU Strategic Plan and </w:t>
      </w:r>
      <w:r w:rsidRPr="00535CBF">
        <w:rPr>
          <w:rFonts w:cs="Calibri"/>
          <w:b/>
          <w:bCs/>
          <w:color w:val="000000"/>
          <w:lang w:val="en-US"/>
        </w:rPr>
        <w:t>budgetary appropriations available for activities,</w:t>
      </w:r>
      <w:r w:rsidRPr="00535CBF">
        <w:rPr>
          <w:rFonts w:cs="Calibri"/>
          <w:color w:val="000000"/>
          <w:lang w:val="en-US"/>
        </w:rPr>
        <w:t> especially the </w:t>
      </w:r>
      <w:r w:rsidRPr="00535CBF">
        <w:rPr>
          <w:rFonts w:cs="Calibri"/>
          <w:b/>
          <w:bCs/>
          <w:color w:val="000000"/>
          <w:lang w:val="en-US"/>
        </w:rPr>
        <w:t>programs and</w:t>
      </w:r>
      <w:r w:rsidRPr="00535CBF">
        <w:rPr>
          <w:rFonts w:cs="Calibri"/>
          <w:color w:val="000000"/>
          <w:lang w:val="en-US"/>
        </w:rPr>
        <w:t> </w:t>
      </w:r>
      <w:r w:rsidRPr="00535CBF">
        <w:rPr>
          <w:rFonts w:cs="Calibri"/>
          <w:b/>
          <w:bCs/>
          <w:color w:val="000000"/>
          <w:lang w:val="en-US"/>
        </w:rPr>
        <w:t>regional initiatives,</w:t>
      </w:r>
      <w:r w:rsidRPr="00535CBF">
        <w:rPr>
          <w:rFonts w:cs="Calibri"/>
          <w:color w:val="000000"/>
          <w:lang w:val="en-US"/>
        </w:rPr>
        <w:t xml:space="preserve"> as well as the </w:t>
      </w:r>
      <w:r w:rsidRPr="00535CBF">
        <w:rPr>
          <w:rFonts w:cs="Calibri"/>
          <w:b/>
          <w:bCs/>
          <w:color w:val="000000"/>
          <w:lang w:val="en-US"/>
        </w:rPr>
        <w:t>current operational plan and the draft operational plan </w:t>
      </w:r>
      <w:r w:rsidRPr="00535CBF">
        <w:rPr>
          <w:rFonts w:cs="Calibri"/>
          <w:color w:val="000000"/>
          <w:lang w:val="en-US"/>
        </w:rPr>
        <w:t xml:space="preserve">that is presented to Council for approval. The rules also contemplate that TDAG will help </w:t>
      </w:r>
      <w:r w:rsidRPr="00535CBF">
        <w:rPr>
          <w:rFonts w:cs="Calibri"/>
          <w:b/>
          <w:color w:val="000000"/>
          <w:lang w:val="en-US"/>
        </w:rPr>
        <w:t>facilitate links</w:t>
      </w:r>
      <w:r w:rsidRPr="00535CBF">
        <w:rPr>
          <w:rFonts w:cs="Calibri"/>
          <w:color w:val="000000"/>
          <w:lang w:val="en-US"/>
        </w:rPr>
        <w:t xml:space="preserve"> to the ITU Strategic Plan and the 4-year rolling operational plan, and offer advice on </w:t>
      </w:r>
      <w:r w:rsidRPr="00535CBF">
        <w:rPr>
          <w:rFonts w:cs="Calibri"/>
          <w:b/>
          <w:bCs/>
          <w:color w:val="000000"/>
          <w:lang w:val="en-US"/>
        </w:rPr>
        <w:t>work allocation</w:t>
      </w:r>
      <w:r w:rsidRPr="00535CBF">
        <w:rPr>
          <w:rFonts w:cs="Calibri"/>
          <w:color w:val="000000"/>
          <w:lang w:val="en-US"/>
        </w:rPr>
        <w:t>, </w:t>
      </w:r>
      <w:r w:rsidRPr="00535CBF">
        <w:rPr>
          <w:rFonts w:cs="Calibri"/>
          <w:b/>
          <w:bCs/>
          <w:color w:val="000000"/>
          <w:lang w:val="en-US"/>
        </w:rPr>
        <w:t>ITU-D working methods</w:t>
      </w:r>
      <w:r w:rsidRPr="00535CBF">
        <w:rPr>
          <w:rFonts w:cs="Calibri"/>
          <w:color w:val="000000"/>
          <w:lang w:val="en-US"/>
        </w:rPr>
        <w:t>, strategies and relations with </w:t>
      </w:r>
      <w:r w:rsidRPr="00535CBF">
        <w:rPr>
          <w:rFonts w:cs="Calibri"/>
          <w:b/>
          <w:bCs/>
          <w:color w:val="000000"/>
          <w:lang w:val="en-US"/>
        </w:rPr>
        <w:t>other related bodies</w:t>
      </w:r>
      <w:r w:rsidRPr="00535CBF">
        <w:rPr>
          <w:rFonts w:cs="Calibri"/>
          <w:color w:val="000000"/>
          <w:lang w:val="en-US"/>
        </w:rPr>
        <w:t> inside and outside of the ITU, the effectiveness of </w:t>
      </w:r>
      <w:r w:rsidRPr="00535CBF">
        <w:rPr>
          <w:rFonts w:cs="Calibri"/>
          <w:b/>
          <w:bCs/>
          <w:color w:val="000000"/>
          <w:lang w:val="en-US"/>
        </w:rPr>
        <w:t>study group questions</w:t>
      </w:r>
      <w:r w:rsidRPr="00535CBF">
        <w:rPr>
          <w:rFonts w:cs="Calibri"/>
          <w:color w:val="000000"/>
          <w:lang w:val="en-US"/>
        </w:rPr>
        <w:t xml:space="preserve"> and </w:t>
      </w:r>
      <w:r w:rsidRPr="00535CBF">
        <w:rPr>
          <w:rFonts w:cs="Calibri"/>
          <w:b/>
          <w:bCs/>
          <w:color w:val="000000"/>
          <w:lang w:val="en-US"/>
        </w:rPr>
        <w:t>implementation of regional actions, initiatives and projects</w:t>
      </w:r>
      <w:r w:rsidRPr="00535CBF">
        <w:rPr>
          <w:rFonts w:cs="Calibri"/>
          <w:color w:val="000000"/>
          <w:lang w:val="en-US"/>
        </w:rPr>
        <w:t xml:space="preserve">. </w:t>
      </w:r>
      <w:r w:rsidRPr="00535CBF">
        <w:rPr>
          <w:lang w:val="en-US"/>
        </w:rPr>
        <w:t>Consistent with past practice, TDAG 2020 will be called upon to endorse the operational plan that will be presented to Council 2020.</w:t>
      </w:r>
    </w:p>
    <w:p w14:paraId="1268E565" w14:textId="4C9E97C4" w:rsidR="00535CBF" w:rsidRPr="00535CBF" w:rsidRDefault="00535CBF" w:rsidP="00E526B6">
      <w:pPr>
        <w:shd w:val="clear" w:color="auto" w:fill="FFFFFF"/>
        <w:spacing w:after="120"/>
        <w:rPr>
          <w:lang w:val="en-US"/>
        </w:rPr>
      </w:pPr>
      <w:r w:rsidRPr="00535CBF">
        <w:rPr>
          <w:lang w:val="en-US"/>
        </w:rPr>
        <w:t>The TDAG Bureau is appointed by the World Telecommunications Development Conference</w:t>
      </w:r>
      <w:r w:rsidR="00D54C98">
        <w:rPr>
          <w:rStyle w:val="FootnoteReference"/>
          <w:lang w:val="en-US"/>
        </w:rPr>
        <w:footnoteReference w:customMarkFollows="1" w:id="3"/>
        <w:t>1</w:t>
      </w:r>
      <w:r w:rsidRPr="00535CBF">
        <w:rPr>
          <w:lang w:val="en-US"/>
        </w:rPr>
        <w:t xml:space="preserve"> and is comprised of the Chairs of the ITU-D Study Groups, two Vice Chairs from each of the five regions, and the TDAG Chair. Each Bureau member has an area of interest, indicated here: </w:t>
      </w:r>
      <w:hyperlink r:id="rId76" w:history="1">
        <w:r w:rsidRPr="00535CBF">
          <w:rPr>
            <w:rStyle w:val="Hyperlink"/>
            <w:lang w:val="en-US"/>
          </w:rPr>
          <w:t>https://www.itu.int/en/ITU-D/Conferences/TDAG/Pages/Role-of-TDAG-Chairman-and-Vice-Chairmen.aspx</w:t>
        </w:r>
      </w:hyperlink>
      <w:r w:rsidRPr="00535CBF">
        <w:rPr>
          <w:lang w:val="en-US"/>
        </w:rPr>
        <w:t xml:space="preserve">. </w:t>
      </w:r>
      <w:r w:rsidRPr="00535CBF">
        <w:rPr>
          <w:rFonts w:cs="Calibri"/>
          <w:color w:val="000000"/>
          <w:lang w:val="en-US"/>
        </w:rPr>
        <w:t>TDAG Vice Chairs can engage both with membership and the regional and area offices within their respective regions to </w:t>
      </w:r>
      <w:r w:rsidRPr="00535CBF">
        <w:rPr>
          <w:rFonts w:cs="Calibri"/>
          <w:bCs/>
          <w:color w:val="000000"/>
          <w:lang w:val="en-US"/>
        </w:rPr>
        <w:t>follow progress of the regional initiative</w:t>
      </w:r>
      <w:r w:rsidRPr="00535CBF">
        <w:rPr>
          <w:rFonts w:cs="Calibri"/>
          <w:color w:val="000000"/>
          <w:lang w:val="en-US"/>
        </w:rPr>
        <w:t xml:space="preserve">s. </w:t>
      </w:r>
      <w:r w:rsidRPr="00535CBF">
        <w:rPr>
          <w:lang w:val="en-US"/>
        </w:rPr>
        <w:t xml:space="preserve">Resolution 208 (Rev. Dubai 2018) of the Plenipotentiary conference further encourages Vice Chairs to “assume a leadership role in activities in order to ensure equitable distribution of the tasks and achieve greater involvement of Vice Chairs in the management and work of advisory [and] study groups.” I am fortunate to serve with the following Bureau members: </w:t>
      </w:r>
    </w:p>
    <w:p w14:paraId="5D351879" w14:textId="77777777" w:rsidR="00535CBF" w:rsidRPr="00535CBF" w:rsidRDefault="00535CBF" w:rsidP="00E526B6">
      <w:pPr>
        <w:overflowPunct/>
        <w:autoSpaceDE/>
        <w:autoSpaceDN/>
        <w:adjustRightInd/>
        <w:spacing w:before="40" w:after="40"/>
        <w:ind w:left="720"/>
        <w:textAlignment w:val="auto"/>
        <w:rPr>
          <w:rFonts w:cstheme="minorHAnsi"/>
          <w:szCs w:val="24"/>
          <w:bdr w:val="none" w:sz="0" w:space="0" w:color="auto" w:frame="1"/>
          <w:lang w:val="en-US"/>
        </w:rPr>
      </w:pPr>
      <w:r w:rsidRPr="00535CBF">
        <w:rPr>
          <w:rFonts w:cstheme="minorHAnsi"/>
          <w:bCs/>
          <w:szCs w:val="24"/>
          <w:bdr w:val="none" w:sz="0" w:space="0" w:color="auto" w:frame="1"/>
          <w:lang w:val="en-US"/>
        </w:rPr>
        <w:t>Ms Regina Fleur Assoumou Bessou</w:t>
      </w:r>
      <w:r w:rsidRPr="00535CBF">
        <w:rPr>
          <w:rFonts w:cstheme="minorHAnsi"/>
          <w:szCs w:val="24"/>
          <w:bdr w:val="none" w:sz="0" w:space="0" w:color="auto" w:frame="1"/>
          <w:lang w:val="en-US"/>
        </w:rPr>
        <w:t xml:space="preserve">, </w:t>
      </w:r>
      <w:r w:rsidRPr="00535CBF">
        <w:rPr>
          <w:rFonts w:cstheme="minorHAnsi"/>
          <w:b/>
          <w:szCs w:val="24"/>
          <w:bdr w:val="none" w:sz="0" w:space="0" w:color="auto" w:frame="1"/>
          <w:lang w:val="en-US"/>
        </w:rPr>
        <w:t>Cote d’Ivoire</w:t>
      </w:r>
      <w:r w:rsidRPr="00535CBF">
        <w:rPr>
          <w:rFonts w:cstheme="minorHAnsi"/>
          <w:szCs w:val="24"/>
          <w:bdr w:val="none" w:sz="0" w:space="0" w:color="auto" w:frame="1"/>
          <w:lang w:val="en-US"/>
        </w:rPr>
        <w:t xml:space="preserve"> (Chair, Study Group 1)</w:t>
      </w:r>
    </w:p>
    <w:p w14:paraId="58F8D06B" w14:textId="77777777" w:rsidR="00535CBF" w:rsidRPr="00535CBF" w:rsidRDefault="00535CBF" w:rsidP="00E526B6">
      <w:pPr>
        <w:overflowPunct/>
        <w:autoSpaceDE/>
        <w:autoSpaceDN/>
        <w:adjustRightInd/>
        <w:spacing w:before="40" w:after="40"/>
        <w:ind w:left="720"/>
        <w:textAlignment w:val="auto"/>
        <w:rPr>
          <w:rFonts w:cstheme="minorHAnsi"/>
          <w:szCs w:val="24"/>
          <w:bdr w:val="none" w:sz="0" w:space="0" w:color="auto" w:frame="1"/>
          <w:lang w:val="en-US"/>
        </w:rPr>
      </w:pPr>
      <w:r w:rsidRPr="00535CBF">
        <w:rPr>
          <w:rFonts w:cstheme="minorHAnsi"/>
          <w:bCs/>
          <w:szCs w:val="24"/>
          <w:bdr w:val="none" w:sz="0" w:space="0" w:color="auto" w:frame="1"/>
          <w:lang w:val="en-US"/>
        </w:rPr>
        <w:t xml:space="preserve">Mr Ahmad Reza Sharafat, </w:t>
      </w:r>
      <w:r w:rsidRPr="00535CBF">
        <w:rPr>
          <w:rFonts w:cstheme="minorHAnsi"/>
          <w:b/>
          <w:bCs/>
          <w:szCs w:val="24"/>
          <w:bdr w:val="none" w:sz="0" w:space="0" w:color="auto" w:frame="1"/>
          <w:lang w:val="en-US"/>
        </w:rPr>
        <w:t>Iran (Islamic Repubic of</w:t>
      </w:r>
      <w:r w:rsidRPr="00535CBF">
        <w:rPr>
          <w:rFonts w:cstheme="minorHAnsi"/>
          <w:b/>
          <w:szCs w:val="24"/>
          <w:bdr w:val="none" w:sz="0" w:space="0" w:color="auto" w:frame="1"/>
          <w:lang w:val="en-US"/>
        </w:rPr>
        <w:t xml:space="preserve">) </w:t>
      </w:r>
      <w:r w:rsidRPr="00535CBF">
        <w:rPr>
          <w:rFonts w:cstheme="minorHAnsi"/>
          <w:szCs w:val="24"/>
          <w:bdr w:val="none" w:sz="0" w:space="0" w:color="auto" w:frame="1"/>
          <w:lang w:val="en-US"/>
        </w:rPr>
        <w:t>(Chair, Study Group 2)</w:t>
      </w:r>
    </w:p>
    <w:p w14:paraId="5C607961" w14:textId="77777777" w:rsidR="00535CBF" w:rsidRPr="00535CBF" w:rsidRDefault="00535CBF" w:rsidP="00E526B6">
      <w:pPr>
        <w:overflowPunct/>
        <w:autoSpaceDE/>
        <w:autoSpaceDN/>
        <w:adjustRightInd/>
        <w:spacing w:before="40" w:after="40"/>
        <w:ind w:left="720"/>
        <w:textAlignment w:val="auto"/>
        <w:rPr>
          <w:rFonts w:cstheme="minorHAnsi"/>
          <w:bCs/>
          <w:szCs w:val="24"/>
          <w:bdr w:val="none" w:sz="0" w:space="0" w:color="auto" w:frame="1"/>
          <w:lang w:val="en-US"/>
        </w:rPr>
      </w:pPr>
      <w:r w:rsidRPr="00535CBF">
        <w:rPr>
          <w:rFonts w:cstheme="minorHAnsi"/>
          <w:bCs/>
          <w:szCs w:val="24"/>
          <w:bdr w:val="none" w:sz="0" w:space="0" w:color="auto" w:frame="1"/>
          <w:lang w:val="en-US"/>
        </w:rPr>
        <w:t xml:space="preserve">Mr Christopher Kipkoech Kemei, </w:t>
      </w:r>
      <w:r w:rsidRPr="00535CBF">
        <w:rPr>
          <w:rFonts w:cstheme="minorHAnsi"/>
          <w:b/>
          <w:bCs/>
          <w:szCs w:val="24"/>
          <w:bdr w:val="none" w:sz="0" w:space="0" w:color="auto" w:frame="1"/>
          <w:lang w:val="en-US"/>
        </w:rPr>
        <w:t>Kenya</w:t>
      </w:r>
      <w:r w:rsidRPr="00535CBF">
        <w:rPr>
          <w:rFonts w:cstheme="minorHAnsi"/>
          <w:bCs/>
          <w:szCs w:val="24"/>
          <w:bdr w:val="none" w:sz="0" w:space="0" w:color="auto" w:frame="1"/>
          <w:lang w:val="en-US"/>
        </w:rPr>
        <w:t> </w:t>
      </w:r>
    </w:p>
    <w:p w14:paraId="7C1D5647" w14:textId="77777777" w:rsidR="00535CBF" w:rsidRPr="00535CBF" w:rsidRDefault="00535CBF" w:rsidP="00E526B6">
      <w:pPr>
        <w:overflowPunct/>
        <w:autoSpaceDE/>
        <w:autoSpaceDN/>
        <w:adjustRightInd/>
        <w:spacing w:before="40" w:after="40"/>
        <w:ind w:left="720"/>
        <w:textAlignment w:val="auto"/>
        <w:rPr>
          <w:rFonts w:cstheme="minorHAnsi"/>
          <w:szCs w:val="24"/>
          <w:bdr w:val="none" w:sz="0" w:space="0" w:color="auto" w:frame="1"/>
          <w:lang w:val="en-US"/>
        </w:rPr>
      </w:pPr>
      <w:r w:rsidRPr="00535CBF">
        <w:rPr>
          <w:rFonts w:cstheme="minorHAnsi"/>
          <w:bCs/>
          <w:szCs w:val="24"/>
          <w:bdr w:val="none" w:sz="0" w:space="0" w:color="auto" w:frame="1"/>
          <w:lang w:val="en-US"/>
        </w:rPr>
        <w:t xml:space="preserve">Mr Abdulkarim Ayopo Oloyede, </w:t>
      </w:r>
      <w:r w:rsidRPr="00535CBF">
        <w:rPr>
          <w:rFonts w:cstheme="minorHAnsi"/>
          <w:b/>
          <w:bCs/>
          <w:szCs w:val="24"/>
          <w:bdr w:val="none" w:sz="0" w:space="0" w:color="auto" w:frame="1"/>
          <w:lang w:val="en-US"/>
        </w:rPr>
        <w:t>Nigeria</w:t>
      </w:r>
      <w:r w:rsidRPr="00535CBF">
        <w:rPr>
          <w:rFonts w:cstheme="minorHAnsi"/>
          <w:b/>
          <w:szCs w:val="24"/>
          <w:bdr w:val="none" w:sz="0" w:space="0" w:color="auto" w:frame="1"/>
          <w:lang w:val="en-US"/>
        </w:rPr>
        <w:t> </w:t>
      </w:r>
    </w:p>
    <w:p w14:paraId="0C83CC0B" w14:textId="77777777" w:rsidR="00535CBF" w:rsidRPr="00535CBF" w:rsidRDefault="00535CBF" w:rsidP="00E526B6">
      <w:pPr>
        <w:overflowPunct/>
        <w:autoSpaceDE/>
        <w:autoSpaceDN/>
        <w:adjustRightInd/>
        <w:spacing w:before="40" w:after="40"/>
        <w:ind w:left="720"/>
        <w:textAlignment w:val="auto"/>
        <w:rPr>
          <w:rFonts w:cstheme="minorHAnsi"/>
          <w:bCs/>
          <w:szCs w:val="24"/>
          <w:bdr w:val="none" w:sz="0" w:space="0" w:color="auto" w:frame="1"/>
          <w:lang w:val="en-US"/>
        </w:rPr>
      </w:pPr>
      <w:r w:rsidRPr="00535CBF">
        <w:rPr>
          <w:rFonts w:cstheme="minorHAnsi"/>
          <w:bCs/>
          <w:szCs w:val="24"/>
          <w:bdr w:val="none" w:sz="0" w:space="0" w:color="auto" w:frame="1"/>
          <w:lang w:val="en-US"/>
        </w:rPr>
        <w:t xml:space="preserve">Ms Amparo Arango Echeverri, </w:t>
      </w:r>
      <w:r w:rsidRPr="00535CBF">
        <w:rPr>
          <w:rFonts w:cstheme="minorHAnsi"/>
          <w:b/>
          <w:bCs/>
          <w:szCs w:val="24"/>
          <w:bdr w:val="none" w:sz="0" w:space="0" w:color="auto" w:frame="1"/>
          <w:lang w:val="en-US"/>
        </w:rPr>
        <w:t>Dominican Republic</w:t>
      </w:r>
    </w:p>
    <w:p w14:paraId="37378B5A" w14:textId="77777777" w:rsidR="00535CBF" w:rsidRPr="00083D22" w:rsidRDefault="00535CBF" w:rsidP="00E526B6">
      <w:pPr>
        <w:overflowPunct/>
        <w:autoSpaceDE/>
        <w:autoSpaceDN/>
        <w:adjustRightInd/>
        <w:spacing w:before="40" w:after="40"/>
        <w:ind w:left="720"/>
        <w:textAlignment w:val="auto"/>
        <w:rPr>
          <w:rFonts w:cstheme="minorHAnsi"/>
          <w:bCs/>
          <w:szCs w:val="24"/>
          <w:bdr w:val="none" w:sz="0" w:space="0" w:color="auto" w:frame="1"/>
          <w:lang w:val="en-GB"/>
        </w:rPr>
      </w:pPr>
      <w:r w:rsidRPr="00083D22">
        <w:rPr>
          <w:rFonts w:cstheme="minorHAnsi"/>
          <w:bCs/>
          <w:szCs w:val="24"/>
          <w:bdr w:val="none" w:sz="0" w:space="0" w:color="auto" w:frame="1"/>
          <w:lang w:val="en-GB"/>
        </w:rPr>
        <w:t xml:space="preserve">Mr Al-ansari Almashakbeh, </w:t>
      </w:r>
      <w:r w:rsidRPr="00083D22">
        <w:rPr>
          <w:rFonts w:cstheme="minorHAnsi"/>
          <w:b/>
          <w:bCs/>
          <w:szCs w:val="24"/>
          <w:bdr w:val="none" w:sz="0" w:space="0" w:color="auto" w:frame="1"/>
          <w:lang w:val="en-GB"/>
        </w:rPr>
        <w:t>Jordan</w:t>
      </w:r>
    </w:p>
    <w:p w14:paraId="68E9CEDD" w14:textId="77777777" w:rsidR="00535CBF" w:rsidRPr="00535CBF" w:rsidRDefault="00535CBF" w:rsidP="00E526B6">
      <w:pPr>
        <w:overflowPunct/>
        <w:autoSpaceDE/>
        <w:autoSpaceDN/>
        <w:adjustRightInd/>
        <w:spacing w:before="40" w:after="40"/>
        <w:ind w:left="720"/>
        <w:textAlignment w:val="auto"/>
        <w:rPr>
          <w:rFonts w:cstheme="minorHAnsi"/>
          <w:bCs/>
          <w:szCs w:val="24"/>
          <w:bdr w:val="none" w:sz="0" w:space="0" w:color="auto" w:frame="1"/>
          <w:lang w:val="en-US"/>
        </w:rPr>
      </w:pPr>
      <w:r w:rsidRPr="00535CBF">
        <w:rPr>
          <w:rFonts w:cstheme="minorHAnsi"/>
          <w:bCs/>
          <w:szCs w:val="24"/>
          <w:bdr w:val="none" w:sz="0" w:space="0" w:color="auto" w:frame="1"/>
          <w:lang w:val="en-US"/>
        </w:rPr>
        <w:t xml:space="preserve">Mr Tariq H Alamri, </w:t>
      </w:r>
      <w:r w:rsidRPr="00535CBF">
        <w:rPr>
          <w:rFonts w:cstheme="minorHAnsi"/>
          <w:b/>
          <w:bCs/>
          <w:szCs w:val="24"/>
          <w:bdr w:val="none" w:sz="0" w:space="0" w:color="auto" w:frame="1"/>
          <w:lang w:val="en-US"/>
        </w:rPr>
        <w:t>Saudi Arabia</w:t>
      </w:r>
    </w:p>
    <w:p w14:paraId="6CB1E5F3" w14:textId="77777777" w:rsidR="00535CBF" w:rsidRPr="00535CBF" w:rsidRDefault="00535CBF" w:rsidP="00E526B6">
      <w:pPr>
        <w:overflowPunct/>
        <w:autoSpaceDE/>
        <w:autoSpaceDN/>
        <w:adjustRightInd/>
        <w:spacing w:before="40" w:after="40"/>
        <w:ind w:left="720"/>
        <w:textAlignment w:val="auto"/>
        <w:rPr>
          <w:rFonts w:cstheme="minorHAnsi"/>
          <w:bCs/>
          <w:szCs w:val="24"/>
          <w:bdr w:val="none" w:sz="0" w:space="0" w:color="auto" w:frame="1"/>
          <w:lang w:val="en-US"/>
        </w:rPr>
      </w:pPr>
      <w:r w:rsidRPr="00535CBF">
        <w:rPr>
          <w:rFonts w:cstheme="minorHAnsi"/>
          <w:bCs/>
          <w:szCs w:val="24"/>
          <w:bdr w:val="none" w:sz="0" w:space="0" w:color="auto" w:frame="1"/>
          <w:lang w:val="en-US"/>
        </w:rPr>
        <w:t xml:space="preserve">Mr Kishore Babu GSC Yerraballa, </w:t>
      </w:r>
      <w:r w:rsidRPr="00535CBF">
        <w:rPr>
          <w:rFonts w:cstheme="minorHAnsi"/>
          <w:b/>
          <w:bCs/>
          <w:szCs w:val="24"/>
          <w:bdr w:val="none" w:sz="0" w:space="0" w:color="auto" w:frame="1"/>
          <w:lang w:val="en-US"/>
        </w:rPr>
        <w:t>India</w:t>
      </w:r>
    </w:p>
    <w:p w14:paraId="7FCF8A2B" w14:textId="77777777" w:rsidR="00535CBF" w:rsidRPr="00535CBF" w:rsidRDefault="00535CBF" w:rsidP="00E526B6">
      <w:pPr>
        <w:overflowPunct/>
        <w:autoSpaceDE/>
        <w:autoSpaceDN/>
        <w:adjustRightInd/>
        <w:spacing w:before="40" w:after="40"/>
        <w:ind w:left="720"/>
        <w:textAlignment w:val="auto"/>
        <w:rPr>
          <w:rFonts w:cstheme="minorHAnsi"/>
          <w:bCs/>
          <w:szCs w:val="24"/>
          <w:bdr w:val="none" w:sz="0" w:space="0" w:color="auto" w:frame="1"/>
          <w:lang w:val="en-US"/>
        </w:rPr>
      </w:pPr>
      <w:r w:rsidRPr="00535CBF">
        <w:rPr>
          <w:rFonts w:cstheme="minorHAnsi"/>
          <w:bCs/>
          <w:szCs w:val="24"/>
          <w:bdr w:val="none" w:sz="0" w:space="0" w:color="auto" w:frame="1"/>
          <w:lang w:val="en-US"/>
        </w:rPr>
        <w:t xml:space="preserve">Mr Nguyen Quy Quyen, </w:t>
      </w:r>
      <w:r w:rsidRPr="00535CBF">
        <w:rPr>
          <w:rFonts w:cstheme="minorHAnsi"/>
          <w:b/>
          <w:bCs/>
          <w:szCs w:val="24"/>
          <w:bdr w:val="none" w:sz="0" w:space="0" w:color="auto" w:frame="1"/>
          <w:lang w:val="en-US"/>
        </w:rPr>
        <w:t>Viet Nam</w:t>
      </w:r>
    </w:p>
    <w:p w14:paraId="57F48D3B" w14:textId="77777777" w:rsidR="00535CBF" w:rsidRPr="00083D22" w:rsidRDefault="00535CBF" w:rsidP="00E526B6">
      <w:pPr>
        <w:overflowPunct/>
        <w:autoSpaceDE/>
        <w:autoSpaceDN/>
        <w:adjustRightInd/>
        <w:spacing w:before="40" w:after="40"/>
        <w:ind w:left="720"/>
        <w:textAlignment w:val="auto"/>
        <w:rPr>
          <w:rFonts w:cstheme="minorHAnsi"/>
          <w:bCs/>
          <w:szCs w:val="24"/>
          <w:bdr w:val="none" w:sz="0" w:space="0" w:color="auto" w:frame="1"/>
          <w:lang w:val="en-GB"/>
        </w:rPr>
      </w:pPr>
      <w:r w:rsidRPr="00083D22">
        <w:rPr>
          <w:rFonts w:cstheme="minorHAnsi"/>
          <w:bCs/>
          <w:szCs w:val="24"/>
          <w:bdr w:val="none" w:sz="0" w:space="0" w:color="auto" w:frame="1"/>
          <w:lang w:val="en-GB"/>
        </w:rPr>
        <w:t xml:space="preserve">Mr Arseny Plossky, </w:t>
      </w:r>
      <w:r w:rsidRPr="00083D22">
        <w:rPr>
          <w:rFonts w:cstheme="minorHAnsi"/>
          <w:b/>
          <w:bCs/>
          <w:szCs w:val="24"/>
          <w:bdr w:val="none" w:sz="0" w:space="0" w:color="auto" w:frame="1"/>
          <w:lang w:val="en-GB"/>
        </w:rPr>
        <w:t>Russian Federation</w:t>
      </w:r>
    </w:p>
    <w:p w14:paraId="5BDAE2C7" w14:textId="77777777" w:rsidR="00535CBF" w:rsidRPr="00535CBF" w:rsidRDefault="00535CBF" w:rsidP="00E526B6">
      <w:pPr>
        <w:overflowPunct/>
        <w:autoSpaceDE/>
        <w:autoSpaceDN/>
        <w:adjustRightInd/>
        <w:spacing w:before="40" w:after="40"/>
        <w:ind w:left="720"/>
        <w:textAlignment w:val="auto"/>
        <w:rPr>
          <w:rFonts w:cstheme="minorHAnsi"/>
          <w:bCs/>
          <w:szCs w:val="24"/>
          <w:bdr w:val="none" w:sz="0" w:space="0" w:color="auto" w:frame="1"/>
          <w:lang w:val="en-US"/>
        </w:rPr>
      </w:pPr>
      <w:r w:rsidRPr="00535CBF">
        <w:rPr>
          <w:rFonts w:cstheme="minorHAnsi"/>
          <w:bCs/>
          <w:szCs w:val="24"/>
          <w:bdr w:val="none" w:sz="0" w:space="0" w:color="auto" w:frame="1"/>
          <w:lang w:val="en-US"/>
        </w:rPr>
        <w:t xml:space="preserve">Ms Aichurok Maralbek Kyzy, </w:t>
      </w:r>
      <w:r w:rsidRPr="00535CBF">
        <w:rPr>
          <w:rFonts w:cstheme="minorHAnsi"/>
          <w:b/>
          <w:bCs/>
          <w:szCs w:val="24"/>
          <w:bdr w:val="none" w:sz="0" w:space="0" w:color="auto" w:frame="1"/>
          <w:lang w:val="en-US"/>
        </w:rPr>
        <w:t>Krgyz Republic</w:t>
      </w:r>
    </w:p>
    <w:p w14:paraId="773ADE08" w14:textId="77777777" w:rsidR="00535CBF" w:rsidRPr="00083D22" w:rsidRDefault="00535CBF" w:rsidP="00E526B6">
      <w:pPr>
        <w:overflowPunct/>
        <w:autoSpaceDE/>
        <w:autoSpaceDN/>
        <w:adjustRightInd/>
        <w:spacing w:before="40" w:after="40"/>
        <w:ind w:left="720"/>
        <w:textAlignment w:val="auto"/>
        <w:rPr>
          <w:rFonts w:cstheme="minorHAnsi"/>
          <w:bCs/>
          <w:szCs w:val="24"/>
          <w:bdr w:val="none" w:sz="0" w:space="0" w:color="auto" w:frame="1"/>
          <w:lang w:val="en-GB"/>
        </w:rPr>
      </w:pPr>
      <w:r w:rsidRPr="00083D22">
        <w:rPr>
          <w:rFonts w:cstheme="minorHAnsi"/>
          <w:bCs/>
          <w:szCs w:val="24"/>
          <w:bdr w:val="none" w:sz="0" w:space="0" w:color="auto" w:frame="1"/>
          <w:lang w:val="en-GB"/>
        </w:rPr>
        <w:lastRenderedPageBreak/>
        <w:t xml:space="preserve">Ms Blanca Gonzalez, </w:t>
      </w:r>
      <w:r w:rsidRPr="00083D22">
        <w:rPr>
          <w:rFonts w:cstheme="minorHAnsi"/>
          <w:b/>
          <w:bCs/>
          <w:szCs w:val="24"/>
          <w:bdr w:val="none" w:sz="0" w:space="0" w:color="auto" w:frame="1"/>
          <w:lang w:val="en-GB"/>
        </w:rPr>
        <w:t>Spain</w:t>
      </w:r>
    </w:p>
    <w:p w14:paraId="2864CEC5" w14:textId="77777777" w:rsidR="00535CBF" w:rsidRPr="00535CBF" w:rsidRDefault="00535CBF" w:rsidP="00E526B6">
      <w:pPr>
        <w:overflowPunct/>
        <w:autoSpaceDE/>
        <w:autoSpaceDN/>
        <w:adjustRightInd/>
        <w:spacing w:before="40" w:after="40"/>
        <w:ind w:left="720"/>
        <w:textAlignment w:val="auto"/>
        <w:rPr>
          <w:rFonts w:cstheme="minorHAnsi"/>
          <w:szCs w:val="24"/>
          <w:lang w:val="en-US"/>
        </w:rPr>
      </w:pPr>
      <w:r w:rsidRPr="00535CBF">
        <w:rPr>
          <w:rFonts w:cstheme="minorHAnsi"/>
          <w:bCs/>
          <w:szCs w:val="24"/>
          <w:bdr w:val="none" w:sz="0" w:space="0" w:color="auto" w:frame="1"/>
          <w:lang w:val="en-US"/>
        </w:rPr>
        <w:t xml:space="preserve">Mr Wim Rullens, </w:t>
      </w:r>
      <w:r w:rsidRPr="00535CBF">
        <w:rPr>
          <w:rFonts w:cstheme="minorHAnsi"/>
          <w:b/>
          <w:bCs/>
          <w:szCs w:val="24"/>
          <w:bdr w:val="none" w:sz="0" w:space="0" w:color="auto" w:frame="1"/>
          <w:lang w:val="en-US"/>
        </w:rPr>
        <w:t>Netherlands</w:t>
      </w:r>
    </w:p>
    <w:p w14:paraId="3E5D2AC4" w14:textId="77777777" w:rsidR="00535CBF" w:rsidRPr="00535CBF" w:rsidRDefault="00535CBF" w:rsidP="00E526B6">
      <w:pPr>
        <w:keepNext/>
        <w:overflowPunct/>
        <w:autoSpaceDE/>
        <w:autoSpaceDN/>
        <w:adjustRightInd/>
        <w:spacing w:after="120"/>
        <w:rPr>
          <w:rFonts w:cstheme="minorHAnsi"/>
          <w:b/>
          <w:lang w:val="en-US"/>
        </w:rPr>
      </w:pPr>
      <w:r w:rsidRPr="00535CBF">
        <w:rPr>
          <w:rFonts w:cstheme="minorHAnsi"/>
          <w:b/>
          <w:lang w:val="en-US"/>
        </w:rPr>
        <w:t>TDAG Web dialogues on WTDC reform</w:t>
      </w:r>
    </w:p>
    <w:p w14:paraId="173E7AD2" w14:textId="77777777" w:rsidR="00535CBF" w:rsidRPr="00535CBF" w:rsidRDefault="00535CBF" w:rsidP="00E526B6">
      <w:pPr>
        <w:overflowPunct/>
        <w:autoSpaceDE/>
        <w:autoSpaceDN/>
        <w:adjustRightInd/>
        <w:spacing w:after="120"/>
        <w:textAlignment w:val="auto"/>
        <w:rPr>
          <w:rFonts w:cstheme="minorHAnsi"/>
          <w:lang w:val="en-US"/>
        </w:rPr>
      </w:pPr>
      <w:r w:rsidRPr="00535CBF">
        <w:rPr>
          <w:rFonts w:cstheme="minorHAnsi"/>
          <w:lang w:val="en-US"/>
        </w:rPr>
        <w:t>The BDT Director and the entire team are to be commended for the extraordinary efforts underway to ensure that the BDT is fit for purpose and that WTDC will have an impact for and in developing countries, as they are the core constituency of this Sector. A WTDC measured by impact on these nations, particularly Least developed Countries (LDCs) and small island developing states (SIDS) is altogether necessary and appropriate. Without doubt, these efforts will prove to be successful, and will contribute to a better world for all countries.</w:t>
      </w:r>
    </w:p>
    <w:p w14:paraId="52FA870E" w14:textId="77777777" w:rsidR="00535CBF" w:rsidRPr="00535CBF" w:rsidRDefault="00535CBF" w:rsidP="00E526B6">
      <w:pPr>
        <w:overflowPunct/>
        <w:autoSpaceDE/>
        <w:autoSpaceDN/>
        <w:adjustRightInd/>
        <w:spacing w:after="120"/>
        <w:textAlignment w:val="auto"/>
        <w:rPr>
          <w:rFonts w:cstheme="minorHAnsi"/>
          <w:lang w:val="en-US"/>
        </w:rPr>
      </w:pPr>
      <w:r w:rsidRPr="00535CBF">
        <w:rPr>
          <w:rFonts w:cstheme="minorHAnsi"/>
          <w:lang w:val="en-US"/>
        </w:rPr>
        <w:t>While fully appreciating that TDAG will reach its decisions together and by consensus, I offer the following observations for consideration in these and related deliberations:</w:t>
      </w:r>
    </w:p>
    <w:p w14:paraId="701C09D6" w14:textId="1EDEB0A8" w:rsidR="00535CBF" w:rsidRPr="00A240E8" w:rsidRDefault="00535CBF" w:rsidP="00535CBF">
      <w:pPr>
        <w:pStyle w:val="ListParagraph"/>
        <w:numPr>
          <w:ilvl w:val="0"/>
          <w:numId w:val="32"/>
        </w:numPr>
        <w:tabs>
          <w:tab w:val="clear" w:pos="1134"/>
          <w:tab w:val="clear" w:pos="1871"/>
          <w:tab w:val="clear" w:pos="2268"/>
        </w:tabs>
        <w:spacing w:after="120"/>
        <w:ind w:left="562" w:hanging="562"/>
        <w:contextualSpacing w:val="0"/>
        <w:rPr>
          <w:rFonts w:cstheme="minorHAnsi"/>
          <w:color w:val="000000"/>
          <w:szCs w:val="24"/>
        </w:rPr>
      </w:pPr>
      <w:r w:rsidRPr="00A240E8">
        <w:rPr>
          <w:rFonts w:cstheme="minorHAnsi"/>
          <w:color w:val="000000"/>
        </w:rPr>
        <w:t>Regional Preparatory Process</w:t>
      </w:r>
      <w:r w:rsidR="003D1AD0">
        <w:rPr>
          <w:rFonts w:cstheme="minorHAnsi"/>
          <w:color w:val="000000"/>
        </w:rPr>
        <w:t>.</w:t>
      </w:r>
      <w:r w:rsidRPr="00A240E8">
        <w:rPr>
          <w:rFonts w:cstheme="minorHAnsi"/>
          <w:color w:val="000000"/>
        </w:rPr>
        <w:t xml:space="preserve"> In addition to its chief responsibility to identify the specific circumstances and requests of all developing countries in the region, particularly LDCs and SIDs, this process gains even greater importance in addressing the time challenges associated with an evolving WTDC. Discussions have taken place suggesting that ITU-D should incorporate </w:t>
      </w:r>
      <w:r w:rsidRPr="00A240E8">
        <w:rPr>
          <w:rFonts w:cstheme="minorHAnsi"/>
          <w:color w:val="000000"/>
          <w:szCs w:val="24"/>
        </w:rPr>
        <w:t xml:space="preserve">development-promoting events into a conference that, in its formal agenda, has historically been administrative and has consumed all the time allotted at the conference for those activities. If we approve this diligent work will be needed to produce and coordinate administrative outputs early. </w:t>
      </w:r>
    </w:p>
    <w:p w14:paraId="7EB24A34" w14:textId="77777777" w:rsidR="00535CBF" w:rsidRPr="00535CBF" w:rsidRDefault="00535CBF" w:rsidP="00535CBF">
      <w:pPr>
        <w:numPr>
          <w:ilvl w:val="0"/>
          <w:numId w:val="31"/>
        </w:numPr>
        <w:tabs>
          <w:tab w:val="clear" w:pos="720"/>
          <w:tab w:val="clear" w:pos="794"/>
          <w:tab w:val="clear" w:pos="1191"/>
          <w:tab w:val="clear" w:pos="1588"/>
          <w:tab w:val="clear" w:pos="1985"/>
        </w:tabs>
        <w:overflowPunct/>
        <w:autoSpaceDE/>
        <w:autoSpaceDN/>
        <w:adjustRightInd/>
        <w:spacing w:after="120"/>
        <w:ind w:left="562" w:hanging="562"/>
        <w:rPr>
          <w:rFonts w:cstheme="minorHAnsi"/>
          <w:szCs w:val="24"/>
          <w:lang w:val="en-US"/>
        </w:rPr>
      </w:pPr>
      <w:r w:rsidRPr="00535CBF">
        <w:rPr>
          <w:rFonts w:cstheme="minorHAnsi"/>
          <w:bdr w:val="none" w:sz="0" w:space="0" w:color="auto" w:frame="1"/>
          <w:shd w:val="clear" w:color="auto" w:fill="FFFFFF"/>
          <w:lang w:val="en-US"/>
        </w:rPr>
        <w:t xml:space="preserve">Since TDAG will review the ITU-D contribution of the ITU strategic plan, TDAG should consider whether to convene a working group for this purpose. </w:t>
      </w:r>
      <w:r w:rsidRPr="00535CBF">
        <w:rPr>
          <w:rFonts w:cstheme="minorHAnsi"/>
          <w:szCs w:val="24"/>
          <w:bdr w:val="none" w:sz="0" w:space="0" w:color="auto" w:frame="1"/>
          <w:shd w:val="clear" w:color="auto" w:fill="FFFFFF"/>
          <w:lang w:val="en-US"/>
        </w:rPr>
        <w:t>TDAG-20 should arrive at a way forward for the following WTDC administrative outputs:</w:t>
      </w:r>
    </w:p>
    <w:p w14:paraId="18D5A9A6" w14:textId="77777777" w:rsidR="00535CBF" w:rsidRPr="00535CBF" w:rsidRDefault="00535CBF" w:rsidP="00535CBF">
      <w:pPr>
        <w:numPr>
          <w:ilvl w:val="1"/>
          <w:numId w:val="31"/>
        </w:numPr>
        <w:tabs>
          <w:tab w:val="clear" w:pos="794"/>
          <w:tab w:val="clear" w:pos="1191"/>
          <w:tab w:val="clear" w:pos="1588"/>
          <w:tab w:val="clear" w:pos="1985"/>
        </w:tabs>
        <w:overflowPunct/>
        <w:autoSpaceDE/>
        <w:autoSpaceDN/>
        <w:adjustRightInd/>
        <w:spacing w:after="120"/>
        <w:ind w:left="1134" w:hanging="567"/>
        <w:rPr>
          <w:rFonts w:cstheme="minorHAnsi"/>
          <w:i/>
          <w:szCs w:val="24"/>
          <w:lang w:val="en-US"/>
        </w:rPr>
      </w:pPr>
      <w:r w:rsidRPr="00535CBF">
        <w:rPr>
          <w:rFonts w:cstheme="minorHAnsi"/>
          <w:szCs w:val="24"/>
          <w:bdr w:val="none" w:sz="0" w:space="0" w:color="auto" w:frame="1"/>
          <w:shd w:val="clear" w:color="auto" w:fill="FFFFFF"/>
          <w:lang w:val="en-US"/>
        </w:rPr>
        <w:t>goal(s) for streamlining resolutions, whether to undertake, and if so, the approach.</w:t>
      </w:r>
      <w:r w:rsidRPr="00535CBF">
        <w:rPr>
          <w:rFonts w:cstheme="minorHAnsi"/>
          <w:i/>
          <w:szCs w:val="24"/>
          <w:bdr w:val="none" w:sz="0" w:space="0" w:color="auto" w:frame="1"/>
          <w:shd w:val="clear" w:color="auto" w:fill="FFFFFF"/>
          <w:lang w:val="en-US"/>
        </w:rPr>
        <w:t xml:space="preserve"> </w:t>
      </w:r>
    </w:p>
    <w:p w14:paraId="57DA096A" w14:textId="77777777" w:rsidR="00535CBF" w:rsidRPr="00535CBF" w:rsidRDefault="00535CBF" w:rsidP="00535CBF">
      <w:pPr>
        <w:numPr>
          <w:ilvl w:val="1"/>
          <w:numId w:val="31"/>
        </w:numPr>
        <w:tabs>
          <w:tab w:val="clear" w:pos="794"/>
          <w:tab w:val="clear" w:pos="1191"/>
          <w:tab w:val="clear" w:pos="1588"/>
          <w:tab w:val="clear" w:pos="1985"/>
        </w:tabs>
        <w:overflowPunct/>
        <w:autoSpaceDE/>
        <w:autoSpaceDN/>
        <w:adjustRightInd/>
        <w:spacing w:after="120"/>
        <w:ind w:left="1134" w:hanging="567"/>
        <w:rPr>
          <w:rFonts w:cstheme="minorHAnsi"/>
          <w:i/>
          <w:szCs w:val="24"/>
          <w:lang w:val="en-US"/>
        </w:rPr>
      </w:pPr>
      <w:r w:rsidRPr="00535CBF">
        <w:rPr>
          <w:rFonts w:cstheme="minorHAnsi"/>
          <w:szCs w:val="24"/>
          <w:bdr w:val="none" w:sz="0" w:space="0" w:color="auto" w:frame="1"/>
          <w:shd w:val="clear" w:color="auto" w:fill="FFFFFF"/>
          <w:lang w:val="en-US"/>
        </w:rPr>
        <w:t xml:space="preserve">guidance for membership on how to formulate regional initiatives (or priorities) for efficiency, execution and impact. </w:t>
      </w:r>
      <w:r w:rsidRPr="00535CBF">
        <w:rPr>
          <w:rFonts w:cstheme="minorHAnsi"/>
          <w:i/>
          <w:szCs w:val="24"/>
          <w:bdr w:val="none" w:sz="0" w:space="0" w:color="auto" w:frame="1"/>
          <w:shd w:val="clear" w:color="auto" w:fill="FFFFFF"/>
          <w:lang w:val="en-US"/>
        </w:rPr>
        <w:t>A targeted exercise could help membership frame regional priorities in ways that the BDT and other partners could better accommodate.</w:t>
      </w:r>
    </w:p>
    <w:p w14:paraId="62A8059E" w14:textId="77777777" w:rsidR="00535CBF" w:rsidRPr="00535CBF" w:rsidRDefault="00535CBF" w:rsidP="00535CBF">
      <w:pPr>
        <w:numPr>
          <w:ilvl w:val="1"/>
          <w:numId w:val="31"/>
        </w:numPr>
        <w:tabs>
          <w:tab w:val="clear" w:pos="794"/>
          <w:tab w:val="clear" w:pos="1191"/>
          <w:tab w:val="clear" w:pos="1588"/>
          <w:tab w:val="clear" w:pos="1985"/>
        </w:tabs>
        <w:overflowPunct/>
        <w:autoSpaceDE/>
        <w:autoSpaceDN/>
        <w:adjustRightInd/>
        <w:spacing w:after="120"/>
        <w:ind w:left="1134" w:hanging="567"/>
        <w:rPr>
          <w:rFonts w:cstheme="minorHAnsi"/>
          <w:szCs w:val="24"/>
          <w:lang w:val="en-US"/>
        </w:rPr>
      </w:pPr>
      <w:r w:rsidRPr="00535CBF">
        <w:rPr>
          <w:rFonts w:cstheme="minorHAnsi"/>
          <w:szCs w:val="24"/>
          <w:bdr w:val="none" w:sz="0" w:space="0" w:color="auto" w:frame="1"/>
          <w:shd w:val="clear" w:color="auto" w:fill="FFFFFF"/>
          <w:lang w:val="en-US"/>
        </w:rPr>
        <w:t xml:space="preserve">the purpose and anticipated impact of a Declaration; suggest time-efficient ways for its development. </w:t>
      </w:r>
    </w:p>
    <w:p w14:paraId="62EC5DA1" w14:textId="77777777" w:rsidR="00535CBF" w:rsidRPr="00A240E8" w:rsidRDefault="00535CBF" w:rsidP="00535CBF">
      <w:pPr>
        <w:pStyle w:val="ListParagraph"/>
        <w:numPr>
          <w:ilvl w:val="0"/>
          <w:numId w:val="31"/>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A240E8">
        <w:rPr>
          <w:rFonts w:cstheme="minorHAnsi"/>
          <w:bdr w:val="none" w:sz="0" w:space="0" w:color="auto" w:frame="1"/>
        </w:rPr>
        <w:t>Given the contributions submitted and the web dialogues, TDAG-20 could also consider issues such as themes for WTDC-21, substantive, solutions-oriented discussions and events at the conference (e.g., workshops, youth, private sector members, new stakeholders) and securing of partnerships and donors for initiatives that increase affordable broadband connectivity in developing countries.</w:t>
      </w:r>
    </w:p>
    <w:p w14:paraId="20D0E486" w14:textId="786E05FE" w:rsidR="00535CBF" w:rsidRPr="00535CBF" w:rsidRDefault="00535CBF" w:rsidP="00E526B6">
      <w:pPr>
        <w:overflowPunct/>
        <w:autoSpaceDE/>
        <w:autoSpaceDN/>
        <w:adjustRightInd/>
        <w:spacing w:after="120"/>
        <w:rPr>
          <w:rFonts w:cstheme="minorHAnsi"/>
          <w:lang w:val="en-US"/>
        </w:rPr>
      </w:pPr>
      <w:r w:rsidRPr="00535CBF">
        <w:rPr>
          <w:rFonts w:cstheme="minorHAnsi"/>
          <w:bdr w:val="none" w:sz="0" w:space="0" w:color="auto" w:frame="1"/>
          <w:lang w:val="en-US"/>
        </w:rPr>
        <w:t xml:space="preserve">Based on the outcomes of these discussions, work could begin as agreed with appropriate timelines established by TDAG. A coordination framework could be established for any separate objectives and workstreams identified related to WTDC-21. </w:t>
      </w:r>
    </w:p>
    <w:p w14:paraId="08DBA5E6" w14:textId="77777777" w:rsidR="00535CBF" w:rsidRPr="00535CBF" w:rsidRDefault="00535CBF" w:rsidP="00E526B6">
      <w:pPr>
        <w:keepNext/>
        <w:shd w:val="clear" w:color="auto" w:fill="FFFFFF"/>
        <w:overflowPunct/>
        <w:autoSpaceDE/>
        <w:autoSpaceDN/>
        <w:adjustRightInd/>
        <w:spacing w:after="120"/>
        <w:rPr>
          <w:rFonts w:cstheme="minorHAnsi"/>
          <w:b/>
          <w:color w:val="000000"/>
          <w:lang w:val="en-US"/>
        </w:rPr>
      </w:pPr>
      <w:r w:rsidRPr="00535CBF">
        <w:rPr>
          <w:rFonts w:cstheme="minorHAnsi"/>
          <w:b/>
          <w:color w:val="000000"/>
          <w:lang w:val="en-US"/>
        </w:rPr>
        <w:t>Considerations for TDAG 2021</w:t>
      </w:r>
    </w:p>
    <w:p w14:paraId="6D782B63" w14:textId="77777777" w:rsidR="00535CBF" w:rsidRPr="00535CBF" w:rsidRDefault="00535CBF" w:rsidP="00E526B6">
      <w:pPr>
        <w:overflowPunct/>
        <w:autoSpaceDE/>
        <w:autoSpaceDN/>
        <w:adjustRightInd/>
        <w:spacing w:after="120"/>
        <w:textAlignment w:val="auto"/>
        <w:rPr>
          <w:rFonts w:cstheme="minorHAnsi"/>
          <w:lang w:val="en-US"/>
        </w:rPr>
      </w:pPr>
      <w:r w:rsidRPr="00535CBF">
        <w:rPr>
          <w:rFonts w:cstheme="minorHAnsi"/>
          <w:lang w:val="en-US"/>
        </w:rPr>
        <w:t>TDAG 2021 will be the final meeting before the WTDC and historically the meeting has been scheduled for a longer period than those preceding. Regardless of length, and in addition to standing agenda items, it will be important to have sufficient time on the agenda:</w:t>
      </w:r>
    </w:p>
    <w:p w14:paraId="36257611" w14:textId="77777777" w:rsidR="00535CBF" w:rsidRPr="00402ABC" w:rsidRDefault="00535CBF" w:rsidP="00535CBF">
      <w:pPr>
        <w:pStyle w:val="ListParagraph"/>
        <w:numPr>
          <w:ilvl w:val="0"/>
          <w:numId w:val="31"/>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A240E8">
        <w:rPr>
          <w:rFonts w:cstheme="minorHAnsi"/>
        </w:rPr>
        <w:t xml:space="preserve">to </w:t>
      </w:r>
      <w:r w:rsidRPr="00402ABC">
        <w:rPr>
          <w:rFonts w:cstheme="minorHAnsi"/>
          <w:bdr w:val="none" w:sz="0" w:space="0" w:color="auto" w:frame="1"/>
        </w:rPr>
        <w:t>review preparations for TDAG’s report to WTDC;</w:t>
      </w:r>
    </w:p>
    <w:p w14:paraId="562F42D1" w14:textId="77777777" w:rsidR="00535CBF" w:rsidRPr="00402ABC" w:rsidRDefault="00535CBF" w:rsidP="00535CBF">
      <w:pPr>
        <w:pStyle w:val="ListParagraph"/>
        <w:numPr>
          <w:ilvl w:val="0"/>
          <w:numId w:val="31"/>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to consider and endorse an expected submission from the Study Group Chairs on revisions, recommendations, or other dispositions of study questions and working methods;</w:t>
      </w:r>
    </w:p>
    <w:p w14:paraId="6E232131" w14:textId="77777777" w:rsidR="00535CBF" w:rsidRPr="00402ABC" w:rsidRDefault="00535CBF" w:rsidP="00535CBF">
      <w:pPr>
        <w:pStyle w:val="ListParagraph"/>
        <w:numPr>
          <w:ilvl w:val="0"/>
          <w:numId w:val="31"/>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lastRenderedPageBreak/>
        <w:t>to consider and advise on any recommendations on the strategic plan, operational plans and WTDC-21 Declaration, and regional reports;</w:t>
      </w:r>
    </w:p>
    <w:p w14:paraId="54BD49C3" w14:textId="77777777" w:rsidR="00535CBF" w:rsidRPr="00402ABC" w:rsidRDefault="00535CBF" w:rsidP="00535CBF">
      <w:pPr>
        <w:pStyle w:val="ListParagraph"/>
        <w:numPr>
          <w:ilvl w:val="0"/>
          <w:numId w:val="31"/>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to consider and endorse outcomes from TDAG innovation/working groups;</w:t>
      </w:r>
    </w:p>
    <w:p w14:paraId="7CC3AC81" w14:textId="77777777" w:rsidR="00535CBF" w:rsidRPr="00402ABC" w:rsidRDefault="00535CBF" w:rsidP="00535CBF">
      <w:pPr>
        <w:pStyle w:val="ListParagraph"/>
        <w:numPr>
          <w:ilvl w:val="0"/>
          <w:numId w:val="31"/>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for membership to collaborate with each other, formally and informally, bilaterally and inter-regionally;</w:t>
      </w:r>
    </w:p>
    <w:p w14:paraId="79BDDBED" w14:textId="77777777" w:rsidR="00535CBF" w:rsidRDefault="00535CBF" w:rsidP="00535CBF">
      <w:pPr>
        <w:pStyle w:val="ListParagraph"/>
        <w:numPr>
          <w:ilvl w:val="0"/>
          <w:numId w:val="31"/>
        </w:numPr>
        <w:tabs>
          <w:tab w:val="clear" w:pos="720"/>
          <w:tab w:val="clear" w:pos="1134"/>
          <w:tab w:val="clear" w:pos="1871"/>
          <w:tab w:val="clear" w:pos="2268"/>
        </w:tabs>
        <w:spacing w:before="40" w:after="40"/>
        <w:ind w:left="561" w:hanging="561"/>
        <w:contextualSpacing w:val="0"/>
        <w:rPr>
          <w:rFonts w:cstheme="minorHAnsi"/>
        </w:rPr>
      </w:pPr>
      <w:r w:rsidRPr="00402ABC">
        <w:rPr>
          <w:rFonts w:cstheme="minorHAnsi"/>
          <w:bdr w:val="none" w:sz="0" w:space="0" w:color="auto" w:frame="1"/>
        </w:rPr>
        <w:t>for membership, particularly Vice Chairs, to engage formally and informally with representatives</w:t>
      </w:r>
      <w:r w:rsidRPr="00A240E8">
        <w:rPr>
          <w:rFonts w:cstheme="minorHAnsi"/>
        </w:rPr>
        <w:t xml:space="preserve"> from the regional and area offices in line with the Rules of Procedure. </w:t>
      </w:r>
    </w:p>
    <w:p w14:paraId="0EEDD714" w14:textId="77777777" w:rsidR="0040328D" w:rsidRPr="004B1427" w:rsidRDefault="0040328D" w:rsidP="007411E7">
      <w:pPr>
        <w:tabs>
          <w:tab w:val="clear" w:pos="794"/>
          <w:tab w:val="clear" w:pos="1191"/>
          <w:tab w:val="clear" w:pos="1588"/>
          <w:tab w:val="clear" w:pos="1985"/>
        </w:tabs>
        <w:spacing w:before="720"/>
        <w:jc w:val="center"/>
      </w:pPr>
      <w:r w:rsidRPr="004B1427">
        <w:t>_______________</w:t>
      </w:r>
    </w:p>
    <w:sectPr w:rsidR="0040328D" w:rsidRPr="004B1427" w:rsidSect="002502FE">
      <w:headerReference w:type="default" r:id="rId77"/>
      <w:footerReference w:type="default" r:id="rId78"/>
      <w:footerReference w:type="first" r:id="rId79"/>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4EDB7" w14:textId="77777777" w:rsidR="00083D22" w:rsidRDefault="00083D22" w:rsidP="00E54FD2">
      <w:pPr>
        <w:spacing w:before="0"/>
      </w:pPr>
      <w:r>
        <w:separator/>
      </w:r>
    </w:p>
  </w:endnote>
  <w:endnote w:type="continuationSeparator" w:id="0">
    <w:p w14:paraId="23ABFFF1" w14:textId="77777777" w:rsidR="00083D22" w:rsidRDefault="00083D22"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C4121" w14:textId="201524B4" w:rsidR="00083D22" w:rsidRPr="00AF4A0D" w:rsidRDefault="00083D22" w:rsidP="00AA42F8">
    <w:pPr>
      <w:pStyle w:val="Footer"/>
      <w:rPr>
        <w:lang w:val="en-US"/>
      </w:rPr>
    </w:pPr>
    <w:r>
      <w:fldChar w:fldCharType="begin"/>
    </w:r>
    <w:r w:rsidRPr="00AF4A0D">
      <w:rPr>
        <w:lang w:val="en-US"/>
      </w:rPr>
      <w:instrText xml:space="preserve"> FILENAME \p  \* MERGEFORMAT </w:instrText>
    </w:r>
    <w:r>
      <w:fldChar w:fldCharType="separate"/>
    </w:r>
    <w:r>
      <w:rPr>
        <w:lang w:val="en-US"/>
      </w:rPr>
      <w:t>P:\RUS\ITU-D\CONF-D\TDAG20\000\059REV2R.docx</w:t>
    </w:r>
    <w:r>
      <w:fldChar w:fldCharType="end"/>
    </w:r>
    <w:r w:rsidRPr="00AF4A0D">
      <w:rPr>
        <w:lang w:val="en-US"/>
      </w:rPr>
      <w:t xml:space="preserve"> (</w:t>
    </w:r>
    <w:r w:rsidRPr="00797E4D">
      <w:rPr>
        <w:lang w:val="en-US"/>
      </w:rPr>
      <w:t>475659</w:t>
    </w:r>
    <w:r w:rsidRPr="00AF4A0D">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3260"/>
      <w:gridCol w:w="4961"/>
    </w:tblGrid>
    <w:tr w:rsidR="00083D22" w:rsidRPr="004D495C" w14:paraId="5545AE68" w14:textId="77777777" w:rsidTr="007411E7">
      <w:tc>
        <w:tcPr>
          <w:tcW w:w="1418" w:type="dxa"/>
          <w:tcBorders>
            <w:top w:val="single" w:sz="4" w:space="0" w:color="000000"/>
          </w:tcBorders>
          <w:shd w:val="clear" w:color="auto" w:fill="auto"/>
        </w:tcPr>
        <w:p w14:paraId="2965A32C" w14:textId="77777777" w:rsidR="00083D22" w:rsidRPr="004D495C" w:rsidRDefault="00083D22" w:rsidP="00FD7284">
          <w:pPr>
            <w:pStyle w:val="FirstFooter"/>
            <w:tabs>
              <w:tab w:val="left" w:pos="1559"/>
              <w:tab w:val="left" w:pos="3828"/>
            </w:tabs>
            <w:spacing w:before="40"/>
            <w:rPr>
              <w:sz w:val="18"/>
              <w:szCs w:val="18"/>
            </w:rPr>
          </w:pPr>
          <w:r>
            <w:rPr>
              <w:sz w:val="18"/>
              <w:szCs w:val="18"/>
            </w:rPr>
            <w:t>Координатор</w:t>
          </w:r>
          <w:r w:rsidRPr="004D495C">
            <w:rPr>
              <w:sz w:val="18"/>
              <w:szCs w:val="18"/>
              <w:lang w:val="en-US"/>
            </w:rPr>
            <w:t>:</w:t>
          </w:r>
        </w:p>
      </w:tc>
      <w:tc>
        <w:tcPr>
          <w:tcW w:w="3260" w:type="dxa"/>
          <w:tcBorders>
            <w:top w:val="single" w:sz="4" w:space="0" w:color="000000"/>
          </w:tcBorders>
        </w:tcPr>
        <w:p w14:paraId="3B31950B" w14:textId="77777777" w:rsidR="00083D22" w:rsidRPr="00EB2F10" w:rsidRDefault="00083D22" w:rsidP="00FD7284">
          <w:pPr>
            <w:pStyle w:val="FirstFooter"/>
            <w:spacing w:before="40"/>
            <w:rPr>
              <w:sz w:val="18"/>
              <w:szCs w:val="18"/>
              <w:lang w:val="en-US"/>
            </w:rPr>
          </w:pPr>
          <w:r w:rsidRPr="00EB2F10">
            <w:rPr>
              <w:sz w:val="18"/>
              <w:szCs w:val="18"/>
            </w:rPr>
            <w:t>Фамилия/организация/объединение:</w:t>
          </w:r>
        </w:p>
      </w:tc>
      <w:tc>
        <w:tcPr>
          <w:tcW w:w="4961" w:type="dxa"/>
          <w:tcBorders>
            <w:top w:val="single" w:sz="4" w:space="0" w:color="000000"/>
          </w:tcBorders>
        </w:tcPr>
        <w:p w14:paraId="6587CB91" w14:textId="259C07D6" w:rsidR="00083D22" w:rsidRPr="00FD7284" w:rsidRDefault="00083D22" w:rsidP="00FD7284">
          <w:pPr>
            <w:pStyle w:val="FirstFooter"/>
            <w:tabs>
              <w:tab w:val="left" w:pos="2302"/>
            </w:tabs>
            <w:spacing w:before="40"/>
            <w:rPr>
              <w:sz w:val="18"/>
              <w:szCs w:val="18"/>
            </w:rPr>
          </w:pPr>
          <w:r w:rsidRPr="00AF4A0D">
            <w:rPr>
              <w:sz w:val="18"/>
              <w:szCs w:val="18"/>
            </w:rPr>
            <w:t>г-жа Роксана Макэлвейн Веббер (</w:t>
          </w:r>
          <w:r w:rsidRPr="00AF4A0D">
            <w:rPr>
              <w:sz w:val="18"/>
              <w:szCs w:val="18"/>
              <w:lang w:val="en-US"/>
            </w:rPr>
            <w:t>Ms</w:t>
          </w:r>
          <w:r w:rsidRPr="00AF4A0D">
            <w:rPr>
              <w:sz w:val="18"/>
              <w:szCs w:val="18"/>
            </w:rPr>
            <w:t xml:space="preserve"> </w:t>
          </w:r>
          <w:r w:rsidRPr="00AF4A0D">
            <w:rPr>
              <w:sz w:val="18"/>
              <w:szCs w:val="18"/>
              <w:lang w:val="en-US"/>
            </w:rPr>
            <w:t>Roxanne</w:t>
          </w:r>
          <w:r w:rsidRPr="00AF4A0D">
            <w:rPr>
              <w:sz w:val="18"/>
              <w:szCs w:val="18"/>
            </w:rPr>
            <w:t xml:space="preserve"> </w:t>
          </w:r>
          <w:r w:rsidRPr="00AF4A0D">
            <w:rPr>
              <w:sz w:val="18"/>
              <w:szCs w:val="18"/>
              <w:lang w:val="en-US"/>
            </w:rPr>
            <w:t>McElvane</w:t>
          </w:r>
          <w:r w:rsidRPr="00AF4A0D">
            <w:rPr>
              <w:sz w:val="18"/>
              <w:szCs w:val="18"/>
            </w:rPr>
            <w:t xml:space="preserve"> </w:t>
          </w:r>
          <w:r w:rsidRPr="00AF4A0D">
            <w:rPr>
              <w:sz w:val="18"/>
              <w:szCs w:val="18"/>
              <w:lang w:val="en-US"/>
            </w:rPr>
            <w:t>Webber</w:t>
          </w:r>
          <w:r w:rsidRPr="00AF4A0D">
            <w:rPr>
              <w:sz w:val="18"/>
              <w:szCs w:val="18"/>
            </w:rPr>
            <w:t>), Председатель Консультативной группы по развитию электросвязи</w:t>
          </w:r>
        </w:p>
      </w:tc>
    </w:tr>
    <w:tr w:rsidR="00083D22" w:rsidRPr="004D495C" w14:paraId="3C5D1C47" w14:textId="77777777" w:rsidTr="007411E7">
      <w:tc>
        <w:tcPr>
          <w:tcW w:w="1418" w:type="dxa"/>
          <w:shd w:val="clear" w:color="auto" w:fill="auto"/>
        </w:tcPr>
        <w:p w14:paraId="6D40AA43" w14:textId="77777777" w:rsidR="00083D22" w:rsidRPr="00FD7284" w:rsidRDefault="00083D22" w:rsidP="00FD7284">
          <w:pPr>
            <w:pStyle w:val="FirstFooter"/>
            <w:tabs>
              <w:tab w:val="left" w:pos="1559"/>
              <w:tab w:val="left" w:pos="3828"/>
            </w:tabs>
            <w:spacing w:before="40"/>
            <w:rPr>
              <w:sz w:val="20"/>
            </w:rPr>
          </w:pPr>
        </w:p>
      </w:tc>
      <w:tc>
        <w:tcPr>
          <w:tcW w:w="3260" w:type="dxa"/>
        </w:tcPr>
        <w:p w14:paraId="64D0CE6A" w14:textId="77777777" w:rsidR="00083D22" w:rsidRPr="00EB2F10" w:rsidRDefault="00083D22" w:rsidP="00FD7284">
          <w:pPr>
            <w:pStyle w:val="FirstFooter"/>
            <w:spacing w:before="40"/>
            <w:rPr>
              <w:sz w:val="18"/>
              <w:szCs w:val="18"/>
            </w:rPr>
          </w:pPr>
          <w:r w:rsidRPr="00EB2F10">
            <w:rPr>
              <w:sz w:val="18"/>
              <w:szCs w:val="18"/>
            </w:rPr>
            <w:t>Тел.:</w:t>
          </w:r>
        </w:p>
      </w:tc>
      <w:tc>
        <w:tcPr>
          <w:tcW w:w="4961" w:type="dxa"/>
        </w:tcPr>
        <w:p w14:paraId="0A029424" w14:textId="7C08E225" w:rsidR="00083D22" w:rsidRPr="00B41105" w:rsidRDefault="00083D22" w:rsidP="00FD7284">
          <w:pPr>
            <w:pStyle w:val="FirstFooter"/>
            <w:tabs>
              <w:tab w:val="left" w:pos="2302"/>
            </w:tabs>
            <w:spacing w:before="40"/>
            <w:rPr>
              <w:sz w:val="18"/>
              <w:szCs w:val="18"/>
              <w:lang w:val="en-US"/>
            </w:rPr>
          </w:pPr>
          <w:r w:rsidRPr="00AF4A0D">
            <w:rPr>
              <w:sz w:val="18"/>
              <w:szCs w:val="18"/>
              <w:lang w:val="en-US"/>
            </w:rPr>
            <w:t>+1 202 418 1489</w:t>
          </w:r>
        </w:p>
      </w:tc>
    </w:tr>
    <w:tr w:rsidR="00083D22" w:rsidRPr="004D495C" w14:paraId="37A5B5C2" w14:textId="77777777" w:rsidTr="007411E7">
      <w:tc>
        <w:tcPr>
          <w:tcW w:w="1418" w:type="dxa"/>
          <w:shd w:val="clear" w:color="auto" w:fill="auto"/>
        </w:tcPr>
        <w:p w14:paraId="5B12A762" w14:textId="77777777" w:rsidR="00083D22" w:rsidRPr="004D495C" w:rsidRDefault="00083D22" w:rsidP="00FD7284">
          <w:pPr>
            <w:pStyle w:val="FirstFooter"/>
            <w:tabs>
              <w:tab w:val="left" w:pos="1559"/>
              <w:tab w:val="left" w:pos="3828"/>
            </w:tabs>
            <w:spacing w:before="40"/>
            <w:rPr>
              <w:sz w:val="20"/>
              <w:lang w:val="en-US"/>
            </w:rPr>
          </w:pPr>
        </w:p>
      </w:tc>
      <w:tc>
        <w:tcPr>
          <w:tcW w:w="3260" w:type="dxa"/>
        </w:tcPr>
        <w:p w14:paraId="75AC4166" w14:textId="77777777" w:rsidR="00083D22" w:rsidRPr="00EB2F10" w:rsidRDefault="00083D22" w:rsidP="00FD7284">
          <w:pPr>
            <w:pStyle w:val="FirstFooter"/>
            <w:tabs>
              <w:tab w:val="left" w:pos="2302"/>
            </w:tabs>
            <w:spacing w:before="40"/>
            <w:rPr>
              <w:sz w:val="18"/>
              <w:szCs w:val="18"/>
              <w:lang w:val="en-US"/>
            </w:rPr>
          </w:pPr>
          <w:r w:rsidRPr="00EB2F10">
            <w:rPr>
              <w:sz w:val="18"/>
              <w:szCs w:val="18"/>
            </w:rPr>
            <w:t>Эл. почта</w:t>
          </w:r>
          <w:r w:rsidRPr="00EB2F10">
            <w:rPr>
              <w:sz w:val="18"/>
              <w:szCs w:val="18"/>
              <w:lang w:val="en-US"/>
            </w:rPr>
            <w:t>:</w:t>
          </w:r>
        </w:p>
      </w:tc>
      <w:tc>
        <w:tcPr>
          <w:tcW w:w="4961" w:type="dxa"/>
        </w:tcPr>
        <w:p w14:paraId="4FC2C2EE" w14:textId="1C9EDC4B" w:rsidR="00083D22" w:rsidRPr="00B41105" w:rsidRDefault="00083D22" w:rsidP="00FD7284">
          <w:pPr>
            <w:pStyle w:val="FirstFooter"/>
            <w:tabs>
              <w:tab w:val="left" w:pos="2302"/>
            </w:tabs>
            <w:spacing w:before="40"/>
            <w:rPr>
              <w:sz w:val="18"/>
              <w:szCs w:val="18"/>
              <w:lang w:val="en-US"/>
            </w:rPr>
          </w:pPr>
          <w:hyperlink r:id="rId1" w:history="1">
            <w:r w:rsidRPr="00AF4A0D">
              <w:rPr>
                <w:rStyle w:val="Hyperlink"/>
                <w:sz w:val="18"/>
                <w:lang w:val="en-US"/>
              </w:rPr>
              <w:t>Roxanne.Webber@fcc.gov</w:t>
            </w:r>
          </w:hyperlink>
        </w:p>
      </w:tc>
    </w:tr>
  </w:tbl>
  <w:p w14:paraId="429F6A8D" w14:textId="77777777" w:rsidR="00083D22" w:rsidRPr="006E4AB3" w:rsidRDefault="00083D22" w:rsidP="00083D22">
    <w:pPr>
      <w:tabs>
        <w:tab w:val="clear" w:pos="794"/>
        <w:tab w:val="clear" w:pos="1191"/>
        <w:tab w:val="clear" w:pos="1588"/>
        <w:tab w:val="clear" w:pos="1985"/>
        <w:tab w:val="left" w:pos="5954"/>
        <w:tab w:val="right" w:pos="9639"/>
      </w:tabs>
      <w:jc w:val="center"/>
      <w:rPr>
        <w:caps/>
        <w:noProof/>
        <w:sz w:val="16"/>
      </w:rPr>
    </w:pPr>
    <w:hyperlink r:id="rId2" w:history="1">
      <w:r>
        <w:rPr>
          <w:color w:val="0000FF"/>
          <w:sz w:val="18"/>
          <w:szCs w:val="18"/>
          <w:u w:val="single"/>
        </w:rPr>
        <w:t>КГРЭ</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EEAB5" w14:textId="77777777" w:rsidR="00083D22" w:rsidRDefault="00083D22" w:rsidP="00E54FD2">
      <w:pPr>
        <w:spacing w:before="0"/>
      </w:pPr>
      <w:r>
        <w:separator/>
      </w:r>
    </w:p>
  </w:footnote>
  <w:footnote w:type="continuationSeparator" w:id="0">
    <w:p w14:paraId="174FEE49" w14:textId="77777777" w:rsidR="00083D22" w:rsidRDefault="00083D22" w:rsidP="00E54FD2">
      <w:pPr>
        <w:spacing w:before="0"/>
      </w:pPr>
      <w:r>
        <w:continuationSeparator/>
      </w:r>
    </w:p>
  </w:footnote>
  <w:footnote w:id="1">
    <w:p w14:paraId="03EF8AEE" w14:textId="2C272150" w:rsidR="00083D22" w:rsidRPr="005D5955" w:rsidRDefault="00083D22" w:rsidP="00E72705">
      <w:pPr>
        <w:spacing w:before="60" w:after="240"/>
        <w:ind w:left="284" w:hanging="284"/>
        <w:rPr>
          <w:sz w:val="20"/>
        </w:rPr>
      </w:pPr>
      <w:r w:rsidRPr="00AF4A0D">
        <w:rPr>
          <w:rStyle w:val="FootnoteReference"/>
        </w:rPr>
        <w:footnoteRef/>
      </w:r>
      <w:bookmarkStart w:id="7" w:name="lt_pId672"/>
      <w:r>
        <w:rPr>
          <w:sz w:val="20"/>
        </w:rPr>
        <w:tab/>
        <w:t>Будучи</w:t>
      </w:r>
      <w:r w:rsidRPr="00084A6B">
        <w:rPr>
          <w:sz w:val="20"/>
        </w:rPr>
        <w:t xml:space="preserve"> назначен</w:t>
      </w:r>
      <w:r>
        <w:rPr>
          <w:sz w:val="20"/>
        </w:rPr>
        <w:t>ным</w:t>
      </w:r>
      <w:r w:rsidRPr="00084A6B">
        <w:rPr>
          <w:sz w:val="20"/>
        </w:rPr>
        <w:t xml:space="preserve"> </w:t>
      </w:r>
      <w:r>
        <w:rPr>
          <w:sz w:val="20"/>
        </w:rPr>
        <w:t xml:space="preserve">на должность </w:t>
      </w:r>
      <w:r w:rsidRPr="00084A6B">
        <w:rPr>
          <w:sz w:val="20"/>
        </w:rPr>
        <w:t>заместител</w:t>
      </w:r>
      <w:r>
        <w:rPr>
          <w:sz w:val="20"/>
        </w:rPr>
        <w:t>я</w:t>
      </w:r>
      <w:r w:rsidRPr="00084A6B">
        <w:rPr>
          <w:sz w:val="20"/>
        </w:rPr>
        <w:t xml:space="preserve"> Председателя </w:t>
      </w:r>
      <w:r>
        <w:rPr>
          <w:sz w:val="20"/>
        </w:rPr>
        <w:t>от</w:t>
      </w:r>
      <w:r w:rsidRPr="00084A6B">
        <w:rPr>
          <w:sz w:val="20"/>
        </w:rPr>
        <w:t xml:space="preserve"> региона Северной и Южной Америки г</w:t>
      </w:r>
      <w:r>
        <w:rPr>
          <w:sz w:val="20"/>
        </w:rPr>
        <w:noBreakHyphen/>
      </w:r>
      <w:r w:rsidRPr="00084A6B">
        <w:rPr>
          <w:sz w:val="20"/>
        </w:rPr>
        <w:t>н</w:t>
      </w:r>
      <w:r>
        <w:rPr>
          <w:sz w:val="20"/>
        </w:rPr>
        <w:t> </w:t>
      </w:r>
      <w:r w:rsidRPr="00084A6B">
        <w:rPr>
          <w:sz w:val="20"/>
        </w:rPr>
        <w:t xml:space="preserve">Николас </w:t>
      </w:r>
      <w:r>
        <w:rPr>
          <w:sz w:val="20"/>
        </w:rPr>
        <w:t>Караваски</w:t>
      </w:r>
      <w:r w:rsidRPr="00084A6B">
        <w:rPr>
          <w:sz w:val="20"/>
        </w:rPr>
        <w:t xml:space="preserve"> </w:t>
      </w:r>
      <w:r>
        <w:rPr>
          <w:sz w:val="20"/>
        </w:rPr>
        <w:t xml:space="preserve">заявил о своей решимости упорно трудиться, чтобы помогать развитию </w:t>
      </w:r>
      <w:r w:rsidRPr="005D5955">
        <w:rPr>
          <w:sz w:val="20"/>
        </w:rPr>
        <w:t xml:space="preserve">ИКТ </w:t>
      </w:r>
      <w:r>
        <w:rPr>
          <w:sz w:val="20"/>
        </w:rPr>
        <w:t>в</w:t>
      </w:r>
      <w:r w:rsidRPr="005D5955">
        <w:rPr>
          <w:sz w:val="20"/>
        </w:rPr>
        <w:t xml:space="preserve"> </w:t>
      </w:r>
      <w:r>
        <w:rPr>
          <w:sz w:val="20"/>
        </w:rPr>
        <w:t>интересах</w:t>
      </w:r>
      <w:r w:rsidRPr="005D5955">
        <w:rPr>
          <w:sz w:val="20"/>
        </w:rPr>
        <w:t xml:space="preserve"> всех людей в мире, в Аргентине и в регионе Северной и Южной Америки.</w:t>
      </w:r>
      <w:bookmarkEnd w:id="7"/>
      <w:r>
        <w:rPr>
          <w:sz w:val="20"/>
        </w:rPr>
        <w:t xml:space="preserve"> </w:t>
      </w:r>
    </w:p>
  </w:footnote>
  <w:footnote w:id="2">
    <w:p w14:paraId="17B1747A" w14:textId="1B1EA695" w:rsidR="00083D22" w:rsidRPr="007475DB" w:rsidRDefault="00083D22" w:rsidP="00812287">
      <w:pPr>
        <w:pStyle w:val="FootnoteText"/>
        <w:rPr>
          <w:lang w:val="en-US"/>
        </w:rPr>
      </w:pPr>
      <w:r w:rsidRPr="00693828">
        <w:rPr>
          <w:rStyle w:val="FootnoteReference"/>
        </w:rPr>
        <w:footnoteRef/>
      </w:r>
      <w:r w:rsidRPr="00083D22">
        <w:rPr>
          <w:lang w:val="en-GB"/>
        </w:rPr>
        <w:t xml:space="preserve"> </w:t>
      </w:r>
      <w:bookmarkStart w:id="29" w:name="lt_pId673"/>
      <w:r w:rsidRPr="00083D22">
        <w:rPr>
          <w:lang w:val="en-GB"/>
        </w:rPr>
        <w:tab/>
      </w:r>
      <w:r w:rsidRPr="00F219BC">
        <w:rPr>
          <w:iCs/>
        </w:rPr>
        <w:t>См</w:t>
      </w:r>
      <w:r w:rsidRPr="00083D22">
        <w:rPr>
          <w:iCs/>
          <w:lang w:val="en-GB"/>
        </w:rPr>
        <w:t>.</w:t>
      </w:r>
      <w:r w:rsidRPr="000347A4">
        <w:rPr>
          <w:i/>
          <w:lang w:val="en-US"/>
        </w:rPr>
        <w:t xml:space="preserve"> </w:t>
      </w:r>
      <w:r w:rsidRPr="00C416FC">
        <w:t>Приложение</w:t>
      </w:r>
      <w:r w:rsidRPr="000347A4">
        <w:rPr>
          <w:lang w:val="en-US"/>
        </w:rPr>
        <w:t xml:space="preserve"> 1.</w:t>
      </w:r>
      <w:bookmarkEnd w:id="29"/>
    </w:p>
  </w:footnote>
  <w:footnote w:id="3">
    <w:p w14:paraId="3AF8BD14" w14:textId="4D2B151B" w:rsidR="00083D22" w:rsidRPr="00816F9F" w:rsidRDefault="00083D22" w:rsidP="00E526B6">
      <w:pPr>
        <w:pStyle w:val="FootnoteText"/>
        <w:rPr>
          <w:lang w:val="en-US"/>
        </w:rPr>
      </w:pPr>
      <w:r w:rsidRPr="00D54C98">
        <w:rPr>
          <w:rStyle w:val="FootnoteReference"/>
          <w:lang w:val="en-US"/>
        </w:rPr>
        <w:t>1</w:t>
      </w:r>
      <w:r w:rsidRPr="00535CBF">
        <w:rPr>
          <w:lang w:val="en-US"/>
        </w:rPr>
        <w:t xml:space="preserve"> </w:t>
      </w:r>
      <w:r>
        <w:rPr>
          <w:lang w:val="en-US"/>
        </w:rPr>
        <w:tab/>
      </w:r>
      <w:r w:rsidRPr="00535CBF">
        <w:rPr>
          <w:lang w:val="en-US"/>
        </w:rPr>
        <w:t>Substitutions are nominated by their Administrations and approved by membership at TDAG.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EBA53" w14:textId="49C6F232" w:rsidR="00083D22" w:rsidRPr="00701E31" w:rsidRDefault="00083D22" w:rsidP="00B24169">
    <w:pPr>
      <w:tabs>
        <w:tab w:val="clear" w:pos="794"/>
        <w:tab w:val="clear" w:pos="1191"/>
        <w:tab w:val="clear" w:pos="1588"/>
        <w:tab w:val="clear" w:pos="1985"/>
        <w:tab w:val="center" w:pos="4536"/>
        <w:tab w:val="right" w:pos="9639"/>
      </w:tabs>
      <w:ind w:right="1"/>
      <w:rPr>
        <w:smallCaps/>
        <w:spacing w:val="24"/>
      </w:rPr>
    </w:pPr>
    <w:r w:rsidRPr="00972BCD">
      <w:tab/>
    </w:r>
    <w:r w:rsidRPr="002236F8">
      <w:t>TDAG</w:t>
    </w:r>
    <w:r w:rsidRPr="0040328D">
      <w:t>-</w:t>
    </w:r>
    <w:r>
      <w:rPr>
        <w:lang w:val="en-US"/>
      </w:rPr>
      <w:t>20</w:t>
    </w:r>
    <w:r w:rsidRPr="00701E31">
      <w:t>/</w:t>
    </w:r>
    <w:r>
      <w:t>59(</w:t>
    </w:r>
    <w:r>
      <w:rPr>
        <w:lang w:val="en-US"/>
      </w:rPr>
      <w:t>Rev.2)</w:t>
    </w:r>
    <w:r w:rsidRPr="00701E31">
      <w:t>-</w:t>
    </w:r>
    <w:r w:rsidRPr="00D923CD">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noProof/>
      </w:rPr>
      <w:t>2</w:t>
    </w:r>
    <w:r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3FAA"/>
    <w:multiLevelType w:val="hybridMultilevel"/>
    <w:tmpl w:val="9D9CF682"/>
    <w:lvl w:ilvl="0" w:tplc="E7EA9F3A">
      <w:start w:val="1"/>
      <w:numFmt w:val="bullet"/>
      <w:lvlText w:val=""/>
      <w:lvlJc w:val="left"/>
      <w:pPr>
        <w:ind w:left="720" w:hanging="360"/>
      </w:pPr>
      <w:rPr>
        <w:rFonts w:ascii="Symbol" w:hAnsi="Symbol" w:hint="default"/>
      </w:rPr>
    </w:lvl>
    <w:lvl w:ilvl="1" w:tplc="E35A87C4" w:tentative="1">
      <w:start w:val="1"/>
      <w:numFmt w:val="bullet"/>
      <w:lvlText w:val="o"/>
      <w:lvlJc w:val="left"/>
      <w:pPr>
        <w:ind w:left="1440" w:hanging="360"/>
      </w:pPr>
      <w:rPr>
        <w:rFonts w:ascii="Courier New" w:hAnsi="Courier New" w:cs="Courier New" w:hint="default"/>
      </w:rPr>
    </w:lvl>
    <w:lvl w:ilvl="2" w:tplc="E85A620E" w:tentative="1">
      <w:start w:val="1"/>
      <w:numFmt w:val="bullet"/>
      <w:lvlText w:val=""/>
      <w:lvlJc w:val="left"/>
      <w:pPr>
        <w:ind w:left="2160" w:hanging="360"/>
      </w:pPr>
      <w:rPr>
        <w:rFonts w:ascii="Wingdings" w:hAnsi="Wingdings" w:hint="default"/>
      </w:rPr>
    </w:lvl>
    <w:lvl w:ilvl="3" w:tplc="1BEA1F1A" w:tentative="1">
      <w:start w:val="1"/>
      <w:numFmt w:val="bullet"/>
      <w:lvlText w:val=""/>
      <w:lvlJc w:val="left"/>
      <w:pPr>
        <w:ind w:left="2880" w:hanging="360"/>
      </w:pPr>
      <w:rPr>
        <w:rFonts w:ascii="Symbol" w:hAnsi="Symbol" w:hint="default"/>
      </w:rPr>
    </w:lvl>
    <w:lvl w:ilvl="4" w:tplc="86AA94B0" w:tentative="1">
      <w:start w:val="1"/>
      <w:numFmt w:val="bullet"/>
      <w:lvlText w:val="o"/>
      <w:lvlJc w:val="left"/>
      <w:pPr>
        <w:ind w:left="3600" w:hanging="360"/>
      </w:pPr>
      <w:rPr>
        <w:rFonts w:ascii="Courier New" w:hAnsi="Courier New" w:cs="Courier New" w:hint="default"/>
      </w:rPr>
    </w:lvl>
    <w:lvl w:ilvl="5" w:tplc="B1C2E0B6" w:tentative="1">
      <w:start w:val="1"/>
      <w:numFmt w:val="bullet"/>
      <w:lvlText w:val=""/>
      <w:lvlJc w:val="left"/>
      <w:pPr>
        <w:ind w:left="4320" w:hanging="360"/>
      </w:pPr>
      <w:rPr>
        <w:rFonts w:ascii="Wingdings" w:hAnsi="Wingdings" w:hint="default"/>
      </w:rPr>
    </w:lvl>
    <w:lvl w:ilvl="6" w:tplc="24E484BC" w:tentative="1">
      <w:start w:val="1"/>
      <w:numFmt w:val="bullet"/>
      <w:lvlText w:val=""/>
      <w:lvlJc w:val="left"/>
      <w:pPr>
        <w:ind w:left="5040" w:hanging="360"/>
      </w:pPr>
      <w:rPr>
        <w:rFonts w:ascii="Symbol" w:hAnsi="Symbol" w:hint="default"/>
      </w:rPr>
    </w:lvl>
    <w:lvl w:ilvl="7" w:tplc="BA0E4F14" w:tentative="1">
      <w:start w:val="1"/>
      <w:numFmt w:val="bullet"/>
      <w:lvlText w:val="o"/>
      <w:lvlJc w:val="left"/>
      <w:pPr>
        <w:ind w:left="5760" w:hanging="360"/>
      </w:pPr>
      <w:rPr>
        <w:rFonts w:ascii="Courier New" w:hAnsi="Courier New" w:cs="Courier New" w:hint="default"/>
      </w:rPr>
    </w:lvl>
    <w:lvl w:ilvl="8" w:tplc="1F905BBE" w:tentative="1">
      <w:start w:val="1"/>
      <w:numFmt w:val="bullet"/>
      <w:lvlText w:val=""/>
      <w:lvlJc w:val="left"/>
      <w:pPr>
        <w:ind w:left="6480" w:hanging="360"/>
      </w:pPr>
      <w:rPr>
        <w:rFonts w:ascii="Wingdings" w:hAnsi="Wingdings" w:hint="default"/>
      </w:rPr>
    </w:lvl>
  </w:abstractNum>
  <w:abstractNum w:abstractNumId="1" w15:restartNumberingAfterBreak="0">
    <w:nsid w:val="0A837C60"/>
    <w:multiLevelType w:val="hybridMultilevel"/>
    <w:tmpl w:val="B3AA24B8"/>
    <w:lvl w:ilvl="0" w:tplc="A60A6086">
      <w:start w:val="2"/>
      <w:numFmt w:val="bullet"/>
      <w:lvlText w:val="-"/>
      <w:lvlJc w:val="left"/>
      <w:pPr>
        <w:ind w:left="720" w:hanging="360"/>
      </w:pPr>
      <w:rPr>
        <w:rFonts w:ascii="Arial" w:eastAsia="SimSun" w:hAnsi="Arial" w:cs="Arial" w:hint="default"/>
      </w:rPr>
    </w:lvl>
    <w:lvl w:ilvl="1" w:tplc="8E4A246C">
      <w:start w:val="1"/>
      <w:numFmt w:val="bullet"/>
      <w:lvlText w:val="o"/>
      <w:lvlJc w:val="left"/>
      <w:pPr>
        <w:ind w:left="1440" w:hanging="360"/>
      </w:pPr>
      <w:rPr>
        <w:rFonts w:ascii="Courier New" w:hAnsi="Courier New" w:cs="Courier New" w:hint="default"/>
      </w:rPr>
    </w:lvl>
    <w:lvl w:ilvl="2" w:tplc="97226D04">
      <w:start w:val="1"/>
      <w:numFmt w:val="bullet"/>
      <w:lvlText w:val=""/>
      <w:lvlJc w:val="left"/>
      <w:pPr>
        <w:ind w:left="2160" w:hanging="360"/>
      </w:pPr>
      <w:rPr>
        <w:rFonts w:ascii="Wingdings" w:hAnsi="Wingdings" w:hint="default"/>
      </w:rPr>
    </w:lvl>
    <w:lvl w:ilvl="3" w:tplc="C08898CE">
      <w:start w:val="1"/>
      <w:numFmt w:val="bullet"/>
      <w:lvlText w:val=""/>
      <w:lvlJc w:val="left"/>
      <w:pPr>
        <w:ind w:left="2880" w:hanging="360"/>
      </w:pPr>
      <w:rPr>
        <w:rFonts w:ascii="Symbol" w:hAnsi="Symbol" w:hint="default"/>
      </w:rPr>
    </w:lvl>
    <w:lvl w:ilvl="4" w:tplc="BCFCC044">
      <w:start w:val="1"/>
      <w:numFmt w:val="bullet"/>
      <w:lvlText w:val="o"/>
      <w:lvlJc w:val="left"/>
      <w:pPr>
        <w:ind w:left="3600" w:hanging="360"/>
      </w:pPr>
      <w:rPr>
        <w:rFonts w:ascii="Courier New" w:hAnsi="Courier New" w:cs="Courier New" w:hint="default"/>
      </w:rPr>
    </w:lvl>
    <w:lvl w:ilvl="5" w:tplc="7D76B114">
      <w:start w:val="1"/>
      <w:numFmt w:val="bullet"/>
      <w:lvlText w:val=""/>
      <w:lvlJc w:val="left"/>
      <w:pPr>
        <w:ind w:left="4320" w:hanging="360"/>
      </w:pPr>
      <w:rPr>
        <w:rFonts w:ascii="Wingdings" w:hAnsi="Wingdings" w:hint="default"/>
      </w:rPr>
    </w:lvl>
    <w:lvl w:ilvl="6" w:tplc="C6E49952">
      <w:start w:val="1"/>
      <w:numFmt w:val="bullet"/>
      <w:lvlText w:val=""/>
      <w:lvlJc w:val="left"/>
      <w:pPr>
        <w:ind w:left="5040" w:hanging="360"/>
      </w:pPr>
      <w:rPr>
        <w:rFonts w:ascii="Symbol" w:hAnsi="Symbol" w:hint="default"/>
      </w:rPr>
    </w:lvl>
    <w:lvl w:ilvl="7" w:tplc="7396D220">
      <w:start w:val="1"/>
      <w:numFmt w:val="bullet"/>
      <w:lvlText w:val="o"/>
      <w:lvlJc w:val="left"/>
      <w:pPr>
        <w:ind w:left="5760" w:hanging="360"/>
      </w:pPr>
      <w:rPr>
        <w:rFonts w:ascii="Courier New" w:hAnsi="Courier New" w:cs="Courier New" w:hint="default"/>
      </w:rPr>
    </w:lvl>
    <w:lvl w:ilvl="8" w:tplc="C1A20D28">
      <w:start w:val="1"/>
      <w:numFmt w:val="bullet"/>
      <w:lvlText w:val=""/>
      <w:lvlJc w:val="left"/>
      <w:pPr>
        <w:ind w:left="6480" w:hanging="360"/>
      </w:pPr>
      <w:rPr>
        <w:rFonts w:ascii="Wingdings" w:hAnsi="Wingdings" w:hint="default"/>
      </w:rPr>
    </w:lvl>
  </w:abstractNum>
  <w:abstractNum w:abstractNumId="2" w15:restartNumberingAfterBreak="0">
    <w:nsid w:val="0E1272C7"/>
    <w:multiLevelType w:val="hybridMultilevel"/>
    <w:tmpl w:val="0F0CA838"/>
    <w:lvl w:ilvl="0" w:tplc="91701B1A">
      <w:start w:val="1"/>
      <w:numFmt w:val="decimal"/>
      <w:lvlText w:val="%1."/>
      <w:lvlJc w:val="left"/>
      <w:pPr>
        <w:ind w:left="720" w:hanging="360"/>
      </w:pPr>
      <w:rPr>
        <w:rFonts w:hint="default"/>
      </w:rPr>
    </w:lvl>
    <w:lvl w:ilvl="1" w:tplc="2110E7F0" w:tentative="1">
      <w:start w:val="1"/>
      <w:numFmt w:val="lowerLetter"/>
      <w:lvlText w:val="%2."/>
      <w:lvlJc w:val="left"/>
      <w:pPr>
        <w:ind w:left="1440" w:hanging="360"/>
      </w:pPr>
    </w:lvl>
    <w:lvl w:ilvl="2" w:tplc="924014DA" w:tentative="1">
      <w:start w:val="1"/>
      <w:numFmt w:val="lowerRoman"/>
      <w:lvlText w:val="%3."/>
      <w:lvlJc w:val="right"/>
      <w:pPr>
        <w:ind w:left="2160" w:hanging="180"/>
      </w:pPr>
    </w:lvl>
    <w:lvl w:ilvl="3" w:tplc="35EC312E" w:tentative="1">
      <w:start w:val="1"/>
      <w:numFmt w:val="decimal"/>
      <w:lvlText w:val="%4."/>
      <w:lvlJc w:val="left"/>
      <w:pPr>
        <w:ind w:left="2880" w:hanging="360"/>
      </w:pPr>
    </w:lvl>
    <w:lvl w:ilvl="4" w:tplc="FA681EC2" w:tentative="1">
      <w:start w:val="1"/>
      <w:numFmt w:val="lowerLetter"/>
      <w:lvlText w:val="%5."/>
      <w:lvlJc w:val="left"/>
      <w:pPr>
        <w:ind w:left="3600" w:hanging="360"/>
      </w:pPr>
    </w:lvl>
    <w:lvl w:ilvl="5" w:tplc="3F72655C" w:tentative="1">
      <w:start w:val="1"/>
      <w:numFmt w:val="lowerRoman"/>
      <w:lvlText w:val="%6."/>
      <w:lvlJc w:val="right"/>
      <w:pPr>
        <w:ind w:left="4320" w:hanging="180"/>
      </w:pPr>
    </w:lvl>
    <w:lvl w:ilvl="6" w:tplc="F9CC91C6" w:tentative="1">
      <w:start w:val="1"/>
      <w:numFmt w:val="decimal"/>
      <w:lvlText w:val="%7."/>
      <w:lvlJc w:val="left"/>
      <w:pPr>
        <w:ind w:left="5040" w:hanging="360"/>
      </w:pPr>
    </w:lvl>
    <w:lvl w:ilvl="7" w:tplc="F6A00014" w:tentative="1">
      <w:start w:val="1"/>
      <w:numFmt w:val="lowerLetter"/>
      <w:lvlText w:val="%8."/>
      <w:lvlJc w:val="left"/>
      <w:pPr>
        <w:ind w:left="5760" w:hanging="360"/>
      </w:pPr>
    </w:lvl>
    <w:lvl w:ilvl="8" w:tplc="76DC7276" w:tentative="1">
      <w:start w:val="1"/>
      <w:numFmt w:val="lowerRoman"/>
      <w:lvlText w:val="%9."/>
      <w:lvlJc w:val="right"/>
      <w:pPr>
        <w:ind w:left="6480" w:hanging="180"/>
      </w:pPr>
    </w:lvl>
  </w:abstractNum>
  <w:abstractNum w:abstractNumId="3" w15:restartNumberingAfterBreak="0">
    <w:nsid w:val="1013521E"/>
    <w:multiLevelType w:val="hybridMultilevel"/>
    <w:tmpl w:val="2C7636A2"/>
    <w:lvl w:ilvl="0" w:tplc="0E24D59C">
      <w:start w:val="1"/>
      <w:numFmt w:val="decimal"/>
      <w:lvlText w:val="%1."/>
      <w:lvlJc w:val="left"/>
      <w:pPr>
        <w:ind w:left="720" w:hanging="360"/>
      </w:pPr>
      <w:rPr>
        <w:sz w:val="24"/>
      </w:rPr>
    </w:lvl>
    <w:lvl w:ilvl="1" w:tplc="741835F2">
      <w:start w:val="1"/>
      <w:numFmt w:val="bullet"/>
      <w:lvlText w:val=""/>
      <w:lvlJc w:val="left"/>
      <w:pPr>
        <w:ind w:left="1440" w:hanging="360"/>
      </w:pPr>
      <w:rPr>
        <w:rFonts w:ascii="Symbol" w:hAnsi="Symbol" w:hint="default"/>
      </w:rPr>
    </w:lvl>
    <w:lvl w:ilvl="2" w:tplc="FB6C00AC">
      <w:start w:val="1"/>
      <w:numFmt w:val="bullet"/>
      <w:lvlText w:val=""/>
      <w:lvlJc w:val="left"/>
      <w:pPr>
        <w:ind w:left="2160" w:hanging="360"/>
      </w:pPr>
      <w:rPr>
        <w:rFonts w:ascii="Wingdings" w:hAnsi="Wingdings" w:hint="default"/>
      </w:rPr>
    </w:lvl>
    <w:lvl w:ilvl="3" w:tplc="31EEE9DC" w:tentative="1">
      <w:start w:val="1"/>
      <w:numFmt w:val="bullet"/>
      <w:lvlText w:val=""/>
      <w:lvlJc w:val="left"/>
      <w:pPr>
        <w:ind w:left="2880" w:hanging="360"/>
      </w:pPr>
      <w:rPr>
        <w:rFonts w:ascii="Symbol" w:hAnsi="Symbol" w:hint="default"/>
      </w:rPr>
    </w:lvl>
    <w:lvl w:ilvl="4" w:tplc="3F38C0D0" w:tentative="1">
      <w:start w:val="1"/>
      <w:numFmt w:val="bullet"/>
      <w:lvlText w:val="o"/>
      <w:lvlJc w:val="left"/>
      <w:pPr>
        <w:ind w:left="3600" w:hanging="360"/>
      </w:pPr>
      <w:rPr>
        <w:rFonts w:ascii="Courier New" w:hAnsi="Courier New" w:cs="Courier New" w:hint="default"/>
      </w:rPr>
    </w:lvl>
    <w:lvl w:ilvl="5" w:tplc="73B690AA" w:tentative="1">
      <w:start w:val="1"/>
      <w:numFmt w:val="bullet"/>
      <w:lvlText w:val=""/>
      <w:lvlJc w:val="left"/>
      <w:pPr>
        <w:ind w:left="4320" w:hanging="360"/>
      </w:pPr>
      <w:rPr>
        <w:rFonts w:ascii="Wingdings" w:hAnsi="Wingdings" w:hint="default"/>
      </w:rPr>
    </w:lvl>
    <w:lvl w:ilvl="6" w:tplc="2D56C2C0" w:tentative="1">
      <w:start w:val="1"/>
      <w:numFmt w:val="bullet"/>
      <w:lvlText w:val=""/>
      <w:lvlJc w:val="left"/>
      <w:pPr>
        <w:ind w:left="5040" w:hanging="360"/>
      </w:pPr>
      <w:rPr>
        <w:rFonts w:ascii="Symbol" w:hAnsi="Symbol" w:hint="default"/>
      </w:rPr>
    </w:lvl>
    <w:lvl w:ilvl="7" w:tplc="F536D91C" w:tentative="1">
      <w:start w:val="1"/>
      <w:numFmt w:val="bullet"/>
      <w:lvlText w:val="o"/>
      <w:lvlJc w:val="left"/>
      <w:pPr>
        <w:ind w:left="5760" w:hanging="360"/>
      </w:pPr>
      <w:rPr>
        <w:rFonts w:ascii="Courier New" w:hAnsi="Courier New" w:cs="Courier New" w:hint="default"/>
      </w:rPr>
    </w:lvl>
    <w:lvl w:ilvl="8" w:tplc="86120574" w:tentative="1">
      <w:start w:val="1"/>
      <w:numFmt w:val="bullet"/>
      <w:lvlText w:val=""/>
      <w:lvlJc w:val="left"/>
      <w:pPr>
        <w:ind w:left="6480" w:hanging="360"/>
      </w:pPr>
      <w:rPr>
        <w:rFonts w:ascii="Wingdings" w:hAnsi="Wingdings" w:hint="default"/>
      </w:rPr>
    </w:lvl>
  </w:abstractNum>
  <w:abstractNum w:abstractNumId="4" w15:restartNumberingAfterBreak="0">
    <w:nsid w:val="139C6B3F"/>
    <w:multiLevelType w:val="hybridMultilevel"/>
    <w:tmpl w:val="E1FE6914"/>
    <w:lvl w:ilvl="0" w:tplc="D516519A">
      <w:start w:val="1"/>
      <w:numFmt w:val="bullet"/>
      <w:lvlText w:val=""/>
      <w:lvlJc w:val="left"/>
      <w:pPr>
        <w:ind w:left="720" w:hanging="360"/>
      </w:pPr>
      <w:rPr>
        <w:rFonts w:ascii="Symbol" w:hAnsi="Symbol" w:hint="default"/>
      </w:rPr>
    </w:lvl>
    <w:lvl w:ilvl="1" w:tplc="0012F37C" w:tentative="1">
      <w:start w:val="1"/>
      <w:numFmt w:val="bullet"/>
      <w:lvlText w:val="o"/>
      <w:lvlJc w:val="left"/>
      <w:pPr>
        <w:ind w:left="1440" w:hanging="360"/>
      </w:pPr>
      <w:rPr>
        <w:rFonts w:ascii="Courier New" w:hAnsi="Courier New" w:cs="Courier New" w:hint="default"/>
      </w:rPr>
    </w:lvl>
    <w:lvl w:ilvl="2" w:tplc="5E242880" w:tentative="1">
      <w:start w:val="1"/>
      <w:numFmt w:val="bullet"/>
      <w:lvlText w:val=""/>
      <w:lvlJc w:val="left"/>
      <w:pPr>
        <w:ind w:left="2160" w:hanging="360"/>
      </w:pPr>
      <w:rPr>
        <w:rFonts w:ascii="Wingdings" w:hAnsi="Wingdings" w:hint="default"/>
      </w:rPr>
    </w:lvl>
    <w:lvl w:ilvl="3" w:tplc="2CB6BBEC" w:tentative="1">
      <w:start w:val="1"/>
      <w:numFmt w:val="bullet"/>
      <w:lvlText w:val=""/>
      <w:lvlJc w:val="left"/>
      <w:pPr>
        <w:ind w:left="2880" w:hanging="360"/>
      </w:pPr>
      <w:rPr>
        <w:rFonts w:ascii="Symbol" w:hAnsi="Symbol" w:hint="default"/>
      </w:rPr>
    </w:lvl>
    <w:lvl w:ilvl="4" w:tplc="DEAC2E52" w:tentative="1">
      <w:start w:val="1"/>
      <w:numFmt w:val="bullet"/>
      <w:lvlText w:val="o"/>
      <w:lvlJc w:val="left"/>
      <w:pPr>
        <w:ind w:left="3600" w:hanging="360"/>
      </w:pPr>
      <w:rPr>
        <w:rFonts w:ascii="Courier New" w:hAnsi="Courier New" w:cs="Courier New" w:hint="default"/>
      </w:rPr>
    </w:lvl>
    <w:lvl w:ilvl="5" w:tplc="70EC7464" w:tentative="1">
      <w:start w:val="1"/>
      <w:numFmt w:val="bullet"/>
      <w:lvlText w:val=""/>
      <w:lvlJc w:val="left"/>
      <w:pPr>
        <w:ind w:left="4320" w:hanging="360"/>
      </w:pPr>
      <w:rPr>
        <w:rFonts w:ascii="Wingdings" w:hAnsi="Wingdings" w:hint="default"/>
      </w:rPr>
    </w:lvl>
    <w:lvl w:ilvl="6" w:tplc="9B78B08C" w:tentative="1">
      <w:start w:val="1"/>
      <w:numFmt w:val="bullet"/>
      <w:lvlText w:val=""/>
      <w:lvlJc w:val="left"/>
      <w:pPr>
        <w:ind w:left="5040" w:hanging="360"/>
      </w:pPr>
      <w:rPr>
        <w:rFonts w:ascii="Symbol" w:hAnsi="Symbol" w:hint="default"/>
      </w:rPr>
    </w:lvl>
    <w:lvl w:ilvl="7" w:tplc="A0BE39EA" w:tentative="1">
      <w:start w:val="1"/>
      <w:numFmt w:val="bullet"/>
      <w:lvlText w:val="o"/>
      <w:lvlJc w:val="left"/>
      <w:pPr>
        <w:ind w:left="5760" w:hanging="360"/>
      </w:pPr>
      <w:rPr>
        <w:rFonts w:ascii="Courier New" w:hAnsi="Courier New" w:cs="Courier New" w:hint="default"/>
      </w:rPr>
    </w:lvl>
    <w:lvl w:ilvl="8" w:tplc="1584C832" w:tentative="1">
      <w:start w:val="1"/>
      <w:numFmt w:val="bullet"/>
      <w:lvlText w:val=""/>
      <w:lvlJc w:val="left"/>
      <w:pPr>
        <w:ind w:left="6480" w:hanging="360"/>
      </w:pPr>
      <w:rPr>
        <w:rFonts w:ascii="Wingdings" w:hAnsi="Wingdings" w:hint="default"/>
      </w:rPr>
    </w:lvl>
  </w:abstractNum>
  <w:abstractNum w:abstractNumId="5" w15:restartNumberingAfterBreak="0">
    <w:nsid w:val="143C70F4"/>
    <w:multiLevelType w:val="hybridMultilevel"/>
    <w:tmpl w:val="AC6072BE"/>
    <w:lvl w:ilvl="0" w:tplc="3E48A5E2">
      <w:start w:val="1"/>
      <w:numFmt w:val="decimal"/>
      <w:lvlText w:val="%1)"/>
      <w:lvlJc w:val="left"/>
      <w:pPr>
        <w:ind w:left="720" w:hanging="360"/>
      </w:pPr>
      <w:rPr>
        <w:rFonts w:ascii="Calibri" w:eastAsia="SimHei" w:hAnsi="Calibri" w:cs="Simplified Arabic" w:hint="default"/>
        <w:sz w:val="24"/>
      </w:rPr>
    </w:lvl>
    <w:lvl w:ilvl="1" w:tplc="78082D2C" w:tentative="1">
      <w:start w:val="1"/>
      <w:numFmt w:val="lowerLetter"/>
      <w:lvlText w:val="%2."/>
      <w:lvlJc w:val="left"/>
      <w:pPr>
        <w:ind w:left="1440" w:hanging="360"/>
      </w:pPr>
    </w:lvl>
    <w:lvl w:ilvl="2" w:tplc="48DA5064" w:tentative="1">
      <w:start w:val="1"/>
      <w:numFmt w:val="lowerRoman"/>
      <w:lvlText w:val="%3."/>
      <w:lvlJc w:val="right"/>
      <w:pPr>
        <w:ind w:left="2160" w:hanging="180"/>
      </w:pPr>
    </w:lvl>
    <w:lvl w:ilvl="3" w:tplc="69B00B62" w:tentative="1">
      <w:start w:val="1"/>
      <w:numFmt w:val="decimal"/>
      <w:lvlText w:val="%4."/>
      <w:lvlJc w:val="left"/>
      <w:pPr>
        <w:ind w:left="2880" w:hanging="360"/>
      </w:pPr>
    </w:lvl>
    <w:lvl w:ilvl="4" w:tplc="18CA7ADA" w:tentative="1">
      <w:start w:val="1"/>
      <w:numFmt w:val="lowerLetter"/>
      <w:lvlText w:val="%5."/>
      <w:lvlJc w:val="left"/>
      <w:pPr>
        <w:ind w:left="3600" w:hanging="360"/>
      </w:pPr>
    </w:lvl>
    <w:lvl w:ilvl="5" w:tplc="5D3A02D2" w:tentative="1">
      <w:start w:val="1"/>
      <w:numFmt w:val="lowerRoman"/>
      <w:lvlText w:val="%6."/>
      <w:lvlJc w:val="right"/>
      <w:pPr>
        <w:ind w:left="4320" w:hanging="180"/>
      </w:pPr>
    </w:lvl>
    <w:lvl w:ilvl="6" w:tplc="A894B7C4" w:tentative="1">
      <w:start w:val="1"/>
      <w:numFmt w:val="decimal"/>
      <w:lvlText w:val="%7."/>
      <w:lvlJc w:val="left"/>
      <w:pPr>
        <w:ind w:left="5040" w:hanging="360"/>
      </w:pPr>
    </w:lvl>
    <w:lvl w:ilvl="7" w:tplc="7A022A00" w:tentative="1">
      <w:start w:val="1"/>
      <w:numFmt w:val="lowerLetter"/>
      <w:lvlText w:val="%8."/>
      <w:lvlJc w:val="left"/>
      <w:pPr>
        <w:ind w:left="5760" w:hanging="360"/>
      </w:pPr>
    </w:lvl>
    <w:lvl w:ilvl="8" w:tplc="B9B4CAFC" w:tentative="1">
      <w:start w:val="1"/>
      <w:numFmt w:val="lowerRoman"/>
      <w:lvlText w:val="%9."/>
      <w:lvlJc w:val="right"/>
      <w:pPr>
        <w:ind w:left="6480" w:hanging="180"/>
      </w:pPr>
    </w:lvl>
  </w:abstractNum>
  <w:abstractNum w:abstractNumId="6" w15:restartNumberingAfterBreak="0">
    <w:nsid w:val="145001D1"/>
    <w:multiLevelType w:val="hybridMultilevel"/>
    <w:tmpl w:val="A6D6CFDA"/>
    <w:lvl w:ilvl="0" w:tplc="71A6755C">
      <w:start w:val="1"/>
      <w:numFmt w:val="bullet"/>
      <w:lvlText w:val=""/>
      <w:lvlJc w:val="left"/>
      <w:pPr>
        <w:ind w:left="720" w:hanging="360"/>
      </w:pPr>
      <w:rPr>
        <w:rFonts w:ascii="Symbol" w:hAnsi="Symbol" w:hint="default"/>
      </w:rPr>
    </w:lvl>
    <w:lvl w:ilvl="1" w:tplc="E508FCA8" w:tentative="1">
      <w:start w:val="1"/>
      <w:numFmt w:val="bullet"/>
      <w:lvlText w:val="o"/>
      <w:lvlJc w:val="left"/>
      <w:pPr>
        <w:ind w:left="1440" w:hanging="360"/>
      </w:pPr>
      <w:rPr>
        <w:rFonts w:ascii="Courier New" w:hAnsi="Courier New" w:cs="Courier New" w:hint="default"/>
      </w:rPr>
    </w:lvl>
    <w:lvl w:ilvl="2" w:tplc="4C42EF9E" w:tentative="1">
      <w:start w:val="1"/>
      <w:numFmt w:val="bullet"/>
      <w:lvlText w:val=""/>
      <w:lvlJc w:val="left"/>
      <w:pPr>
        <w:ind w:left="2160" w:hanging="360"/>
      </w:pPr>
      <w:rPr>
        <w:rFonts w:ascii="Wingdings" w:hAnsi="Wingdings" w:hint="default"/>
      </w:rPr>
    </w:lvl>
    <w:lvl w:ilvl="3" w:tplc="FFBA0628" w:tentative="1">
      <w:start w:val="1"/>
      <w:numFmt w:val="bullet"/>
      <w:lvlText w:val=""/>
      <w:lvlJc w:val="left"/>
      <w:pPr>
        <w:ind w:left="2880" w:hanging="360"/>
      </w:pPr>
      <w:rPr>
        <w:rFonts w:ascii="Symbol" w:hAnsi="Symbol" w:hint="default"/>
      </w:rPr>
    </w:lvl>
    <w:lvl w:ilvl="4" w:tplc="9B7ED33A" w:tentative="1">
      <w:start w:val="1"/>
      <w:numFmt w:val="bullet"/>
      <w:lvlText w:val="o"/>
      <w:lvlJc w:val="left"/>
      <w:pPr>
        <w:ind w:left="3600" w:hanging="360"/>
      </w:pPr>
      <w:rPr>
        <w:rFonts w:ascii="Courier New" w:hAnsi="Courier New" w:cs="Courier New" w:hint="default"/>
      </w:rPr>
    </w:lvl>
    <w:lvl w:ilvl="5" w:tplc="F826556A" w:tentative="1">
      <w:start w:val="1"/>
      <w:numFmt w:val="bullet"/>
      <w:lvlText w:val=""/>
      <w:lvlJc w:val="left"/>
      <w:pPr>
        <w:ind w:left="4320" w:hanging="360"/>
      </w:pPr>
      <w:rPr>
        <w:rFonts w:ascii="Wingdings" w:hAnsi="Wingdings" w:hint="default"/>
      </w:rPr>
    </w:lvl>
    <w:lvl w:ilvl="6" w:tplc="418E3F32" w:tentative="1">
      <w:start w:val="1"/>
      <w:numFmt w:val="bullet"/>
      <w:lvlText w:val=""/>
      <w:lvlJc w:val="left"/>
      <w:pPr>
        <w:ind w:left="5040" w:hanging="360"/>
      </w:pPr>
      <w:rPr>
        <w:rFonts w:ascii="Symbol" w:hAnsi="Symbol" w:hint="default"/>
      </w:rPr>
    </w:lvl>
    <w:lvl w:ilvl="7" w:tplc="EBB2C8F6" w:tentative="1">
      <w:start w:val="1"/>
      <w:numFmt w:val="bullet"/>
      <w:lvlText w:val="o"/>
      <w:lvlJc w:val="left"/>
      <w:pPr>
        <w:ind w:left="5760" w:hanging="360"/>
      </w:pPr>
      <w:rPr>
        <w:rFonts w:ascii="Courier New" w:hAnsi="Courier New" w:cs="Courier New" w:hint="default"/>
      </w:rPr>
    </w:lvl>
    <w:lvl w:ilvl="8" w:tplc="2DC8D9A2" w:tentative="1">
      <w:start w:val="1"/>
      <w:numFmt w:val="bullet"/>
      <w:lvlText w:val=""/>
      <w:lvlJc w:val="left"/>
      <w:pPr>
        <w:ind w:left="6480" w:hanging="360"/>
      </w:pPr>
      <w:rPr>
        <w:rFonts w:ascii="Wingdings" w:hAnsi="Wingdings" w:hint="default"/>
      </w:rPr>
    </w:lvl>
  </w:abstractNum>
  <w:abstractNum w:abstractNumId="7" w15:restartNumberingAfterBreak="0">
    <w:nsid w:val="17357E89"/>
    <w:multiLevelType w:val="hybridMultilevel"/>
    <w:tmpl w:val="3AECDF64"/>
    <w:lvl w:ilvl="0" w:tplc="059C9FA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87892"/>
    <w:multiLevelType w:val="multilevel"/>
    <w:tmpl w:val="7E6C7FD2"/>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EB47BA"/>
    <w:multiLevelType w:val="hybridMultilevel"/>
    <w:tmpl w:val="1C4AA194"/>
    <w:lvl w:ilvl="0" w:tplc="404C3620">
      <w:start w:val="1"/>
      <w:numFmt w:val="bullet"/>
      <w:lvlText w:val=""/>
      <w:lvlJc w:val="left"/>
      <w:pPr>
        <w:ind w:left="720" w:hanging="360"/>
      </w:pPr>
      <w:rPr>
        <w:rFonts w:ascii="Symbol" w:hAnsi="Symbol" w:hint="default"/>
      </w:rPr>
    </w:lvl>
    <w:lvl w:ilvl="1" w:tplc="E9725C5E" w:tentative="1">
      <w:start w:val="1"/>
      <w:numFmt w:val="bullet"/>
      <w:lvlText w:val="o"/>
      <w:lvlJc w:val="left"/>
      <w:pPr>
        <w:ind w:left="1440" w:hanging="360"/>
      </w:pPr>
      <w:rPr>
        <w:rFonts w:ascii="Courier New" w:hAnsi="Courier New" w:cs="Courier New" w:hint="default"/>
      </w:rPr>
    </w:lvl>
    <w:lvl w:ilvl="2" w:tplc="E3F6EB78" w:tentative="1">
      <w:start w:val="1"/>
      <w:numFmt w:val="bullet"/>
      <w:lvlText w:val=""/>
      <w:lvlJc w:val="left"/>
      <w:pPr>
        <w:ind w:left="2160" w:hanging="360"/>
      </w:pPr>
      <w:rPr>
        <w:rFonts w:ascii="Wingdings" w:hAnsi="Wingdings" w:hint="default"/>
      </w:rPr>
    </w:lvl>
    <w:lvl w:ilvl="3" w:tplc="DC680A8A" w:tentative="1">
      <w:start w:val="1"/>
      <w:numFmt w:val="bullet"/>
      <w:lvlText w:val=""/>
      <w:lvlJc w:val="left"/>
      <w:pPr>
        <w:ind w:left="2880" w:hanging="360"/>
      </w:pPr>
      <w:rPr>
        <w:rFonts w:ascii="Symbol" w:hAnsi="Symbol" w:hint="default"/>
      </w:rPr>
    </w:lvl>
    <w:lvl w:ilvl="4" w:tplc="9072DCF2" w:tentative="1">
      <w:start w:val="1"/>
      <w:numFmt w:val="bullet"/>
      <w:lvlText w:val="o"/>
      <w:lvlJc w:val="left"/>
      <w:pPr>
        <w:ind w:left="3600" w:hanging="360"/>
      </w:pPr>
      <w:rPr>
        <w:rFonts w:ascii="Courier New" w:hAnsi="Courier New" w:cs="Courier New" w:hint="default"/>
      </w:rPr>
    </w:lvl>
    <w:lvl w:ilvl="5" w:tplc="C71027A8" w:tentative="1">
      <w:start w:val="1"/>
      <w:numFmt w:val="bullet"/>
      <w:lvlText w:val=""/>
      <w:lvlJc w:val="left"/>
      <w:pPr>
        <w:ind w:left="4320" w:hanging="360"/>
      </w:pPr>
      <w:rPr>
        <w:rFonts w:ascii="Wingdings" w:hAnsi="Wingdings" w:hint="default"/>
      </w:rPr>
    </w:lvl>
    <w:lvl w:ilvl="6" w:tplc="BB9CFA1C" w:tentative="1">
      <w:start w:val="1"/>
      <w:numFmt w:val="bullet"/>
      <w:lvlText w:val=""/>
      <w:lvlJc w:val="left"/>
      <w:pPr>
        <w:ind w:left="5040" w:hanging="360"/>
      </w:pPr>
      <w:rPr>
        <w:rFonts w:ascii="Symbol" w:hAnsi="Symbol" w:hint="default"/>
      </w:rPr>
    </w:lvl>
    <w:lvl w:ilvl="7" w:tplc="C8588A64" w:tentative="1">
      <w:start w:val="1"/>
      <w:numFmt w:val="bullet"/>
      <w:lvlText w:val="o"/>
      <w:lvlJc w:val="left"/>
      <w:pPr>
        <w:ind w:left="5760" w:hanging="360"/>
      </w:pPr>
      <w:rPr>
        <w:rFonts w:ascii="Courier New" w:hAnsi="Courier New" w:cs="Courier New" w:hint="default"/>
      </w:rPr>
    </w:lvl>
    <w:lvl w:ilvl="8" w:tplc="B1C8DB98" w:tentative="1">
      <w:start w:val="1"/>
      <w:numFmt w:val="bullet"/>
      <w:lvlText w:val=""/>
      <w:lvlJc w:val="left"/>
      <w:pPr>
        <w:ind w:left="6480" w:hanging="360"/>
      </w:pPr>
      <w:rPr>
        <w:rFonts w:ascii="Wingdings" w:hAnsi="Wingdings" w:hint="default"/>
      </w:rPr>
    </w:lvl>
  </w:abstractNum>
  <w:abstractNum w:abstractNumId="10" w15:restartNumberingAfterBreak="0">
    <w:nsid w:val="1D41054B"/>
    <w:multiLevelType w:val="hybridMultilevel"/>
    <w:tmpl w:val="7A161AC2"/>
    <w:lvl w:ilvl="0" w:tplc="F612DCA2">
      <w:start w:val="1"/>
      <w:numFmt w:val="bullet"/>
      <w:lvlText w:val=""/>
      <w:lvlJc w:val="left"/>
      <w:pPr>
        <w:ind w:left="360" w:hanging="360"/>
      </w:pPr>
      <w:rPr>
        <w:rFonts w:ascii="Symbol" w:hAnsi="Symbol" w:hint="default"/>
      </w:rPr>
    </w:lvl>
    <w:lvl w:ilvl="1" w:tplc="F704135C" w:tentative="1">
      <w:start w:val="1"/>
      <w:numFmt w:val="bullet"/>
      <w:lvlText w:val="o"/>
      <w:lvlJc w:val="left"/>
      <w:pPr>
        <w:ind w:left="1080" w:hanging="360"/>
      </w:pPr>
      <w:rPr>
        <w:rFonts w:ascii="Courier New" w:hAnsi="Courier New" w:cs="Courier New" w:hint="default"/>
      </w:rPr>
    </w:lvl>
    <w:lvl w:ilvl="2" w:tplc="FC8420C0" w:tentative="1">
      <w:start w:val="1"/>
      <w:numFmt w:val="bullet"/>
      <w:lvlText w:val=""/>
      <w:lvlJc w:val="left"/>
      <w:pPr>
        <w:ind w:left="1800" w:hanging="360"/>
      </w:pPr>
      <w:rPr>
        <w:rFonts w:ascii="Wingdings" w:hAnsi="Wingdings" w:hint="default"/>
      </w:rPr>
    </w:lvl>
    <w:lvl w:ilvl="3" w:tplc="D8EA29C8" w:tentative="1">
      <w:start w:val="1"/>
      <w:numFmt w:val="bullet"/>
      <w:lvlText w:val=""/>
      <w:lvlJc w:val="left"/>
      <w:pPr>
        <w:ind w:left="2520" w:hanging="360"/>
      </w:pPr>
      <w:rPr>
        <w:rFonts w:ascii="Symbol" w:hAnsi="Symbol" w:hint="default"/>
      </w:rPr>
    </w:lvl>
    <w:lvl w:ilvl="4" w:tplc="53B8413A" w:tentative="1">
      <w:start w:val="1"/>
      <w:numFmt w:val="bullet"/>
      <w:lvlText w:val="o"/>
      <w:lvlJc w:val="left"/>
      <w:pPr>
        <w:ind w:left="3240" w:hanging="360"/>
      </w:pPr>
      <w:rPr>
        <w:rFonts w:ascii="Courier New" w:hAnsi="Courier New" w:cs="Courier New" w:hint="default"/>
      </w:rPr>
    </w:lvl>
    <w:lvl w:ilvl="5" w:tplc="AF2E220A" w:tentative="1">
      <w:start w:val="1"/>
      <w:numFmt w:val="bullet"/>
      <w:lvlText w:val=""/>
      <w:lvlJc w:val="left"/>
      <w:pPr>
        <w:ind w:left="3960" w:hanging="360"/>
      </w:pPr>
      <w:rPr>
        <w:rFonts w:ascii="Wingdings" w:hAnsi="Wingdings" w:hint="default"/>
      </w:rPr>
    </w:lvl>
    <w:lvl w:ilvl="6" w:tplc="41247142" w:tentative="1">
      <w:start w:val="1"/>
      <w:numFmt w:val="bullet"/>
      <w:lvlText w:val=""/>
      <w:lvlJc w:val="left"/>
      <w:pPr>
        <w:ind w:left="4680" w:hanging="360"/>
      </w:pPr>
      <w:rPr>
        <w:rFonts w:ascii="Symbol" w:hAnsi="Symbol" w:hint="default"/>
      </w:rPr>
    </w:lvl>
    <w:lvl w:ilvl="7" w:tplc="7E1A3A6A" w:tentative="1">
      <w:start w:val="1"/>
      <w:numFmt w:val="bullet"/>
      <w:lvlText w:val="o"/>
      <w:lvlJc w:val="left"/>
      <w:pPr>
        <w:ind w:left="5400" w:hanging="360"/>
      </w:pPr>
      <w:rPr>
        <w:rFonts w:ascii="Courier New" w:hAnsi="Courier New" w:cs="Courier New" w:hint="default"/>
      </w:rPr>
    </w:lvl>
    <w:lvl w:ilvl="8" w:tplc="511C1C3C" w:tentative="1">
      <w:start w:val="1"/>
      <w:numFmt w:val="bullet"/>
      <w:lvlText w:val=""/>
      <w:lvlJc w:val="left"/>
      <w:pPr>
        <w:ind w:left="6120" w:hanging="360"/>
      </w:pPr>
      <w:rPr>
        <w:rFonts w:ascii="Wingdings" w:hAnsi="Wingdings" w:hint="default"/>
      </w:rPr>
    </w:lvl>
  </w:abstractNum>
  <w:abstractNum w:abstractNumId="11" w15:restartNumberingAfterBreak="0">
    <w:nsid w:val="23E128B1"/>
    <w:multiLevelType w:val="hybridMultilevel"/>
    <w:tmpl w:val="CF84A2F6"/>
    <w:lvl w:ilvl="0" w:tplc="36D4EE6E">
      <w:start w:val="1"/>
      <w:numFmt w:val="bullet"/>
      <w:lvlText w:val=""/>
      <w:lvlJc w:val="left"/>
      <w:pPr>
        <w:ind w:left="360" w:hanging="360"/>
      </w:pPr>
      <w:rPr>
        <w:rFonts w:ascii="Symbol" w:hAnsi="Symbol" w:hint="default"/>
      </w:rPr>
    </w:lvl>
    <w:lvl w:ilvl="1" w:tplc="9B1A9CE0" w:tentative="1">
      <w:start w:val="1"/>
      <w:numFmt w:val="bullet"/>
      <w:lvlText w:val="o"/>
      <w:lvlJc w:val="left"/>
      <w:pPr>
        <w:ind w:left="1080" w:hanging="360"/>
      </w:pPr>
      <w:rPr>
        <w:rFonts w:ascii="Courier New" w:hAnsi="Courier New" w:cs="Courier New" w:hint="default"/>
      </w:rPr>
    </w:lvl>
    <w:lvl w:ilvl="2" w:tplc="D92293C6" w:tentative="1">
      <w:start w:val="1"/>
      <w:numFmt w:val="bullet"/>
      <w:lvlText w:val=""/>
      <w:lvlJc w:val="left"/>
      <w:pPr>
        <w:ind w:left="1800" w:hanging="360"/>
      </w:pPr>
      <w:rPr>
        <w:rFonts w:ascii="Wingdings" w:hAnsi="Wingdings" w:hint="default"/>
      </w:rPr>
    </w:lvl>
    <w:lvl w:ilvl="3" w:tplc="9A5AE9C4" w:tentative="1">
      <w:start w:val="1"/>
      <w:numFmt w:val="bullet"/>
      <w:lvlText w:val=""/>
      <w:lvlJc w:val="left"/>
      <w:pPr>
        <w:ind w:left="2520" w:hanging="360"/>
      </w:pPr>
      <w:rPr>
        <w:rFonts w:ascii="Symbol" w:hAnsi="Symbol" w:hint="default"/>
      </w:rPr>
    </w:lvl>
    <w:lvl w:ilvl="4" w:tplc="A7B4229E" w:tentative="1">
      <w:start w:val="1"/>
      <w:numFmt w:val="bullet"/>
      <w:lvlText w:val="o"/>
      <w:lvlJc w:val="left"/>
      <w:pPr>
        <w:ind w:left="3240" w:hanging="360"/>
      </w:pPr>
      <w:rPr>
        <w:rFonts w:ascii="Courier New" w:hAnsi="Courier New" w:cs="Courier New" w:hint="default"/>
      </w:rPr>
    </w:lvl>
    <w:lvl w:ilvl="5" w:tplc="80DE5778" w:tentative="1">
      <w:start w:val="1"/>
      <w:numFmt w:val="bullet"/>
      <w:lvlText w:val=""/>
      <w:lvlJc w:val="left"/>
      <w:pPr>
        <w:ind w:left="3960" w:hanging="360"/>
      </w:pPr>
      <w:rPr>
        <w:rFonts w:ascii="Wingdings" w:hAnsi="Wingdings" w:hint="default"/>
      </w:rPr>
    </w:lvl>
    <w:lvl w:ilvl="6" w:tplc="EAF41ACE" w:tentative="1">
      <w:start w:val="1"/>
      <w:numFmt w:val="bullet"/>
      <w:lvlText w:val=""/>
      <w:lvlJc w:val="left"/>
      <w:pPr>
        <w:ind w:left="4680" w:hanging="360"/>
      </w:pPr>
      <w:rPr>
        <w:rFonts w:ascii="Symbol" w:hAnsi="Symbol" w:hint="default"/>
      </w:rPr>
    </w:lvl>
    <w:lvl w:ilvl="7" w:tplc="C90EB5B0" w:tentative="1">
      <w:start w:val="1"/>
      <w:numFmt w:val="bullet"/>
      <w:lvlText w:val="o"/>
      <w:lvlJc w:val="left"/>
      <w:pPr>
        <w:ind w:left="5400" w:hanging="360"/>
      </w:pPr>
      <w:rPr>
        <w:rFonts w:ascii="Courier New" w:hAnsi="Courier New" w:cs="Courier New" w:hint="default"/>
      </w:rPr>
    </w:lvl>
    <w:lvl w:ilvl="8" w:tplc="96082BFE" w:tentative="1">
      <w:start w:val="1"/>
      <w:numFmt w:val="bullet"/>
      <w:lvlText w:val=""/>
      <w:lvlJc w:val="left"/>
      <w:pPr>
        <w:ind w:left="6120" w:hanging="360"/>
      </w:pPr>
      <w:rPr>
        <w:rFonts w:ascii="Wingdings" w:hAnsi="Wingdings" w:hint="default"/>
      </w:rPr>
    </w:lvl>
  </w:abstractNum>
  <w:abstractNum w:abstractNumId="12"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FD3E0F"/>
    <w:multiLevelType w:val="hybridMultilevel"/>
    <w:tmpl w:val="9CEEDBDE"/>
    <w:lvl w:ilvl="0" w:tplc="4950E19A">
      <w:start w:val="1"/>
      <w:numFmt w:val="bullet"/>
      <w:lvlText w:val=""/>
      <w:lvlJc w:val="left"/>
      <w:pPr>
        <w:ind w:left="720" w:hanging="360"/>
      </w:pPr>
      <w:rPr>
        <w:rFonts w:ascii="Symbol" w:hAnsi="Symbol" w:hint="default"/>
      </w:rPr>
    </w:lvl>
    <w:lvl w:ilvl="1" w:tplc="7A5ED50E" w:tentative="1">
      <w:start w:val="1"/>
      <w:numFmt w:val="bullet"/>
      <w:lvlText w:val="o"/>
      <w:lvlJc w:val="left"/>
      <w:pPr>
        <w:ind w:left="1440" w:hanging="360"/>
      </w:pPr>
      <w:rPr>
        <w:rFonts w:ascii="Courier New" w:hAnsi="Courier New" w:cs="Courier New" w:hint="default"/>
      </w:rPr>
    </w:lvl>
    <w:lvl w:ilvl="2" w:tplc="207449E6" w:tentative="1">
      <w:start w:val="1"/>
      <w:numFmt w:val="bullet"/>
      <w:lvlText w:val=""/>
      <w:lvlJc w:val="left"/>
      <w:pPr>
        <w:ind w:left="2160" w:hanging="360"/>
      </w:pPr>
      <w:rPr>
        <w:rFonts w:ascii="Wingdings" w:hAnsi="Wingdings" w:hint="default"/>
      </w:rPr>
    </w:lvl>
    <w:lvl w:ilvl="3" w:tplc="957423F2" w:tentative="1">
      <w:start w:val="1"/>
      <w:numFmt w:val="bullet"/>
      <w:lvlText w:val=""/>
      <w:lvlJc w:val="left"/>
      <w:pPr>
        <w:ind w:left="2880" w:hanging="360"/>
      </w:pPr>
      <w:rPr>
        <w:rFonts w:ascii="Symbol" w:hAnsi="Symbol" w:hint="default"/>
      </w:rPr>
    </w:lvl>
    <w:lvl w:ilvl="4" w:tplc="62EEE1D0" w:tentative="1">
      <w:start w:val="1"/>
      <w:numFmt w:val="bullet"/>
      <w:lvlText w:val="o"/>
      <w:lvlJc w:val="left"/>
      <w:pPr>
        <w:ind w:left="3600" w:hanging="360"/>
      </w:pPr>
      <w:rPr>
        <w:rFonts w:ascii="Courier New" w:hAnsi="Courier New" w:cs="Courier New" w:hint="default"/>
      </w:rPr>
    </w:lvl>
    <w:lvl w:ilvl="5" w:tplc="6DC24790" w:tentative="1">
      <w:start w:val="1"/>
      <w:numFmt w:val="bullet"/>
      <w:lvlText w:val=""/>
      <w:lvlJc w:val="left"/>
      <w:pPr>
        <w:ind w:left="4320" w:hanging="360"/>
      </w:pPr>
      <w:rPr>
        <w:rFonts w:ascii="Wingdings" w:hAnsi="Wingdings" w:hint="default"/>
      </w:rPr>
    </w:lvl>
    <w:lvl w:ilvl="6" w:tplc="F2C6351E" w:tentative="1">
      <w:start w:val="1"/>
      <w:numFmt w:val="bullet"/>
      <w:lvlText w:val=""/>
      <w:lvlJc w:val="left"/>
      <w:pPr>
        <w:ind w:left="5040" w:hanging="360"/>
      </w:pPr>
      <w:rPr>
        <w:rFonts w:ascii="Symbol" w:hAnsi="Symbol" w:hint="default"/>
      </w:rPr>
    </w:lvl>
    <w:lvl w:ilvl="7" w:tplc="07A23640" w:tentative="1">
      <w:start w:val="1"/>
      <w:numFmt w:val="bullet"/>
      <w:lvlText w:val="o"/>
      <w:lvlJc w:val="left"/>
      <w:pPr>
        <w:ind w:left="5760" w:hanging="360"/>
      </w:pPr>
      <w:rPr>
        <w:rFonts w:ascii="Courier New" w:hAnsi="Courier New" w:cs="Courier New" w:hint="default"/>
      </w:rPr>
    </w:lvl>
    <w:lvl w:ilvl="8" w:tplc="7E864ECA" w:tentative="1">
      <w:start w:val="1"/>
      <w:numFmt w:val="bullet"/>
      <w:lvlText w:val=""/>
      <w:lvlJc w:val="left"/>
      <w:pPr>
        <w:ind w:left="6480" w:hanging="360"/>
      </w:pPr>
      <w:rPr>
        <w:rFonts w:ascii="Wingdings" w:hAnsi="Wingdings" w:hint="default"/>
      </w:rPr>
    </w:lvl>
  </w:abstractNum>
  <w:abstractNum w:abstractNumId="14" w15:restartNumberingAfterBreak="0">
    <w:nsid w:val="2D0E3561"/>
    <w:multiLevelType w:val="hybridMultilevel"/>
    <w:tmpl w:val="40F2136A"/>
    <w:lvl w:ilvl="0" w:tplc="2ED2941A">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4FA837B2">
      <w:start w:val="1"/>
      <w:numFmt w:val="lowerLetter"/>
      <w:lvlText w:val="%2."/>
      <w:lvlJc w:val="left"/>
      <w:pPr>
        <w:ind w:left="-54" w:hanging="360"/>
      </w:pPr>
    </w:lvl>
    <w:lvl w:ilvl="2" w:tplc="004A837A">
      <w:start w:val="1"/>
      <w:numFmt w:val="lowerRoman"/>
      <w:lvlText w:val="%3."/>
      <w:lvlJc w:val="right"/>
      <w:pPr>
        <w:ind w:left="666" w:hanging="180"/>
      </w:pPr>
    </w:lvl>
    <w:lvl w:ilvl="3" w:tplc="4296C008">
      <w:start w:val="1"/>
      <w:numFmt w:val="decimal"/>
      <w:lvlText w:val="%4."/>
      <w:lvlJc w:val="left"/>
      <w:pPr>
        <w:ind w:left="1386" w:hanging="360"/>
      </w:pPr>
    </w:lvl>
    <w:lvl w:ilvl="4" w:tplc="8F402E2E">
      <w:start w:val="1"/>
      <w:numFmt w:val="lowerLetter"/>
      <w:lvlText w:val="%5."/>
      <w:lvlJc w:val="left"/>
      <w:pPr>
        <w:ind w:left="2106" w:hanging="360"/>
      </w:pPr>
    </w:lvl>
    <w:lvl w:ilvl="5" w:tplc="171E5BE0" w:tentative="1">
      <w:start w:val="1"/>
      <w:numFmt w:val="lowerRoman"/>
      <w:lvlText w:val="%6."/>
      <w:lvlJc w:val="right"/>
      <w:pPr>
        <w:ind w:left="2826" w:hanging="180"/>
      </w:pPr>
    </w:lvl>
    <w:lvl w:ilvl="6" w:tplc="3A24C0B0" w:tentative="1">
      <w:start w:val="1"/>
      <w:numFmt w:val="decimal"/>
      <w:lvlText w:val="%7."/>
      <w:lvlJc w:val="left"/>
      <w:pPr>
        <w:ind w:left="3546" w:hanging="360"/>
      </w:pPr>
    </w:lvl>
    <w:lvl w:ilvl="7" w:tplc="A4CCD1A4" w:tentative="1">
      <w:start w:val="1"/>
      <w:numFmt w:val="lowerLetter"/>
      <w:lvlText w:val="%8."/>
      <w:lvlJc w:val="left"/>
      <w:pPr>
        <w:ind w:left="4266" w:hanging="360"/>
      </w:pPr>
    </w:lvl>
    <w:lvl w:ilvl="8" w:tplc="1D489266" w:tentative="1">
      <w:start w:val="1"/>
      <w:numFmt w:val="lowerRoman"/>
      <w:lvlText w:val="%9."/>
      <w:lvlJc w:val="right"/>
      <w:pPr>
        <w:ind w:left="4986" w:hanging="180"/>
      </w:pPr>
    </w:lvl>
  </w:abstractNum>
  <w:abstractNum w:abstractNumId="15" w15:restartNumberingAfterBreak="0">
    <w:nsid w:val="33EE7FE0"/>
    <w:multiLevelType w:val="hybridMultilevel"/>
    <w:tmpl w:val="2A2AE910"/>
    <w:lvl w:ilvl="0" w:tplc="650E338C">
      <w:start w:val="1"/>
      <w:numFmt w:val="bullet"/>
      <w:lvlText w:val=""/>
      <w:lvlJc w:val="left"/>
      <w:pPr>
        <w:ind w:left="360" w:hanging="360"/>
      </w:pPr>
      <w:rPr>
        <w:rFonts w:ascii="Symbol" w:hAnsi="Symbol" w:hint="default"/>
        <w:b w:val="0"/>
        <w:bCs w:val="0"/>
        <w:i w:val="0"/>
        <w:iCs w:val="0"/>
        <w:color w:val="auto"/>
        <w:sz w:val="24"/>
        <w:szCs w:val="24"/>
        <w:lang w:val="en-US"/>
      </w:rPr>
    </w:lvl>
    <w:lvl w:ilvl="1" w:tplc="DA2C7EAA">
      <w:start w:val="1"/>
      <w:numFmt w:val="lowerLetter"/>
      <w:lvlText w:val="%2."/>
      <w:lvlJc w:val="left"/>
      <w:pPr>
        <w:ind w:left="-2389" w:hanging="360"/>
      </w:pPr>
    </w:lvl>
    <w:lvl w:ilvl="2" w:tplc="AFEC7214">
      <w:start w:val="1"/>
      <w:numFmt w:val="lowerRoman"/>
      <w:lvlText w:val="%3."/>
      <w:lvlJc w:val="right"/>
      <w:pPr>
        <w:ind w:left="-1669" w:hanging="180"/>
      </w:pPr>
    </w:lvl>
    <w:lvl w:ilvl="3" w:tplc="F1AE28CE">
      <w:start w:val="1"/>
      <w:numFmt w:val="decimal"/>
      <w:lvlText w:val="%4."/>
      <w:lvlJc w:val="left"/>
      <w:pPr>
        <w:ind w:left="-949" w:hanging="360"/>
      </w:pPr>
    </w:lvl>
    <w:lvl w:ilvl="4" w:tplc="AA02C428">
      <w:start w:val="1"/>
      <w:numFmt w:val="lowerLetter"/>
      <w:lvlText w:val="%5."/>
      <w:lvlJc w:val="left"/>
      <w:pPr>
        <w:ind w:left="-229" w:hanging="360"/>
      </w:pPr>
    </w:lvl>
    <w:lvl w:ilvl="5" w:tplc="C17E7F12">
      <w:start w:val="1"/>
      <w:numFmt w:val="bullet"/>
      <w:lvlText w:val=""/>
      <w:lvlJc w:val="left"/>
      <w:pPr>
        <w:ind w:left="746" w:hanging="435"/>
      </w:pPr>
      <w:rPr>
        <w:rFonts w:ascii="Symbol" w:hAnsi="Symbol" w:hint="default"/>
        <w:color w:val="auto"/>
      </w:rPr>
    </w:lvl>
    <w:lvl w:ilvl="6" w:tplc="69765E56">
      <w:start w:val="1"/>
      <w:numFmt w:val="bullet"/>
      <w:lvlText w:val=""/>
      <w:lvlJc w:val="left"/>
      <w:pPr>
        <w:ind w:left="1211" w:hanging="360"/>
      </w:pPr>
      <w:rPr>
        <w:rFonts w:ascii="Symbol" w:hAnsi="Symbol" w:hint="default"/>
      </w:rPr>
    </w:lvl>
    <w:lvl w:ilvl="7" w:tplc="77E40A94">
      <w:start w:val="1"/>
      <w:numFmt w:val="lowerLetter"/>
      <w:lvlText w:val="%8."/>
      <w:lvlJc w:val="left"/>
      <w:pPr>
        <w:ind w:left="1931" w:hanging="360"/>
      </w:pPr>
    </w:lvl>
    <w:lvl w:ilvl="8" w:tplc="35661824">
      <w:start w:val="1"/>
      <w:numFmt w:val="lowerRoman"/>
      <w:lvlText w:val="%9."/>
      <w:lvlJc w:val="right"/>
      <w:pPr>
        <w:ind w:left="2651" w:hanging="180"/>
      </w:pPr>
    </w:lvl>
  </w:abstractNum>
  <w:abstractNum w:abstractNumId="16" w15:restartNumberingAfterBreak="0">
    <w:nsid w:val="3480618D"/>
    <w:multiLevelType w:val="hybridMultilevel"/>
    <w:tmpl w:val="44B06BD2"/>
    <w:lvl w:ilvl="0" w:tplc="90884202">
      <w:start w:val="1"/>
      <w:numFmt w:val="lowerLetter"/>
      <w:lvlText w:val="%1)"/>
      <w:lvlJc w:val="left"/>
      <w:pPr>
        <w:ind w:left="720" w:hanging="360"/>
      </w:pPr>
    </w:lvl>
    <w:lvl w:ilvl="1" w:tplc="C396EBCA" w:tentative="1">
      <w:start w:val="1"/>
      <w:numFmt w:val="lowerLetter"/>
      <w:lvlText w:val="%2."/>
      <w:lvlJc w:val="left"/>
      <w:pPr>
        <w:ind w:left="1440" w:hanging="360"/>
      </w:pPr>
    </w:lvl>
    <w:lvl w:ilvl="2" w:tplc="6BCE16C2" w:tentative="1">
      <w:start w:val="1"/>
      <w:numFmt w:val="lowerRoman"/>
      <w:lvlText w:val="%3."/>
      <w:lvlJc w:val="right"/>
      <w:pPr>
        <w:ind w:left="2160" w:hanging="180"/>
      </w:pPr>
    </w:lvl>
    <w:lvl w:ilvl="3" w:tplc="572A676E" w:tentative="1">
      <w:start w:val="1"/>
      <w:numFmt w:val="decimal"/>
      <w:lvlText w:val="%4."/>
      <w:lvlJc w:val="left"/>
      <w:pPr>
        <w:ind w:left="2880" w:hanging="360"/>
      </w:pPr>
    </w:lvl>
    <w:lvl w:ilvl="4" w:tplc="577209D8" w:tentative="1">
      <w:start w:val="1"/>
      <w:numFmt w:val="lowerLetter"/>
      <w:lvlText w:val="%5."/>
      <w:lvlJc w:val="left"/>
      <w:pPr>
        <w:ind w:left="3600" w:hanging="360"/>
      </w:pPr>
    </w:lvl>
    <w:lvl w:ilvl="5" w:tplc="F2E49EBA" w:tentative="1">
      <w:start w:val="1"/>
      <w:numFmt w:val="lowerRoman"/>
      <w:lvlText w:val="%6."/>
      <w:lvlJc w:val="right"/>
      <w:pPr>
        <w:ind w:left="4320" w:hanging="180"/>
      </w:pPr>
    </w:lvl>
    <w:lvl w:ilvl="6" w:tplc="E738CBDE" w:tentative="1">
      <w:start w:val="1"/>
      <w:numFmt w:val="decimal"/>
      <w:lvlText w:val="%7."/>
      <w:lvlJc w:val="left"/>
      <w:pPr>
        <w:ind w:left="5040" w:hanging="360"/>
      </w:pPr>
    </w:lvl>
    <w:lvl w:ilvl="7" w:tplc="97E24EFA" w:tentative="1">
      <w:start w:val="1"/>
      <w:numFmt w:val="lowerLetter"/>
      <w:lvlText w:val="%8."/>
      <w:lvlJc w:val="left"/>
      <w:pPr>
        <w:ind w:left="5760" w:hanging="360"/>
      </w:pPr>
    </w:lvl>
    <w:lvl w:ilvl="8" w:tplc="4B183EBE" w:tentative="1">
      <w:start w:val="1"/>
      <w:numFmt w:val="lowerRoman"/>
      <w:lvlText w:val="%9."/>
      <w:lvlJc w:val="right"/>
      <w:pPr>
        <w:ind w:left="6480" w:hanging="180"/>
      </w:pPr>
    </w:lvl>
  </w:abstractNum>
  <w:abstractNum w:abstractNumId="17" w15:restartNumberingAfterBreak="0">
    <w:nsid w:val="3B211B73"/>
    <w:multiLevelType w:val="hybridMultilevel"/>
    <w:tmpl w:val="BA5278BA"/>
    <w:lvl w:ilvl="0" w:tplc="5D7247FA">
      <w:numFmt w:val="bullet"/>
      <w:lvlText w:val="-"/>
      <w:lvlJc w:val="left"/>
      <w:pPr>
        <w:ind w:left="1080" w:hanging="360"/>
      </w:pPr>
      <w:rPr>
        <w:rFonts w:ascii="Calibri" w:eastAsiaTheme="minorEastAsia" w:hAnsi="Calibri" w:cs="Calibri" w:hint="default"/>
      </w:rPr>
    </w:lvl>
    <w:lvl w:ilvl="1" w:tplc="D27C7A5E" w:tentative="1">
      <w:start w:val="1"/>
      <w:numFmt w:val="bullet"/>
      <w:lvlText w:val="o"/>
      <w:lvlJc w:val="left"/>
      <w:pPr>
        <w:ind w:left="1800" w:hanging="360"/>
      </w:pPr>
      <w:rPr>
        <w:rFonts w:ascii="Courier New" w:hAnsi="Courier New" w:cs="Courier New" w:hint="default"/>
      </w:rPr>
    </w:lvl>
    <w:lvl w:ilvl="2" w:tplc="CC22C74C" w:tentative="1">
      <w:start w:val="1"/>
      <w:numFmt w:val="bullet"/>
      <w:lvlText w:val=""/>
      <w:lvlJc w:val="left"/>
      <w:pPr>
        <w:ind w:left="2520" w:hanging="360"/>
      </w:pPr>
      <w:rPr>
        <w:rFonts w:ascii="Wingdings" w:hAnsi="Wingdings" w:hint="default"/>
      </w:rPr>
    </w:lvl>
    <w:lvl w:ilvl="3" w:tplc="5812139C" w:tentative="1">
      <w:start w:val="1"/>
      <w:numFmt w:val="bullet"/>
      <w:lvlText w:val=""/>
      <w:lvlJc w:val="left"/>
      <w:pPr>
        <w:ind w:left="3240" w:hanging="360"/>
      </w:pPr>
      <w:rPr>
        <w:rFonts w:ascii="Symbol" w:hAnsi="Symbol" w:hint="default"/>
      </w:rPr>
    </w:lvl>
    <w:lvl w:ilvl="4" w:tplc="C44C5490" w:tentative="1">
      <w:start w:val="1"/>
      <w:numFmt w:val="bullet"/>
      <w:lvlText w:val="o"/>
      <w:lvlJc w:val="left"/>
      <w:pPr>
        <w:ind w:left="3960" w:hanging="360"/>
      </w:pPr>
      <w:rPr>
        <w:rFonts w:ascii="Courier New" w:hAnsi="Courier New" w:cs="Courier New" w:hint="default"/>
      </w:rPr>
    </w:lvl>
    <w:lvl w:ilvl="5" w:tplc="AFCEEC58" w:tentative="1">
      <w:start w:val="1"/>
      <w:numFmt w:val="bullet"/>
      <w:lvlText w:val=""/>
      <w:lvlJc w:val="left"/>
      <w:pPr>
        <w:ind w:left="4680" w:hanging="360"/>
      </w:pPr>
      <w:rPr>
        <w:rFonts w:ascii="Wingdings" w:hAnsi="Wingdings" w:hint="default"/>
      </w:rPr>
    </w:lvl>
    <w:lvl w:ilvl="6" w:tplc="AD6807B8" w:tentative="1">
      <w:start w:val="1"/>
      <w:numFmt w:val="bullet"/>
      <w:lvlText w:val=""/>
      <w:lvlJc w:val="left"/>
      <w:pPr>
        <w:ind w:left="5400" w:hanging="360"/>
      </w:pPr>
      <w:rPr>
        <w:rFonts w:ascii="Symbol" w:hAnsi="Symbol" w:hint="default"/>
      </w:rPr>
    </w:lvl>
    <w:lvl w:ilvl="7" w:tplc="A1ACF04C" w:tentative="1">
      <w:start w:val="1"/>
      <w:numFmt w:val="bullet"/>
      <w:lvlText w:val="o"/>
      <w:lvlJc w:val="left"/>
      <w:pPr>
        <w:ind w:left="6120" w:hanging="360"/>
      </w:pPr>
      <w:rPr>
        <w:rFonts w:ascii="Courier New" w:hAnsi="Courier New" w:cs="Courier New" w:hint="default"/>
      </w:rPr>
    </w:lvl>
    <w:lvl w:ilvl="8" w:tplc="5AB2D628" w:tentative="1">
      <w:start w:val="1"/>
      <w:numFmt w:val="bullet"/>
      <w:lvlText w:val=""/>
      <w:lvlJc w:val="left"/>
      <w:pPr>
        <w:ind w:left="6840" w:hanging="360"/>
      </w:pPr>
      <w:rPr>
        <w:rFonts w:ascii="Wingdings" w:hAnsi="Wingdings" w:hint="default"/>
      </w:rPr>
    </w:lvl>
  </w:abstractNum>
  <w:abstractNum w:abstractNumId="18" w15:restartNumberingAfterBreak="0">
    <w:nsid w:val="498D5BD6"/>
    <w:multiLevelType w:val="hybridMultilevel"/>
    <w:tmpl w:val="E640C350"/>
    <w:lvl w:ilvl="0" w:tplc="CB3097B2">
      <w:start w:val="1"/>
      <w:numFmt w:val="bullet"/>
      <w:lvlText w:val=""/>
      <w:lvlJc w:val="left"/>
      <w:pPr>
        <w:ind w:left="720" w:hanging="360"/>
      </w:pPr>
      <w:rPr>
        <w:rFonts w:ascii="Symbol" w:hAnsi="Symbol" w:hint="default"/>
      </w:rPr>
    </w:lvl>
    <w:lvl w:ilvl="1" w:tplc="F0B63E06">
      <w:start w:val="1"/>
      <w:numFmt w:val="bullet"/>
      <w:lvlText w:val="o"/>
      <w:lvlJc w:val="left"/>
      <w:pPr>
        <w:ind w:left="1440" w:hanging="360"/>
      </w:pPr>
      <w:rPr>
        <w:rFonts w:ascii="Courier New" w:hAnsi="Courier New" w:cs="Courier New" w:hint="default"/>
      </w:rPr>
    </w:lvl>
    <w:lvl w:ilvl="2" w:tplc="C80E44E2" w:tentative="1">
      <w:start w:val="1"/>
      <w:numFmt w:val="bullet"/>
      <w:lvlText w:val=""/>
      <w:lvlJc w:val="left"/>
      <w:pPr>
        <w:ind w:left="2160" w:hanging="360"/>
      </w:pPr>
      <w:rPr>
        <w:rFonts w:ascii="Wingdings" w:hAnsi="Wingdings" w:hint="default"/>
      </w:rPr>
    </w:lvl>
    <w:lvl w:ilvl="3" w:tplc="FC3043B4" w:tentative="1">
      <w:start w:val="1"/>
      <w:numFmt w:val="bullet"/>
      <w:lvlText w:val=""/>
      <w:lvlJc w:val="left"/>
      <w:pPr>
        <w:ind w:left="2880" w:hanging="360"/>
      </w:pPr>
      <w:rPr>
        <w:rFonts w:ascii="Symbol" w:hAnsi="Symbol" w:hint="default"/>
      </w:rPr>
    </w:lvl>
    <w:lvl w:ilvl="4" w:tplc="C2D61D52" w:tentative="1">
      <w:start w:val="1"/>
      <w:numFmt w:val="bullet"/>
      <w:lvlText w:val="o"/>
      <w:lvlJc w:val="left"/>
      <w:pPr>
        <w:ind w:left="3600" w:hanging="360"/>
      </w:pPr>
      <w:rPr>
        <w:rFonts w:ascii="Courier New" w:hAnsi="Courier New" w:cs="Courier New" w:hint="default"/>
      </w:rPr>
    </w:lvl>
    <w:lvl w:ilvl="5" w:tplc="2CBC71C2" w:tentative="1">
      <w:start w:val="1"/>
      <w:numFmt w:val="bullet"/>
      <w:lvlText w:val=""/>
      <w:lvlJc w:val="left"/>
      <w:pPr>
        <w:ind w:left="4320" w:hanging="360"/>
      </w:pPr>
      <w:rPr>
        <w:rFonts w:ascii="Wingdings" w:hAnsi="Wingdings" w:hint="default"/>
      </w:rPr>
    </w:lvl>
    <w:lvl w:ilvl="6" w:tplc="809AF0AC" w:tentative="1">
      <w:start w:val="1"/>
      <w:numFmt w:val="bullet"/>
      <w:lvlText w:val=""/>
      <w:lvlJc w:val="left"/>
      <w:pPr>
        <w:ind w:left="5040" w:hanging="360"/>
      </w:pPr>
      <w:rPr>
        <w:rFonts w:ascii="Symbol" w:hAnsi="Symbol" w:hint="default"/>
      </w:rPr>
    </w:lvl>
    <w:lvl w:ilvl="7" w:tplc="AE0ED23E" w:tentative="1">
      <w:start w:val="1"/>
      <w:numFmt w:val="bullet"/>
      <w:lvlText w:val="o"/>
      <w:lvlJc w:val="left"/>
      <w:pPr>
        <w:ind w:left="5760" w:hanging="360"/>
      </w:pPr>
      <w:rPr>
        <w:rFonts w:ascii="Courier New" w:hAnsi="Courier New" w:cs="Courier New" w:hint="default"/>
      </w:rPr>
    </w:lvl>
    <w:lvl w:ilvl="8" w:tplc="38BCFEFA" w:tentative="1">
      <w:start w:val="1"/>
      <w:numFmt w:val="bullet"/>
      <w:lvlText w:val=""/>
      <w:lvlJc w:val="left"/>
      <w:pPr>
        <w:ind w:left="6480" w:hanging="360"/>
      </w:pPr>
      <w:rPr>
        <w:rFonts w:ascii="Wingdings" w:hAnsi="Wingdings" w:hint="default"/>
      </w:rPr>
    </w:lvl>
  </w:abstractNum>
  <w:abstractNum w:abstractNumId="19" w15:restartNumberingAfterBreak="0">
    <w:nsid w:val="513D5AC5"/>
    <w:multiLevelType w:val="hybridMultilevel"/>
    <w:tmpl w:val="BEDC9050"/>
    <w:lvl w:ilvl="0" w:tplc="9508F45C">
      <w:start w:val="1"/>
      <w:numFmt w:val="bullet"/>
      <w:lvlText w:val=""/>
      <w:lvlJc w:val="left"/>
      <w:pPr>
        <w:ind w:left="720" w:hanging="360"/>
      </w:pPr>
      <w:rPr>
        <w:rFonts w:ascii="Symbol" w:hAnsi="Symbol" w:hint="default"/>
      </w:rPr>
    </w:lvl>
    <w:lvl w:ilvl="1" w:tplc="FCE47D04" w:tentative="1">
      <w:start w:val="1"/>
      <w:numFmt w:val="bullet"/>
      <w:lvlText w:val="o"/>
      <w:lvlJc w:val="left"/>
      <w:pPr>
        <w:ind w:left="1440" w:hanging="360"/>
      </w:pPr>
      <w:rPr>
        <w:rFonts w:ascii="Courier New" w:hAnsi="Courier New" w:cs="Courier New" w:hint="default"/>
      </w:rPr>
    </w:lvl>
    <w:lvl w:ilvl="2" w:tplc="65840126" w:tentative="1">
      <w:start w:val="1"/>
      <w:numFmt w:val="bullet"/>
      <w:lvlText w:val=""/>
      <w:lvlJc w:val="left"/>
      <w:pPr>
        <w:ind w:left="2160" w:hanging="360"/>
      </w:pPr>
      <w:rPr>
        <w:rFonts w:ascii="Wingdings" w:hAnsi="Wingdings" w:hint="default"/>
      </w:rPr>
    </w:lvl>
    <w:lvl w:ilvl="3" w:tplc="516ABB20" w:tentative="1">
      <w:start w:val="1"/>
      <w:numFmt w:val="bullet"/>
      <w:lvlText w:val=""/>
      <w:lvlJc w:val="left"/>
      <w:pPr>
        <w:ind w:left="2880" w:hanging="360"/>
      </w:pPr>
      <w:rPr>
        <w:rFonts w:ascii="Symbol" w:hAnsi="Symbol" w:hint="default"/>
      </w:rPr>
    </w:lvl>
    <w:lvl w:ilvl="4" w:tplc="578E7108" w:tentative="1">
      <w:start w:val="1"/>
      <w:numFmt w:val="bullet"/>
      <w:lvlText w:val="o"/>
      <w:lvlJc w:val="left"/>
      <w:pPr>
        <w:ind w:left="3600" w:hanging="360"/>
      </w:pPr>
      <w:rPr>
        <w:rFonts w:ascii="Courier New" w:hAnsi="Courier New" w:cs="Courier New" w:hint="default"/>
      </w:rPr>
    </w:lvl>
    <w:lvl w:ilvl="5" w:tplc="E076CE22" w:tentative="1">
      <w:start w:val="1"/>
      <w:numFmt w:val="bullet"/>
      <w:lvlText w:val=""/>
      <w:lvlJc w:val="left"/>
      <w:pPr>
        <w:ind w:left="4320" w:hanging="360"/>
      </w:pPr>
      <w:rPr>
        <w:rFonts w:ascii="Wingdings" w:hAnsi="Wingdings" w:hint="default"/>
      </w:rPr>
    </w:lvl>
    <w:lvl w:ilvl="6" w:tplc="8D2C46F0" w:tentative="1">
      <w:start w:val="1"/>
      <w:numFmt w:val="bullet"/>
      <w:lvlText w:val=""/>
      <w:lvlJc w:val="left"/>
      <w:pPr>
        <w:ind w:left="5040" w:hanging="360"/>
      </w:pPr>
      <w:rPr>
        <w:rFonts w:ascii="Symbol" w:hAnsi="Symbol" w:hint="default"/>
      </w:rPr>
    </w:lvl>
    <w:lvl w:ilvl="7" w:tplc="E30831A6" w:tentative="1">
      <w:start w:val="1"/>
      <w:numFmt w:val="bullet"/>
      <w:lvlText w:val="o"/>
      <w:lvlJc w:val="left"/>
      <w:pPr>
        <w:ind w:left="5760" w:hanging="360"/>
      </w:pPr>
      <w:rPr>
        <w:rFonts w:ascii="Courier New" w:hAnsi="Courier New" w:cs="Courier New" w:hint="default"/>
      </w:rPr>
    </w:lvl>
    <w:lvl w:ilvl="8" w:tplc="19FACA4C" w:tentative="1">
      <w:start w:val="1"/>
      <w:numFmt w:val="bullet"/>
      <w:lvlText w:val=""/>
      <w:lvlJc w:val="left"/>
      <w:pPr>
        <w:ind w:left="6480" w:hanging="360"/>
      </w:pPr>
      <w:rPr>
        <w:rFonts w:ascii="Wingdings" w:hAnsi="Wingdings" w:hint="default"/>
      </w:rPr>
    </w:lvl>
  </w:abstractNum>
  <w:abstractNum w:abstractNumId="20" w15:restartNumberingAfterBreak="0">
    <w:nsid w:val="56084931"/>
    <w:multiLevelType w:val="hybridMultilevel"/>
    <w:tmpl w:val="47FE31E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37228B"/>
    <w:multiLevelType w:val="hybridMultilevel"/>
    <w:tmpl w:val="B1408476"/>
    <w:lvl w:ilvl="0" w:tplc="708639CC">
      <w:start w:val="1"/>
      <w:numFmt w:val="bullet"/>
      <w:lvlText w:val=""/>
      <w:lvlJc w:val="left"/>
      <w:pPr>
        <w:ind w:left="1080" w:hanging="360"/>
      </w:pPr>
      <w:rPr>
        <w:rFonts w:ascii="Symbol" w:hAnsi="Symbol" w:hint="default"/>
      </w:rPr>
    </w:lvl>
    <w:lvl w:ilvl="1" w:tplc="D46E17B0" w:tentative="1">
      <w:start w:val="1"/>
      <w:numFmt w:val="bullet"/>
      <w:lvlText w:val="o"/>
      <w:lvlJc w:val="left"/>
      <w:pPr>
        <w:ind w:left="1800" w:hanging="360"/>
      </w:pPr>
      <w:rPr>
        <w:rFonts w:ascii="Courier New" w:hAnsi="Courier New" w:cs="Courier New" w:hint="default"/>
      </w:rPr>
    </w:lvl>
    <w:lvl w:ilvl="2" w:tplc="19B23DA2" w:tentative="1">
      <w:start w:val="1"/>
      <w:numFmt w:val="bullet"/>
      <w:lvlText w:val=""/>
      <w:lvlJc w:val="left"/>
      <w:pPr>
        <w:ind w:left="2520" w:hanging="360"/>
      </w:pPr>
      <w:rPr>
        <w:rFonts w:ascii="Wingdings" w:hAnsi="Wingdings" w:hint="default"/>
      </w:rPr>
    </w:lvl>
    <w:lvl w:ilvl="3" w:tplc="E61EBD3A" w:tentative="1">
      <w:start w:val="1"/>
      <w:numFmt w:val="bullet"/>
      <w:lvlText w:val=""/>
      <w:lvlJc w:val="left"/>
      <w:pPr>
        <w:ind w:left="3240" w:hanging="360"/>
      </w:pPr>
      <w:rPr>
        <w:rFonts w:ascii="Symbol" w:hAnsi="Symbol" w:hint="default"/>
      </w:rPr>
    </w:lvl>
    <w:lvl w:ilvl="4" w:tplc="D458E754" w:tentative="1">
      <w:start w:val="1"/>
      <w:numFmt w:val="bullet"/>
      <w:lvlText w:val="o"/>
      <w:lvlJc w:val="left"/>
      <w:pPr>
        <w:ind w:left="3960" w:hanging="360"/>
      </w:pPr>
      <w:rPr>
        <w:rFonts w:ascii="Courier New" w:hAnsi="Courier New" w:cs="Courier New" w:hint="default"/>
      </w:rPr>
    </w:lvl>
    <w:lvl w:ilvl="5" w:tplc="0518E1F2" w:tentative="1">
      <w:start w:val="1"/>
      <w:numFmt w:val="bullet"/>
      <w:lvlText w:val=""/>
      <w:lvlJc w:val="left"/>
      <w:pPr>
        <w:ind w:left="4680" w:hanging="360"/>
      </w:pPr>
      <w:rPr>
        <w:rFonts w:ascii="Wingdings" w:hAnsi="Wingdings" w:hint="default"/>
      </w:rPr>
    </w:lvl>
    <w:lvl w:ilvl="6" w:tplc="A4B89BE6" w:tentative="1">
      <w:start w:val="1"/>
      <w:numFmt w:val="bullet"/>
      <w:lvlText w:val=""/>
      <w:lvlJc w:val="left"/>
      <w:pPr>
        <w:ind w:left="5400" w:hanging="360"/>
      </w:pPr>
      <w:rPr>
        <w:rFonts w:ascii="Symbol" w:hAnsi="Symbol" w:hint="default"/>
      </w:rPr>
    </w:lvl>
    <w:lvl w:ilvl="7" w:tplc="4844BC32" w:tentative="1">
      <w:start w:val="1"/>
      <w:numFmt w:val="bullet"/>
      <w:lvlText w:val="o"/>
      <w:lvlJc w:val="left"/>
      <w:pPr>
        <w:ind w:left="6120" w:hanging="360"/>
      </w:pPr>
      <w:rPr>
        <w:rFonts w:ascii="Courier New" w:hAnsi="Courier New" w:cs="Courier New" w:hint="default"/>
      </w:rPr>
    </w:lvl>
    <w:lvl w:ilvl="8" w:tplc="3C6A1C60" w:tentative="1">
      <w:start w:val="1"/>
      <w:numFmt w:val="bullet"/>
      <w:lvlText w:val=""/>
      <w:lvlJc w:val="left"/>
      <w:pPr>
        <w:ind w:left="6840" w:hanging="360"/>
      </w:pPr>
      <w:rPr>
        <w:rFonts w:ascii="Wingdings" w:hAnsi="Wingdings" w:hint="default"/>
      </w:rPr>
    </w:lvl>
  </w:abstractNum>
  <w:abstractNum w:abstractNumId="22" w15:restartNumberingAfterBreak="0">
    <w:nsid w:val="57E22EF6"/>
    <w:multiLevelType w:val="hybridMultilevel"/>
    <w:tmpl w:val="4A2CC8C8"/>
    <w:lvl w:ilvl="0" w:tplc="29283F3A">
      <w:numFmt w:val="bullet"/>
      <w:lvlText w:val="-"/>
      <w:lvlJc w:val="left"/>
      <w:pPr>
        <w:ind w:left="720" w:hanging="360"/>
      </w:pPr>
      <w:rPr>
        <w:rFonts w:ascii="Calibri" w:eastAsia="SimHei" w:hAnsi="Calibri" w:cs="Calibri" w:hint="default"/>
      </w:rPr>
    </w:lvl>
    <w:lvl w:ilvl="1" w:tplc="FBA6CC72" w:tentative="1">
      <w:start w:val="1"/>
      <w:numFmt w:val="bullet"/>
      <w:lvlText w:val="o"/>
      <w:lvlJc w:val="left"/>
      <w:pPr>
        <w:ind w:left="1440" w:hanging="360"/>
      </w:pPr>
      <w:rPr>
        <w:rFonts w:ascii="Courier New" w:hAnsi="Courier New" w:cs="Courier New" w:hint="default"/>
      </w:rPr>
    </w:lvl>
    <w:lvl w:ilvl="2" w:tplc="C53C1F1A" w:tentative="1">
      <w:start w:val="1"/>
      <w:numFmt w:val="bullet"/>
      <w:lvlText w:val=""/>
      <w:lvlJc w:val="left"/>
      <w:pPr>
        <w:ind w:left="2160" w:hanging="360"/>
      </w:pPr>
      <w:rPr>
        <w:rFonts w:ascii="Wingdings" w:hAnsi="Wingdings" w:hint="default"/>
      </w:rPr>
    </w:lvl>
    <w:lvl w:ilvl="3" w:tplc="88441840" w:tentative="1">
      <w:start w:val="1"/>
      <w:numFmt w:val="bullet"/>
      <w:lvlText w:val=""/>
      <w:lvlJc w:val="left"/>
      <w:pPr>
        <w:ind w:left="2880" w:hanging="360"/>
      </w:pPr>
      <w:rPr>
        <w:rFonts w:ascii="Symbol" w:hAnsi="Symbol" w:hint="default"/>
      </w:rPr>
    </w:lvl>
    <w:lvl w:ilvl="4" w:tplc="CA0E198C" w:tentative="1">
      <w:start w:val="1"/>
      <w:numFmt w:val="bullet"/>
      <w:lvlText w:val="o"/>
      <w:lvlJc w:val="left"/>
      <w:pPr>
        <w:ind w:left="3600" w:hanging="360"/>
      </w:pPr>
      <w:rPr>
        <w:rFonts w:ascii="Courier New" w:hAnsi="Courier New" w:cs="Courier New" w:hint="default"/>
      </w:rPr>
    </w:lvl>
    <w:lvl w:ilvl="5" w:tplc="61C2E6C6" w:tentative="1">
      <w:start w:val="1"/>
      <w:numFmt w:val="bullet"/>
      <w:lvlText w:val=""/>
      <w:lvlJc w:val="left"/>
      <w:pPr>
        <w:ind w:left="4320" w:hanging="360"/>
      </w:pPr>
      <w:rPr>
        <w:rFonts w:ascii="Wingdings" w:hAnsi="Wingdings" w:hint="default"/>
      </w:rPr>
    </w:lvl>
    <w:lvl w:ilvl="6" w:tplc="E99E06B2" w:tentative="1">
      <w:start w:val="1"/>
      <w:numFmt w:val="bullet"/>
      <w:lvlText w:val=""/>
      <w:lvlJc w:val="left"/>
      <w:pPr>
        <w:ind w:left="5040" w:hanging="360"/>
      </w:pPr>
      <w:rPr>
        <w:rFonts w:ascii="Symbol" w:hAnsi="Symbol" w:hint="default"/>
      </w:rPr>
    </w:lvl>
    <w:lvl w:ilvl="7" w:tplc="1924F6EE" w:tentative="1">
      <w:start w:val="1"/>
      <w:numFmt w:val="bullet"/>
      <w:lvlText w:val="o"/>
      <w:lvlJc w:val="left"/>
      <w:pPr>
        <w:ind w:left="5760" w:hanging="360"/>
      </w:pPr>
      <w:rPr>
        <w:rFonts w:ascii="Courier New" w:hAnsi="Courier New" w:cs="Courier New" w:hint="default"/>
      </w:rPr>
    </w:lvl>
    <w:lvl w:ilvl="8" w:tplc="C52259F6" w:tentative="1">
      <w:start w:val="1"/>
      <w:numFmt w:val="bullet"/>
      <w:lvlText w:val=""/>
      <w:lvlJc w:val="left"/>
      <w:pPr>
        <w:ind w:left="6480" w:hanging="360"/>
      </w:pPr>
      <w:rPr>
        <w:rFonts w:ascii="Wingdings" w:hAnsi="Wingdings" w:hint="default"/>
      </w:rPr>
    </w:lvl>
  </w:abstractNum>
  <w:abstractNum w:abstractNumId="23"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271124"/>
    <w:multiLevelType w:val="hybridMultilevel"/>
    <w:tmpl w:val="93D49218"/>
    <w:lvl w:ilvl="0" w:tplc="818A0A46">
      <w:start w:val="1"/>
      <w:numFmt w:val="decimal"/>
      <w:lvlText w:val="%1."/>
      <w:lvlJc w:val="left"/>
      <w:pPr>
        <w:ind w:left="720" w:hanging="360"/>
      </w:pPr>
    </w:lvl>
    <w:lvl w:ilvl="1" w:tplc="70E0D108" w:tentative="1">
      <w:start w:val="1"/>
      <w:numFmt w:val="lowerLetter"/>
      <w:lvlText w:val="%2."/>
      <w:lvlJc w:val="left"/>
      <w:pPr>
        <w:ind w:left="1440" w:hanging="360"/>
      </w:pPr>
    </w:lvl>
    <w:lvl w:ilvl="2" w:tplc="DB74AF88" w:tentative="1">
      <w:start w:val="1"/>
      <w:numFmt w:val="lowerRoman"/>
      <w:lvlText w:val="%3."/>
      <w:lvlJc w:val="right"/>
      <w:pPr>
        <w:ind w:left="2160" w:hanging="180"/>
      </w:pPr>
    </w:lvl>
    <w:lvl w:ilvl="3" w:tplc="5FE6512A" w:tentative="1">
      <w:start w:val="1"/>
      <w:numFmt w:val="decimal"/>
      <w:lvlText w:val="%4."/>
      <w:lvlJc w:val="left"/>
      <w:pPr>
        <w:ind w:left="2880" w:hanging="360"/>
      </w:pPr>
    </w:lvl>
    <w:lvl w:ilvl="4" w:tplc="35AC5214" w:tentative="1">
      <w:start w:val="1"/>
      <w:numFmt w:val="lowerLetter"/>
      <w:lvlText w:val="%5."/>
      <w:lvlJc w:val="left"/>
      <w:pPr>
        <w:ind w:left="3600" w:hanging="360"/>
      </w:pPr>
    </w:lvl>
    <w:lvl w:ilvl="5" w:tplc="270078EC" w:tentative="1">
      <w:start w:val="1"/>
      <w:numFmt w:val="lowerRoman"/>
      <w:lvlText w:val="%6."/>
      <w:lvlJc w:val="right"/>
      <w:pPr>
        <w:ind w:left="4320" w:hanging="180"/>
      </w:pPr>
    </w:lvl>
    <w:lvl w:ilvl="6" w:tplc="806E6D86" w:tentative="1">
      <w:start w:val="1"/>
      <w:numFmt w:val="decimal"/>
      <w:lvlText w:val="%7."/>
      <w:lvlJc w:val="left"/>
      <w:pPr>
        <w:ind w:left="5040" w:hanging="360"/>
      </w:pPr>
    </w:lvl>
    <w:lvl w:ilvl="7" w:tplc="2C809E18" w:tentative="1">
      <w:start w:val="1"/>
      <w:numFmt w:val="lowerLetter"/>
      <w:lvlText w:val="%8."/>
      <w:lvlJc w:val="left"/>
      <w:pPr>
        <w:ind w:left="5760" w:hanging="360"/>
      </w:pPr>
    </w:lvl>
    <w:lvl w:ilvl="8" w:tplc="8E32B70E" w:tentative="1">
      <w:start w:val="1"/>
      <w:numFmt w:val="lowerRoman"/>
      <w:lvlText w:val="%9."/>
      <w:lvlJc w:val="right"/>
      <w:pPr>
        <w:ind w:left="6480" w:hanging="180"/>
      </w:pPr>
    </w:lvl>
  </w:abstractNum>
  <w:abstractNum w:abstractNumId="25" w15:restartNumberingAfterBreak="0">
    <w:nsid w:val="674F073B"/>
    <w:multiLevelType w:val="hybridMultilevel"/>
    <w:tmpl w:val="EC8E890E"/>
    <w:lvl w:ilvl="0" w:tplc="324A99E4">
      <w:start w:val="1"/>
      <w:numFmt w:val="decimal"/>
      <w:lvlText w:val="%1)"/>
      <w:lvlJc w:val="left"/>
      <w:pPr>
        <w:ind w:left="720" w:hanging="360"/>
      </w:pPr>
      <w:rPr>
        <w:rFonts w:hint="default"/>
      </w:rPr>
    </w:lvl>
    <w:lvl w:ilvl="1" w:tplc="53D22BF8" w:tentative="1">
      <w:start w:val="1"/>
      <w:numFmt w:val="lowerLetter"/>
      <w:lvlText w:val="%2."/>
      <w:lvlJc w:val="left"/>
      <w:pPr>
        <w:ind w:left="1440" w:hanging="360"/>
      </w:pPr>
    </w:lvl>
    <w:lvl w:ilvl="2" w:tplc="57AE4586" w:tentative="1">
      <w:start w:val="1"/>
      <w:numFmt w:val="lowerRoman"/>
      <w:lvlText w:val="%3."/>
      <w:lvlJc w:val="right"/>
      <w:pPr>
        <w:ind w:left="2160" w:hanging="180"/>
      </w:pPr>
    </w:lvl>
    <w:lvl w:ilvl="3" w:tplc="AC909BA2" w:tentative="1">
      <w:start w:val="1"/>
      <w:numFmt w:val="decimal"/>
      <w:lvlText w:val="%4."/>
      <w:lvlJc w:val="left"/>
      <w:pPr>
        <w:ind w:left="2880" w:hanging="360"/>
      </w:pPr>
    </w:lvl>
    <w:lvl w:ilvl="4" w:tplc="1152D4D0" w:tentative="1">
      <w:start w:val="1"/>
      <w:numFmt w:val="lowerLetter"/>
      <w:lvlText w:val="%5."/>
      <w:lvlJc w:val="left"/>
      <w:pPr>
        <w:ind w:left="3600" w:hanging="360"/>
      </w:pPr>
    </w:lvl>
    <w:lvl w:ilvl="5" w:tplc="CD6883A2" w:tentative="1">
      <w:start w:val="1"/>
      <w:numFmt w:val="lowerRoman"/>
      <w:lvlText w:val="%6."/>
      <w:lvlJc w:val="right"/>
      <w:pPr>
        <w:ind w:left="4320" w:hanging="180"/>
      </w:pPr>
    </w:lvl>
    <w:lvl w:ilvl="6" w:tplc="70BC3566" w:tentative="1">
      <w:start w:val="1"/>
      <w:numFmt w:val="decimal"/>
      <w:lvlText w:val="%7."/>
      <w:lvlJc w:val="left"/>
      <w:pPr>
        <w:ind w:left="5040" w:hanging="360"/>
      </w:pPr>
    </w:lvl>
    <w:lvl w:ilvl="7" w:tplc="18C49CBC" w:tentative="1">
      <w:start w:val="1"/>
      <w:numFmt w:val="lowerLetter"/>
      <w:lvlText w:val="%8."/>
      <w:lvlJc w:val="left"/>
      <w:pPr>
        <w:ind w:left="5760" w:hanging="360"/>
      </w:pPr>
    </w:lvl>
    <w:lvl w:ilvl="8" w:tplc="8826B3FC" w:tentative="1">
      <w:start w:val="1"/>
      <w:numFmt w:val="lowerRoman"/>
      <w:lvlText w:val="%9."/>
      <w:lvlJc w:val="right"/>
      <w:pPr>
        <w:ind w:left="6480" w:hanging="180"/>
      </w:pPr>
    </w:lvl>
  </w:abstractNum>
  <w:abstractNum w:abstractNumId="26" w15:restartNumberingAfterBreak="0">
    <w:nsid w:val="683B6C55"/>
    <w:multiLevelType w:val="hybridMultilevel"/>
    <w:tmpl w:val="5D3E7452"/>
    <w:lvl w:ilvl="0" w:tplc="2F2AD37A">
      <w:start w:val="1"/>
      <w:numFmt w:val="bullet"/>
      <w:lvlText w:val=""/>
      <w:lvlJc w:val="left"/>
      <w:pPr>
        <w:ind w:left="720" w:hanging="360"/>
      </w:pPr>
      <w:rPr>
        <w:rFonts w:ascii="Symbol" w:hAnsi="Symbol" w:hint="default"/>
      </w:rPr>
    </w:lvl>
    <w:lvl w:ilvl="1" w:tplc="773008C0" w:tentative="1">
      <w:start w:val="1"/>
      <w:numFmt w:val="bullet"/>
      <w:lvlText w:val="o"/>
      <w:lvlJc w:val="left"/>
      <w:pPr>
        <w:ind w:left="1440" w:hanging="360"/>
      </w:pPr>
      <w:rPr>
        <w:rFonts w:ascii="Courier New" w:hAnsi="Courier New" w:cs="Courier New" w:hint="default"/>
      </w:rPr>
    </w:lvl>
    <w:lvl w:ilvl="2" w:tplc="E76C9A0A" w:tentative="1">
      <w:start w:val="1"/>
      <w:numFmt w:val="bullet"/>
      <w:lvlText w:val=""/>
      <w:lvlJc w:val="left"/>
      <w:pPr>
        <w:ind w:left="2160" w:hanging="360"/>
      </w:pPr>
      <w:rPr>
        <w:rFonts w:ascii="Wingdings" w:hAnsi="Wingdings" w:hint="default"/>
      </w:rPr>
    </w:lvl>
    <w:lvl w:ilvl="3" w:tplc="EEB073BE" w:tentative="1">
      <w:start w:val="1"/>
      <w:numFmt w:val="bullet"/>
      <w:lvlText w:val=""/>
      <w:lvlJc w:val="left"/>
      <w:pPr>
        <w:ind w:left="2880" w:hanging="360"/>
      </w:pPr>
      <w:rPr>
        <w:rFonts w:ascii="Symbol" w:hAnsi="Symbol" w:hint="default"/>
      </w:rPr>
    </w:lvl>
    <w:lvl w:ilvl="4" w:tplc="D91E088E" w:tentative="1">
      <w:start w:val="1"/>
      <w:numFmt w:val="bullet"/>
      <w:lvlText w:val="o"/>
      <w:lvlJc w:val="left"/>
      <w:pPr>
        <w:ind w:left="3600" w:hanging="360"/>
      </w:pPr>
      <w:rPr>
        <w:rFonts w:ascii="Courier New" w:hAnsi="Courier New" w:cs="Courier New" w:hint="default"/>
      </w:rPr>
    </w:lvl>
    <w:lvl w:ilvl="5" w:tplc="99CC9076" w:tentative="1">
      <w:start w:val="1"/>
      <w:numFmt w:val="bullet"/>
      <w:lvlText w:val=""/>
      <w:lvlJc w:val="left"/>
      <w:pPr>
        <w:ind w:left="4320" w:hanging="360"/>
      </w:pPr>
      <w:rPr>
        <w:rFonts w:ascii="Wingdings" w:hAnsi="Wingdings" w:hint="default"/>
      </w:rPr>
    </w:lvl>
    <w:lvl w:ilvl="6" w:tplc="60C86C92" w:tentative="1">
      <w:start w:val="1"/>
      <w:numFmt w:val="bullet"/>
      <w:lvlText w:val=""/>
      <w:lvlJc w:val="left"/>
      <w:pPr>
        <w:ind w:left="5040" w:hanging="360"/>
      </w:pPr>
      <w:rPr>
        <w:rFonts w:ascii="Symbol" w:hAnsi="Symbol" w:hint="default"/>
      </w:rPr>
    </w:lvl>
    <w:lvl w:ilvl="7" w:tplc="BC4A0224" w:tentative="1">
      <w:start w:val="1"/>
      <w:numFmt w:val="bullet"/>
      <w:lvlText w:val="o"/>
      <w:lvlJc w:val="left"/>
      <w:pPr>
        <w:ind w:left="5760" w:hanging="360"/>
      </w:pPr>
      <w:rPr>
        <w:rFonts w:ascii="Courier New" w:hAnsi="Courier New" w:cs="Courier New" w:hint="default"/>
      </w:rPr>
    </w:lvl>
    <w:lvl w:ilvl="8" w:tplc="5B08D4C4" w:tentative="1">
      <w:start w:val="1"/>
      <w:numFmt w:val="bullet"/>
      <w:lvlText w:val=""/>
      <w:lvlJc w:val="left"/>
      <w:pPr>
        <w:ind w:left="6480" w:hanging="360"/>
      </w:pPr>
      <w:rPr>
        <w:rFonts w:ascii="Wingdings" w:hAnsi="Wingdings" w:hint="default"/>
      </w:rPr>
    </w:lvl>
  </w:abstractNum>
  <w:abstractNum w:abstractNumId="27" w15:restartNumberingAfterBreak="0">
    <w:nsid w:val="6BAB3C70"/>
    <w:multiLevelType w:val="hybridMultilevel"/>
    <w:tmpl w:val="99327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C210226"/>
    <w:multiLevelType w:val="hybridMultilevel"/>
    <w:tmpl w:val="4B462672"/>
    <w:lvl w:ilvl="0" w:tplc="03D09950">
      <w:start w:val="1"/>
      <w:numFmt w:val="decimal"/>
      <w:lvlText w:val="%1."/>
      <w:lvlJc w:val="left"/>
      <w:pPr>
        <w:ind w:left="360" w:hanging="360"/>
      </w:pPr>
      <w:rPr>
        <w:rFonts w:hint="default"/>
        <w:b w:val="0"/>
        <w:bCs w:val="0"/>
        <w:i w:val="0"/>
        <w:iCs w:val="0"/>
        <w:color w:val="auto"/>
        <w:sz w:val="24"/>
        <w:szCs w:val="24"/>
        <w:lang w:val="en-US"/>
      </w:rPr>
    </w:lvl>
    <w:lvl w:ilvl="1" w:tplc="3660596E">
      <w:start w:val="1"/>
      <w:numFmt w:val="lowerLetter"/>
      <w:lvlText w:val="%2."/>
      <w:lvlJc w:val="left"/>
      <w:pPr>
        <w:ind w:left="-2389" w:hanging="360"/>
      </w:pPr>
    </w:lvl>
    <w:lvl w:ilvl="2" w:tplc="621ADFC6">
      <w:start w:val="1"/>
      <w:numFmt w:val="lowerRoman"/>
      <w:lvlText w:val="%3."/>
      <w:lvlJc w:val="right"/>
      <w:pPr>
        <w:ind w:left="-1669" w:hanging="180"/>
      </w:pPr>
    </w:lvl>
    <w:lvl w:ilvl="3" w:tplc="4FA01020">
      <w:start w:val="1"/>
      <w:numFmt w:val="decimal"/>
      <w:lvlText w:val="%4."/>
      <w:lvlJc w:val="left"/>
      <w:pPr>
        <w:ind w:left="-949" w:hanging="360"/>
      </w:pPr>
    </w:lvl>
    <w:lvl w:ilvl="4" w:tplc="0186BA62">
      <w:start w:val="1"/>
      <w:numFmt w:val="lowerLetter"/>
      <w:lvlText w:val="%5."/>
      <w:lvlJc w:val="left"/>
      <w:pPr>
        <w:ind w:left="-229" w:hanging="360"/>
      </w:pPr>
    </w:lvl>
    <w:lvl w:ilvl="5" w:tplc="D238694C">
      <w:start w:val="1"/>
      <w:numFmt w:val="bullet"/>
      <w:lvlText w:val=""/>
      <w:lvlJc w:val="left"/>
      <w:pPr>
        <w:ind w:left="746" w:hanging="435"/>
      </w:pPr>
      <w:rPr>
        <w:rFonts w:ascii="Symbol" w:hAnsi="Symbol" w:hint="default"/>
        <w:color w:val="auto"/>
      </w:rPr>
    </w:lvl>
    <w:lvl w:ilvl="6" w:tplc="F184EE5C">
      <w:start w:val="1"/>
      <w:numFmt w:val="bullet"/>
      <w:lvlText w:val=""/>
      <w:lvlJc w:val="left"/>
      <w:pPr>
        <w:ind w:left="1211" w:hanging="360"/>
      </w:pPr>
      <w:rPr>
        <w:rFonts w:ascii="Symbol" w:hAnsi="Symbol" w:hint="default"/>
      </w:rPr>
    </w:lvl>
    <w:lvl w:ilvl="7" w:tplc="FA5667F2">
      <w:start w:val="1"/>
      <w:numFmt w:val="lowerLetter"/>
      <w:lvlText w:val="%8."/>
      <w:lvlJc w:val="left"/>
      <w:pPr>
        <w:ind w:left="1931" w:hanging="360"/>
      </w:pPr>
    </w:lvl>
    <w:lvl w:ilvl="8" w:tplc="2946CC90">
      <w:start w:val="1"/>
      <w:numFmt w:val="lowerRoman"/>
      <w:lvlText w:val="%9."/>
      <w:lvlJc w:val="right"/>
      <w:pPr>
        <w:ind w:left="2651" w:hanging="180"/>
      </w:pPr>
    </w:lvl>
  </w:abstractNum>
  <w:abstractNum w:abstractNumId="29" w15:restartNumberingAfterBreak="0">
    <w:nsid w:val="738339AE"/>
    <w:multiLevelType w:val="hybridMultilevel"/>
    <w:tmpl w:val="F2ECD984"/>
    <w:lvl w:ilvl="0" w:tplc="212027BE">
      <w:start w:val="1"/>
      <w:numFmt w:val="bullet"/>
      <w:lvlText w:val="-"/>
      <w:lvlJc w:val="left"/>
      <w:pPr>
        <w:ind w:left="720" w:hanging="360"/>
      </w:pPr>
      <w:rPr>
        <w:rFonts w:ascii="Symbol" w:hAnsi="Symbol" w:hint="default"/>
      </w:rPr>
    </w:lvl>
    <w:lvl w:ilvl="1" w:tplc="0BEEEA74" w:tentative="1">
      <w:start w:val="1"/>
      <w:numFmt w:val="bullet"/>
      <w:lvlText w:val="o"/>
      <w:lvlJc w:val="left"/>
      <w:pPr>
        <w:ind w:left="1440" w:hanging="360"/>
      </w:pPr>
      <w:rPr>
        <w:rFonts w:ascii="Courier New" w:hAnsi="Courier New" w:cs="Courier New" w:hint="default"/>
      </w:rPr>
    </w:lvl>
    <w:lvl w:ilvl="2" w:tplc="057805A2" w:tentative="1">
      <w:start w:val="1"/>
      <w:numFmt w:val="bullet"/>
      <w:lvlText w:val=""/>
      <w:lvlJc w:val="left"/>
      <w:pPr>
        <w:ind w:left="2160" w:hanging="360"/>
      </w:pPr>
      <w:rPr>
        <w:rFonts w:ascii="Wingdings" w:hAnsi="Wingdings" w:hint="default"/>
      </w:rPr>
    </w:lvl>
    <w:lvl w:ilvl="3" w:tplc="620004DA" w:tentative="1">
      <w:start w:val="1"/>
      <w:numFmt w:val="bullet"/>
      <w:lvlText w:val=""/>
      <w:lvlJc w:val="left"/>
      <w:pPr>
        <w:ind w:left="2880" w:hanging="360"/>
      </w:pPr>
      <w:rPr>
        <w:rFonts w:ascii="Symbol" w:hAnsi="Symbol" w:hint="default"/>
      </w:rPr>
    </w:lvl>
    <w:lvl w:ilvl="4" w:tplc="8DD6D670" w:tentative="1">
      <w:start w:val="1"/>
      <w:numFmt w:val="bullet"/>
      <w:lvlText w:val="o"/>
      <w:lvlJc w:val="left"/>
      <w:pPr>
        <w:ind w:left="3600" w:hanging="360"/>
      </w:pPr>
      <w:rPr>
        <w:rFonts w:ascii="Courier New" w:hAnsi="Courier New" w:cs="Courier New" w:hint="default"/>
      </w:rPr>
    </w:lvl>
    <w:lvl w:ilvl="5" w:tplc="28E666D4" w:tentative="1">
      <w:start w:val="1"/>
      <w:numFmt w:val="bullet"/>
      <w:lvlText w:val=""/>
      <w:lvlJc w:val="left"/>
      <w:pPr>
        <w:ind w:left="4320" w:hanging="360"/>
      </w:pPr>
      <w:rPr>
        <w:rFonts w:ascii="Wingdings" w:hAnsi="Wingdings" w:hint="default"/>
      </w:rPr>
    </w:lvl>
    <w:lvl w:ilvl="6" w:tplc="6D8AC548" w:tentative="1">
      <w:start w:val="1"/>
      <w:numFmt w:val="bullet"/>
      <w:lvlText w:val=""/>
      <w:lvlJc w:val="left"/>
      <w:pPr>
        <w:ind w:left="5040" w:hanging="360"/>
      </w:pPr>
      <w:rPr>
        <w:rFonts w:ascii="Symbol" w:hAnsi="Symbol" w:hint="default"/>
      </w:rPr>
    </w:lvl>
    <w:lvl w:ilvl="7" w:tplc="11A077CC" w:tentative="1">
      <w:start w:val="1"/>
      <w:numFmt w:val="bullet"/>
      <w:lvlText w:val="o"/>
      <w:lvlJc w:val="left"/>
      <w:pPr>
        <w:ind w:left="5760" w:hanging="360"/>
      </w:pPr>
      <w:rPr>
        <w:rFonts w:ascii="Courier New" w:hAnsi="Courier New" w:cs="Courier New" w:hint="default"/>
      </w:rPr>
    </w:lvl>
    <w:lvl w:ilvl="8" w:tplc="2E40D2B6" w:tentative="1">
      <w:start w:val="1"/>
      <w:numFmt w:val="bullet"/>
      <w:lvlText w:val=""/>
      <w:lvlJc w:val="left"/>
      <w:pPr>
        <w:ind w:left="6480" w:hanging="360"/>
      </w:pPr>
      <w:rPr>
        <w:rFonts w:ascii="Wingdings" w:hAnsi="Wingdings" w:hint="default"/>
      </w:rPr>
    </w:lvl>
  </w:abstractNum>
  <w:abstractNum w:abstractNumId="30" w15:restartNumberingAfterBreak="0">
    <w:nsid w:val="74C61034"/>
    <w:multiLevelType w:val="hybridMultilevel"/>
    <w:tmpl w:val="291C9FEC"/>
    <w:lvl w:ilvl="0" w:tplc="ED8CC5A4">
      <w:start w:val="1"/>
      <w:numFmt w:val="bullet"/>
      <w:lvlText w:val=""/>
      <w:lvlJc w:val="left"/>
      <w:pPr>
        <w:ind w:left="720" w:hanging="360"/>
      </w:pPr>
      <w:rPr>
        <w:rFonts w:ascii="Symbol" w:hAnsi="Symbol" w:hint="default"/>
      </w:rPr>
    </w:lvl>
    <w:lvl w:ilvl="1" w:tplc="BC8244B8" w:tentative="1">
      <w:start w:val="1"/>
      <w:numFmt w:val="bullet"/>
      <w:lvlText w:val="o"/>
      <w:lvlJc w:val="left"/>
      <w:pPr>
        <w:ind w:left="1440" w:hanging="360"/>
      </w:pPr>
      <w:rPr>
        <w:rFonts w:ascii="Courier New" w:hAnsi="Courier New" w:cs="Courier New" w:hint="default"/>
      </w:rPr>
    </w:lvl>
    <w:lvl w:ilvl="2" w:tplc="974CAE3A" w:tentative="1">
      <w:start w:val="1"/>
      <w:numFmt w:val="bullet"/>
      <w:lvlText w:val=""/>
      <w:lvlJc w:val="left"/>
      <w:pPr>
        <w:ind w:left="2160" w:hanging="360"/>
      </w:pPr>
      <w:rPr>
        <w:rFonts w:ascii="Wingdings" w:hAnsi="Wingdings" w:hint="default"/>
      </w:rPr>
    </w:lvl>
    <w:lvl w:ilvl="3" w:tplc="931040EC" w:tentative="1">
      <w:start w:val="1"/>
      <w:numFmt w:val="bullet"/>
      <w:lvlText w:val=""/>
      <w:lvlJc w:val="left"/>
      <w:pPr>
        <w:ind w:left="2880" w:hanging="360"/>
      </w:pPr>
      <w:rPr>
        <w:rFonts w:ascii="Symbol" w:hAnsi="Symbol" w:hint="default"/>
      </w:rPr>
    </w:lvl>
    <w:lvl w:ilvl="4" w:tplc="096E21D2" w:tentative="1">
      <w:start w:val="1"/>
      <w:numFmt w:val="bullet"/>
      <w:lvlText w:val="o"/>
      <w:lvlJc w:val="left"/>
      <w:pPr>
        <w:ind w:left="3600" w:hanging="360"/>
      </w:pPr>
      <w:rPr>
        <w:rFonts w:ascii="Courier New" w:hAnsi="Courier New" w:cs="Courier New" w:hint="default"/>
      </w:rPr>
    </w:lvl>
    <w:lvl w:ilvl="5" w:tplc="EA88E200" w:tentative="1">
      <w:start w:val="1"/>
      <w:numFmt w:val="bullet"/>
      <w:lvlText w:val=""/>
      <w:lvlJc w:val="left"/>
      <w:pPr>
        <w:ind w:left="4320" w:hanging="360"/>
      </w:pPr>
      <w:rPr>
        <w:rFonts w:ascii="Wingdings" w:hAnsi="Wingdings" w:hint="default"/>
      </w:rPr>
    </w:lvl>
    <w:lvl w:ilvl="6" w:tplc="D56C1160" w:tentative="1">
      <w:start w:val="1"/>
      <w:numFmt w:val="bullet"/>
      <w:lvlText w:val=""/>
      <w:lvlJc w:val="left"/>
      <w:pPr>
        <w:ind w:left="5040" w:hanging="360"/>
      </w:pPr>
      <w:rPr>
        <w:rFonts w:ascii="Symbol" w:hAnsi="Symbol" w:hint="default"/>
      </w:rPr>
    </w:lvl>
    <w:lvl w:ilvl="7" w:tplc="04800098" w:tentative="1">
      <w:start w:val="1"/>
      <w:numFmt w:val="bullet"/>
      <w:lvlText w:val="o"/>
      <w:lvlJc w:val="left"/>
      <w:pPr>
        <w:ind w:left="5760" w:hanging="360"/>
      </w:pPr>
      <w:rPr>
        <w:rFonts w:ascii="Courier New" w:hAnsi="Courier New" w:cs="Courier New" w:hint="default"/>
      </w:rPr>
    </w:lvl>
    <w:lvl w:ilvl="8" w:tplc="32D8D4B8" w:tentative="1">
      <w:start w:val="1"/>
      <w:numFmt w:val="bullet"/>
      <w:lvlText w:val=""/>
      <w:lvlJc w:val="left"/>
      <w:pPr>
        <w:ind w:left="6480" w:hanging="360"/>
      </w:pPr>
      <w:rPr>
        <w:rFonts w:ascii="Wingdings" w:hAnsi="Wingdings" w:hint="default"/>
      </w:rPr>
    </w:lvl>
  </w:abstractNum>
  <w:abstractNum w:abstractNumId="31" w15:restartNumberingAfterBreak="0">
    <w:nsid w:val="7C9A6E98"/>
    <w:multiLevelType w:val="hybridMultilevel"/>
    <w:tmpl w:val="01FA4BD2"/>
    <w:lvl w:ilvl="0" w:tplc="9FC82304">
      <w:start w:val="1"/>
      <w:numFmt w:val="bullet"/>
      <w:lvlText w:val=""/>
      <w:lvlJc w:val="left"/>
      <w:pPr>
        <w:ind w:left="720" w:hanging="360"/>
      </w:pPr>
      <w:rPr>
        <w:rFonts w:ascii="Symbol" w:hAnsi="Symbol" w:hint="default"/>
      </w:rPr>
    </w:lvl>
    <w:lvl w:ilvl="1" w:tplc="A724A47C" w:tentative="1">
      <w:start w:val="1"/>
      <w:numFmt w:val="bullet"/>
      <w:lvlText w:val="o"/>
      <w:lvlJc w:val="left"/>
      <w:pPr>
        <w:ind w:left="1440" w:hanging="360"/>
      </w:pPr>
      <w:rPr>
        <w:rFonts w:ascii="Courier New" w:hAnsi="Courier New" w:cs="Courier New" w:hint="default"/>
      </w:rPr>
    </w:lvl>
    <w:lvl w:ilvl="2" w:tplc="97E83CAE" w:tentative="1">
      <w:start w:val="1"/>
      <w:numFmt w:val="bullet"/>
      <w:lvlText w:val=""/>
      <w:lvlJc w:val="left"/>
      <w:pPr>
        <w:ind w:left="2160" w:hanging="360"/>
      </w:pPr>
      <w:rPr>
        <w:rFonts w:ascii="Wingdings" w:hAnsi="Wingdings" w:hint="default"/>
      </w:rPr>
    </w:lvl>
    <w:lvl w:ilvl="3" w:tplc="667C203E" w:tentative="1">
      <w:start w:val="1"/>
      <w:numFmt w:val="bullet"/>
      <w:lvlText w:val=""/>
      <w:lvlJc w:val="left"/>
      <w:pPr>
        <w:ind w:left="2880" w:hanging="360"/>
      </w:pPr>
      <w:rPr>
        <w:rFonts w:ascii="Symbol" w:hAnsi="Symbol" w:hint="default"/>
      </w:rPr>
    </w:lvl>
    <w:lvl w:ilvl="4" w:tplc="5DC82BE6" w:tentative="1">
      <w:start w:val="1"/>
      <w:numFmt w:val="bullet"/>
      <w:lvlText w:val="o"/>
      <w:lvlJc w:val="left"/>
      <w:pPr>
        <w:ind w:left="3600" w:hanging="360"/>
      </w:pPr>
      <w:rPr>
        <w:rFonts w:ascii="Courier New" w:hAnsi="Courier New" w:cs="Courier New" w:hint="default"/>
      </w:rPr>
    </w:lvl>
    <w:lvl w:ilvl="5" w:tplc="97565EFC" w:tentative="1">
      <w:start w:val="1"/>
      <w:numFmt w:val="bullet"/>
      <w:lvlText w:val=""/>
      <w:lvlJc w:val="left"/>
      <w:pPr>
        <w:ind w:left="4320" w:hanging="360"/>
      </w:pPr>
      <w:rPr>
        <w:rFonts w:ascii="Wingdings" w:hAnsi="Wingdings" w:hint="default"/>
      </w:rPr>
    </w:lvl>
    <w:lvl w:ilvl="6" w:tplc="5CFEF72A" w:tentative="1">
      <w:start w:val="1"/>
      <w:numFmt w:val="bullet"/>
      <w:lvlText w:val=""/>
      <w:lvlJc w:val="left"/>
      <w:pPr>
        <w:ind w:left="5040" w:hanging="360"/>
      </w:pPr>
      <w:rPr>
        <w:rFonts w:ascii="Symbol" w:hAnsi="Symbol" w:hint="default"/>
      </w:rPr>
    </w:lvl>
    <w:lvl w:ilvl="7" w:tplc="BCDCF37C" w:tentative="1">
      <w:start w:val="1"/>
      <w:numFmt w:val="bullet"/>
      <w:lvlText w:val="o"/>
      <w:lvlJc w:val="left"/>
      <w:pPr>
        <w:ind w:left="5760" w:hanging="360"/>
      </w:pPr>
      <w:rPr>
        <w:rFonts w:ascii="Courier New" w:hAnsi="Courier New" w:cs="Courier New" w:hint="default"/>
      </w:rPr>
    </w:lvl>
    <w:lvl w:ilvl="8" w:tplc="8BB4EE1A" w:tentative="1">
      <w:start w:val="1"/>
      <w:numFmt w:val="bullet"/>
      <w:lvlText w:val=""/>
      <w:lvlJc w:val="left"/>
      <w:pPr>
        <w:ind w:left="6480" w:hanging="360"/>
      </w:pPr>
      <w:rPr>
        <w:rFonts w:ascii="Wingdings" w:hAnsi="Wingdings" w:hint="default"/>
      </w:rPr>
    </w:lvl>
  </w:abstractNum>
  <w:abstractNum w:abstractNumId="32" w15:restartNumberingAfterBreak="0">
    <w:nsid w:val="7ED339CC"/>
    <w:multiLevelType w:val="hybridMultilevel"/>
    <w:tmpl w:val="60FC0A88"/>
    <w:lvl w:ilvl="0" w:tplc="5D560EF2">
      <w:start w:val="1"/>
      <w:numFmt w:val="decimal"/>
      <w:lvlText w:val="%1."/>
      <w:lvlJc w:val="left"/>
      <w:pPr>
        <w:ind w:left="720" w:hanging="360"/>
      </w:pPr>
      <w:rPr>
        <w:rFonts w:hint="default"/>
      </w:rPr>
    </w:lvl>
    <w:lvl w:ilvl="1" w:tplc="B80897B8" w:tentative="1">
      <w:start w:val="1"/>
      <w:numFmt w:val="lowerLetter"/>
      <w:lvlText w:val="%2."/>
      <w:lvlJc w:val="left"/>
      <w:pPr>
        <w:ind w:left="1440" w:hanging="360"/>
      </w:pPr>
    </w:lvl>
    <w:lvl w:ilvl="2" w:tplc="0C9ABDF0" w:tentative="1">
      <w:start w:val="1"/>
      <w:numFmt w:val="lowerRoman"/>
      <w:lvlText w:val="%3."/>
      <w:lvlJc w:val="right"/>
      <w:pPr>
        <w:ind w:left="2160" w:hanging="180"/>
      </w:pPr>
    </w:lvl>
    <w:lvl w:ilvl="3" w:tplc="5442029C" w:tentative="1">
      <w:start w:val="1"/>
      <w:numFmt w:val="decimal"/>
      <w:lvlText w:val="%4."/>
      <w:lvlJc w:val="left"/>
      <w:pPr>
        <w:ind w:left="2880" w:hanging="360"/>
      </w:pPr>
    </w:lvl>
    <w:lvl w:ilvl="4" w:tplc="5C80FFE0" w:tentative="1">
      <w:start w:val="1"/>
      <w:numFmt w:val="lowerLetter"/>
      <w:lvlText w:val="%5."/>
      <w:lvlJc w:val="left"/>
      <w:pPr>
        <w:ind w:left="3600" w:hanging="360"/>
      </w:pPr>
    </w:lvl>
    <w:lvl w:ilvl="5" w:tplc="D08899C2" w:tentative="1">
      <w:start w:val="1"/>
      <w:numFmt w:val="lowerRoman"/>
      <w:lvlText w:val="%6."/>
      <w:lvlJc w:val="right"/>
      <w:pPr>
        <w:ind w:left="4320" w:hanging="180"/>
      </w:pPr>
    </w:lvl>
    <w:lvl w:ilvl="6" w:tplc="24D67330" w:tentative="1">
      <w:start w:val="1"/>
      <w:numFmt w:val="decimal"/>
      <w:lvlText w:val="%7."/>
      <w:lvlJc w:val="left"/>
      <w:pPr>
        <w:ind w:left="5040" w:hanging="360"/>
      </w:pPr>
    </w:lvl>
    <w:lvl w:ilvl="7" w:tplc="877AF012" w:tentative="1">
      <w:start w:val="1"/>
      <w:numFmt w:val="lowerLetter"/>
      <w:lvlText w:val="%8."/>
      <w:lvlJc w:val="left"/>
      <w:pPr>
        <w:ind w:left="5760" w:hanging="360"/>
      </w:pPr>
    </w:lvl>
    <w:lvl w:ilvl="8" w:tplc="748A76F0" w:tentative="1">
      <w:start w:val="1"/>
      <w:numFmt w:val="lowerRoman"/>
      <w:lvlText w:val="%9."/>
      <w:lvlJc w:val="right"/>
      <w:pPr>
        <w:ind w:left="6480" w:hanging="180"/>
      </w:pPr>
    </w:lvl>
  </w:abstractNum>
  <w:num w:numId="1">
    <w:abstractNumId w:val="27"/>
  </w:num>
  <w:num w:numId="2">
    <w:abstractNumId w:val="20"/>
  </w:num>
  <w:num w:numId="3">
    <w:abstractNumId w:val="14"/>
  </w:num>
  <w:num w:numId="4">
    <w:abstractNumId w:val="12"/>
  </w:num>
  <w:num w:numId="5">
    <w:abstractNumId w:val="22"/>
  </w:num>
  <w:num w:numId="6">
    <w:abstractNumId w:val="15"/>
  </w:num>
  <w:num w:numId="7">
    <w:abstractNumId w:val="29"/>
  </w:num>
  <w:num w:numId="8">
    <w:abstractNumId w:val="21"/>
  </w:num>
  <w:num w:numId="9">
    <w:abstractNumId w:val="31"/>
  </w:num>
  <w:num w:numId="10">
    <w:abstractNumId w:val="16"/>
  </w:num>
  <w:num w:numId="11">
    <w:abstractNumId w:val="32"/>
  </w:num>
  <w:num w:numId="12">
    <w:abstractNumId w:val="5"/>
  </w:num>
  <w:num w:numId="13">
    <w:abstractNumId w:val="3"/>
  </w:num>
  <w:num w:numId="14">
    <w:abstractNumId w:val="11"/>
  </w:num>
  <w:num w:numId="15">
    <w:abstractNumId w:val="13"/>
  </w:num>
  <w:num w:numId="16">
    <w:abstractNumId w:val="25"/>
  </w:num>
  <w:num w:numId="17">
    <w:abstractNumId w:val="19"/>
  </w:num>
  <w:num w:numId="18">
    <w:abstractNumId w:val="18"/>
  </w:num>
  <w:num w:numId="19">
    <w:abstractNumId w:val="9"/>
  </w:num>
  <w:num w:numId="20">
    <w:abstractNumId w:val="2"/>
  </w:num>
  <w:num w:numId="21">
    <w:abstractNumId w:val="24"/>
  </w:num>
  <w:num w:numId="22">
    <w:abstractNumId w:val="17"/>
  </w:num>
  <w:num w:numId="23">
    <w:abstractNumId w:val="0"/>
  </w:num>
  <w:num w:numId="24">
    <w:abstractNumId w:val="28"/>
  </w:num>
  <w:num w:numId="25">
    <w:abstractNumId w:val="8"/>
  </w:num>
  <w:num w:numId="26">
    <w:abstractNumId w:val="4"/>
  </w:num>
  <w:num w:numId="27">
    <w:abstractNumId w:val="30"/>
  </w:num>
  <w:num w:numId="28">
    <w:abstractNumId w:val="6"/>
  </w:num>
  <w:num w:numId="29">
    <w:abstractNumId w:val="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6"/>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FE"/>
    <w:rsid w:val="00083D22"/>
    <w:rsid w:val="000B5CA7"/>
    <w:rsid w:val="000C3C12"/>
    <w:rsid w:val="000E18DD"/>
    <w:rsid w:val="000F4E98"/>
    <w:rsid w:val="00107E03"/>
    <w:rsid w:val="00111662"/>
    <w:rsid w:val="00125DA8"/>
    <w:rsid w:val="0013091C"/>
    <w:rsid w:val="00134D3C"/>
    <w:rsid w:val="001530FB"/>
    <w:rsid w:val="00153DC3"/>
    <w:rsid w:val="00172EE1"/>
    <w:rsid w:val="00191479"/>
    <w:rsid w:val="001C6DD3"/>
    <w:rsid w:val="001E04BA"/>
    <w:rsid w:val="001E3E78"/>
    <w:rsid w:val="00202D0A"/>
    <w:rsid w:val="002169C9"/>
    <w:rsid w:val="002236F8"/>
    <w:rsid w:val="002502FE"/>
    <w:rsid w:val="0025721B"/>
    <w:rsid w:val="00257C2C"/>
    <w:rsid w:val="00260197"/>
    <w:rsid w:val="00270876"/>
    <w:rsid w:val="002717CC"/>
    <w:rsid w:val="00290501"/>
    <w:rsid w:val="002931FA"/>
    <w:rsid w:val="00304668"/>
    <w:rsid w:val="00316454"/>
    <w:rsid w:val="00340B5C"/>
    <w:rsid w:val="00366978"/>
    <w:rsid w:val="0037391C"/>
    <w:rsid w:val="003A294B"/>
    <w:rsid w:val="003A4171"/>
    <w:rsid w:val="003A48AE"/>
    <w:rsid w:val="003C4627"/>
    <w:rsid w:val="003C6E83"/>
    <w:rsid w:val="003D1AD0"/>
    <w:rsid w:val="003E6E87"/>
    <w:rsid w:val="004002EC"/>
    <w:rsid w:val="0040328D"/>
    <w:rsid w:val="004143D5"/>
    <w:rsid w:val="00422053"/>
    <w:rsid w:val="00450798"/>
    <w:rsid w:val="004713B8"/>
    <w:rsid w:val="00492670"/>
    <w:rsid w:val="004A59F0"/>
    <w:rsid w:val="004B1427"/>
    <w:rsid w:val="004E4490"/>
    <w:rsid w:val="00514943"/>
    <w:rsid w:val="00535CBF"/>
    <w:rsid w:val="00560F3D"/>
    <w:rsid w:val="005773D4"/>
    <w:rsid w:val="00655923"/>
    <w:rsid w:val="00667E2A"/>
    <w:rsid w:val="00694764"/>
    <w:rsid w:val="0070093B"/>
    <w:rsid w:val="00701E31"/>
    <w:rsid w:val="007108BA"/>
    <w:rsid w:val="00734A82"/>
    <w:rsid w:val="007411E7"/>
    <w:rsid w:val="00752324"/>
    <w:rsid w:val="00752F15"/>
    <w:rsid w:val="0079441F"/>
    <w:rsid w:val="00797E4D"/>
    <w:rsid w:val="007E6B3A"/>
    <w:rsid w:val="0080178A"/>
    <w:rsid w:val="00805050"/>
    <w:rsid w:val="008112E9"/>
    <w:rsid w:val="00812287"/>
    <w:rsid w:val="00875722"/>
    <w:rsid w:val="00876FC2"/>
    <w:rsid w:val="008C576E"/>
    <w:rsid w:val="00916B10"/>
    <w:rsid w:val="00940E03"/>
    <w:rsid w:val="009C5B8E"/>
    <w:rsid w:val="009F3891"/>
    <w:rsid w:val="00A078DC"/>
    <w:rsid w:val="00A30897"/>
    <w:rsid w:val="00A41FDF"/>
    <w:rsid w:val="00A44602"/>
    <w:rsid w:val="00A46A09"/>
    <w:rsid w:val="00A57BED"/>
    <w:rsid w:val="00A64F9D"/>
    <w:rsid w:val="00A73D91"/>
    <w:rsid w:val="00AA42F8"/>
    <w:rsid w:val="00AA4E91"/>
    <w:rsid w:val="00AC2E0E"/>
    <w:rsid w:val="00AC6023"/>
    <w:rsid w:val="00AE0BB7"/>
    <w:rsid w:val="00AE1BA7"/>
    <w:rsid w:val="00AF4A0D"/>
    <w:rsid w:val="00B222FE"/>
    <w:rsid w:val="00B24169"/>
    <w:rsid w:val="00B36757"/>
    <w:rsid w:val="00B52E6E"/>
    <w:rsid w:val="00B726C0"/>
    <w:rsid w:val="00B7484D"/>
    <w:rsid w:val="00B75868"/>
    <w:rsid w:val="00BA701A"/>
    <w:rsid w:val="00BC65FF"/>
    <w:rsid w:val="00BD2C91"/>
    <w:rsid w:val="00BD7A1A"/>
    <w:rsid w:val="00BF3EFB"/>
    <w:rsid w:val="00BF55A9"/>
    <w:rsid w:val="00C10AF5"/>
    <w:rsid w:val="00C444D1"/>
    <w:rsid w:val="00C62E82"/>
    <w:rsid w:val="00C71A6F"/>
    <w:rsid w:val="00C84CCD"/>
    <w:rsid w:val="00CD1D71"/>
    <w:rsid w:val="00CD1F3E"/>
    <w:rsid w:val="00CD34AE"/>
    <w:rsid w:val="00CE37A1"/>
    <w:rsid w:val="00CE5E7B"/>
    <w:rsid w:val="00D16175"/>
    <w:rsid w:val="00D3041E"/>
    <w:rsid w:val="00D5498E"/>
    <w:rsid w:val="00D54C98"/>
    <w:rsid w:val="00D648F5"/>
    <w:rsid w:val="00D703F5"/>
    <w:rsid w:val="00D712FE"/>
    <w:rsid w:val="00D923CD"/>
    <w:rsid w:val="00D93FCC"/>
    <w:rsid w:val="00D94ED7"/>
    <w:rsid w:val="00DA4610"/>
    <w:rsid w:val="00DB4339"/>
    <w:rsid w:val="00DD19E1"/>
    <w:rsid w:val="00DD5D8C"/>
    <w:rsid w:val="00DF747E"/>
    <w:rsid w:val="00E06A7D"/>
    <w:rsid w:val="00E30170"/>
    <w:rsid w:val="00E42E64"/>
    <w:rsid w:val="00E526B6"/>
    <w:rsid w:val="00E54FD2"/>
    <w:rsid w:val="00E720C3"/>
    <w:rsid w:val="00E72705"/>
    <w:rsid w:val="00E82D31"/>
    <w:rsid w:val="00EA3970"/>
    <w:rsid w:val="00EB47E2"/>
    <w:rsid w:val="00EE153D"/>
    <w:rsid w:val="00F043E8"/>
    <w:rsid w:val="00F42B12"/>
    <w:rsid w:val="00F72A94"/>
    <w:rsid w:val="00F746B3"/>
    <w:rsid w:val="00F961B7"/>
    <w:rsid w:val="00FA2BC3"/>
    <w:rsid w:val="00FB1337"/>
    <w:rsid w:val="00FC1008"/>
    <w:rsid w:val="00FC5ABC"/>
    <w:rsid w:val="00FD728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C0C5B9"/>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uiPriority w:val="9"/>
    <w:qFormat/>
    <w:rsid w:val="001530FB"/>
    <w:pPr>
      <w:keepNext/>
      <w:keepLines/>
      <w:spacing w:before="480"/>
      <w:ind w:left="794" w:hanging="794"/>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1530FB"/>
    <w:pPr>
      <w:spacing w:before="86"/>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
    <w:basedOn w:val="DefaultParagraphFont"/>
    <w:rsid w:val="00CE37A1"/>
    <w:rPr>
      <w:rFonts w:asciiTheme="minorHAnsi" w:hAnsiTheme="minorHAnsi"/>
      <w:position w:val="6"/>
      <w:sz w:val="16"/>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qFormat/>
    <w:rsid w:val="007411E7"/>
    <w:pPr>
      <w:keepLines/>
      <w:tabs>
        <w:tab w:val="clear" w:pos="794"/>
        <w:tab w:val="clear" w:pos="1191"/>
        <w:tab w:val="clear" w:pos="1588"/>
        <w:tab w:val="clear" w:pos="1985"/>
        <w:tab w:val="left" w:pos="284"/>
      </w:tabs>
      <w:spacing w:before="60"/>
      <w:ind w:left="284" w:hanging="284"/>
    </w:pPr>
    <w:rPr>
      <w:sz w:val="20"/>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uiPriority w:val="99"/>
    <w:rsid w:val="007411E7"/>
    <w:rPr>
      <w:rFonts w:ascii="Calibri" w:eastAsia="Times New Roman" w:hAnsi="Calibri" w:cs="Times New Roman"/>
      <w:sz w:val="20"/>
      <w:lang w:val="ru-RU"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1530FB"/>
    <w:rPr>
      <w:rFonts w:ascii="Calibri" w:eastAsia="Times New Roman" w:hAnsi="Calibri" w:cs="Times New Roman"/>
      <w:b/>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qFormat/>
    <w:rsid w:val="00E42E64"/>
    <w:pPr>
      <w:spacing w:before="160"/>
      <w:ind w:left="0" w:firstLine="0"/>
      <w:outlineLvl w:val="0"/>
    </w:pPr>
    <w:rPr>
      <w:rFonts w:cs="Times New Roman Bold"/>
    </w:rPr>
  </w:style>
  <w:style w:type="paragraph" w:customStyle="1" w:styleId="Headingi">
    <w:name w:val="Heading_i"/>
    <w:basedOn w:val="Heading3"/>
    <w:next w:val="Normal"/>
    <w:qFormat/>
    <w:rsid w:val="00CE37A1"/>
    <w:pPr>
      <w:spacing w:before="160"/>
      <w:outlineLvl w:val="0"/>
    </w:pPr>
    <w:rPr>
      <w:b w:val="0"/>
      <w:i/>
    </w:rPr>
  </w:style>
  <w:style w:type="character" w:styleId="Hyperlink">
    <w:name w:val="Hyperlink"/>
    <w:aliases w:val="CEO_Hyperlink,Style 58,超????,超?级链,超级链接,超链接1,하이퍼링크2,하이퍼링크21"/>
    <w:basedOn w:val="DefaultParagraphFont"/>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143D5"/>
    <w:pPr>
      <w:framePr w:hSpace="180" w:wrap="around" w:vAnchor="page" w:hAnchor="margin" w:y="790"/>
      <w:spacing w:before="24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styleId="ListParagraph">
    <w:name w:val="List Paragraph"/>
    <w:aliases w:val="Bullet 1,Bullets,Citation List,Colorful List - Accent 11,List Paragraph Char Char,List Paragraph1,List Paragraph11,List Paragraph2,ListPar1,Normal Sentence,Number_1,O5,Recommendation,SGLText List Paragraph,b1,b1 + Justified,list1,new"/>
    <w:basedOn w:val="Normal"/>
    <w:link w:val="ListParagraphChar"/>
    <w:uiPriority w:val="34"/>
    <w:qFormat/>
    <w:rsid w:val="00876FC2"/>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szCs w:val="20"/>
      <w:lang w:val="en-GB"/>
    </w:rPr>
  </w:style>
  <w:style w:type="paragraph" w:customStyle="1" w:styleId="Agendaitem">
    <w:name w:val="Agenda_item"/>
    <w:basedOn w:val="Normal"/>
    <w:next w:val="Normal"/>
    <w:qFormat/>
    <w:rsid w:val="00AF4A0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szCs w:val="20"/>
      <w:lang w:val="es-ES_tradnl"/>
    </w:rPr>
  </w:style>
  <w:style w:type="character" w:customStyle="1" w:styleId="Appdef">
    <w:name w:val="App_def"/>
    <w:basedOn w:val="DefaultParagraphFont"/>
    <w:rsid w:val="00AF4A0D"/>
    <w:rPr>
      <w:rFonts w:asciiTheme="minorHAnsi" w:hAnsiTheme="minorHAnsi"/>
      <w:b/>
    </w:rPr>
  </w:style>
  <w:style w:type="character" w:customStyle="1" w:styleId="Appref">
    <w:name w:val="App_ref"/>
    <w:basedOn w:val="DefaultParagraphFont"/>
    <w:rsid w:val="00AF4A0D"/>
    <w:rPr>
      <w:rFonts w:asciiTheme="minorHAnsi" w:hAnsiTheme="minorHAnsi"/>
    </w:rPr>
  </w:style>
  <w:style w:type="paragraph" w:customStyle="1" w:styleId="ApptoAnnex">
    <w:name w:val="App_to_Annex"/>
    <w:basedOn w:val="AppendixNo"/>
    <w:next w:val="Normal"/>
    <w:qFormat/>
    <w:rsid w:val="00AF4A0D"/>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character" w:customStyle="1" w:styleId="Artdef">
    <w:name w:val="Art_def"/>
    <w:basedOn w:val="DefaultParagraphFont"/>
    <w:rsid w:val="00AF4A0D"/>
    <w:rPr>
      <w:rFonts w:asciiTheme="minorHAnsi" w:hAnsiTheme="minorHAnsi"/>
      <w:b/>
    </w:rPr>
  </w:style>
  <w:style w:type="character" w:customStyle="1" w:styleId="Artref">
    <w:name w:val="Art_ref"/>
    <w:basedOn w:val="DefaultParagraphFont"/>
    <w:rsid w:val="00AF4A0D"/>
    <w:rPr>
      <w:rFonts w:asciiTheme="minorHAnsi" w:hAnsiTheme="minorHAnsi"/>
    </w:rPr>
  </w:style>
  <w:style w:type="paragraph" w:customStyle="1" w:styleId="Equation">
    <w:name w:val="Equation"/>
    <w:basedOn w:val="Normal"/>
    <w:rsid w:val="00AF4A0D"/>
    <w:pPr>
      <w:tabs>
        <w:tab w:val="clear" w:pos="794"/>
        <w:tab w:val="clear" w:pos="1191"/>
        <w:tab w:val="clear" w:pos="1588"/>
        <w:tab w:val="clear" w:pos="1985"/>
        <w:tab w:val="left" w:pos="1134"/>
        <w:tab w:val="left" w:pos="1871"/>
        <w:tab w:val="center" w:pos="4820"/>
        <w:tab w:val="right" w:pos="9639"/>
      </w:tabs>
    </w:pPr>
    <w:rPr>
      <w:rFonts w:asciiTheme="minorHAnsi" w:hAnsiTheme="minorHAnsi"/>
      <w:sz w:val="24"/>
      <w:szCs w:val="20"/>
      <w:lang w:val="en-GB"/>
    </w:rPr>
  </w:style>
  <w:style w:type="paragraph" w:customStyle="1" w:styleId="Equationlegend">
    <w:name w:val="Equation_legend"/>
    <w:basedOn w:val="NormalIndent"/>
    <w:rsid w:val="00AF4A0D"/>
    <w:pPr>
      <w:tabs>
        <w:tab w:val="clear" w:pos="794"/>
        <w:tab w:val="clear" w:pos="1191"/>
        <w:tab w:val="clear" w:pos="1588"/>
        <w:tab w:val="clear" w:pos="1985"/>
        <w:tab w:val="right" w:pos="1871"/>
        <w:tab w:val="left" w:pos="2041"/>
      </w:tabs>
      <w:spacing w:before="80"/>
      <w:ind w:left="2041" w:hanging="2041"/>
    </w:pPr>
    <w:rPr>
      <w:rFonts w:asciiTheme="minorHAnsi" w:hAnsiTheme="minorHAnsi"/>
      <w:sz w:val="24"/>
      <w:szCs w:val="20"/>
      <w:lang w:val="en-GB"/>
    </w:rPr>
  </w:style>
  <w:style w:type="paragraph" w:customStyle="1" w:styleId="Figure">
    <w:name w:val="Figure"/>
    <w:basedOn w:val="Normal"/>
    <w:next w:val="Normal"/>
    <w:rsid w:val="00AF4A0D"/>
    <w:pPr>
      <w:keepNext/>
      <w:keepLines/>
      <w:tabs>
        <w:tab w:val="clear" w:pos="794"/>
        <w:tab w:val="clear" w:pos="1191"/>
        <w:tab w:val="clear" w:pos="1588"/>
        <w:tab w:val="clear" w:pos="1985"/>
        <w:tab w:val="left" w:pos="1134"/>
        <w:tab w:val="left" w:pos="1871"/>
        <w:tab w:val="left" w:pos="2268"/>
      </w:tabs>
      <w:jc w:val="center"/>
    </w:pPr>
    <w:rPr>
      <w:rFonts w:asciiTheme="minorHAnsi" w:hAnsiTheme="minorHAnsi"/>
      <w:sz w:val="24"/>
      <w:szCs w:val="20"/>
      <w:lang w:val="en-GB"/>
    </w:rPr>
  </w:style>
  <w:style w:type="paragraph" w:customStyle="1" w:styleId="Figurelegend">
    <w:name w:val="Figure_legend"/>
    <w:basedOn w:val="Normal"/>
    <w:rsid w:val="00AF4A0D"/>
    <w:pPr>
      <w:keepNext/>
      <w:keepLines/>
      <w:tabs>
        <w:tab w:val="clear" w:pos="794"/>
        <w:tab w:val="clear" w:pos="1191"/>
        <w:tab w:val="clear" w:pos="1588"/>
        <w:tab w:val="clear" w:pos="1985"/>
        <w:tab w:val="left" w:pos="1134"/>
        <w:tab w:val="left" w:pos="1871"/>
        <w:tab w:val="left" w:pos="2268"/>
      </w:tabs>
      <w:spacing w:before="20" w:after="20"/>
    </w:pPr>
    <w:rPr>
      <w:rFonts w:asciiTheme="minorHAnsi" w:hAnsiTheme="minorHAnsi"/>
      <w:sz w:val="18"/>
      <w:szCs w:val="20"/>
      <w:lang w:val="en-GB"/>
    </w:rPr>
  </w:style>
  <w:style w:type="paragraph" w:customStyle="1" w:styleId="FigureNo">
    <w:name w:val="Figure_No"/>
    <w:basedOn w:val="Normal"/>
    <w:next w:val="Normal"/>
    <w:rsid w:val="00AF4A0D"/>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hAnsiTheme="minorHAnsi"/>
      <w:caps/>
      <w:sz w:val="20"/>
      <w:szCs w:val="20"/>
      <w:lang w:val="en-GB"/>
    </w:rPr>
  </w:style>
  <w:style w:type="paragraph" w:customStyle="1" w:styleId="Figuretitle">
    <w:name w:val="Figure_title"/>
    <w:basedOn w:val="Normal"/>
    <w:next w:val="Normal"/>
    <w:rsid w:val="00AF4A0D"/>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hAnsiTheme="minorHAnsi"/>
      <w:b/>
      <w:sz w:val="20"/>
      <w:szCs w:val="20"/>
      <w:lang w:val="en-GB"/>
    </w:rPr>
  </w:style>
  <w:style w:type="paragraph" w:customStyle="1" w:styleId="Figurewithouttitle">
    <w:name w:val="Figure_without_title"/>
    <w:basedOn w:val="FigureNo"/>
    <w:next w:val="Normal"/>
    <w:rsid w:val="00AF4A0D"/>
    <w:pPr>
      <w:keepNext w:val="0"/>
    </w:pPr>
  </w:style>
  <w:style w:type="paragraph" w:customStyle="1" w:styleId="Section10">
    <w:name w:val="Section_1"/>
    <w:basedOn w:val="Normal"/>
    <w:rsid w:val="00AF4A0D"/>
    <w:pPr>
      <w:tabs>
        <w:tab w:val="clear" w:pos="794"/>
        <w:tab w:val="clear" w:pos="1191"/>
        <w:tab w:val="clear" w:pos="1588"/>
        <w:tab w:val="clear" w:pos="1985"/>
        <w:tab w:val="left" w:pos="1871"/>
        <w:tab w:val="center" w:pos="4820"/>
      </w:tabs>
      <w:spacing w:before="360"/>
      <w:jc w:val="center"/>
    </w:pPr>
    <w:rPr>
      <w:rFonts w:asciiTheme="minorHAnsi" w:hAnsiTheme="minorHAnsi"/>
      <w:b/>
      <w:sz w:val="24"/>
      <w:szCs w:val="20"/>
      <w:lang w:val="en-GB"/>
    </w:rPr>
  </w:style>
  <w:style w:type="paragraph" w:customStyle="1" w:styleId="Section20">
    <w:name w:val="Section_2"/>
    <w:basedOn w:val="Section10"/>
    <w:rsid w:val="00AF4A0D"/>
    <w:rPr>
      <w:b w:val="0"/>
      <w:i/>
    </w:rPr>
  </w:style>
  <w:style w:type="paragraph" w:customStyle="1" w:styleId="Section3">
    <w:name w:val="Section_3"/>
    <w:basedOn w:val="Section10"/>
    <w:rsid w:val="00AF4A0D"/>
    <w:rPr>
      <w:b w:val="0"/>
    </w:rPr>
  </w:style>
  <w:style w:type="paragraph" w:customStyle="1" w:styleId="SectionNo">
    <w:name w:val="Section_No"/>
    <w:basedOn w:val="AnnexNo"/>
    <w:next w:val="Normal"/>
    <w:rsid w:val="00AF4A0D"/>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Sectiontitle">
    <w:name w:val="Section_title"/>
    <w:basedOn w:val="Annextitle"/>
    <w:next w:val="Normalaftertitle"/>
    <w:rsid w:val="00AF4A0D"/>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lang w:val="en-GB"/>
    </w:rPr>
  </w:style>
  <w:style w:type="paragraph" w:customStyle="1" w:styleId="SpecialFooter">
    <w:name w:val="Special Footer"/>
    <w:basedOn w:val="Footer"/>
    <w:rsid w:val="00AF4A0D"/>
    <w:pPr>
      <w:tabs>
        <w:tab w:val="clear" w:pos="794"/>
        <w:tab w:val="clear" w:pos="1191"/>
        <w:tab w:val="clear" w:pos="1588"/>
        <w:tab w:val="clear" w:pos="1985"/>
        <w:tab w:val="left" w:pos="1134"/>
        <w:tab w:val="left" w:pos="1871"/>
        <w:tab w:val="left" w:pos="2268"/>
      </w:tabs>
      <w:jc w:val="both"/>
    </w:pPr>
    <w:rPr>
      <w:rFonts w:asciiTheme="minorHAnsi" w:hAnsiTheme="minorHAnsi"/>
      <w:caps w:val="0"/>
      <w:noProof w:val="0"/>
      <w:szCs w:val="20"/>
      <w:lang w:val="en-GB"/>
    </w:rPr>
  </w:style>
  <w:style w:type="paragraph" w:customStyle="1" w:styleId="Subsection1">
    <w:name w:val="Subsection_1"/>
    <w:basedOn w:val="Section10"/>
    <w:next w:val="Normalaftertitle"/>
    <w:qFormat/>
    <w:rsid w:val="00AF4A0D"/>
  </w:style>
  <w:style w:type="character" w:customStyle="1" w:styleId="Tablefreq">
    <w:name w:val="Table_freq"/>
    <w:basedOn w:val="DefaultParagraphFont"/>
    <w:rsid w:val="00AF4A0D"/>
    <w:rPr>
      <w:rFonts w:asciiTheme="minorHAnsi" w:hAnsiTheme="minorHAnsi"/>
      <w:b/>
      <w:color w:val="auto"/>
      <w:sz w:val="20"/>
    </w:rPr>
  </w:style>
  <w:style w:type="paragraph" w:customStyle="1" w:styleId="Tableref">
    <w:name w:val="Table_ref"/>
    <w:basedOn w:val="Normal"/>
    <w:next w:val="Normal"/>
    <w:rsid w:val="00AF4A0D"/>
    <w:pPr>
      <w:keepNext/>
      <w:tabs>
        <w:tab w:val="clear" w:pos="794"/>
        <w:tab w:val="clear" w:pos="1191"/>
        <w:tab w:val="clear" w:pos="1588"/>
        <w:tab w:val="clear" w:pos="1985"/>
        <w:tab w:val="left" w:pos="1134"/>
        <w:tab w:val="left" w:pos="1871"/>
        <w:tab w:val="left" w:pos="2268"/>
      </w:tabs>
      <w:spacing w:before="560"/>
      <w:jc w:val="center"/>
    </w:pPr>
    <w:rPr>
      <w:rFonts w:asciiTheme="minorHAnsi" w:hAnsiTheme="minorHAnsi"/>
      <w:sz w:val="20"/>
      <w:szCs w:val="20"/>
      <w:lang w:val="en-GB"/>
    </w:rPr>
  </w:style>
  <w:style w:type="paragraph" w:customStyle="1" w:styleId="Normalend">
    <w:name w:val="Normal_end"/>
    <w:basedOn w:val="Normal"/>
    <w:next w:val="Normal"/>
    <w:qFormat/>
    <w:rsid w:val="00AF4A0D"/>
    <w:pPr>
      <w:tabs>
        <w:tab w:val="clear" w:pos="794"/>
        <w:tab w:val="clear" w:pos="1191"/>
        <w:tab w:val="clear" w:pos="1588"/>
        <w:tab w:val="clear" w:pos="1985"/>
        <w:tab w:val="left" w:pos="1134"/>
        <w:tab w:val="left" w:pos="1871"/>
        <w:tab w:val="left" w:pos="2268"/>
      </w:tabs>
    </w:pPr>
    <w:rPr>
      <w:rFonts w:asciiTheme="minorHAnsi" w:hAnsiTheme="minorHAnsi"/>
      <w:sz w:val="24"/>
      <w:szCs w:val="20"/>
      <w:lang w:val="en-US"/>
    </w:rPr>
  </w:style>
  <w:style w:type="paragraph" w:customStyle="1" w:styleId="Questiondate">
    <w:name w:val="Question_date"/>
    <w:basedOn w:val="Normal"/>
    <w:next w:val="Normalaftertitle"/>
    <w:rsid w:val="00AF4A0D"/>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lang w:val="en-GB"/>
    </w:rPr>
  </w:style>
  <w:style w:type="paragraph" w:customStyle="1" w:styleId="QuestionNo">
    <w:name w:val="Question_No"/>
    <w:basedOn w:val="Normal"/>
    <w:next w:val="Normal"/>
    <w:rsid w:val="00AF4A0D"/>
    <w:pPr>
      <w:keepNext/>
      <w:keepLines/>
      <w:tabs>
        <w:tab w:val="clear" w:pos="794"/>
        <w:tab w:val="clear" w:pos="1191"/>
        <w:tab w:val="clear" w:pos="1588"/>
        <w:tab w:val="clear" w:pos="1985"/>
        <w:tab w:val="left" w:pos="1134"/>
        <w:tab w:val="left" w:pos="1871"/>
        <w:tab w:val="left" w:pos="2268"/>
      </w:tabs>
      <w:spacing w:before="480"/>
      <w:jc w:val="center"/>
    </w:pPr>
    <w:rPr>
      <w:rFonts w:asciiTheme="minorHAnsi" w:hAnsiTheme="minorHAnsi"/>
      <w:caps/>
      <w:sz w:val="28"/>
      <w:szCs w:val="20"/>
      <w:lang w:val="en-GB"/>
    </w:rPr>
  </w:style>
  <w:style w:type="paragraph" w:customStyle="1" w:styleId="Questiontitle">
    <w:name w:val="Question_title"/>
    <w:basedOn w:val="Normal"/>
    <w:next w:val="Normal"/>
    <w:rsid w:val="00AF4A0D"/>
    <w:pPr>
      <w:keepNext/>
      <w:keepLines/>
      <w:tabs>
        <w:tab w:val="clear" w:pos="794"/>
        <w:tab w:val="clear" w:pos="1191"/>
        <w:tab w:val="clear" w:pos="1588"/>
        <w:tab w:val="clear" w:pos="1985"/>
        <w:tab w:val="left" w:pos="1134"/>
        <w:tab w:val="left" w:pos="1871"/>
        <w:tab w:val="left" w:pos="2268"/>
      </w:tabs>
      <w:spacing w:before="240"/>
      <w:jc w:val="center"/>
    </w:pPr>
    <w:rPr>
      <w:rFonts w:asciiTheme="minorHAnsi" w:hAnsiTheme="minorHAnsi"/>
      <w:b/>
      <w:sz w:val="28"/>
      <w:szCs w:val="20"/>
      <w:lang w:val="en-GB"/>
    </w:rPr>
  </w:style>
  <w:style w:type="paragraph" w:customStyle="1" w:styleId="Title4">
    <w:name w:val="Title 4"/>
    <w:basedOn w:val="Title3"/>
    <w:next w:val="Heading1"/>
    <w:rsid w:val="00AF4A0D"/>
    <w:pPr>
      <w:tabs>
        <w:tab w:val="clear" w:pos="794"/>
        <w:tab w:val="clear" w:pos="1191"/>
        <w:tab w:val="clear" w:pos="1588"/>
        <w:tab w:val="clear" w:pos="1985"/>
        <w:tab w:val="left" w:pos="1134"/>
        <w:tab w:val="left" w:pos="1871"/>
        <w:tab w:val="left" w:pos="2268"/>
      </w:tabs>
      <w:overflowPunct/>
      <w:autoSpaceDE/>
      <w:autoSpaceDN/>
      <w:adjustRightInd/>
      <w:spacing w:after="0"/>
      <w:textAlignment w:val="auto"/>
    </w:pPr>
    <w:rPr>
      <w:rFonts w:asciiTheme="minorHAnsi" w:hAnsiTheme="minorHAnsi"/>
      <w:b/>
      <w:sz w:val="28"/>
      <w:szCs w:val="20"/>
      <w:lang w:val="en-GB" w:eastAsia="en-US"/>
    </w:rPr>
  </w:style>
  <w:style w:type="paragraph" w:customStyle="1" w:styleId="Part1">
    <w:name w:val="Part_1"/>
    <w:basedOn w:val="Section10"/>
    <w:next w:val="Section10"/>
    <w:qFormat/>
    <w:rsid w:val="00AF4A0D"/>
  </w:style>
  <w:style w:type="paragraph" w:customStyle="1" w:styleId="PartNo">
    <w:name w:val="Part_No"/>
    <w:basedOn w:val="AnnexNo"/>
    <w:next w:val="Normal"/>
    <w:rsid w:val="00AF4A0D"/>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Partref">
    <w:name w:val="Part_ref"/>
    <w:basedOn w:val="Annexref"/>
    <w:next w:val="Normal"/>
    <w:rsid w:val="00AF4A0D"/>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4"/>
      <w:szCs w:val="20"/>
      <w:lang w:val="en-GB"/>
    </w:rPr>
  </w:style>
  <w:style w:type="paragraph" w:customStyle="1" w:styleId="Parttitle">
    <w:name w:val="Part_title"/>
    <w:basedOn w:val="Annextitle"/>
    <w:next w:val="Normalaftertitle"/>
    <w:rsid w:val="00AF4A0D"/>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lang w:val="en-GB"/>
    </w:rPr>
  </w:style>
  <w:style w:type="paragraph" w:customStyle="1" w:styleId="Recdate">
    <w:name w:val="Rec_date"/>
    <w:basedOn w:val="Normal"/>
    <w:next w:val="Normalaftertitle"/>
    <w:rsid w:val="00AF4A0D"/>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lang w:val="en-GB"/>
    </w:rPr>
  </w:style>
  <w:style w:type="paragraph" w:customStyle="1" w:styleId="AppArtNo">
    <w:name w:val="App_Art_No"/>
    <w:basedOn w:val="ArtNo"/>
    <w:qFormat/>
    <w:rsid w:val="00AF4A0D"/>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AppArttitle">
    <w:name w:val="App_Art_title"/>
    <w:basedOn w:val="Arttitle"/>
    <w:qFormat/>
    <w:rsid w:val="00AF4A0D"/>
    <w:pPr>
      <w:keepNext/>
      <w:keepLines/>
      <w:tabs>
        <w:tab w:val="clear" w:pos="794"/>
        <w:tab w:val="clear" w:pos="1191"/>
        <w:tab w:val="clear" w:pos="1588"/>
        <w:tab w:val="clear" w:pos="1985"/>
        <w:tab w:val="left" w:pos="1134"/>
        <w:tab w:val="left" w:pos="1871"/>
        <w:tab w:val="left" w:pos="2268"/>
      </w:tabs>
      <w:spacing w:after="0"/>
    </w:pPr>
    <w:rPr>
      <w:rFonts w:asciiTheme="minorHAnsi" w:hAnsiTheme="minorHAnsi"/>
      <w:sz w:val="28"/>
      <w:szCs w:val="20"/>
      <w:lang w:val="en-GB"/>
    </w:rPr>
  </w:style>
  <w:style w:type="paragraph" w:customStyle="1" w:styleId="Opiniontitle">
    <w:name w:val="Opinion_title"/>
    <w:basedOn w:val="Rectitle"/>
    <w:next w:val="Normalaftertitle"/>
    <w:qFormat/>
    <w:rsid w:val="00AF4A0D"/>
    <w:pPr>
      <w:keepNext/>
      <w:keepLines/>
      <w:tabs>
        <w:tab w:val="clear" w:pos="794"/>
        <w:tab w:val="clear" w:pos="1191"/>
        <w:tab w:val="clear" w:pos="1588"/>
        <w:tab w:val="clear" w:pos="1985"/>
        <w:tab w:val="left" w:pos="1134"/>
        <w:tab w:val="left" w:pos="1871"/>
        <w:tab w:val="left" w:pos="2268"/>
      </w:tabs>
    </w:pPr>
    <w:rPr>
      <w:rFonts w:asciiTheme="minorHAnsi" w:hAnsiTheme="minorHAnsi"/>
      <w:sz w:val="28"/>
      <w:szCs w:val="20"/>
      <w:lang w:val="en-GB"/>
    </w:rPr>
  </w:style>
  <w:style w:type="paragraph" w:customStyle="1" w:styleId="OpinionNo">
    <w:name w:val="Opinion_No"/>
    <w:basedOn w:val="RecNo"/>
    <w:next w:val="Opiniontitle"/>
    <w:qFormat/>
    <w:rsid w:val="00AF4A0D"/>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Volumetitle">
    <w:name w:val="Volume_title"/>
    <w:basedOn w:val="Normal"/>
    <w:qFormat/>
    <w:rsid w:val="00AF4A0D"/>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szCs w:val="20"/>
      <w:lang w:val="en-US"/>
    </w:rPr>
  </w:style>
  <w:style w:type="paragraph" w:styleId="BalloonText">
    <w:name w:val="Balloon Text"/>
    <w:basedOn w:val="Normal"/>
    <w:link w:val="BalloonTextChar"/>
    <w:rsid w:val="00AF4A0D"/>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AF4A0D"/>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AF4A0D"/>
    <w:rPr>
      <w:rFonts w:ascii="Calibri" w:eastAsia="Times New Roman" w:hAnsi="Calibri" w:cs="Times New Roman"/>
      <w:lang w:val="ru-RU" w:eastAsia="en-US"/>
    </w:rPr>
  </w:style>
  <w:style w:type="character" w:styleId="CommentReference">
    <w:name w:val="annotation reference"/>
    <w:basedOn w:val="DefaultParagraphFont"/>
    <w:uiPriority w:val="99"/>
    <w:semiHidden/>
    <w:unhideWhenUsed/>
    <w:rsid w:val="00AF4A0D"/>
    <w:rPr>
      <w:sz w:val="16"/>
      <w:szCs w:val="16"/>
    </w:rPr>
  </w:style>
  <w:style w:type="paragraph" w:styleId="CommentText">
    <w:name w:val="annotation text"/>
    <w:basedOn w:val="Normal"/>
    <w:link w:val="CommentTextChar"/>
    <w:uiPriority w:val="99"/>
    <w:semiHidden/>
    <w:unhideWhenUsed/>
    <w:rsid w:val="00AF4A0D"/>
    <w:pPr>
      <w:tabs>
        <w:tab w:val="clear" w:pos="794"/>
        <w:tab w:val="clear" w:pos="1191"/>
        <w:tab w:val="clear" w:pos="1588"/>
        <w:tab w:val="clear" w:pos="1985"/>
        <w:tab w:val="left" w:pos="1134"/>
        <w:tab w:val="left" w:pos="1871"/>
        <w:tab w:val="left" w:pos="2268"/>
      </w:tabs>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AF4A0D"/>
    <w:rPr>
      <w:rFonts w:eastAsia="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AF4A0D"/>
    <w:rPr>
      <w:b/>
      <w:bCs/>
    </w:rPr>
  </w:style>
  <w:style w:type="character" w:customStyle="1" w:styleId="CommentSubjectChar">
    <w:name w:val="Comment Subject Char"/>
    <w:basedOn w:val="CommentTextChar"/>
    <w:link w:val="CommentSubject"/>
    <w:semiHidden/>
    <w:rsid w:val="00AF4A0D"/>
    <w:rPr>
      <w:rFonts w:eastAsia="Times New Roman" w:cs="Times New Roman"/>
      <w:b/>
      <w:bCs/>
      <w:sz w:val="20"/>
      <w:szCs w:val="20"/>
      <w:lang w:val="en-GB" w:eastAsia="en-US"/>
    </w:rPr>
  </w:style>
  <w:style w:type="paragraph" w:customStyle="1" w:styleId="paragraph">
    <w:name w:val="paragraph"/>
    <w:basedOn w:val="Normal"/>
    <w:rsid w:val="00AF4A0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4"/>
      <w:szCs w:val="24"/>
      <w:lang w:val="en-GB" w:eastAsia="zh-CN"/>
    </w:rPr>
  </w:style>
  <w:style w:type="character" w:customStyle="1" w:styleId="normaltextrun1">
    <w:name w:val="normaltextrun1"/>
    <w:basedOn w:val="DefaultParagraphFont"/>
    <w:rsid w:val="00AF4A0D"/>
  </w:style>
  <w:style w:type="character" w:customStyle="1" w:styleId="eop">
    <w:name w:val="eop"/>
    <w:basedOn w:val="DefaultParagraphFont"/>
    <w:rsid w:val="00AF4A0D"/>
  </w:style>
  <w:style w:type="paragraph" w:customStyle="1" w:styleId="CEONormal">
    <w:name w:val="CEO_Normal"/>
    <w:link w:val="CEONormalChar"/>
    <w:qFormat/>
    <w:rsid w:val="00AF4A0D"/>
    <w:pPr>
      <w:spacing w:before="120" w:after="120" w:line="240" w:lineRule="auto"/>
    </w:pPr>
    <w:rPr>
      <w:rFonts w:ascii="Verdana" w:eastAsia="SimHei" w:hAnsi="Verdana" w:cs="Simplified Arabic"/>
      <w:sz w:val="19"/>
      <w:szCs w:val="28"/>
      <w:lang w:val="en-GB" w:eastAsia="en-US"/>
    </w:rPr>
  </w:style>
  <w:style w:type="character" w:customStyle="1" w:styleId="CEONormalChar">
    <w:name w:val="CEO_Normal Char"/>
    <w:link w:val="CEONormal"/>
    <w:rsid w:val="00AF4A0D"/>
    <w:rPr>
      <w:rFonts w:ascii="Verdana" w:eastAsia="SimHei" w:hAnsi="Verdana" w:cs="Simplified Arabic"/>
      <w:sz w:val="19"/>
      <w:szCs w:val="28"/>
      <w:lang w:val="en-GB" w:eastAsia="en-US"/>
    </w:rPr>
  </w:style>
  <w:style w:type="paragraph" w:styleId="Revision">
    <w:name w:val="Revision"/>
    <w:hidden/>
    <w:uiPriority w:val="99"/>
    <w:semiHidden/>
    <w:rsid w:val="00AF4A0D"/>
    <w:pPr>
      <w:spacing w:after="0" w:line="240" w:lineRule="auto"/>
    </w:pPr>
    <w:rPr>
      <w:rFonts w:eastAsia="Times New Roman" w:cs="Times New Roman"/>
      <w:sz w:val="24"/>
      <w:szCs w:val="20"/>
      <w:lang w:val="en-GB" w:eastAsia="en-US"/>
    </w:rPr>
  </w:style>
  <w:style w:type="character" w:customStyle="1" w:styleId="StyleComplexBodyCSArial">
    <w:name w:val="Style (Complex) +Body CS (Arial)"/>
    <w:basedOn w:val="DefaultParagraphFont"/>
    <w:rsid w:val="00AF4A0D"/>
    <w:rPr>
      <w:rFonts w:asciiTheme="minorHAnsi" w:hAnsiTheme="minorHAnsi" w:cstheme="minorBidi"/>
    </w:rPr>
  </w:style>
  <w:style w:type="character" w:customStyle="1" w:styleId="StyleComplexBodyCSArial1">
    <w:name w:val="Style (Complex) +Body CS (Arial)1"/>
    <w:basedOn w:val="DefaultParagraphFont"/>
    <w:rsid w:val="00AF4A0D"/>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AF4A0D"/>
    <w:rPr>
      <w:rFonts w:asciiTheme="minorHAnsi" w:hAnsiTheme="minorHAnsi" w:cstheme="minorBidi"/>
      <w:color w:val="444444"/>
    </w:rPr>
  </w:style>
  <w:style w:type="character" w:customStyle="1" w:styleId="StyleComplex12pt">
    <w:name w:val="Style (Complex) 12 pt"/>
    <w:basedOn w:val="DefaultParagraphFont"/>
    <w:rsid w:val="00AF4A0D"/>
    <w:rPr>
      <w:rFonts w:asciiTheme="minorHAnsi" w:hAnsiTheme="minorHAnsi" w:cs="Calibri"/>
      <w:szCs w:val="24"/>
    </w:rPr>
  </w:style>
  <w:style w:type="character" w:customStyle="1" w:styleId="StyleComplexBodyCSArialBold">
    <w:name w:val="Style (Complex) +Body CS (Arial) Bold"/>
    <w:basedOn w:val="DefaultParagraphFont"/>
    <w:rsid w:val="00AF4A0D"/>
    <w:rPr>
      <w:rFonts w:asciiTheme="minorHAnsi" w:hAnsiTheme="minorHAnsi" w:cstheme="minorBidi"/>
      <w:b/>
      <w:bCs/>
    </w:rPr>
  </w:style>
  <w:style w:type="character" w:customStyle="1" w:styleId="StyleComplexBodyCSArialBold1">
    <w:name w:val="Style (Complex) +Body CS (Arial) Bold1"/>
    <w:basedOn w:val="DefaultParagraphFont"/>
    <w:rsid w:val="00AF4A0D"/>
    <w:rPr>
      <w:rFonts w:asciiTheme="minorHAnsi" w:hAnsiTheme="minorHAnsi" w:cstheme="minorBidi"/>
      <w:b/>
      <w:bCs/>
    </w:rPr>
  </w:style>
  <w:style w:type="character" w:customStyle="1" w:styleId="StyleComplexBodyCSArial2">
    <w:name w:val="Style (Complex) +Body CS (Arial)2"/>
    <w:basedOn w:val="DefaultParagraphFont"/>
    <w:rsid w:val="00AF4A0D"/>
    <w:rPr>
      <w:rFonts w:asciiTheme="minorHAnsi" w:hAnsiTheme="minorHAnsi" w:cs="Calibri"/>
    </w:rPr>
  </w:style>
  <w:style w:type="character" w:customStyle="1" w:styleId="StyleComplex12ptBold">
    <w:name w:val="Style (Complex) 12 pt Bold"/>
    <w:basedOn w:val="DefaultParagraphFont"/>
    <w:rsid w:val="00AF4A0D"/>
    <w:rPr>
      <w:rFonts w:asciiTheme="minorHAnsi" w:hAnsiTheme="minorHAnsi" w:cs="Calibri"/>
      <w:b/>
      <w:bCs/>
      <w:iCs w:val="0"/>
      <w:szCs w:val="24"/>
    </w:rPr>
  </w:style>
  <w:style w:type="character" w:customStyle="1" w:styleId="StyleComplexBodyCSArial3">
    <w:name w:val="Style (Complex) +Body CS (Arial)3"/>
    <w:basedOn w:val="DefaultParagraphFont"/>
    <w:rsid w:val="00AF4A0D"/>
    <w:rPr>
      <w:rFonts w:ascii="Calibri" w:hAnsi="Calibri" w:cs="Calibri"/>
    </w:rPr>
  </w:style>
  <w:style w:type="character" w:customStyle="1" w:styleId="StyleComplexBodyCSArial4">
    <w:name w:val="Style (Complex) +Body CS (Arial)4"/>
    <w:basedOn w:val="DefaultParagraphFont"/>
    <w:rsid w:val="00AF4A0D"/>
    <w:rPr>
      <w:rFonts w:asciiTheme="minorHAnsi" w:hAnsiTheme="minorHAnsi" w:cs="Calibri"/>
    </w:rPr>
  </w:style>
  <w:style w:type="character" w:customStyle="1" w:styleId="StyleComplexBodyCSArial5">
    <w:name w:val="Style (Complex) +Body CS (Arial)5"/>
    <w:basedOn w:val="DefaultParagraphFont"/>
    <w:rsid w:val="00AF4A0D"/>
    <w:rPr>
      <w:rFonts w:asciiTheme="minorHAnsi" w:hAnsiTheme="minorHAnsi" w:cs="Calibri"/>
    </w:rPr>
  </w:style>
  <w:style w:type="character" w:customStyle="1" w:styleId="StyleComplexBodyCSArial6">
    <w:name w:val="Style (Complex) +Body CS (Arial)6"/>
    <w:basedOn w:val="DefaultParagraphFont"/>
    <w:rsid w:val="00AF4A0D"/>
    <w:rPr>
      <w:rFonts w:asciiTheme="minorHAnsi" w:hAnsiTheme="minorHAnsi" w:cs="Calibri"/>
    </w:rPr>
  </w:style>
  <w:style w:type="character" w:customStyle="1" w:styleId="StyleComplexBodyCSArial7">
    <w:name w:val="Style (Complex) +Body CS (Arial)7"/>
    <w:basedOn w:val="DefaultParagraphFont"/>
    <w:rsid w:val="00AF4A0D"/>
    <w:rPr>
      <w:rFonts w:asciiTheme="minorHAnsi" w:hAnsiTheme="minorHAnsi" w:cs="Calibri"/>
    </w:rPr>
  </w:style>
  <w:style w:type="character" w:customStyle="1" w:styleId="StyleComplexBodyCSArial8">
    <w:name w:val="Style (Complex) +Body CS (Arial)8"/>
    <w:basedOn w:val="DefaultParagraphFont"/>
    <w:rsid w:val="00AF4A0D"/>
    <w:rPr>
      <w:rFonts w:asciiTheme="minorHAnsi" w:hAnsiTheme="minorHAnsi" w:cs="Calibri"/>
    </w:rPr>
  </w:style>
  <w:style w:type="character" w:customStyle="1" w:styleId="StyleComplexBodyCSArialComplex12pt">
    <w:name w:val="Style (Complex) +Body CS (Arial) (Complex) 12 pt"/>
    <w:basedOn w:val="DefaultParagraphFont"/>
    <w:rsid w:val="00AF4A0D"/>
    <w:rPr>
      <w:rFonts w:asciiTheme="minorHAnsi" w:hAnsiTheme="minorHAnsi" w:cs="Calibri"/>
      <w:szCs w:val="24"/>
    </w:rPr>
  </w:style>
  <w:style w:type="character" w:customStyle="1" w:styleId="StyleComplexBodyCSArialComplex12pt1">
    <w:name w:val="Style (Complex) +Body CS (Arial) (Complex) 12 pt1"/>
    <w:basedOn w:val="DefaultParagraphFont"/>
    <w:rsid w:val="00AF4A0D"/>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AF4A0D"/>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AF4A0D"/>
    <w:rPr>
      <w:rFonts w:asciiTheme="minorHAnsi" w:hAnsiTheme="minorHAnsi" w:cs="Calibri"/>
      <w:b/>
      <w:bCs/>
      <w:iCs w:val="0"/>
      <w:color w:val="444444"/>
    </w:rPr>
  </w:style>
  <w:style w:type="character" w:customStyle="1" w:styleId="ListParagraphChar">
    <w:name w:val="List Paragraph Char"/>
    <w:aliases w:val="Bullet 1 Char,Bullets Char,Citation List Char,Colorful List - Accent 11 Char,List Paragraph Char Char Char,List Paragraph1 Char,List Paragraph11 Char,List Paragraph2 Char,ListPar1 Char,Normal Sentence Char,Number_1 Char,O5 Char"/>
    <w:basedOn w:val="DefaultParagraphFont"/>
    <w:link w:val="ListParagraph"/>
    <w:uiPriority w:val="34"/>
    <w:locked/>
    <w:rsid w:val="00AF4A0D"/>
    <w:rPr>
      <w:rFonts w:eastAsia="Times New Roman" w:cs="Times New Roman"/>
      <w:sz w:val="24"/>
      <w:szCs w:val="20"/>
      <w:lang w:val="en-GB" w:eastAsia="en-US"/>
    </w:rPr>
  </w:style>
  <w:style w:type="paragraph" w:customStyle="1" w:styleId="Default">
    <w:name w:val="Default"/>
    <w:rsid w:val="00AF4A0D"/>
    <w:pPr>
      <w:autoSpaceDE w:val="0"/>
      <w:autoSpaceDN w:val="0"/>
      <w:adjustRightInd w:val="0"/>
      <w:spacing w:after="0" w:line="240" w:lineRule="auto"/>
    </w:pPr>
    <w:rPr>
      <w:rFonts w:ascii="Calibri" w:hAnsi="Calibri" w:cs="Calibri"/>
      <w:color w:val="000000"/>
      <w:sz w:val="24"/>
      <w:szCs w:val="24"/>
      <w:lang w:val="en-US"/>
    </w:rPr>
  </w:style>
  <w:style w:type="character" w:customStyle="1" w:styleId="xmsofootnotereference">
    <w:name w:val="x_msofootnotereference"/>
    <w:basedOn w:val="DefaultParagraphFont"/>
    <w:rsid w:val="00AF4A0D"/>
  </w:style>
  <w:style w:type="paragraph" w:styleId="NoSpacing">
    <w:name w:val="No Spacing"/>
    <w:uiPriority w:val="1"/>
    <w:qFormat/>
    <w:rsid w:val="00AF4A0D"/>
    <w:pPr>
      <w:spacing w:after="0" w:line="240" w:lineRule="auto"/>
      <w:jc w:val="both"/>
    </w:pPr>
    <w:rPr>
      <w:rFonts w:ascii="Calibri" w:eastAsia="SimSun" w:hAnsi="Calibri" w:cs="Arial"/>
      <w:lang w:val="en-US"/>
    </w:rPr>
  </w:style>
  <w:style w:type="character" w:styleId="Emphasis">
    <w:name w:val="Emphasis"/>
    <w:basedOn w:val="DefaultParagraphFont"/>
    <w:uiPriority w:val="20"/>
    <w:qFormat/>
    <w:rsid w:val="00AF4A0D"/>
    <w:rPr>
      <w:i/>
      <w:iCs/>
    </w:rPr>
  </w:style>
  <w:style w:type="paragraph" w:customStyle="1" w:styleId="normalWSIS">
    <w:name w:val="normal WSIS"/>
    <w:basedOn w:val="ListParagraph"/>
    <w:link w:val="normalWSISChar"/>
    <w:qFormat/>
    <w:rsid w:val="00AF4A0D"/>
    <w:pPr>
      <w:numPr>
        <w:numId w:val="3"/>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paragraph" w:customStyle="1" w:styleId="Bulletlist1">
    <w:name w:val="Bullet list 1"/>
    <w:basedOn w:val="Normal"/>
    <w:rsid w:val="00AF4A0D"/>
    <w:pPr>
      <w:tabs>
        <w:tab w:val="clear" w:pos="794"/>
        <w:tab w:val="clear" w:pos="1191"/>
        <w:tab w:val="clear" w:pos="1588"/>
        <w:tab w:val="clear" w:pos="1985"/>
      </w:tabs>
      <w:overflowPunct/>
      <w:autoSpaceDE/>
      <w:autoSpaceDN/>
      <w:adjustRightInd/>
      <w:ind w:left="425" w:hanging="425"/>
      <w:textAlignment w:val="auto"/>
    </w:pPr>
    <w:rPr>
      <w:rFonts w:eastAsiaTheme="minorEastAsia"/>
      <w:sz w:val="21"/>
      <w:lang w:val="en-US" w:eastAsia="fr-FR"/>
    </w:rPr>
  </w:style>
  <w:style w:type="paragraph" w:styleId="NormalWeb">
    <w:name w:val="Normal (Web)"/>
    <w:basedOn w:val="Normal"/>
    <w:uiPriority w:val="99"/>
    <w:unhideWhenUsed/>
    <w:rsid w:val="00AF4A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 w:val="24"/>
      <w:szCs w:val="24"/>
      <w:lang w:val="en-GB" w:eastAsia="zh-CN"/>
    </w:rPr>
  </w:style>
  <w:style w:type="character" w:customStyle="1" w:styleId="normalWSISChar">
    <w:name w:val="normal WSIS Char"/>
    <w:basedOn w:val="DefaultParagraphFont"/>
    <w:link w:val="normalWSIS"/>
    <w:rsid w:val="00AF4A0D"/>
    <w:rPr>
      <w:rFonts w:ascii="Calibri" w:eastAsia="SimSun" w:hAnsi="Calibri" w:cs="Arial"/>
      <w:szCs w:val="24"/>
      <w:lang w:val="en-US"/>
    </w:rPr>
  </w:style>
  <w:style w:type="paragraph" w:customStyle="1" w:styleId="Heading4nextpage">
    <w:name w:val="Heading 4 next page"/>
    <w:basedOn w:val="Heading4"/>
    <w:rsid w:val="00AF4A0D"/>
    <w:pPr>
      <w:keepLines w:val="0"/>
      <w:tabs>
        <w:tab w:val="clear" w:pos="794"/>
        <w:tab w:val="clear" w:pos="1191"/>
        <w:tab w:val="clear" w:pos="1588"/>
        <w:tab w:val="clear" w:pos="1985"/>
        <w:tab w:val="left" w:pos="993"/>
      </w:tabs>
      <w:overflowPunct/>
      <w:autoSpaceDE/>
      <w:autoSpaceDN/>
      <w:adjustRightInd/>
      <w:spacing w:before="240"/>
      <w:ind w:left="0" w:firstLine="0"/>
      <w:textAlignment w:val="auto"/>
    </w:pPr>
    <w:rPr>
      <w:rFonts w:eastAsiaTheme="minorEastAsia"/>
      <w:b w:val="0"/>
      <w:bCs/>
      <w:color w:val="548DD4" w:themeColor="text2" w:themeTint="99"/>
      <w:lang w:val="en-GB" w:eastAsia="en-CA"/>
    </w:rPr>
  </w:style>
  <w:style w:type="paragraph" w:customStyle="1" w:styleId="Heading2noindent">
    <w:name w:val="Heading 2 no indent"/>
    <w:basedOn w:val="Heading2"/>
    <w:next w:val="Normal"/>
    <w:rsid w:val="00AF4A0D"/>
    <w:pPr>
      <w:keepLines w:val="0"/>
      <w:tabs>
        <w:tab w:val="clear" w:pos="794"/>
        <w:tab w:val="clear" w:pos="1191"/>
        <w:tab w:val="clear" w:pos="1588"/>
        <w:tab w:val="clear" w:pos="1985"/>
        <w:tab w:val="left" w:pos="851"/>
      </w:tabs>
      <w:overflowPunct/>
      <w:autoSpaceDE/>
      <w:autoSpaceDN/>
      <w:adjustRightInd/>
      <w:spacing w:before="400"/>
      <w:ind w:left="0" w:firstLine="0"/>
      <w:textAlignment w:val="auto"/>
    </w:pPr>
    <w:rPr>
      <w:rFonts w:asciiTheme="minorHAnsi" w:eastAsiaTheme="minorEastAsia" w:hAnsiTheme="minorHAnsi" w:cs="Helvetica"/>
      <w:b w:val="0"/>
      <w:color w:val="548DD4" w:themeColor="text2" w:themeTint="99"/>
      <w:sz w:val="26"/>
      <w:szCs w:val="32"/>
      <w:lang w:val="en-US" w:eastAsia="fr-FR"/>
    </w:rPr>
  </w:style>
  <w:style w:type="character" w:customStyle="1" w:styleId="tlid-translation">
    <w:name w:val="tlid-translation"/>
    <w:basedOn w:val="DefaultParagraphFont"/>
    <w:rsid w:val="00AF4A0D"/>
  </w:style>
  <w:style w:type="paragraph" w:customStyle="1" w:styleId="Style180">
    <w:name w:val="Style180"/>
    <w:basedOn w:val="Normal"/>
    <w:uiPriority w:val="99"/>
    <w:rsid w:val="00AF4A0D"/>
    <w:pPr>
      <w:widowControl w:val="0"/>
      <w:tabs>
        <w:tab w:val="clear" w:pos="794"/>
        <w:tab w:val="clear" w:pos="1191"/>
        <w:tab w:val="clear" w:pos="1588"/>
        <w:tab w:val="clear" w:pos="1985"/>
      </w:tabs>
      <w:overflowPunct/>
      <w:spacing w:before="0" w:line="259" w:lineRule="exact"/>
      <w:jc w:val="both"/>
      <w:textAlignment w:val="auto"/>
    </w:pPr>
    <w:rPr>
      <w:rFonts w:eastAsiaTheme="minorEastAsia"/>
      <w:sz w:val="24"/>
      <w:szCs w:val="24"/>
      <w:lang w:eastAsia="ru-RU"/>
    </w:rPr>
  </w:style>
  <w:style w:type="paragraph" w:customStyle="1" w:styleId="ceonormal0">
    <w:name w:val="ceonormal0"/>
    <w:basedOn w:val="Normal"/>
    <w:rsid w:val="00AF4A0D"/>
    <w:pPr>
      <w:tabs>
        <w:tab w:val="clear" w:pos="794"/>
        <w:tab w:val="clear" w:pos="1191"/>
        <w:tab w:val="clear" w:pos="1588"/>
        <w:tab w:val="clear" w:pos="1985"/>
      </w:tabs>
      <w:overflowPunct/>
      <w:autoSpaceDE/>
      <w:autoSpaceDN/>
      <w:adjustRightInd/>
      <w:spacing w:after="120"/>
      <w:textAlignment w:val="auto"/>
    </w:pPr>
    <w:rPr>
      <w:rFonts w:ascii="Verdana" w:eastAsiaTheme="minorEastAsia" w:hAnsi="Verdana"/>
      <w:sz w:val="20"/>
      <w:szCs w:val="20"/>
      <w:lang w:val="en-GB" w:eastAsia="zh-CN"/>
    </w:rPr>
  </w:style>
  <w:style w:type="character" w:styleId="Strong">
    <w:name w:val="Strong"/>
    <w:basedOn w:val="DefaultParagraphFont"/>
    <w:uiPriority w:val="22"/>
    <w:qFormat/>
    <w:rsid w:val="00AF4A0D"/>
    <w:rPr>
      <w:b/>
      <w:bCs/>
    </w:rPr>
  </w:style>
  <w:style w:type="paragraph" w:styleId="PlainText">
    <w:name w:val="Plain Text"/>
    <w:basedOn w:val="Normal"/>
    <w:link w:val="PlainTextChar"/>
    <w:uiPriority w:val="99"/>
    <w:unhideWhenUsed/>
    <w:rsid w:val="00AF4A0D"/>
    <w:pPr>
      <w:tabs>
        <w:tab w:val="clear" w:pos="794"/>
        <w:tab w:val="clear" w:pos="1191"/>
        <w:tab w:val="clear" w:pos="1588"/>
        <w:tab w:val="clear" w:pos="1985"/>
      </w:tabs>
      <w:overflowPunct/>
      <w:autoSpaceDE/>
      <w:autoSpaceDN/>
      <w:adjustRightInd/>
      <w:spacing w:before="0"/>
      <w:textAlignment w:val="auto"/>
    </w:pPr>
    <w:rPr>
      <w:rFonts w:eastAsiaTheme="minorEastAsia" w:cstheme="minorBidi"/>
      <w:szCs w:val="21"/>
      <w:lang w:val="en-GB" w:eastAsia="zh-CN"/>
    </w:rPr>
  </w:style>
  <w:style w:type="character" w:customStyle="1" w:styleId="PlainTextChar">
    <w:name w:val="Plain Text Char"/>
    <w:basedOn w:val="DefaultParagraphFont"/>
    <w:link w:val="PlainText"/>
    <w:uiPriority w:val="99"/>
    <w:rsid w:val="00AF4A0D"/>
    <w:rPr>
      <w:rFonts w:ascii="Calibri" w:hAnsi="Calibri"/>
      <w:szCs w:val="21"/>
      <w:lang w:val="en-GB"/>
    </w:rPr>
  </w:style>
  <w:style w:type="character" w:customStyle="1" w:styleId="UnresolvedMention1">
    <w:name w:val="Unresolved Mention1"/>
    <w:basedOn w:val="DefaultParagraphFont"/>
    <w:uiPriority w:val="99"/>
    <w:semiHidden/>
    <w:unhideWhenUsed/>
    <w:rsid w:val="00AF4A0D"/>
    <w:rPr>
      <w:color w:val="605E5C"/>
      <w:shd w:val="clear" w:color="auto" w:fill="E1DFDD"/>
    </w:rPr>
  </w:style>
  <w:style w:type="table" w:styleId="TableGrid2">
    <w:name w:val="Table Grid 2"/>
    <w:basedOn w:val="TableNormal"/>
    <w:semiHidden/>
    <w:rsid w:val="00AF4A0D"/>
    <w:pPr>
      <w:spacing w:before="120" w:after="120" w:line="240" w:lineRule="auto"/>
    </w:pPr>
    <w:rPr>
      <w:rFonts w:ascii="Times New Roman" w:eastAsia="SimHei"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AF4A0D"/>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semiHidden/>
    <w:rsid w:val="00AF4A0D"/>
    <w:rPr>
      <w:rFonts w:ascii="Verdana" w:eastAsia="SimHei" w:hAnsi="Verdana" w:cs="Simplified Arabic"/>
      <w:bCs/>
      <w:sz w:val="18"/>
      <w:szCs w:val="28"/>
      <w:lang w:val="en-US"/>
    </w:rPr>
  </w:style>
  <w:style w:type="table" w:styleId="Table3Deffects2">
    <w:name w:val="Table 3D effects 2"/>
    <w:basedOn w:val="TableNormal"/>
    <w:semiHidden/>
    <w:rsid w:val="00AF4A0D"/>
    <w:pPr>
      <w:spacing w:before="120" w:after="120" w:line="240" w:lineRule="auto"/>
    </w:pPr>
    <w:rPr>
      <w:rFonts w:ascii="Times New Roman" w:eastAsia="SimSu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AF4A0D"/>
    <w:pPr>
      <w:spacing w:before="120" w:after="120" w:line="240" w:lineRule="auto"/>
    </w:pPr>
    <w:rPr>
      <w:rFonts w:ascii="Times New Roman" w:eastAsia="SimSu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9Style">
    <w:name w:val="9 Style"/>
    <w:basedOn w:val="Normal"/>
    <w:next w:val="Normal"/>
    <w:uiPriority w:val="99"/>
    <w:rsid w:val="00AF4A0D"/>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 w:val="24"/>
      <w:szCs w:val="24"/>
      <w:lang w:val="en-US"/>
    </w:rPr>
  </w:style>
  <w:style w:type="character" w:customStyle="1" w:styleId="UnresolvedMention2">
    <w:name w:val="Unresolved Mention2"/>
    <w:basedOn w:val="DefaultParagraphFont"/>
    <w:uiPriority w:val="99"/>
    <w:semiHidden/>
    <w:unhideWhenUsed/>
    <w:rsid w:val="00AF4A0D"/>
    <w:rPr>
      <w:color w:val="605E5C"/>
      <w:shd w:val="clear" w:color="auto" w:fill="E1DFDD"/>
    </w:rPr>
  </w:style>
  <w:style w:type="character" w:customStyle="1" w:styleId="UnresolvedMention3">
    <w:name w:val="Unresolved Mention3"/>
    <w:basedOn w:val="DefaultParagraphFont"/>
    <w:uiPriority w:val="99"/>
    <w:semiHidden/>
    <w:unhideWhenUsed/>
    <w:rsid w:val="00AF4A0D"/>
    <w:rPr>
      <w:color w:val="605E5C"/>
      <w:shd w:val="clear" w:color="auto" w:fill="E1DFDD"/>
    </w:rPr>
  </w:style>
  <w:style w:type="character" w:customStyle="1" w:styleId="UnresolvedMention4">
    <w:name w:val="Unresolved Mention4"/>
    <w:basedOn w:val="DefaultParagraphFont"/>
    <w:uiPriority w:val="99"/>
    <w:semiHidden/>
    <w:unhideWhenUsed/>
    <w:rsid w:val="00AF4A0D"/>
    <w:rPr>
      <w:color w:val="605E5C"/>
      <w:shd w:val="clear" w:color="auto" w:fill="E1DFDD"/>
    </w:rPr>
  </w:style>
  <w:style w:type="character" w:customStyle="1" w:styleId="UnresolvedMention5">
    <w:name w:val="Unresolved Mention5"/>
    <w:basedOn w:val="DefaultParagraphFont"/>
    <w:uiPriority w:val="99"/>
    <w:semiHidden/>
    <w:unhideWhenUsed/>
    <w:rsid w:val="00AF4A0D"/>
    <w:rPr>
      <w:color w:val="605E5C"/>
      <w:shd w:val="clear" w:color="auto" w:fill="E1DFDD"/>
    </w:rPr>
  </w:style>
  <w:style w:type="character" w:customStyle="1" w:styleId="UnresolvedMention6">
    <w:name w:val="Unresolved Mention6"/>
    <w:basedOn w:val="DefaultParagraphFont"/>
    <w:uiPriority w:val="99"/>
    <w:rsid w:val="00AF4A0D"/>
    <w:rPr>
      <w:color w:val="605E5C"/>
      <w:shd w:val="clear" w:color="auto" w:fill="E1DFDD"/>
    </w:rPr>
  </w:style>
  <w:style w:type="table" w:styleId="GridTable1Light-Accent1">
    <w:name w:val="Grid Table 1 Light Accent 1"/>
    <w:basedOn w:val="TableNormal"/>
    <w:uiPriority w:val="46"/>
    <w:rsid w:val="00AF4A0D"/>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ri">
    <w:name w:val="bri"/>
    <w:basedOn w:val="DefaultParagraphFont"/>
    <w:rsid w:val="00AF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TDAG25.2-C-0055/" TargetMode="External"/><Relationship Id="rId21" Type="http://schemas.openxmlformats.org/officeDocument/2006/relationships/hyperlink" Target="https://www.itu.int/web/pp-18/en/" TargetMode="External"/><Relationship Id="rId42" Type="http://schemas.openxmlformats.org/officeDocument/2006/relationships/hyperlink" Target="https://www.itu.int/md/D18-TDAG25.2-C-0042/" TargetMode="External"/><Relationship Id="rId47" Type="http://schemas.openxmlformats.org/officeDocument/2006/relationships/hyperlink" Target="https://www.itu.int/md/D18-TDAG25.2-C-0052/" TargetMode="External"/><Relationship Id="rId63" Type="http://schemas.openxmlformats.org/officeDocument/2006/relationships/hyperlink" Target="https://www.itu.int/md/D18-TDAG25.2-C-0028/" TargetMode="External"/><Relationship Id="rId68" Type="http://schemas.openxmlformats.org/officeDocument/2006/relationships/hyperlink" Target="https://www.itu.int/fr/ITU-D/Digital-Inclusion/Women-and-Girls/Girls-in-ICT-Portal/Pages/GirlsInICTDay/2020/default.aspx" TargetMode="External"/><Relationship Id="rId16" Type="http://schemas.openxmlformats.org/officeDocument/2006/relationships/hyperlink" Target="https://www.itu.int/md/D18-TDAG25.2-C-0017/" TargetMode="External"/><Relationship Id="rId11" Type="http://schemas.openxmlformats.org/officeDocument/2006/relationships/hyperlink" Target="https://www.itu.int/md/D18-TDAG25.2-200602-TD-0003/" TargetMode="External"/><Relationship Id="rId32" Type="http://schemas.openxmlformats.org/officeDocument/2006/relationships/hyperlink" Target="https://www.itu.int/md/D18-TDAG25.2-C-0020/" TargetMode="External"/><Relationship Id="rId37" Type="http://schemas.openxmlformats.org/officeDocument/2006/relationships/hyperlink" Target="https://www.itu.int/md/D18-TDAG25.2-C-0036/" TargetMode="External"/><Relationship Id="rId53" Type="http://schemas.openxmlformats.org/officeDocument/2006/relationships/hyperlink" Target="https://www.itu.int/md/D18-TDAG25.2-C-0045/" TargetMode="External"/><Relationship Id="rId58" Type="http://schemas.openxmlformats.org/officeDocument/2006/relationships/hyperlink" Target="https://www.itu.int/md/D18-TDAG25.2-C-0027/" TargetMode="External"/><Relationship Id="rId74" Type="http://schemas.openxmlformats.org/officeDocument/2006/relationships/hyperlink" Target="https://www.itu.int/md/D18-TDAG25.2-C-0049/"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itu.int/md/S20-EGITR2-200212-DL-0002/en" TargetMode="External"/><Relationship Id="rId19" Type="http://schemas.openxmlformats.org/officeDocument/2006/relationships/hyperlink" Target="https://www.itu.int/en/ITU-D/Emergency-Telecommunications/Pages/Publications/Guidelines-for-NETPs.aspx" TargetMode="External"/><Relationship Id="rId14" Type="http://schemas.openxmlformats.org/officeDocument/2006/relationships/hyperlink" Target="https://www.itu.int/md/D18-TDAG25.2-C-0004/" TargetMode="External"/><Relationship Id="rId22" Type="http://schemas.openxmlformats.org/officeDocument/2006/relationships/hyperlink" Target="https://www.itu.int/en/ITU-D/Conferences/WTDC/WTDC17/Pages/default.aspx" TargetMode="External"/><Relationship Id="rId27" Type="http://schemas.openxmlformats.org/officeDocument/2006/relationships/hyperlink" Target="https://www.itu.int/md/D18-TDAG25.2-C-0005/en" TargetMode="External"/><Relationship Id="rId30" Type="http://schemas.openxmlformats.org/officeDocument/2006/relationships/hyperlink" Target="https://www.itu.int/md/D18-TDAG25.2-C-0018/" TargetMode="External"/><Relationship Id="rId35" Type="http://schemas.openxmlformats.org/officeDocument/2006/relationships/hyperlink" Target="https://www.itu.int/md/D18-TDAG25.2-C-0035/" TargetMode="External"/><Relationship Id="rId43" Type="http://schemas.openxmlformats.org/officeDocument/2006/relationships/hyperlink" Target="https://www.itu.int/md/D18-TDAG25.2-C-0037/" TargetMode="External"/><Relationship Id="rId48" Type="http://schemas.openxmlformats.org/officeDocument/2006/relationships/hyperlink" Target="https://www.itu.int/md/D18-TDAG25.2-C-0053/" TargetMode="External"/><Relationship Id="rId56" Type="http://schemas.openxmlformats.org/officeDocument/2006/relationships/hyperlink" Target="https://www.itu.int/md/D18-TDAG25.2-C-0011/" TargetMode="External"/><Relationship Id="rId64" Type="http://schemas.openxmlformats.org/officeDocument/2006/relationships/hyperlink" Target="https://www.itu.int/md/D18-TDAG25.2-C-0014/" TargetMode="External"/><Relationship Id="rId69" Type="http://schemas.openxmlformats.org/officeDocument/2006/relationships/hyperlink" Target="https://twitter.com/search/?q=%28%23gendertechimpact&amp;f=realtime"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itu.int/md/D18-TDAG25.2-C-0034/" TargetMode="External"/><Relationship Id="rId72" Type="http://schemas.openxmlformats.org/officeDocument/2006/relationships/hyperlink" Target="https://www.itu.int/en/cop/Pages/guidelines.aspx"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D18-TDAG25.2-200602-TD-0004/" TargetMode="External"/><Relationship Id="rId17" Type="http://schemas.openxmlformats.org/officeDocument/2006/relationships/hyperlink" Target="https://www.itu.int/md/D18-TDAG25.2-C-0030/" TargetMode="External"/><Relationship Id="rId25" Type="http://schemas.openxmlformats.org/officeDocument/2006/relationships/hyperlink" Target="https://www.itu.int/md/D18-TDAG25.2-C-0013/" TargetMode="External"/><Relationship Id="rId33" Type="http://schemas.openxmlformats.org/officeDocument/2006/relationships/hyperlink" Target="https://www.itu.int/md/D18-TDAG25.2-C-0021/" TargetMode="External"/><Relationship Id="rId38" Type="http://schemas.openxmlformats.org/officeDocument/2006/relationships/hyperlink" Target="https://www.itu.int/en/general-secretariat/Pages/ISCG/default.aspx" TargetMode="External"/><Relationship Id="rId46" Type="http://schemas.openxmlformats.org/officeDocument/2006/relationships/hyperlink" Target="https://www.itu.int/md/D18-TDAG25.2-C-0051/" TargetMode="External"/><Relationship Id="rId59" Type="http://schemas.openxmlformats.org/officeDocument/2006/relationships/hyperlink" Target="https://www.itu.int/md/D18-TDAG25.2-C-0016/" TargetMode="External"/><Relationship Id="rId67" Type="http://schemas.openxmlformats.org/officeDocument/2006/relationships/hyperlink" Target="https://www.itu.int/md/D18-TDAG25.2-C-0047/" TargetMode="External"/><Relationship Id="rId20" Type="http://schemas.openxmlformats.org/officeDocument/2006/relationships/hyperlink" Target="https://news.itu.int/why-itu-is-joining-the-crisis-connectivity-charter-doreen-bogdan-martin/" TargetMode="External"/><Relationship Id="rId41" Type="http://schemas.openxmlformats.org/officeDocument/2006/relationships/hyperlink" Target="https://www.itu.int/md/D18-TDAG25.2-C-0041/" TargetMode="External"/><Relationship Id="rId54" Type="http://schemas.openxmlformats.org/officeDocument/2006/relationships/hyperlink" Target="https://www.itu.int/md/D18-TDAG25.2-C-0046/" TargetMode="External"/><Relationship Id="rId62" Type="http://schemas.openxmlformats.org/officeDocument/2006/relationships/hyperlink" Target="https://www.itu.int/md/D18-TDAG25.2-C-0026/" TargetMode="External"/><Relationship Id="rId70" Type="http://schemas.openxmlformats.org/officeDocument/2006/relationships/hyperlink" Target="https://www.itu.int/fr/ITU-D/Digital-Inclusion/Women-and-Girls/Girls-in-ICT-Portal/Pages/GirlsInICTDay/2020/24h-event.aspx" TargetMode="External"/><Relationship Id="rId75" Type="http://schemas.openxmlformats.org/officeDocument/2006/relationships/hyperlink" Target="https://www.itu.int/md/D18-TDAG23-C-00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5.2-C-0006/" TargetMode="External"/><Relationship Id="rId23" Type="http://schemas.openxmlformats.org/officeDocument/2006/relationships/hyperlink" Target="https://www.itu.int/md/D18-TDAG25.2-C-0010/" TargetMode="External"/><Relationship Id="rId28" Type="http://schemas.openxmlformats.org/officeDocument/2006/relationships/hyperlink" Target="http://handle.itu.int/11.1002/ls/sp16-itu-dsg2-iLS-00038.docx" TargetMode="External"/><Relationship Id="rId36" Type="http://schemas.openxmlformats.org/officeDocument/2006/relationships/hyperlink" Target="https://www.itu.int/md/D18-TDAG25.2-C-0056/" TargetMode="External"/><Relationship Id="rId49" Type="http://schemas.openxmlformats.org/officeDocument/2006/relationships/hyperlink" Target="https://www.itu.int/md/D18-TDAG25.2-200602-TD-0007/en" TargetMode="External"/><Relationship Id="rId57" Type="http://schemas.openxmlformats.org/officeDocument/2006/relationships/hyperlink" Target="https://www.itu.int/md/D18-TDAG25.2-INF-0013/" TargetMode="External"/><Relationship Id="rId10" Type="http://schemas.openxmlformats.org/officeDocument/2006/relationships/hyperlink" Target="https://www.itu.int/md/D18-TDAG25.2-200602-TD-0001/" TargetMode="External"/><Relationship Id="rId31" Type="http://schemas.openxmlformats.org/officeDocument/2006/relationships/hyperlink" Target="https://www.itu.int/md/D18-TDAG25.2-C-0019/" TargetMode="External"/><Relationship Id="rId44" Type="http://schemas.openxmlformats.org/officeDocument/2006/relationships/hyperlink" Target="https://www.itu.int/md/D18-TDAG25.2-C-0043/" TargetMode="External"/><Relationship Id="rId52" Type="http://schemas.openxmlformats.org/officeDocument/2006/relationships/hyperlink" Target="https://www.itu.int/md/D18-TDAG25.2-C-0034/" TargetMode="External"/><Relationship Id="rId60" Type="http://schemas.openxmlformats.org/officeDocument/2006/relationships/hyperlink" Target="https://www.itu.int/md/D18-TDAG25.2-C-0009/" TargetMode="External"/><Relationship Id="rId65" Type="http://schemas.openxmlformats.org/officeDocument/2006/relationships/hyperlink" Target="https://www.itu.int/md/D18-TDAG25.2-C-0015/" TargetMode="External"/><Relationship Id="rId73" Type="http://schemas.openxmlformats.org/officeDocument/2006/relationships/hyperlink" Target="https://www.itu.int/en/ITU-D/Cybersecurity/Pages/COP.aspx"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18-TDAG25.2-C-0001/" TargetMode="External"/><Relationship Id="rId13" Type="http://schemas.openxmlformats.org/officeDocument/2006/relationships/hyperlink" Target="https://www.itu.int/md/D18-TDAG25.2-C-0038/" TargetMode="External"/><Relationship Id="rId18" Type="http://schemas.openxmlformats.org/officeDocument/2006/relationships/hyperlink" Target="https://www.itu.int/md/D18-TDAG25.2-C-0039/" TargetMode="External"/><Relationship Id="rId39" Type="http://schemas.openxmlformats.org/officeDocument/2006/relationships/hyperlink" Target="https://www.itu.int/md/D18-TDAG25.2-C-0008/" TargetMode="External"/><Relationship Id="rId34" Type="http://schemas.openxmlformats.org/officeDocument/2006/relationships/hyperlink" Target="https://www.itu.int/md/D18-TDAG25.2-C-0023/" TargetMode="External"/><Relationship Id="rId50" Type="http://schemas.openxmlformats.org/officeDocument/2006/relationships/hyperlink" Target="https://www.itu.int/md/D18-TDAG25.2-C-0022/" TargetMode="External"/><Relationship Id="rId55" Type="http://schemas.openxmlformats.org/officeDocument/2006/relationships/hyperlink" Target="https://www.itu.int/md/D18-TDAG25.2-C-0007/" TargetMode="External"/><Relationship Id="rId76" Type="http://schemas.openxmlformats.org/officeDocument/2006/relationships/hyperlink" Target="https://www.itu.int/en/ITU-D/Conferences/TDAG/Pages/Role-of-TDAG-Chairman-and-Vice-Chairmen.aspx" TargetMode="External"/><Relationship Id="rId7" Type="http://schemas.openxmlformats.org/officeDocument/2006/relationships/endnotes" Target="endnotes.xml"/><Relationship Id="rId71" Type="http://schemas.openxmlformats.org/officeDocument/2006/relationships/hyperlink" Target="https://www.itu.int/md/D18-TDAG25.2-C-0048/" TargetMode="External"/><Relationship Id="rId2" Type="http://schemas.openxmlformats.org/officeDocument/2006/relationships/numbering" Target="numbering.xml"/><Relationship Id="rId29" Type="http://schemas.openxmlformats.org/officeDocument/2006/relationships/hyperlink" Target="http://handle.itu.int/11.1002/ls/sp16-tsag-oLS-00013.zip" TargetMode="External"/><Relationship Id="rId24" Type="http://schemas.openxmlformats.org/officeDocument/2006/relationships/hyperlink" Target="https://www.itu.int/md/D18-TDAG25.2-C-0012/" TargetMode="External"/><Relationship Id="rId40" Type="http://schemas.openxmlformats.org/officeDocument/2006/relationships/hyperlink" Target="https://www.itu.int/md/D18-TDAG25.2-C-0040/" TargetMode="External"/><Relationship Id="rId45" Type="http://schemas.openxmlformats.org/officeDocument/2006/relationships/hyperlink" Target="https://www.itu.int/md/D18-TDAG25.2-C-0044/" TargetMode="External"/><Relationship Id="rId66" Type="http://schemas.openxmlformats.org/officeDocument/2006/relationships/hyperlink" Target="https://www.itu.int/md/D18-TDAG25.2-C-0033/"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F8C4E-67F4-43CD-B155-D2DF267E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PR_TDAG20.dotx</Template>
  <TotalTime>143</TotalTime>
  <Pages>32</Pages>
  <Words>16433</Words>
  <Characters>93672</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TDAG19</vt:lpstr>
    </vt:vector>
  </TitlesOfParts>
  <Company>International Telecommunication Union (ITU)</Company>
  <LinksUpToDate>false</LinksUpToDate>
  <CharactersWithSpaces>109886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Russian</dc:creator>
  <cp:keywords/>
  <dc:description/>
  <cp:lastModifiedBy>Fedosova, Elena</cp:lastModifiedBy>
  <cp:revision>36</cp:revision>
  <cp:lastPrinted>2015-03-02T13:42:00Z</cp:lastPrinted>
  <dcterms:created xsi:type="dcterms:W3CDTF">2020-09-04T09:40:00Z</dcterms:created>
  <dcterms:modified xsi:type="dcterms:W3CDTF">2020-09-04T13:58:00Z</dcterms:modified>
</cp:coreProperties>
</file>