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490985" w:rsidRPr="00CB30F8" w14:paraId="23F10875" w14:textId="77777777" w:rsidTr="00F1345B">
        <w:trPr>
          <w:cantSplit/>
          <w:trHeight w:val="1310"/>
        </w:trPr>
        <w:tc>
          <w:tcPr>
            <w:tcW w:w="6531" w:type="dxa"/>
          </w:tcPr>
          <w:p w14:paraId="04DC18D6" w14:textId="77777777" w:rsidR="00490985" w:rsidRPr="00CB30F8" w:rsidRDefault="00490985" w:rsidP="00F1345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b/>
                <w:bCs/>
                <w:sz w:val="32"/>
                <w:szCs w:val="40"/>
                <w:rtl/>
                <w:lang w:bidi="ar-EG"/>
              </w:rPr>
            </w:pPr>
            <w:r w:rsidRPr="00CB30F8">
              <w:rPr>
                <w:rFonts w:hint="cs"/>
                <w:b/>
                <w:bCs/>
                <w:sz w:val="32"/>
                <w:szCs w:val="40"/>
                <w:rtl/>
                <w:lang w:bidi="ar-EG"/>
              </w:rPr>
              <w:t xml:space="preserve">الفريق الاستشاري لتنمية الاتصالات </w:t>
            </w:r>
            <w:r w:rsidRPr="00CB30F8">
              <w:rPr>
                <w:b/>
                <w:bCs/>
                <w:sz w:val="32"/>
                <w:szCs w:val="40"/>
                <w:lang w:bidi="ar-EG"/>
              </w:rPr>
              <w:t>(TDAG)</w:t>
            </w:r>
          </w:p>
          <w:p w14:paraId="0AB17F8B" w14:textId="77777777" w:rsidR="00490985" w:rsidRPr="00CB30F8" w:rsidRDefault="00490985" w:rsidP="00F1345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b/>
                <w:bCs/>
                <w:sz w:val="32"/>
                <w:szCs w:val="40"/>
                <w:rtl/>
                <w:lang w:bidi="ar-EG"/>
              </w:rPr>
            </w:pPr>
            <w:r w:rsidRPr="00507FFC">
              <w:rPr>
                <w:rFonts w:asciiTheme="minorHAnsi" w:hAnsiTheme="minorHAnsi" w:cstheme="minorHAnsi"/>
                <w:b/>
                <w:bCs/>
                <w:sz w:val="32"/>
                <w:szCs w:val="40"/>
                <w:lang w:bidi="ar-EG"/>
              </w:rPr>
              <w:t>الاجتماع الخامس والعشرون ، جنيف</w:t>
            </w:r>
            <w:r w:rsidRPr="00507FFC">
              <w:rPr>
                <w:rFonts w:asciiTheme="minorHAnsi" w:hAnsiTheme="minorHAnsi" w:cstheme="minorHAnsi"/>
                <w:b/>
                <w:bCs/>
                <w:szCs w:val="40"/>
                <w:rtl/>
                <w:lang w:bidi="ar-EG"/>
              </w:rPr>
              <w:t>،</w:t>
            </w:r>
            <w:r w:rsidRPr="00507FFC">
              <w:rPr>
                <w:rFonts w:asciiTheme="minorHAnsi" w:hAnsiTheme="minorHAnsi" w:cstheme="minorHAnsi"/>
                <w:b/>
                <w:bCs/>
                <w:sz w:val="24"/>
                <w:szCs w:val="24"/>
                <w:rtl/>
                <w:lang w:bidi="ar-EG"/>
              </w:rPr>
              <w:t xml:space="preserve"> </w:t>
            </w:r>
            <w:r w:rsidRPr="00507FFC">
              <w:rPr>
                <w:rFonts w:asciiTheme="minorHAnsi" w:hAnsiTheme="minorHAnsi" w:cstheme="minorHAnsi"/>
                <w:b/>
                <w:bCs/>
                <w:sz w:val="24"/>
                <w:szCs w:val="24"/>
                <w:lang w:bidi="ar-EG"/>
              </w:rPr>
              <w:t>2</w:t>
            </w:r>
            <w:r w:rsidRPr="00507FFC">
              <w:rPr>
                <w:rFonts w:asciiTheme="minorHAnsi" w:hAnsiTheme="minorHAnsi" w:cstheme="minorHAnsi"/>
                <w:b/>
                <w:bCs/>
                <w:sz w:val="24"/>
                <w:szCs w:val="24"/>
                <w:rtl/>
                <w:lang w:bidi="ar-EG"/>
              </w:rPr>
              <w:t>-</w:t>
            </w:r>
            <w:r w:rsidRPr="00507FFC">
              <w:rPr>
                <w:rFonts w:asciiTheme="minorHAnsi" w:hAnsiTheme="minorHAnsi" w:cstheme="minorHAnsi"/>
                <w:b/>
                <w:bCs/>
                <w:sz w:val="24"/>
                <w:szCs w:val="24"/>
                <w:lang w:bidi="ar-EG"/>
              </w:rPr>
              <w:t>5</w:t>
            </w:r>
            <w:r w:rsidRPr="00507FFC">
              <w:rPr>
                <w:rFonts w:asciiTheme="minorHAnsi" w:hAnsiTheme="minorHAnsi" w:cstheme="minorHAnsi"/>
                <w:b/>
                <w:bCs/>
                <w:sz w:val="18"/>
                <w:szCs w:val="32"/>
                <w:rtl/>
                <w:lang w:bidi="ar-EG"/>
              </w:rPr>
              <w:t xml:space="preserve"> </w:t>
            </w:r>
            <w:r w:rsidRPr="00507FFC">
              <w:rPr>
                <w:rFonts w:asciiTheme="minorHAnsi" w:hAnsiTheme="minorHAnsi" w:cstheme="minorHAnsi"/>
                <w:b/>
                <w:bCs/>
                <w:sz w:val="24"/>
                <w:szCs w:val="32"/>
                <w:rtl/>
                <w:lang w:bidi="ar-EG"/>
              </w:rPr>
              <w:t xml:space="preserve">يونيو </w:t>
            </w:r>
            <w:r w:rsidRPr="00507FFC">
              <w:rPr>
                <w:rFonts w:asciiTheme="minorHAnsi" w:hAnsiTheme="minorHAnsi" w:cstheme="minorHAnsi"/>
                <w:b/>
                <w:bCs/>
                <w:sz w:val="24"/>
                <w:szCs w:val="24"/>
                <w:lang w:bidi="ar-EG"/>
              </w:rPr>
              <w:t>2</w:t>
            </w:r>
            <w:r w:rsidRPr="00382349">
              <w:rPr>
                <w:b/>
                <w:bCs/>
                <w:sz w:val="24"/>
                <w:szCs w:val="24"/>
                <w:lang w:bidi="ar-EG"/>
              </w:rPr>
              <w:t>020</w:t>
            </w:r>
          </w:p>
        </w:tc>
        <w:tc>
          <w:tcPr>
            <w:tcW w:w="3108" w:type="dxa"/>
          </w:tcPr>
          <w:p w14:paraId="5676BB01" w14:textId="77777777" w:rsidR="00490985" w:rsidRPr="00CB30F8" w:rsidRDefault="00490985" w:rsidP="00F1345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lang w:val="en-GB" w:bidi="ar-SY"/>
              </w:rPr>
            </w:pPr>
            <w:bookmarkStart w:id="0" w:name="ditulogo"/>
            <w:bookmarkEnd w:id="0"/>
            <w:r w:rsidRPr="008E52B1">
              <w:rPr>
                <w:noProof/>
                <w:color w:val="3399FF"/>
                <w:lang w:val="en-GB" w:eastAsia="en-GB"/>
              </w:rPr>
              <w:drawing>
                <wp:inline distT="0" distB="0" distL="0" distR="0" wp14:anchorId="50319AF5" wp14:editId="1A128E4F">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90985" w:rsidRPr="00CB30F8" w14:paraId="34141C19" w14:textId="77777777" w:rsidTr="00F1345B">
        <w:trPr>
          <w:cantSplit/>
        </w:trPr>
        <w:tc>
          <w:tcPr>
            <w:tcW w:w="6531" w:type="dxa"/>
            <w:tcBorders>
              <w:top w:val="single" w:sz="12" w:space="0" w:color="auto"/>
            </w:tcBorders>
          </w:tcPr>
          <w:p w14:paraId="70DE23FA" w14:textId="77777777" w:rsidR="00490985" w:rsidRPr="00CB30F8" w:rsidRDefault="00490985" w:rsidP="00F1345B">
            <w:pPr>
              <w:spacing w:before="0"/>
              <w:rPr>
                <w:b/>
                <w:bCs/>
                <w:lang w:bidi="ar-SY"/>
              </w:rPr>
            </w:pPr>
          </w:p>
        </w:tc>
        <w:tc>
          <w:tcPr>
            <w:tcW w:w="3108" w:type="dxa"/>
            <w:tcBorders>
              <w:top w:val="single" w:sz="12" w:space="0" w:color="auto"/>
            </w:tcBorders>
          </w:tcPr>
          <w:p w14:paraId="151725DC" w14:textId="77777777" w:rsidR="00490985" w:rsidRPr="00CB30F8" w:rsidRDefault="00490985" w:rsidP="00F1345B">
            <w:pPr>
              <w:spacing w:before="0"/>
              <w:rPr>
                <w:b/>
                <w:bCs/>
                <w:lang w:bidi="ar-SY"/>
              </w:rPr>
            </w:pPr>
          </w:p>
        </w:tc>
      </w:tr>
      <w:tr w:rsidR="00490985" w:rsidRPr="00CB30F8" w14:paraId="33A238C9" w14:textId="77777777" w:rsidTr="00F1345B">
        <w:trPr>
          <w:cantSplit/>
        </w:trPr>
        <w:tc>
          <w:tcPr>
            <w:tcW w:w="6531" w:type="dxa"/>
          </w:tcPr>
          <w:p w14:paraId="0286C73F" w14:textId="77777777" w:rsidR="00490985" w:rsidRPr="00CB30F8" w:rsidRDefault="00490985" w:rsidP="00F1345B">
            <w:pPr>
              <w:spacing w:before="20" w:after="20" w:line="300" w:lineRule="exact"/>
              <w:rPr>
                <w:b/>
                <w:bCs/>
                <w:rtl/>
                <w:lang w:bidi="ar-EG"/>
              </w:rPr>
            </w:pPr>
          </w:p>
        </w:tc>
        <w:tc>
          <w:tcPr>
            <w:tcW w:w="3108" w:type="dxa"/>
          </w:tcPr>
          <w:p w14:paraId="07967F67" w14:textId="286C91FF" w:rsidR="00490985" w:rsidRPr="00CB30F8" w:rsidRDefault="00490985" w:rsidP="00F1345B">
            <w:pPr>
              <w:spacing w:before="20" w:after="20" w:line="300" w:lineRule="exact"/>
              <w:jc w:val="left"/>
              <w:rPr>
                <w:b/>
                <w:bCs/>
                <w:rtl/>
                <w:lang w:bidi="ar-SY"/>
              </w:rPr>
            </w:pPr>
            <w:r w:rsidRPr="00CB30F8">
              <w:rPr>
                <w:rFonts w:hint="cs"/>
                <w:b/>
                <w:bCs/>
                <w:rtl/>
                <w:lang w:bidi="ar-EG"/>
              </w:rPr>
              <w:t xml:space="preserve">الوثيقة </w:t>
            </w:r>
            <w:r w:rsidRPr="00CB30F8">
              <w:rPr>
                <w:b/>
                <w:bCs/>
                <w:lang w:bidi="ar-SY"/>
              </w:rPr>
              <w:t>TDAG</w:t>
            </w:r>
            <w:r>
              <w:rPr>
                <w:b/>
                <w:bCs/>
                <w:lang w:bidi="ar-EG"/>
              </w:rPr>
              <w:t>-</w:t>
            </w:r>
            <w:r>
              <w:rPr>
                <w:b/>
                <w:bCs/>
                <w:lang w:bidi="ar-SY"/>
              </w:rPr>
              <w:t>20</w:t>
            </w:r>
            <w:r w:rsidRPr="00CB30F8">
              <w:rPr>
                <w:b/>
                <w:bCs/>
                <w:lang w:bidi="ar-SY"/>
              </w:rPr>
              <w:t>/</w:t>
            </w:r>
            <w:r>
              <w:rPr>
                <w:b/>
                <w:bCs/>
                <w:lang w:bidi="ar-SY"/>
              </w:rPr>
              <w:t>INF/7</w:t>
            </w:r>
            <w:r w:rsidRPr="00CB30F8">
              <w:rPr>
                <w:b/>
                <w:bCs/>
                <w:lang w:bidi="ar-SY"/>
              </w:rPr>
              <w:t>-A</w:t>
            </w:r>
          </w:p>
        </w:tc>
      </w:tr>
      <w:tr w:rsidR="00490985" w:rsidRPr="00CB30F8" w14:paraId="663038CE" w14:textId="77777777" w:rsidTr="00F1345B">
        <w:trPr>
          <w:cantSplit/>
        </w:trPr>
        <w:tc>
          <w:tcPr>
            <w:tcW w:w="6531" w:type="dxa"/>
          </w:tcPr>
          <w:p w14:paraId="7169417C" w14:textId="77777777" w:rsidR="00490985" w:rsidRPr="00CB30F8" w:rsidRDefault="00490985" w:rsidP="00F1345B">
            <w:pPr>
              <w:spacing w:before="20" w:after="20" w:line="300" w:lineRule="exact"/>
              <w:rPr>
                <w:b/>
                <w:bCs/>
                <w:lang w:bidi="ar-SY"/>
              </w:rPr>
            </w:pPr>
          </w:p>
        </w:tc>
        <w:tc>
          <w:tcPr>
            <w:tcW w:w="3108" w:type="dxa"/>
          </w:tcPr>
          <w:p w14:paraId="6E023821" w14:textId="36DD65D2" w:rsidR="00490985" w:rsidRPr="00CB30F8" w:rsidRDefault="00490985" w:rsidP="00F1345B">
            <w:pPr>
              <w:spacing w:before="20" w:after="20" w:line="300" w:lineRule="exact"/>
              <w:rPr>
                <w:b/>
                <w:bCs/>
                <w:rtl/>
                <w:lang w:bidi="ar-SY"/>
              </w:rPr>
            </w:pPr>
            <w:r>
              <w:rPr>
                <w:b/>
                <w:bCs/>
                <w:lang w:bidi="ar-EG"/>
              </w:rPr>
              <w:t>18</w:t>
            </w:r>
            <w:r w:rsidRPr="00CB30F8">
              <w:rPr>
                <w:rFonts w:hint="cs"/>
                <w:b/>
                <w:bCs/>
                <w:rtl/>
                <w:lang w:bidi="ar-EG"/>
              </w:rPr>
              <w:t xml:space="preserve"> </w:t>
            </w:r>
            <w:r w:rsidR="00126B3F" w:rsidRPr="00126B3F">
              <w:rPr>
                <w:b/>
                <w:bCs/>
                <w:lang w:bidi="ar-EG"/>
              </w:rPr>
              <w:t xml:space="preserve"> مايو </w:t>
            </w:r>
            <w:bookmarkStart w:id="1" w:name="_GoBack"/>
            <w:bookmarkEnd w:id="1"/>
            <w:r w:rsidRPr="00CB30F8">
              <w:rPr>
                <w:b/>
                <w:bCs/>
                <w:lang w:bidi="ar-EG"/>
              </w:rPr>
              <w:t>20</w:t>
            </w:r>
            <w:r>
              <w:rPr>
                <w:b/>
                <w:bCs/>
                <w:lang w:bidi="ar-EG"/>
              </w:rPr>
              <w:t>20</w:t>
            </w:r>
          </w:p>
        </w:tc>
      </w:tr>
      <w:tr w:rsidR="00490985" w:rsidRPr="00CB30F8" w14:paraId="7295B167" w14:textId="77777777" w:rsidTr="00F1345B">
        <w:trPr>
          <w:cantSplit/>
        </w:trPr>
        <w:tc>
          <w:tcPr>
            <w:tcW w:w="6531" w:type="dxa"/>
          </w:tcPr>
          <w:p w14:paraId="6300298D" w14:textId="77777777" w:rsidR="00490985" w:rsidRPr="00CB30F8" w:rsidRDefault="00490985" w:rsidP="00F1345B">
            <w:pPr>
              <w:spacing w:before="20" w:after="20" w:line="300" w:lineRule="exact"/>
              <w:rPr>
                <w:b/>
                <w:bCs/>
                <w:lang w:bidi="ar-SY"/>
              </w:rPr>
            </w:pPr>
          </w:p>
        </w:tc>
        <w:tc>
          <w:tcPr>
            <w:tcW w:w="3108" w:type="dxa"/>
          </w:tcPr>
          <w:p w14:paraId="1846E396" w14:textId="77777777" w:rsidR="00490985" w:rsidRPr="00CB30F8" w:rsidRDefault="00490985" w:rsidP="00F1345B">
            <w:pPr>
              <w:spacing w:before="20" w:after="20" w:line="300" w:lineRule="exact"/>
              <w:rPr>
                <w:b/>
                <w:bCs/>
                <w:rtl/>
                <w:lang w:bidi="ar-EG"/>
              </w:rPr>
            </w:pPr>
            <w:r w:rsidRPr="00CB30F8">
              <w:rPr>
                <w:rFonts w:hint="cs"/>
                <w:b/>
                <w:bCs/>
                <w:rtl/>
                <w:lang w:bidi="ar-EG"/>
              </w:rPr>
              <w:t xml:space="preserve">الأصل: </w:t>
            </w:r>
            <w:r>
              <w:rPr>
                <w:rFonts w:hint="cs"/>
                <w:b/>
                <w:bCs/>
                <w:rtl/>
                <w:lang w:bidi="ar-EG"/>
              </w:rPr>
              <w:t>بالإنكليزية</w:t>
            </w:r>
          </w:p>
        </w:tc>
      </w:tr>
      <w:tr w:rsidR="00490985" w:rsidRPr="00CB30F8" w14:paraId="36CED572" w14:textId="77777777" w:rsidTr="00F1345B">
        <w:trPr>
          <w:cantSplit/>
        </w:trPr>
        <w:tc>
          <w:tcPr>
            <w:tcW w:w="9639" w:type="dxa"/>
            <w:gridSpan w:val="2"/>
          </w:tcPr>
          <w:p w14:paraId="73C3BA4B" w14:textId="77777777" w:rsidR="00490985" w:rsidRPr="00CB30F8" w:rsidRDefault="00490985" w:rsidP="00F1345B">
            <w:pPr>
              <w:pStyle w:val="Source"/>
              <w:spacing w:before="240" w:after="240"/>
              <w:rPr>
                <w:rtl/>
              </w:rPr>
            </w:pPr>
            <w:r w:rsidRPr="00810958">
              <w:rPr>
                <w:rFonts w:hint="eastAsia"/>
                <w:rtl/>
              </w:rPr>
              <w:t>مدير</w:t>
            </w:r>
            <w:r w:rsidRPr="00810958">
              <w:rPr>
                <w:rtl/>
              </w:rPr>
              <w:t xml:space="preserve"> </w:t>
            </w:r>
            <w:r w:rsidRPr="00810958">
              <w:rPr>
                <w:rFonts w:hint="eastAsia"/>
                <w:rtl/>
              </w:rPr>
              <w:t>مكتب</w:t>
            </w:r>
            <w:r w:rsidRPr="00810958">
              <w:rPr>
                <w:rtl/>
              </w:rPr>
              <w:t xml:space="preserve"> </w:t>
            </w:r>
            <w:r w:rsidRPr="00810958">
              <w:rPr>
                <w:rFonts w:hint="eastAsia"/>
                <w:rtl/>
              </w:rPr>
              <w:t>تنمية</w:t>
            </w:r>
            <w:r w:rsidRPr="00810958">
              <w:rPr>
                <w:rtl/>
              </w:rPr>
              <w:t xml:space="preserve"> </w:t>
            </w:r>
            <w:r w:rsidRPr="00810958">
              <w:rPr>
                <w:rFonts w:hint="eastAsia"/>
                <w:rtl/>
              </w:rPr>
              <w:t>الاتصالات</w:t>
            </w:r>
          </w:p>
        </w:tc>
      </w:tr>
      <w:tr w:rsidR="00490985" w:rsidRPr="00CB30F8" w14:paraId="092E4C4B" w14:textId="77777777" w:rsidTr="00F1345B">
        <w:trPr>
          <w:cantSplit/>
        </w:trPr>
        <w:tc>
          <w:tcPr>
            <w:tcW w:w="9639" w:type="dxa"/>
            <w:gridSpan w:val="2"/>
          </w:tcPr>
          <w:p w14:paraId="37DF362E" w14:textId="16638FAF" w:rsidR="00490985" w:rsidRPr="00CB30F8" w:rsidRDefault="00490985" w:rsidP="00490985">
            <w:pPr>
              <w:pStyle w:val="Title1"/>
              <w:spacing w:before="120" w:line="240" w:lineRule="auto"/>
              <w:rPr>
                <w:w w:val="110"/>
                <w:rtl/>
              </w:rPr>
            </w:pPr>
            <w:r w:rsidRPr="00490985">
              <w:rPr>
                <w:w w:val="110"/>
              </w:rPr>
              <w:t>ملخص رفيع المستوى للحوار الإلكتروني للفريق الاستشاري بشأن المؤتمر العالمي لتنمية الاتصالات</w:t>
            </w:r>
          </w:p>
        </w:tc>
      </w:tr>
    </w:tbl>
    <w:p w14:paraId="09598937" w14:textId="77777777" w:rsidR="00490985" w:rsidRDefault="00490985">
      <w:pPr>
        <w:rPr>
          <w:rtl/>
        </w:rPr>
      </w:pPr>
    </w:p>
    <w:p w14:paraId="7B1CBC58" w14:textId="4D09BB0C" w:rsidR="00490985" w:rsidRDefault="00490985">
      <w:r>
        <w:br w:type="page"/>
      </w:r>
    </w:p>
    <w:p w14:paraId="7C54673E" w14:textId="77777777" w:rsidR="00490985" w:rsidRDefault="00490985"/>
    <w:tbl>
      <w:tblPr>
        <w:tblpPr w:leftFromText="180" w:rightFromText="180" w:vertAnchor="page" w:horzAnchor="margin" w:tblpY="1391"/>
        <w:bidiVisual/>
        <w:tblW w:w="9626" w:type="dxa"/>
        <w:tblLayout w:type="fixed"/>
        <w:tblCellMar>
          <w:left w:w="107" w:type="dxa"/>
          <w:right w:w="107" w:type="dxa"/>
        </w:tblCellMar>
        <w:tblLook w:val="0000" w:firstRow="0" w:lastRow="0" w:firstColumn="0" w:lastColumn="0" w:noHBand="0" w:noVBand="0"/>
      </w:tblPr>
      <w:tblGrid>
        <w:gridCol w:w="9626"/>
      </w:tblGrid>
      <w:tr w:rsidR="007C347F" w:rsidRPr="00E707FF" w14:paraId="51EFA792" w14:textId="77777777" w:rsidTr="00CC21AC">
        <w:trPr>
          <w:cantSplit/>
          <w:trHeight w:val="1134"/>
        </w:trPr>
        <w:tc>
          <w:tcPr>
            <w:tcW w:w="9626" w:type="dxa"/>
            <w:tcBorders>
              <w:bottom w:val="single" w:sz="2" w:space="0" w:color="00B0F0"/>
            </w:tcBorders>
          </w:tcPr>
          <w:p w14:paraId="12CB1807" w14:textId="74E11CDA" w:rsidR="007C347F" w:rsidRPr="00965C3C" w:rsidRDefault="007C347F" w:rsidP="00CC21AC">
            <w:pPr>
              <w:spacing w:before="240"/>
              <w:rPr>
                <w:b/>
                <w:bCs/>
                <w:sz w:val="32"/>
                <w:szCs w:val="32"/>
                <w:rtl/>
                <w:lang w:bidi="ar-EG"/>
              </w:rPr>
            </w:pPr>
            <w:r w:rsidRPr="00965C3C">
              <w:rPr>
                <w:b/>
                <w:bCs/>
                <w:noProof/>
                <w:sz w:val="32"/>
                <w:szCs w:val="32"/>
                <w:lang w:eastAsia="en-US"/>
              </w:rPr>
              <w:drawing>
                <wp:anchor distT="0" distB="0" distL="114300" distR="114300" simplePos="0" relativeHeight="251663360" behindDoc="0" locked="0" layoutInCell="1" allowOverlap="1" wp14:anchorId="16AE277A" wp14:editId="322D430C">
                  <wp:simplePos x="0" y="0"/>
                  <wp:positionH relativeFrom="column">
                    <wp:posOffset>5214455</wp:posOffset>
                  </wp:positionH>
                  <wp:positionV relativeFrom="paragraph">
                    <wp:posOffset>51545</wp:posOffset>
                  </wp:positionV>
                  <wp:extent cx="838200" cy="838200"/>
                  <wp:effectExtent l="0" t="0" r="0" b="0"/>
                  <wp:wrapSquare wrapText="bothSides"/>
                  <wp:docPr id="6" name="Picture 6"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965C3C">
              <w:rPr>
                <w:rFonts w:hint="cs"/>
                <w:b/>
                <w:bCs/>
                <w:sz w:val="32"/>
                <w:szCs w:val="32"/>
                <w:rtl/>
                <w:lang w:bidi="ar-EG"/>
              </w:rPr>
              <w:t>الحوارات الإلكترونية للفريق الاستشاري لتنمية الاتصالات</w:t>
            </w:r>
          </w:p>
          <w:p w14:paraId="50511717" w14:textId="14658BBA" w:rsidR="007C347F" w:rsidRPr="00E707FF" w:rsidRDefault="007C347F" w:rsidP="00CC21AC">
            <w:pPr>
              <w:rPr>
                <w:sz w:val="28"/>
                <w:szCs w:val="28"/>
                <w:rtl/>
              </w:rPr>
            </w:pPr>
            <w:r w:rsidRPr="00965C3C">
              <w:rPr>
                <w:b/>
                <w:bCs/>
                <w:sz w:val="32"/>
                <w:szCs w:val="32"/>
                <w:lang w:bidi="ar-EG"/>
              </w:rPr>
              <w:t>26-24</w:t>
            </w:r>
            <w:r w:rsidRPr="00965C3C">
              <w:rPr>
                <w:rFonts w:hint="cs"/>
                <w:b/>
                <w:bCs/>
                <w:sz w:val="32"/>
                <w:szCs w:val="32"/>
                <w:rtl/>
                <w:lang w:bidi="ar-EG"/>
              </w:rPr>
              <w:t xml:space="preserve"> مارس </w:t>
            </w:r>
            <w:r w:rsidRPr="00965C3C">
              <w:rPr>
                <w:b/>
                <w:bCs/>
                <w:sz w:val="32"/>
                <w:szCs w:val="32"/>
                <w:lang w:bidi="ar-EG"/>
              </w:rPr>
              <w:t>2020</w:t>
            </w:r>
            <w:r w:rsidRPr="00965C3C">
              <w:rPr>
                <w:rFonts w:hint="cs"/>
                <w:b/>
                <w:bCs/>
                <w:sz w:val="32"/>
                <w:szCs w:val="32"/>
                <w:rtl/>
                <w:lang w:bidi="ar-EG"/>
              </w:rPr>
              <w:t>، على شبكة الإنترنت</w:t>
            </w:r>
          </w:p>
        </w:tc>
      </w:tr>
      <w:tr w:rsidR="007C347F" w:rsidRPr="00E707FF" w14:paraId="791CCE95" w14:textId="77777777" w:rsidTr="00CC21AC">
        <w:trPr>
          <w:cantSplit/>
        </w:trPr>
        <w:tc>
          <w:tcPr>
            <w:tcW w:w="9626" w:type="dxa"/>
            <w:tcBorders>
              <w:top w:val="single" w:sz="2" w:space="0" w:color="00B0F0"/>
            </w:tcBorders>
          </w:tcPr>
          <w:p w14:paraId="71FC5A30" w14:textId="77777777" w:rsidR="007C347F" w:rsidRPr="00E707FF" w:rsidRDefault="007C347F" w:rsidP="00CC21AC">
            <w:pPr>
              <w:spacing w:before="80" w:after="80"/>
              <w:rPr>
                <w:b/>
                <w:bCs/>
              </w:rPr>
            </w:pPr>
          </w:p>
        </w:tc>
      </w:tr>
      <w:tr w:rsidR="007C347F" w:rsidRPr="00E707FF" w14:paraId="41AAE12E" w14:textId="77777777" w:rsidTr="00CC21AC">
        <w:trPr>
          <w:cantSplit/>
        </w:trPr>
        <w:tc>
          <w:tcPr>
            <w:tcW w:w="9626" w:type="dxa"/>
          </w:tcPr>
          <w:p w14:paraId="612E20BD" w14:textId="23DC2B84" w:rsidR="007C347F" w:rsidRPr="00E707FF" w:rsidRDefault="007C347F" w:rsidP="00CC21AC">
            <w:pPr>
              <w:spacing w:before="80" w:after="80"/>
              <w:rPr>
                <w:b/>
                <w:bCs/>
              </w:rPr>
            </w:pPr>
            <w:r w:rsidRPr="00F32CDB">
              <w:rPr>
                <w:rFonts w:hint="cs"/>
                <w:b/>
                <w:bCs/>
                <w:rtl/>
                <w:lang w:val="en-GB"/>
              </w:rPr>
              <w:t>الوثيقة: الحوار الإلكتروني للفريق الاستشاري لتنمية الاتصالات بشأن المؤتمر العالمي لتنمية الاتصالات</w:t>
            </w:r>
          </w:p>
        </w:tc>
      </w:tr>
      <w:tr w:rsidR="007C347F" w:rsidRPr="00E707FF" w14:paraId="7553C732" w14:textId="77777777" w:rsidTr="00CC21AC">
        <w:trPr>
          <w:cantSplit/>
        </w:trPr>
        <w:tc>
          <w:tcPr>
            <w:tcW w:w="9626" w:type="dxa"/>
          </w:tcPr>
          <w:p w14:paraId="538D787A" w14:textId="767A1200" w:rsidR="007C347F" w:rsidRPr="007C347F" w:rsidRDefault="007C347F" w:rsidP="00CC21AC">
            <w:pPr>
              <w:spacing w:before="80" w:after="80"/>
              <w:rPr>
                <w:b/>
                <w:bCs/>
                <w:lang w:val="en-GB"/>
              </w:rPr>
            </w:pPr>
            <w:r w:rsidRPr="00F32CDB">
              <w:rPr>
                <w:rFonts w:hint="cs"/>
                <w:b/>
                <w:bCs/>
                <w:rtl/>
                <w:lang w:val="en-GB"/>
              </w:rPr>
              <w:t xml:space="preserve">التاريخ: </w:t>
            </w:r>
            <w:r w:rsidRPr="00F32CDB">
              <w:rPr>
                <w:b/>
                <w:bCs/>
                <w:lang w:val="en-GB"/>
              </w:rPr>
              <w:t>31</w:t>
            </w:r>
            <w:r w:rsidRPr="00F32CDB">
              <w:rPr>
                <w:rFonts w:hint="cs"/>
                <w:b/>
                <w:bCs/>
                <w:rtl/>
                <w:lang w:val="en-GB"/>
              </w:rPr>
              <w:t xml:space="preserve"> مارس </w:t>
            </w:r>
            <w:r w:rsidRPr="00F32CDB">
              <w:rPr>
                <w:b/>
                <w:bCs/>
                <w:lang w:val="en-GB"/>
              </w:rPr>
              <w:t>2020</w:t>
            </w:r>
            <w:bookmarkStart w:id="2" w:name="CreationDate"/>
            <w:bookmarkEnd w:id="2"/>
          </w:p>
        </w:tc>
      </w:tr>
      <w:tr w:rsidR="007C347F" w:rsidRPr="00E707FF" w14:paraId="6A74F50A" w14:textId="77777777" w:rsidTr="00CC21AC">
        <w:trPr>
          <w:cantSplit/>
        </w:trPr>
        <w:tc>
          <w:tcPr>
            <w:tcW w:w="9626" w:type="dxa"/>
          </w:tcPr>
          <w:p w14:paraId="2A0DB211" w14:textId="49B4DD98" w:rsidR="007C347F" w:rsidRPr="00E707FF" w:rsidRDefault="007C347F" w:rsidP="00CC21AC">
            <w:pPr>
              <w:spacing w:before="80" w:after="80"/>
              <w:rPr>
                <w:lang w:bidi="ar-EG"/>
              </w:rPr>
            </w:pPr>
            <w:r w:rsidRPr="00F32CDB">
              <w:rPr>
                <w:rFonts w:hint="cs"/>
                <w:b/>
                <w:bCs/>
                <w:rtl/>
                <w:lang w:val="en-GB"/>
              </w:rPr>
              <w:t>مقدمة من: مديرة مكتب تنمية الاتصالات</w:t>
            </w:r>
          </w:p>
        </w:tc>
      </w:tr>
      <w:tr w:rsidR="007C347F" w:rsidRPr="00E707FF" w14:paraId="4C882B60" w14:textId="77777777" w:rsidTr="00CC21AC">
        <w:trPr>
          <w:cantSplit/>
        </w:trPr>
        <w:tc>
          <w:tcPr>
            <w:tcW w:w="9626" w:type="dxa"/>
          </w:tcPr>
          <w:p w14:paraId="23E969AF" w14:textId="0AEBFABE" w:rsidR="007C347F" w:rsidRPr="00E707FF" w:rsidRDefault="007C347F" w:rsidP="00CC21AC">
            <w:pPr>
              <w:spacing w:before="80" w:after="80"/>
              <w:rPr>
                <w:b/>
                <w:bCs/>
              </w:rPr>
            </w:pPr>
            <w:r w:rsidRPr="00F32CDB">
              <w:rPr>
                <w:rFonts w:hint="cs"/>
                <w:b/>
                <w:bCs/>
                <w:rtl/>
                <w:lang w:val="en-GB"/>
              </w:rPr>
              <w:t>العنوان: ملخص رفيع المستوى للحوار الإلكتروني للفريق الاستشاري بشأن المؤتمر العالمي لتنمية الاتصالات</w:t>
            </w:r>
          </w:p>
        </w:tc>
      </w:tr>
    </w:tbl>
    <w:p w14:paraId="7BEEFBE4" w14:textId="77777777" w:rsidR="00753923" w:rsidRDefault="00753923" w:rsidP="00B57B7A">
      <w:pPr>
        <w:spacing w:before="0"/>
        <w:rPr>
          <w:rtl/>
          <w:lang w:val="en-GB"/>
        </w:rPr>
      </w:pPr>
    </w:p>
    <w:p w14:paraId="75743A04" w14:textId="28A924A1" w:rsidR="007C347F" w:rsidRPr="00F32CDB" w:rsidRDefault="007C347F" w:rsidP="00753923">
      <w:pPr>
        <w:pStyle w:val="Headingb"/>
        <w:rPr>
          <w:rtl/>
          <w:lang w:val="en-GB"/>
        </w:rPr>
      </w:pPr>
      <w:r w:rsidRPr="00F32CDB">
        <w:rPr>
          <w:rFonts w:hint="cs"/>
          <w:rtl/>
          <w:lang w:val="en-GB"/>
        </w:rPr>
        <w:t>ملخص</w:t>
      </w:r>
    </w:p>
    <w:p w14:paraId="3E53A8D9" w14:textId="5BFE2B0B" w:rsidR="007C347F" w:rsidRPr="004D2E0E" w:rsidRDefault="007C347F" w:rsidP="007C347F">
      <w:pPr>
        <w:rPr>
          <w:rtl/>
        </w:rPr>
      </w:pPr>
      <w:r>
        <w:rPr>
          <w:rFonts w:hint="cs"/>
          <w:rtl/>
          <w:lang w:val="en-GB"/>
        </w:rPr>
        <w:t xml:space="preserve">وثيقة المعلومات هذه هي ملخص موجز للنقاط الأساسية للحوار الإلكتروني الذي جرى في </w:t>
      </w:r>
      <w:r>
        <w:rPr>
          <w:lang w:val="en-GB"/>
        </w:rPr>
        <w:t>2</w:t>
      </w:r>
      <w:r w:rsidR="002A7BD6">
        <w:t>4</w:t>
      </w:r>
      <w:r>
        <w:rPr>
          <w:rFonts w:hint="cs"/>
          <w:rtl/>
          <w:lang w:val="en-GB"/>
        </w:rPr>
        <w:t xml:space="preserve"> مارس </w:t>
      </w:r>
      <w:r>
        <w:rPr>
          <w:lang w:val="en-GB"/>
        </w:rPr>
        <w:t>2020</w:t>
      </w:r>
      <w:r w:rsidRPr="00C170E7">
        <w:rPr>
          <w:rFonts w:hint="cs"/>
          <w:rtl/>
          <w:lang w:val="en-GB"/>
        </w:rPr>
        <w:t xml:space="preserve"> </w:t>
      </w:r>
      <w:r>
        <w:rPr>
          <w:rFonts w:hint="cs"/>
          <w:rtl/>
          <w:lang w:val="en-GB"/>
        </w:rPr>
        <w:t xml:space="preserve">بشأن </w:t>
      </w:r>
      <w:r w:rsidR="00134220">
        <w:rPr>
          <w:rFonts w:hint="cs"/>
          <w:rtl/>
          <w:lang w:val="en-GB"/>
        </w:rPr>
        <w:t xml:space="preserve">إدخال إصلاحات على </w:t>
      </w:r>
      <w:r>
        <w:rPr>
          <w:rFonts w:hint="cs"/>
          <w:rtl/>
          <w:lang w:val="en-GB"/>
        </w:rPr>
        <w:t xml:space="preserve">المؤتمر العالمي لتنمية الاتصالات </w:t>
      </w:r>
      <w:r>
        <w:rPr>
          <w:lang w:val="en-GB"/>
        </w:rPr>
        <w:t>(WTDC)</w:t>
      </w:r>
      <w:r>
        <w:rPr>
          <w:rFonts w:hint="cs"/>
          <w:rtl/>
          <w:lang w:val="en-GB"/>
        </w:rPr>
        <w:t xml:space="preserve">. وأتاح الحوار الإلكتروني الفرصة للخوض في أربعة مواضيع رئيسية تدور حول المؤتمر العالمي لتنمية الاتصالات تم توضيحها في الوثيقة </w:t>
      </w:r>
      <w:hyperlink r:id="rId12" w:history="1">
        <w:r w:rsidRPr="00125989">
          <w:rPr>
            <w:rStyle w:val="Hyperlink"/>
            <w:rFonts w:cs="Arial"/>
            <w:bdr w:val="none" w:sz="0" w:space="0" w:color="auto" w:frame="1"/>
          </w:rPr>
          <w:t>TDAG-20/DT/2</w:t>
        </w:r>
      </w:hyperlink>
      <w:r>
        <w:rPr>
          <w:rFonts w:hint="cs"/>
          <w:rtl/>
        </w:rPr>
        <w:t>، وأدار الحوار بشأن كل موضوع أحد ممثلي الأعضاء.</w:t>
      </w:r>
    </w:p>
    <w:p w14:paraId="2A815ECE" w14:textId="35E67866" w:rsidR="007C347F" w:rsidRPr="00753923" w:rsidRDefault="007C347F" w:rsidP="00753923">
      <w:pPr>
        <w:pStyle w:val="enumlev1"/>
        <w:rPr>
          <w:rtl/>
          <w:lang w:bidi="ar-SA"/>
        </w:rPr>
      </w:pPr>
      <w:r w:rsidRPr="00753923">
        <w:t>1</w:t>
      </w:r>
      <w:r w:rsidRPr="00753923">
        <w:rPr>
          <w:rtl/>
        </w:rPr>
        <w:tab/>
      </w:r>
      <w:r w:rsidRPr="00753923">
        <w:rPr>
          <w:rFonts w:hint="cs"/>
          <w:rtl/>
        </w:rPr>
        <w:t>العملية التحضيرية</w:t>
      </w:r>
      <w:r w:rsidR="002A7BD6">
        <w:rPr>
          <w:rFonts w:hint="cs"/>
          <w:rtl/>
          <w:lang w:bidi="ar-SA"/>
        </w:rPr>
        <w:t>.</w:t>
      </w:r>
    </w:p>
    <w:p w14:paraId="401ED3BC" w14:textId="65A5A011" w:rsidR="007C347F" w:rsidRPr="00753923" w:rsidRDefault="007C347F" w:rsidP="00753923">
      <w:pPr>
        <w:pStyle w:val="enumlev1"/>
        <w:rPr>
          <w:rtl/>
        </w:rPr>
      </w:pPr>
      <w:r w:rsidRPr="00753923">
        <w:t>2</w:t>
      </w:r>
      <w:r w:rsidRPr="00753923">
        <w:rPr>
          <w:rtl/>
        </w:rPr>
        <w:tab/>
      </w:r>
      <w:r w:rsidRPr="00753923">
        <w:rPr>
          <w:rFonts w:hint="cs"/>
          <w:rtl/>
        </w:rPr>
        <w:t>المضمون والهيكل</w:t>
      </w:r>
      <w:r w:rsidR="002A7BD6">
        <w:rPr>
          <w:rFonts w:hint="cs"/>
          <w:rtl/>
        </w:rPr>
        <w:t>.</w:t>
      </w:r>
    </w:p>
    <w:p w14:paraId="79ADB766" w14:textId="567AAF84" w:rsidR="007C347F" w:rsidRPr="00753923" w:rsidRDefault="007C347F" w:rsidP="00753923">
      <w:pPr>
        <w:pStyle w:val="enumlev1"/>
        <w:rPr>
          <w:rtl/>
        </w:rPr>
      </w:pPr>
      <w:r w:rsidRPr="00753923">
        <w:t>3</w:t>
      </w:r>
      <w:r w:rsidRPr="00753923">
        <w:rPr>
          <w:rtl/>
        </w:rPr>
        <w:tab/>
      </w:r>
      <w:r w:rsidR="00B41FDB">
        <w:rPr>
          <w:rFonts w:hint="cs"/>
          <w:rtl/>
        </w:rPr>
        <w:t>إشراك</w:t>
      </w:r>
      <w:r w:rsidRPr="00753923">
        <w:rPr>
          <w:rFonts w:hint="cs"/>
          <w:rtl/>
        </w:rPr>
        <w:t xml:space="preserve"> أصحاب المصلحة</w:t>
      </w:r>
      <w:r w:rsidR="002A7BD6">
        <w:rPr>
          <w:rFonts w:hint="cs"/>
          <w:rtl/>
        </w:rPr>
        <w:t>.</w:t>
      </w:r>
    </w:p>
    <w:p w14:paraId="1861B7AC" w14:textId="15EC4608" w:rsidR="007C347F" w:rsidRPr="00753923" w:rsidRDefault="00753923" w:rsidP="00753923">
      <w:pPr>
        <w:pStyle w:val="enumlev1"/>
        <w:rPr>
          <w:rtl/>
        </w:rPr>
      </w:pPr>
      <w:r w:rsidRPr="00753923">
        <w:t>4</w:t>
      </w:r>
      <w:r w:rsidRPr="00753923">
        <w:rPr>
          <w:rtl/>
        </w:rPr>
        <w:tab/>
      </w:r>
      <w:r w:rsidR="00E216E0">
        <w:rPr>
          <w:rFonts w:hint="cs"/>
          <w:rtl/>
        </w:rPr>
        <w:t>ال</w:t>
      </w:r>
      <w:r w:rsidR="007C347F" w:rsidRPr="00753923">
        <w:rPr>
          <w:rFonts w:hint="cs"/>
          <w:rtl/>
        </w:rPr>
        <w:t xml:space="preserve">أحداث </w:t>
      </w:r>
      <w:r w:rsidR="00E216E0">
        <w:rPr>
          <w:rFonts w:hint="cs"/>
          <w:rtl/>
        </w:rPr>
        <w:t>ال</w:t>
      </w:r>
      <w:r w:rsidR="007C347F" w:rsidRPr="00753923">
        <w:rPr>
          <w:rFonts w:hint="cs"/>
          <w:rtl/>
        </w:rPr>
        <w:t>جانبية</w:t>
      </w:r>
      <w:r w:rsidR="002A7BD6">
        <w:rPr>
          <w:rFonts w:hint="cs"/>
          <w:rtl/>
        </w:rPr>
        <w:t>.</w:t>
      </w:r>
    </w:p>
    <w:p w14:paraId="77CFFF72" w14:textId="77777777" w:rsidR="007C347F" w:rsidRPr="00753923" w:rsidRDefault="007C347F" w:rsidP="00621256">
      <w:pPr>
        <w:pStyle w:val="Headingb"/>
        <w:rPr>
          <w:rtl/>
          <w:lang w:val="en-GB"/>
        </w:rPr>
      </w:pPr>
      <w:r w:rsidRPr="004D2E0E">
        <w:rPr>
          <w:rFonts w:hint="cs"/>
          <w:rtl/>
          <w:lang w:val="en-GB"/>
        </w:rPr>
        <w:t>مسوغات التغيير</w:t>
      </w:r>
    </w:p>
    <w:p w14:paraId="0187C0F0" w14:textId="6571421B" w:rsidR="007C347F" w:rsidRDefault="00134220" w:rsidP="007C347F">
      <w:pPr>
        <w:rPr>
          <w:rtl/>
          <w:lang w:val="en-GB" w:bidi="ar-EG"/>
        </w:rPr>
      </w:pPr>
      <w:r>
        <w:rPr>
          <w:rFonts w:hint="cs"/>
          <w:rtl/>
          <w:lang w:val="en-GB"/>
        </w:rPr>
        <w:t>سيكون</w:t>
      </w:r>
      <w:r w:rsidR="007C347F" w:rsidRPr="00791109">
        <w:rPr>
          <w:rFonts w:hint="cs"/>
          <w:rtl/>
          <w:lang w:val="en-GB"/>
        </w:rPr>
        <w:t xml:space="preserve"> المؤتمر العالمي المقبل لتنمية الاتصالات </w:t>
      </w:r>
      <w:r w:rsidR="007C347F" w:rsidRPr="00791109">
        <w:rPr>
          <w:lang w:val="en-GB"/>
        </w:rPr>
        <w:t>(WTDC-21)</w:t>
      </w:r>
      <w:r w:rsidR="007C347F" w:rsidRPr="00791109">
        <w:rPr>
          <w:rFonts w:hint="cs"/>
          <w:rtl/>
          <w:lang w:val="en-GB"/>
        </w:rPr>
        <w:t xml:space="preserve"> المزمع عقده في الفترة من </w:t>
      </w:r>
      <w:r w:rsidR="007C347F" w:rsidRPr="00791109">
        <w:rPr>
          <w:lang w:val="en-GB"/>
        </w:rPr>
        <w:t>8</w:t>
      </w:r>
      <w:r w:rsidR="007C347F" w:rsidRPr="00791109">
        <w:rPr>
          <w:rFonts w:hint="cs"/>
          <w:rtl/>
          <w:lang w:val="en-GB"/>
        </w:rPr>
        <w:t xml:space="preserve"> إلى </w:t>
      </w:r>
      <w:r w:rsidR="007C347F" w:rsidRPr="00791109">
        <w:rPr>
          <w:lang w:val="en-GB"/>
        </w:rPr>
        <w:t>19</w:t>
      </w:r>
      <w:r w:rsidR="007C347F" w:rsidRPr="00791109">
        <w:rPr>
          <w:rFonts w:hint="cs"/>
          <w:rtl/>
          <w:lang w:val="en-GB"/>
        </w:rPr>
        <w:t xml:space="preserve"> نوفمبر </w:t>
      </w:r>
      <w:r w:rsidR="007C347F" w:rsidRPr="00791109">
        <w:rPr>
          <w:lang w:val="en-GB"/>
        </w:rPr>
        <w:t>2021</w:t>
      </w:r>
      <w:r w:rsidR="007C347F" w:rsidRPr="00791109">
        <w:rPr>
          <w:rFonts w:hint="cs"/>
          <w:rtl/>
          <w:lang w:val="en-GB"/>
        </w:rPr>
        <w:t xml:space="preserve"> في أديس أبابا، إثيوبيا</w:t>
      </w:r>
      <w:r w:rsidR="00E216E0" w:rsidRPr="00791109">
        <w:rPr>
          <w:rFonts w:hint="cs"/>
          <w:rtl/>
          <w:lang w:val="en-GB"/>
        </w:rPr>
        <w:t>،</w:t>
      </w:r>
      <w:r w:rsidR="007C347F" w:rsidRPr="00791109">
        <w:rPr>
          <w:rFonts w:hint="cs"/>
          <w:rtl/>
          <w:lang w:val="en-GB"/>
        </w:rPr>
        <w:t xml:space="preserve"> بدعوة كريمة من حكومة إثيوبيا، </w:t>
      </w:r>
      <w:r>
        <w:rPr>
          <w:rFonts w:hint="cs"/>
          <w:rtl/>
          <w:lang w:val="en-GB"/>
        </w:rPr>
        <w:t>بلا شك</w:t>
      </w:r>
      <w:r w:rsidR="007C347F" w:rsidRPr="00791109">
        <w:rPr>
          <w:rFonts w:hint="cs"/>
          <w:rtl/>
          <w:lang w:val="en-GB"/>
        </w:rPr>
        <w:t xml:space="preserve"> حدثاً </w:t>
      </w:r>
      <w:r w:rsidR="00A45BEF" w:rsidRPr="00791109">
        <w:rPr>
          <w:rFonts w:hint="cs"/>
          <w:rtl/>
          <w:lang w:val="en-GB"/>
        </w:rPr>
        <w:t xml:space="preserve">بارزاً </w:t>
      </w:r>
      <w:r w:rsidR="007C347F" w:rsidRPr="00791109">
        <w:rPr>
          <w:rFonts w:hint="cs"/>
          <w:rtl/>
          <w:lang w:val="en-GB"/>
        </w:rPr>
        <w:t xml:space="preserve">لتعزيز الفوائد الاجتماعية والاقتصادية للتوصيلية المفيدة. ونظراً إلى أهمية الأعمال التحضيرية المبكرة، عُقد حوار إلكتروني في </w:t>
      </w:r>
      <w:r w:rsidR="007C347F" w:rsidRPr="00791109">
        <w:rPr>
          <w:lang w:val="en-GB"/>
        </w:rPr>
        <w:t>24</w:t>
      </w:r>
      <w:r w:rsidR="007C347F" w:rsidRPr="00791109">
        <w:rPr>
          <w:rFonts w:hint="cs"/>
          <w:rtl/>
          <w:lang w:val="en-GB"/>
        </w:rPr>
        <w:t xml:space="preserve"> مارس </w:t>
      </w:r>
      <w:r w:rsidR="007C347F" w:rsidRPr="00791109">
        <w:rPr>
          <w:lang w:val="en-GB"/>
        </w:rPr>
        <w:t>2020</w:t>
      </w:r>
      <w:r w:rsidR="007C347F" w:rsidRPr="00791109">
        <w:rPr>
          <w:rFonts w:hint="cs"/>
          <w:rtl/>
          <w:lang w:val="en-GB"/>
        </w:rPr>
        <w:t xml:space="preserve">، إذ تعذر عقد اجتماع حضوري بسبب جائحة </w:t>
      </w:r>
      <w:r w:rsidR="007C347F" w:rsidRPr="00791109">
        <w:rPr>
          <w:color w:val="000000"/>
          <w:rtl/>
        </w:rPr>
        <w:t xml:space="preserve">فيروس كورونا المستجد </w:t>
      </w:r>
      <w:r w:rsidR="007C347F" w:rsidRPr="00791109">
        <w:rPr>
          <w:lang w:val="en-GB"/>
        </w:rPr>
        <w:t>(COVID-19)</w:t>
      </w:r>
      <w:r w:rsidR="007C347F" w:rsidRPr="00791109">
        <w:rPr>
          <w:rFonts w:hint="cs"/>
          <w:rtl/>
          <w:lang w:val="en-GB"/>
        </w:rPr>
        <w:t xml:space="preserve"> الذي قلب العالم رأساً على عقب. وأتاح الحوار الإلكتروني الفرصة لتجربة استخدام أدوات جديدة واجتذب أكثر من </w:t>
      </w:r>
      <w:r w:rsidR="007C347F" w:rsidRPr="00791109">
        <w:rPr>
          <w:lang w:val="en-GB"/>
        </w:rPr>
        <w:t>170</w:t>
      </w:r>
      <w:r w:rsidR="007C347F" w:rsidRPr="00791109">
        <w:rPr>
          <w:rFonts w:hint="cs"/>
          <w:rtl/>
          <w:lang w:val="en-GB"/>
        </w:rPr>
        <w:t xml:space="preserve"> مشاركاً.</w:t>
      </w:r>
    </w:p>
    <w:p w14:paraId="500168DD" w14:textId="77777777" w:rsidR="007C347F" w:rsidRPr="002A7BD6" w:rsidRDefault="007C347F" w:rsidP="002A7BD6">
      <w:pPr>
        <w:rPr>
          <w:rtl/>
        </w:rPr>
      </w:pPr>
      <w:r w:rsidRPr="002A7BD6">
        <w:rPr>
          <w:rFonts w:hint="cs"/>
          <w:rtl/>
        </w:rPr>
        <w:t>تقدم هذه الوثيقة ملخصاً رفيع المستوى للمناقشات.</w:t>
      </w:r>
    </w:p>
    <w:p w14:paraId="6120D088" w14:textId="4A967864" w:rsidR="007C347F" w:rsidRPr="00D90DA4" w:rsidRDefault="00D90DA4" w:rsidP="002A7BD6">
      <w:pPr>
        <w:rPr>
          <w:spacing w:val="2"/>
          <w:rtl/>
        </w:rPr>
      </w:pPr>
      <w:bookmarkStart w:id="3" w:name="_Hlk38976337"/>
      <w:bookmarkStart w:id="4" w:name="_Hlk38978942"/>
      <w:r w:rsidRPr="00FE7F25">
        <w:rPr>
          <w:rFonts w:hint="cs"/>
          <w:color w:val="000000"/>
          <w:rtl/>
        </w:rPr>
        <w:t xml:space="preserve">ومن </w:t>
      </w:r>
      <w:r>
        <w:rPr>
          <w:rFonts w:hint="cs"/>
          <w:color w:val="000000"/>
          <w:rtl/>
        </w:rPr>
        <w:t>المهم</w:t>
      </w:r>
      <w:r w:rsidRPr="00FE7F25">
        <w:rPr>
          <w:rFonts w:hint="cs"/>
          <w:color w:val="000000"/>
          <w:rtl/>
        </w:rPr>
        <w:t xml:space="preserve"> استحضار أصول المؤتمر العالمي لتنمية الاتصالات لفهم </w:t>
      </w:r>
      <w:bookmarkEnd w:id="3"/>
      <w:bookmarkEnd w:id="4"/>
      <w:r>
        <w:rPr>
          <w:rFonts w:hint="cs"/>
          <w:color w:val="000000"/>
          <w:rtl/>
        </w:rPr>
        <w:t xml:space="preserve">النهج الذي يجب أن ينتهجه. </w:t>
      </w:r>
      <w:r>
        <w:rPr>
          <w:color w:val="000000"/>
          <w:rtl/>
        </w:rPr>
        <w:t>عُقد المؤتمر العالمي لتنمية الاتصالات لعام 1994</w:t>
      </w:r>
      <w:r>
        <w:rPr>
          <w:color w:val="000000"/>
        </w:rPr>
        <w:t xml:space="preserve"> (WTDC-94) </w:t>
      </w:r>
      <w:r>
        <w:rPr>
          <w:color w:val="000000"/>
          <w:rtl/>
        </w:rPr>
        <w:t>في بوينس آيرس، الأرجنتين، من 21 إلى 29 مارس</w:t>
      </w:r>
      <w:r>
        <w:rPr>
          <w:color w:val="000000"/>
        </w:rPr>
        <w:t>.</w:t>
      </w:r>
      <w:r>
        <w:rPr>
          <w:rFonts w:hint="cs"/>
          <w:rtl/>
          <w:lang w:val="en-GB"/>
        </w:rPr>
        <w:t xml:space="preserve"> واعتمد </w:t>
      </w:r>
      <w:r>
        <w:rPr>
          <w:lang w:val="en-GB"/>
        </w:rPr>
        <w:t>12</w:t>
      </w:r>
      <w:r>
        <w:rPr>
          <w:rFonts w:hint="cs"/>
          <w:rtl/>
          <w:lang w:val="en-GB"/>
        </w:rPr>
        <w:t xml:space="preserve"> برنامجاً و</w:t>
      </w:r>
      <w:r>
        <w:rPr>
          <w:lang w:val="en-GB"/>
        </w:rPr>
        <w:t>11</w:t>
      </w:r>
      <w:r>
        <w:rPr>
          <w:rFonts w:hint="cs"/>
          <w:rtl/>
          <w:lang w:val="en-GB"/>
        </w:rPr>
        <w:t xml:space="preserve"> قراراً وتوصيتين وتقريراً نهائياً من </w:t>
      </w:r>
      <w:r>
        <w:rPr>
          <w:lang w:val="en-GB"/>
        </w:rPr>
        <w:t>166</w:t>
      </w:r>
      <w:r>
        <w:rPr>
          <w:rFonts w:hint="cs"/>
          <w:rtl/>
          <w:lang w:val="en-GB"/>
        </w:rPr>
        <w:t xml:space="preserve"> صفحة. وعُقد هذا المؤتمر لاستعراض التقدم المحرز في مجال تنمية الاتصالات منذ نشر تقرير "الحلقة</w:t>
      </w:r>
      <w:r>
        <w:rPr>
          <w:rFonts w:hint="eastAsia"/>
          <w:rtl/>
          <w:lang w:val="en-GB"/>
        </w:rPr>
        <w:t> </w:t>
      </w:r>
      <w:r>
        <w:rPr>
          <w:rFonts w:hint="cs"/>
          <w:rtl/>
          <w:lang w:val="en-GB"/>
        </w:rPr>
        <w:t xml:space="preserve">المفقودة" في عام </w:t>
      </w:r>
      <w:r>
        <w:rPr>
          <w:lang w:val="en-GB"/>
        </w:rPr>
        <w:t>1985</w:t>
      </w:r>
      <w:r>
        <w:rPr>
          <w:rFonts w:hint="cs"/>
          <w:rtl/>
          <w:lang w:val="en-GB"/>
        </w:rPr>
        <w:t>.</w:t>
      </w:r>
      <w:r>
        <w:rPr>
          <w:rFonts w:hint="cs"/>
          <w:color w:val="000000"/>
          <w:rtl/>
        </w:rPr>
        <w:t xml:space="preserve"> ولم يكتفِ هذا</w:t>
      </w:r>
      <w:r>
        <w:rPr>
          <w:color w:val="000000"/>
          <w:rtl/>
        </w:rPr>
        <w:t xml:space="preserve"> التقرير</w:t>
      </w:r>
      <w:r>
        <w:rPr>
          <w:rFonts w:hint="cs"/>
          <w:color w:val="000000"/>
          <w:rtl/>
        </w:rPr>
        <w:t xml:space="preserve"> بأن يبين </w:t>
      </w:r>
      <w:r>
        <w:rPr>
          <w:color w:val="000000"/>
          <w:rtl/>
        </w:rPr>
        <w:t>كيف</w:t>
      </w:r>
      <w:r>
        <w:rPr>
          <w:rFonts w:hint="cs"/>
          <w:color w:val="000000"/>
          <w:rtl/>
        </w:rPr>
        <w:t>ية ارتباط</w:t>
      </w:r>
      <w:r>
        <w:rPr>
          <w:color w:val="000000"/>
          <w:rtl/>
        </w:rPr>
        <w:t xml:space="preserve"> النفاذ إلى الاتصالات بالنمو الاقتصادي</w:t>
      </w:r>
      <w:r>
        <w:rPr>
          <w:rFonts w:hint="cs"/>
          <w:color w:val="000000"/>
          <w:rtl/>
        </w:rPr>
        <w:t> </w:t>
      </w:r>
      <w:r>
        <w:rPr>
          <w:color w:val="000000"/>
          <w:rtl/>
        </w:rPr>
        <w:t xml:space="preserve">– </w:t>
      </w:r>
      <w:r>
        <w:rPr>
          <w:rFonts w:hint="cs"/>
          <w:color w:val="000000"/>
          <w:rtl/>
        </w:rPr>
        <w:t>وإنما استرعى أيضاً</w:t>
      </w:r>
      <w:r>
        <w:rPr>
          <w:color w:val="000000"/>
          <w:rtl/>
        </w:rPr>
        <w:t xml:space="preserve"> </w:t>
      </w:r>
      <w:r>
        <w:rPr>
          <w:rFonts w:hint="cs"/>
          <w:color w:val="000000"/>
          <w:rtl/>
        </w:rPr>
        <w:t>الانتباه</w:t>
      </w:r>
      <w:r>
        <w:rPr>
          <w:color w:val="000000"/>
          <w:rtl/>
        </w:rPr>
        <w:t xml:space="preserve"> الدولي </w:t>
      </w:r>
      <w:r>
        <w:rPr>
          <w:rFonts w:hint="cs"/>
          <w:color w:val="000000"/>
          <w:rtl/>
        </w:rPr>
        <w:t xml:space="preserve">إلى </w:t>
      </w:r>
      <w:r>
        <w:rPr>
          <w:color w:val="000000"/>
          <w:rtl/>
        </w:rPr>
        <w:t>الاختلال الكبير في التوازن في هذا النفاذ بين البلدان المتقدمة والبلدان النامية</w:t>
      </w:r>
      <w:r>
        <w:rPr>
          <w:color w:val="000000"/>
        </w:rPr>
        <w:t>.</w:t>
      </w:r>
    </w:p>
    <w:p w14:paraId="42ECEC70" w14:textId="77777777" w:rsidR="007C347F" w:rsidRDefault="007C347F" w:rsidP="006119AF">
      <w:pPr>
        <w:spacing w:before="240"/>
        <w:rPr>
          <w:rtl/>
          <w:lang w:val="en-GB"/>
        </w:rPr>
      </w:pPr>
      <w:r>
        <w:rPr>
          <w:rFonts w:hint="cs"/>
          <w:rtl/>
          <w:lang w:val="en-GB"/>
        </w:rPr>
        <w:t>عُقدت المؤتمرات العالمية اللاحقة لتنمية الاتصالات على النحو التالي:</w:t>
      </w:r>
    </w:p>
    <w:p w14:paraId="16376845" w14:textId="4CBCD28D" w:rsidR="007C347F" w:rsidRPr="002A7BD6" w:rsidRDefault="002A7BD6" w:rsidP="002A7BD6">
      <w:pPr>
        <w:pStyle w:val="enumlev1"/>
        <w:rPr>
          <w:rtl/>
        </w:rPr>
      </w:pPr>
      <w:r>
        <w:rPr>
          <w:lang w:val="en-GB"/>
        </w:rPr>
        <w:sym w:font="Symbol" w:char="F0B7"/>
      </w:r>
      <w:r w:rsidR="007C347F">
        <w:rPr>
          <w:rtl/>
          <w:lang w:val="en-GB"/>
        </w:rPr>
        <w:tab/>
      </w:r>
      <w:r w:rsidR="007C347F">
        <w:rPr>
          <w:rFonts w:hint="cs"/>
          <w:rtl/>
          <w:lang w:val="en-GB"/>
        </w:rPr>
        <w:t xml:space="preserve">المؤتمر العالمي لتنمية الاتصالات لعام </w:t>
      </w:r>
      <w:r w:rsidR="007C347F">
        <w:rPr>
          <w:lang w:val="en-GB"/>
        </w:rPr>
        <w:t>1998</w:t>
      </w:r>
      <w:r w:rsidR="007C347F">
        <w:rPr>
          <w:rFonts w:hint="cs"/>
          <w:rtl/>
          <w:lang w:val="en-GB"/>
        </w:rPr>
        <w:t xml:space="preserve">، فاليتا، مالطة، </w:t>
      </w:r>
      <w:r w:rsidR="007C347F">
        <w:rPr>
          <w:lang w:val="en-GB"/>
        </w:rPr>
        <w:t>23</w:t>
      </w:r>
      <w:r w:rsidR="007C347F">
        <w:rPr>
          <w:rFonts w:hint="cs"/>
          <w:rtl/>
          <w:lang w:val="en-GB"/>
        </w:rPr>
        <w:t xml:space="preserve"> مارس </w:t>
      </w:r>
      <w:r w:rsidR="007C347F">
        <w:rPr>
          <w:rtl/>
          <w:lang w:val="en-GB"/>
        </w:rPr>
        <w:t>–</w:t>
      </w:r>
      <w:r w:rsidR="007C347F">
        <w:rPr>
          <w:rFonts w:hint="cs"/>
          <w:rtl/>
          <w:lang w:val="en-GB"/>
        </w:rPr>
        <w:t xml:space="preserve"> </w:t>
      </w:r>
      <w:r w:rsidR="007C347F">
        <w:rPr>
          <w:lang w:val="en-GB"/>
        </w:rPr>
        <w:t>1</w:t>
      </w:r>
      <w:r w:rsidR="007C347F">
        <w:rPr>
          <w:rFonts w:hint="cs"/>
          <w:rtl/>
          <w:lang w:val="en-GB"/>
        </w:rPr>
        <w:t xml:space="preserve"> أبريل </w:t>
      </w:r>
      <w:r w:rsidR="007C347F">
        <w:rPr>
          <w:lang w:val="en-GB"/>
        </w:rPr>
        <w:t>1998</w:t>
      </w:r>
      <w:r w:rsidR="007C347F">
        <w:rPr>
          <w:rFonts w:hint="cs"/>
          <w:rtl/>
          <w:lang w:val="en-GB"/>
        </w:rPr>
        <w:t xml:space="preserve"> وكانت النتائج على النحو التالي: </w:t>
      </w:r>
      <w:r w:rsidR="00D90DA4">
        <w:t>6</w:t>
      </w:r>
      <w:r w:rsidR="007C347F" w:rsidRPr="002A7BD6">
        <w:rPr>
          <w:rFonts w:hint="cs"/>
          <w:rtl/>
        </w:rPr>
        <w:t xml:space="preserve"> برامج وبرنامج خاص لأقل البلدان نمواً، و</w:t>
      </w:r>
      <w:r w:rsidR="007C347F" w:rsidRPr="002A7BD6">
        <w:t>22</w:t>
      </w:r>
      <w:r w:rsidR="007C347F" w:rsidRPr="002A7BD6">
        <w:rPr>
          <w:rFonts w:hint="cs"/>
          <w:rtl/>
        </w:rPr>
        <w:t xml:space="preserve"> قراراً، و</w:t>
      </w:r>
      <w:r w:rsidR="007C347F" w:rsidRPr="002A7BD6">
        <w:t>11</w:t>
      </w:r>
      <w:r w:rsidR="007C347F" w:rsidRPr="002A7BD6">
        <w:rPr>
          <w:rFonts w:hint="cs"/>
          <w:rtl/>
        </w:rPr>
        <w:t xml:space="preserve"> توصية</w:t>
      </w:r>
      <w:r w:rsidR="00D90DA4">
        <w:rPr>
          <w:rFonts w:hint="cs"/>
          <w:rtl/>
          <w:lang w:bidi="ar-EG"/>
        </w:rPr>
        <w:t>،</w:t>
      </w:r>
      <w:r w:rsidR="007C347F" w:rsidRPr="002A7BD6">
        <w:rPr>
          <w:rFonts w:hint="cs"/>
          <w:rtl/>
        </w:rPr>
        <w:t xml:space="preserve"> واردة في تقرير نهائي من </w:t>
      </w:r>
      <w:r w:rsidR="007C347F" w:rsidRPr="002A7BD6">
        <w:t>146</w:t>
      </w:r>
      <w:r w:rsidR="007C347F" w:rsidRPr="002A7BD6">
        <w:rPr>
          <w:rFonts w:hint="cs"/>
          <w:rtl/>
        </w:rPr>
        <w:t xml:space="preserve"> صفحة.</w:t>
      </w:r>
    </w:p>
    <w:p w14:paraId="66A7E1E7" w14:textId="1C20B5DA" w:rsidR="007C347F" w:rsidRDefault="002A7BD6" w:rsidP="002A7BD6">
      <w:pPr>
        <w:pStyle w:val="enumlev1"/>
        <w:rPr>
          <w:rtl/>
          <w:lang w:val="en-GB"/>
        </w:rPr>
      </w:pPr>
      <w:r>
        <w:rPr>
          <w:lang w:val="en-GB"/>
        </w:rPr>
        <w:sym w:font="Symbol" w:char="F0B7"/>
      </w:r>
      <w:r w:rsidR="007C347F" w:rsidRPr="002A7BD6">
        <w:rPr>
          <w:rtl/>
        </w:rPr>
        <w:tab/>
      </w:r>
      <w:r w:rsidR="007C347F" w:rsidRPr="002A7BD6">
        <w:rPr>
          <w:rFonts w:hint="cs"/>
          <w:rtl/>
        </w:rPr>
        <w:t xml:space="preserve">المؤتمر العالمي لتنمية الاتصالات لعام </w:t>
      </w:r>
      <w:r w:rsidR="007C347F" w:rsidRPr="002A7BD6">
        <w:t>2002</w:t>
      </w:r>
      <w:r w:rsidR="007C347F" w:rsidRPr="002A7BD6">
        <w:rPr>
          <w:rFonts w:hint="cs"/>
          <w:rtl/>
        </w:rPr>
        <w:t xml:space="preserve">، إسطنبول، تركيا، </w:t>
      </w:r>
      <w:r w:rsidR="007C347F" w:rsidRPr="002A7BD6">
        <w:t>27-18</w:t>
      </w:r>
      <w:r w:rsidR="007C347F" w:rsidRPr="002A7BD6">
        <w:rPr>
          <w:rFonts w:hint="cs"/>
          <w:rtl/>
        </w:rPr>
        <w:t xml:space="preserve"> مارس </w:t>
      </w:r>
      <w:r w:rsidR="007C347F" w:rsidRPr="002A7BD6">
        <w:t>2002</w:t>
      </w:r>
      <w:r w:rsidR="007C347F" w:rsidRPr="002A7BD6">
        <w:rPr>
          <w:rFonts w:hint="cs"/>
          <w:rtl/>
        </w:rPr>
        <w:t xml:space="preserve"> وكانت النتائج على النحو التالي: </w:t>
      </w:r>
      <w:r w:rsidR="00D90DA4">
        <w:t>6</w:t>
      </w:r>
      <w:r w:rsidR="007C347F" w:rsidRPr="002A7BD6">
        <w:rPr>
          <w:rFonts w:hint="cs"/>
          <w:rtl/>
        </w:rPr>
        <w:t xml:space="preserve"> برامج، و</w:t>
      </w:r>
      <w:r w:rsidR="00D90DA4">
        <w:t>4</w:t>
      </w:r>
      <w:r w:rsidR="007C347F" w:rsidRPr="002A7BD6">
        <w:rPr>
          <w:rFonts w:hint="cs"/>
          <w:rtl/>
        </w:rPr>
        <w:t xml:space="preserve"> مبادرات خاصة، و</w:t>
      </w:r>
      <w:r w:rsidR="007C347F" w:rsidRPr="002A7BD6">
        <w:t>38</w:t>
      </w:r>
      <w:r w:rsidR="007C347F" w:rsidRPr="002A7BD6">
        <w:rPr>
          <w:rFonts w:hint="cs"/>
          <w:rtl/>
        </w:rPr>
        <w:t xml:space="preserve"> قراراً، و</w:t>
      </w:r>
      <w:r w:rsidR="00D90DA4">
        <w:t>5</w:t>
      </w:r>
      <w:r w:rsidR="007C347F" w:rsidRPr="002A7BD6">
        <w:rPr>
          <w:rFonts w:hint="cs"/>
          <w:rtl/>
        </w:rPr>
        <w:t xml:space="preserve"> توصيات، ومبادرتان إقليميتان (نفسهما لجميع المناطق)</w:t>
      </w:r>
      <w:r w:rsidR="00D90DA4">
        <w:rPr>
          <w:rFonts w:hint="cs"/>
          <w:rtl/>
          <w:lang w:bidi="ar-EG"/>
        </w:rPr>
        <w:t>،</w:t>
      </w:r>
      <w:r w:rsidR="007C347F" w:rsidRPr="002A7BD6">
        <w:rPr>
          <w:rFonts w:hint="cs"/>
          <w:rtl/>
        </w:rPr>
        <w:t xml:space="preserve"> واردة في تقرير نهائي من </w:t>
      </w:r>
      <w:r w:rsidR="007C347F" w:rsidRPr="002A7BD6">
        <w:t>199</w:t>
      </w:r>
      <w:r w:rsidR="007C347F" w:rsidRPr="002A7BD6">
        <w:rPr>
          <w:rFonts w:hint="cs"/>
          <w:rtl/>
        </w:rPr>
        <w:t xml:space="preserve"> صفحة</w:t>
      </w:r>
      <w:r w:rsidR="007C347F">
        <w:rPr>
          <w:rFonts w:hint="cs"/>
          <w:rtl/>
          <w:lang w:val="en-GB"/>
        </w:rPr>
        <w:t>.</w:t>
      </w:r>
    </w:p>
    <w:p w14:paraId="519235A8" w14:textId="7B3647C4" w:rsidR="007C347F" w:rsidRDefault="002A7BD6" w:rsidP="002A7BD6">
      <w:pPr>
        <w:pStyle w:val="enumlev1"/>
        <w:rPr>
          <w:rtl/>
          <w:lang w:val="en-GB"/>
        </w:rPr>
      </w:pPr>
      <w:r w:rsidRPr="00791109">
        <w:rPr>
          <w:lang w:val="en-GB"/>
        </w:rPr>
        <w:lastRenderedPageBreak/>
        <w:sym w:font="Symbol" w:char="F0B7"/>
      </w:r>
      <w:r w:rsidR="007C347F" w:rsidRPr="00791109">
        <w:rPr>
          <w:rtl/>
          <w:lang w:val="en-GB"/>
        </w:rPr>
        <w:tab/>
      </w:r>
      <w:r w:rsidR="007C347F" w:rsidRPr="00791109">
        <w:rPr>
          <w:rFonts w:hint="cs"/>
          <w:rtl/>
          <w:lang w:val="en-GB"/>
        </w:rPr>
        <w:t xml:space="preserve">المؤتمر العالمي لتنمية الاتصالات لعام </w:t>
      </w:r>
      <w:r w:rsidR="007C347F" w:rsidRPr="00791109">
        <w:rPr>
          <w:lang w:val="en-GB"/>
        </w:rPr>
        <w:t>2006</w:t>
      </w:r>
      <w:r w:rsidR="007C347F" w:rsidRPr="00791109">
        <w:rPr>
          <w:rFonts w:hint="cs"/>
          <w:rtl/>
          <w:lang w:val="en-GB"/>
        </w:rPr>
        <w:t xml:space="preserve">، الدوحة، قطر، </w:t>
      </w:r>
      <w:r w:rsidR="007C347F" w:rsidRPr="00791109">
        <w:rPr>
          <w:lang w:val="en-GB"/>
        </w:rPr>
        <w:t>15-7</w:t>
      </w:r>
      <w:r w:rsidR="007C347F" w:rsidRPr="00791109">
        <w:rPr>
          <w:rFonts w:hint="cs"/>
          <w:rtl/>
          <w:lang w:val="en-GB"/>
        </w:rPr>
        <w:t xml:space="preserve"> مارس </w:t>
      </w:r>
      <w:r w:rsidR="007C347F" w:rsidRPr="00791109">
        <w:rPr>
          <w:lang w:val="en-GB"/>
        </w:rPr>
        <w:t>2006</w:t>
      </w:r>
      <w:r w:rsidR="007C347F" w:rsidRPr="00791109">
        <w:rPr>
          <w:rFonts w:hint="cs"/>
          <w:rtl/>
          <w:lang w:val="en-GB"/>
        </w:rPr>
        <w:t xml:space="preserve"> وكانت النتائج على النحو التالي: </w:t>
      </w:r>
      <w:r w:rsidR="008F51DD">
        <w:rPr>
          <w:lang w:val="en-GB"/>
        </w:rPr>
        <w:t>6</w:t>
      </w:r>
      <w:r w:rsidR="008F51DD">
        <w:rPr>
          <w:rFonts w:hint="eastAsia"/>
          <w:rtl/>
          <w:lang w:val="en-GB" w:bidi="ar-EG"/>
        </w:rPr>
        <w:t> </w:t>
      </w:r>
      <w:r w:rsidR="007C347F" w:rsidRPr="00791109">
        <w:rPr>
          <w:rFonts w:hint="cs"/>
          <w:rtl/>
          <w:lang w:val="en-GB"/>
        </w:rPr>
        <w:t>برامج</w:t>
      </w:r>
      <w:r w:rsidR="007C347F" w:rsidRPr="00791109">
        <w:rPr>
          <w:lang w:val="en-GB"/>
        </w:rPr>
        <w:t xml:space="preserve"> </w:t>
      </w:r>
      <w:r w:rsidR="007C347F" w:rsidRPr="00791109">
        <w:rPr>
          <w:rFonts w:hint="cs"/>
          <w:rtl/>
          <w:lang w:val="en-GB"/>
        </w:rPr>
        <w:t>ونشاطان، و</w:t>
      </w:r>
      <w:r w:rsidR="00D90DA4">
        <w:rPr>
          <w:lang w:val="en-GB"/>
        </w:rPr>
        <w:t>6</w:t>
      </w:r>
      <w:r w:rsidR="007C347F" w:rsidRPr="00791109">
        <w:rPr>
          <w:rFonts w:hint="cs"/>
          <w:rtl/>
          <w:lang w:val="en-GB"/>
        </w:rPr>
        <w:t xml:space="preserve"> مبادرات خاصة</w:t>
      </w:r>
      <w:r w:rsidR="00943E33" w:rsidRPr="00791109">
        <w:rPr>
          <w:rFonts w:hint="cs"/>
          <w:rtl/>
          <w:lang w:val="en-GB"/>
        </w:rPr>
        <w:t>،</w:t>
      </w:r>
      <w:r w:rsidR="007C347F" w:rsidRPr="00791109">
        <w:rPr>
          <w:rFonts w:hint="cs"/>
          <w:rtl/>
          <w:lang w:val="en-GB"/>
        </w:rPr>
        <w:t xml:space="preserve"> و</w:t>
      </w:r>
      <w:r w:rsidR="007C347F" w:rsidRPr="00791109">
        <w:rPr>
          <w:lang w:val="en-GB"/>
        </w:rPr>
        <w:t>47</w:t>
      </w:r>
      <w:r w:rsidR="007C347F" w:rsidRPr="00791109">
        <w:rPr>
          <w:rFonts w:hint="cs"/>
          <w:rtl/>
          <w:lang w:val="en-GB"/>
        </w:rPr>
        <w:t xml:space="preserve"> قراراً، و</w:t>
      </w:r>
      <w:r w:rsidR="00D90DA4">
        <w:rPr>
          <w:lang w:val="en-GB"/>
        </w:rPr>
        <w:t>3</w:t>
      </w:r>
      <w:r w:rsidR="007C347F" w:rsidRPr="00791109">
        <w:rPr>
          <w:rFonts w:hint="cs"/>
          <w:rtl/>
          <w:lang w:val="en-GB"/>
        </w:rPr>
        <w:t xml:space="preserve"> توصيات، و</w:t>
      </w:r>
      <w:r w:rsidR="008F51DD">
        <w:rPr>
          <w:rFonts w:hint="cs"/>
          <w:rtl/>
          <w:lang w:val="en-GB"/>
        </w:rPr>
        <w:t>مقرر</w:t>
      </w:r>
      <w:r w:rsidR="007C347F" w:rsidRPr="00791109">
        <w:rPr>
          <w:rFonts w:hint="cs"/>
          <w:rtl/>
          <w:lang w:val="en-GB"/>
        </w:rPr>
        <w:t xml:space="preserve"> واحد و</w:t>
      </w:r>
      <w:r w:rsidR="007C347F" w:rsidRPr="00791109">
        <w:rPr>
          <w:lang w:val="en-GB"/>
        </w:rPr>
        <w:t>25</w:t>
      </w:r>
      <w:r w:rsidR="007C347F" w:rsidRPr="00791109">
        <w:rPr>
          <w:rFonts w:hint="cs"/>
          <w:rtl/>
          <w:lang w:val="en-GB"/>
        </w:rPr>
        <w:t xml:space="preserve"> مبادرة إقليمية</w:t>
      </w:r>
      <w:r w:rsidR="00D90DA4">
        <w:rPr>
          <w:rFonts w:hint="cs"/>
          <w:rtl/>
          <w:lang w:val="en-GB"/>
        </w:rPr>
        <w:t>،</w:t>
      </w:r>
      <w:r w:rsidR="007C347F" w:rsidRPr="00791109">
        <w:rPr>
          <w:rFonts w:hint="cs"/>
          <w:rtl/>
          <w:lang w:val="en-GB"/>
        </w:rPr>
        <w:t xml:space="preserve"> واردة في تقرير نهائي من </w:t>
      </w:r>
      <w:r w:rsidR="007C347F" w:rsidRPr="00791109">
        <w:rPr>
          <w:lang w:val="en-GB"/>
        </w:rPr>
        <w:t>272</w:t>
      </w:r>
      <w:r w:rsidR="002349BC">
        <w:rPr>
          <w:rFonts w:hint="eastAsia"/>
          <w:rtl/>
          <w:lang w:val="en-GB"/>
        </w:rPr>
        <w:t> </w:t>
      </w:r>
      <w:r w:rsidR="007C347F" w:rsidRPr="00791109">
        <w:rPr>
          <w:rFonts w:hint="cs"/>
          <w:rtl/>
        </w:rPr>
        <w:t>صفحة</w:t>
      </w:r>
      <w:r w:rsidR="007C347F" w:rsidRPr="00791109">
        <w:rPr>
          <w:rFonts w:hint="cs"/>
          <w:rtl/>
          <w:lang w:val="en-GB"/>
        </w:rPr>
        <w:t>.</w:t>
      </w:r>
    </w:p>
    <w:p w14:paraId="71214698" w14:textId="5414E912" w:rsidR="007C347F" w:rsidRDefault="002A7BD6" w:rsidP="002A7BD6">
      <w:pPr>
        <w:pStyle w:val="enumlev1"/>
        <w:rPr>
          <w:rtl/>
          <w:lang w:val="en-GB" w:bidi="ar-SA"/>
        </w:rPr>
      </w:pPr>
      <w:r w:rsidRPr="002503B3">
        <w:rPr>
          <w:lang w:val="en-GB"/>
        </w:rPr>
        <w:sym w:font="Symbol" w:char="F0B7"/>
      </w:r>
      <w:r w:rsidR="007C347F" w:rsidRPr="002503B3">
        <w:rPr>
          <w:rtl/>
          <w:lang w:val="en-GB"/>
        </w:rPr>
        <w:tab/>
      </w:r>
      <w:r w:rsidR="007C347F" w:rsidRPr="002503B3">
        <w:rPr>
          <w:rFonts w:hint="cs"/>
          <w:rtl/>
          <w:lang w:val="en-GB"/>
        </w:rPr>
        <w:t xml:space="preserve">المؤتمر العالمي لتنمية الاتصالات لعام </w:t>
      </w:r>
      <w:r w:rsidR="007C347F" w:rsidRPr="002503B3">
        <w:rPr>
          <w:lang w:val="en-GB"/>
        </w:rPr>
        <w:t>2010</w:t>
      </w:r>
      <w:r w:rsidR="007C347F" w:rsidRPr="002503B3">
        <w:rPr>
          <w:rFonts w:hint="cs"/>
          <w:rtl/>
          <w:lang w:val="en-GB"/>
        </w:rPr>
        <w:t>، حيدر آبا</w:t>
      </w:r>
      <w:r w:rsidR="007C347F" w:rsidRPr="002503B3">
        <w:rPr>
          <w:rtl/>
          <w:lang w:val="en-GB"/>
        </w:rPr>
        <w:t>د</w:t>
      </w:r>
      <w:r w:rsidR="007C347F" w:rsidRPr="002503B3">
        <w:rPr>
          <w:rFonts w:hint="cs"/>
          <w:rtl/>
          <w:lang w:val="en-GB"/>
        </w:rPr>
        <w:t>،</w:t>
      </w:r>
      <w:r w:rsidR="00943E33">
        <w:rPr>
          <w:rFonts w:hint="cs"/>
          <w:rtl/>
          <w:lang w:val="en-GB"/>
        </w:rPr>
        <w:t xml:space="preserve"> الهند،</w:t>
      </w:r>
      <w:r w:rsidR="007C347F" w:rsidRPr="002503B3">
        <w:rPr>
          <w:rFonts w:hint="cs"/>
          <w:rtl/>
          <w:lang w:val="en-GB"/>
        </w:rPr>
        <w:t xml:space="preserve"> </w:t>
      </w:r>
      <w:r w:rsidR="002503B3" w:rsidRPr="002503B3">
        <w:rPr>
          <w:lang w:val="en-GB"/>
        </w:rPr>
        <w:t>24</w:t>
      </w:r>
      <w:r w:rsidR="002503B3" w:rsidRPr="002503B3">
        <w:rPr>
          <w:rtl/>
          <w:lang w:val="en-GB" w:bidi="ar-EG"/>
        </w:rPr>
        <w:t xml:space="preserve"> مايو - </w:t>
      </w:r>
      <w:r w:rsidR="002503B3" w:rsidRPr="002503B3">
        <w:rPr>
          <w:lang w:bidi="ar-EG"/>
        </w:rPr>
        <w:t>4</w:t>
      </w:r>
      <w:r w:rsidR="002503B3" w:rsidRPr="002503B3">
        <w:rPr>
          <w:rFonts w:hint="cs"/>
          <w:rtl/>
          <w:lang w:bidi="ar-EG"/>
        </w:rPr>
        <w:t xml:space="preserve"> يونيو </w:t>
      </w:r>
      <w:r w:rsidR="002503B3" w:rsidRPr="002503B3">
        <w:rPr>
          <w:lang w:bidi="ar-EG"/>
        </w:rPr>
        <w:t>2010</w:t>
      </w:r>
      <w:r w:rsidR="002503B3" w:rsidRPr="002503B3">
        <w:rPr>
          <w:rtl/>
          <w:lang w:val="en-GB"/>
        </w:rPr>
        <w:t xml:space="preserve"> وكانت النتائج على النحو التالي: </w:t>
      </w:r>
      <w:r w:rsidR="00437EBA">
        <w:rPr>
          <w:lang w:val="en-GB"/>
        </w:rPr>
        <w:t>5</w:t>
      </w:r>
      <w:r w:rsidR="002503B3" w:rsidRPr="002503B3">
        <w:rPr>
          <w:rtl/>
          <w:lang w:val="en-GB"/>
        </w:rPr>
        <w:t xml:space="preserve"> برامج</w:t>
      </w:r>
      <w:r w:rsidR="002503B3" w:rsidRPr="002503B3">
        <w:rPr>
          <w:rtl/>
          <w:lang w:bidi="ar-EG"/>
        </w:rPr>
        <w:t xml:space="preserve">، </w:t>
      </w:r>
      <w:r w:rsidR="002503B3" w:rsidRPr="002503B3">
        <w:rPr>
          <w:rtl/>
          <w:lang w:val="en-GB"/>
        </w:rPr>
        <w:t>و</w:t>
      </w:r>
      <w:r w:rsidR="002503B3" w:rsidRPr="002503B3">
        <w:rPr>
          <w:lang w:val="en-GB"/>
        </w:rPr>
        <w:t>60</w:t>
      </w:r>
      <w:r w:rsidR="002503B3" w:rsidRPr="002503B3">
        <w:rPr>
          <w:rtl/>
          <w:lang w:val="en-GB"/>
        </w:rPr>
        <w:t xml:space="preserve"> قراراً، و</w:t>
      </w:r>
      <w:r w:rsidR="002503B3" w:rsidRPr="002503B3">
        <w:rPr>
          <w:lang w:val="en-GB"/>
        </w:rPr>
        <w:t>30</w:t>
      </w:r>
      <w:r w:rsidR="002503B3" w:rsidRPr="002503B3">
        <w:rPr>
          <w:rtl/>
          <w:lang w:val="en-GB"/>
        </w:rPr>
        <w:t xml:space="preserve"> مبادرة إقليمية</w:t>
      </w:r>
      <w:r w:rsidR="002503B3" w:rsidRPr="002503B3">
        <w:rPr>
          <w:rtl/>
          <w:lang w:val="en-GB" w:bidi="ar-EG"/>
        </w:rPr>
        <w:t xml:space="preserve"> (</w:t>
      </w:r>
      <w:r w:rsidR="002F4435">
        <w:rPr>
          <w:lang w:bidi="ar-EG"/>
        </w:rPr>
        <w:t>5</w:t>
      </w:r>
      <w:r w:rsidR="002503B3" w:rsidRPr="002503B3">
        <w:rPr>
          <w:rtl/>
          <w:lang w:bidi="ar-EG"/>
        </w:rPr>
        <w:t xml:space="preserve"> مبادرات لكل منطقة)</w:t>
      </w:r>
      <w:r w:rsidR="00437EBA">
        <w:rPr>
          <w:rFonts w:hint="cs"/>
          <w:rtl/>
          <w:lang w:val="en-GB"/>
        </w:rPr>
        <w:t>،</w:t>
      </w:r>
      <w:r w:rsidR="002503B3" w:rsidRPr="002503B3">
        <w:rPr>
          <w:rtl/>
          <w:lang w:val="en-GB"/>
        </w:rPr>
        <w:t xml:space="preserve"> واردة في تقرير نهائي من </w:t>
      </w:r>
      <w:r w:rsidR="002503B3" w:rsidRPr="002503B3">
        <w:rPr>
          <w:lang w:val="en-GB"/>
        </w:rPr>
        <w:t>322</w:t>
      </w:r>
      <w:r w:rsidR="00943E33">
        <w:rPr>
          <w:rFonts w:hint="cs"/>
          <w:rtl/>
          <w:lang w:val="en-GB"/>
        </w:rPr>
        <w:t> </w:t>
      </w:r>
      <w:r w:rsidR="002503B3" w:rsidRPr="002503B3">
        <w:rPr>
          <w:rtl/>
          <w:lang w:val="en-GB"/>
        </w:rPr>
        <w:t>صفحة</w:t>
      </w:r>
      <w:r w:rsidR="007C347F" w:rsidRPr="002503B3">
        <w:rPr>
          <w:rFonts w:hint="cs"/>
          <w:rtl/>
          <w:lang w:val="en-GB"/>
        </w:rPr>
        <w:t>.</w:t>
      </w:r>
    </w:p>
    <w:p w14:paraId="249E29E2" w14:textId="1337A8EB" w:rsidR="007C347F" w:rsidRDefault="002A7BD6" w:rsidP="002A7BD6">
      <w:pPr>
        <w:pStyle w:val="enumlev1"/>
        <w:rPr>
          <w:rtl/>
          <w:lang w:val="en-GB"/>
        </w:rPr>
      </w:pPr>
      <w:r>
        <w:rPr>
          <w:lang w:val="en-GB"/>
        </w:rPr>
        <w:sym w:font="Symbol" w:char="F0B7"/>
      </w:r>
      <w:r w:rsidR="007C347F">
        <w:rPr>
          <w:rtl/>
          <w:lang w:val="en-GB"/>
        </w:rPr>
        <w:tab/>
      </w:r>
      <w:r w:rsidR="007C347F" w:rsidRPr="002A7BD6">
        <w:rPr>
          <w:rFonts w:hint="cs"/>
          <w:rtl/>
        </w:rPr>
        <w:t>المؤتمر</w:t>
      </w:r>
      <w:r w:rsidR="007C347F">
        <w:rPr>
          <w:rFonts w:hint="cs"/>
          <w:rtl/>
          <w:lang w:val="en-GB"/>
        </w:rPr>
        <w:t xml:space="preserve"> العالمي لتنمية الاتصالات لعام </w:t>
      </w:r>
      <w:r w:rsidR="007C347F">
        <w:rPr>
          <w:lang w:val="en-GB"/>
        </w:rPr>
        <w:t>2014</w:t>
      </w:r>
      <w:r w:rsidR="007C347F">
        <w:rPr>
          <w:rFonts w:hint="cs"/>
          <w:rtl/>
          <w:lang w:val="en-GB"/>
        </w:rPr>
        <w:t xml:space="preserve">، دبي، الإمارات العربية المتحدة، </w:t>
      </w:r>
      <w:r w:rsidR="007C347F">
        <w:rPr>
          <w:lang w:val="en-GB"/>
        </w:rPr>
        <w:t>30</w:t>
      </w:r>
      <w:r w:rsidR="007C347F">
        <w:rPr>
          <w:rFonts w:hint="cs"/>
          <w:rtl/>
          <w:lang w:val="en-GB"/>
        </w:rPr>
        <w:t xml:space="preserve"> مارس </w:t>
      </w:r>
      <w:r w:rsidR="007C347F">
        <w:rPr>
          <w:rtl/>
          <w:lang w:val="en-GB"/>
        </w:rPr>
        <w:t>–</w:t>
      </w:r>
      <w:r w:rsidR="007C347F">
        <w:rPr>
          <w:rFonts w:hint="cs"/>
          <w:rtl/>
          <w:lang w:val="en-GB"/>
        </w:rPr>
        <w:t xml:space="preserve"> </w:t>
      </w:r>
      <w:r w:rsidR="007C347F">
        <w:rPr>
          <w:lang w:val="en-GB"/>
        </w:rPr>
        <w:t>10</w:t>
      </w:r>
      <w:r w:rsidR="007C347F">
        <w:rPr>
          <w:rFonts w:hint="cs"/>
          <w:rtl/>
          <w:lang w:val="en-GB"/>
        </w:rPr>
        <w:t xml:space="preserve"> أبريل </w:t>
      </w:r>
      <w:r w:rsidR="007C347F">
        <w:rPr>
          <w:lang w:val="en-GB"/>
        </w:rPr>
        <w:t>2014</w:t>
      </w:r>
      <w:r w:rsidR="007C347F">
        <w:rPr>
          <w:rFonts w:hint="cs"/>
          <w:rtl/>
          <w:lang w:val="en-GB"/>
        </w:rPr>
        <w:t xml:space="preserve"> وكانت النتائج على النحو التالي: </w:t>
      </w:r>
      <w:r w:rsidR="007C347F">
        <w:rPr>
          <w:lang w:val="en-GB"/>
        </w:rPr>
        <w:t>11</w:t>
      </w:r>
      <w:r w:rsidR="007C347F">
        <w:rPr>
          <w:rFonts w:hint="cs"/>
          <w:rtl/>
          <w:lang w:val="en-GB"/>
        </w:rPr>
        <w:t xml:space="preserve"> برنامجاً</w:t>
      </w:r>
      <w:r w:rsidR="00621256">
        <w:rPr>
          <w:rFonts w:hint="cs"/>
          <w:rtl/>
          <w:lang w:val="en-GB"/>
        </w:rPr>
        <w:t xml:space="preserve"> – </w:t>
      </w:r>
      <w:r w:rsidR="008F66AA">
        <w:rPr>
          <w:lang w:val="en-GB"/>
        </w:rPr>
        <w:t>5</w:t>
      </w:r>
      <w:r w:rsidR="007C347F">
        <w:rPr>
          <w:rFonts w:hint="cs"/>
          <w:rtl/>
          <w:lang w:val="en-GB"/>
        </w:rPr>
        <w:t xml:space="preserve"> أهداف، و</w:t>
      </w:r>
      <w:r w:rsidR="007C347F">
        <w:rPr>
          <w:lang w:val="en-GB"/>
        </w:rPr>
        <w:t>68</w:t>
      </w:r>
      <w:r w:rsidR="007C347F">
        <w:rPr>
          <w:rFonts w:hint="cs"/>
          <w:rtl/>
          <w:lang w:val="en-GB"/>
        </w:rPr>
        <w:t xml:space="preserve"> قراراً، و</w:t>
      </w:r>
      <w:r w:rsidR="008F66AA">
        <w:rPr>
          <w:lang w:val="en-GB"/>
        </w:rPr>
        <w:t>7</w:t>
      </w:r>
      <w:r w:rsidR="007C347F">
        <w:rPr>
          <w:rFonts w:hint="cs"/>
          <w:rtl/>
          <w:lang w:val="en-GB"/>
        </w:rPr>
        <w:t xml:space="preserve"> توصيات، و</w:t>
      </w:r>
      <w:r w:rsidR="007C347F">
        <w:rPr>
          <w:lang w:val="en-GB"/>
        </w:rPr>
        <w:t>30</w:t>
      </w:r>
      <w:r w:rsidR="007C347F">
        <w:rPr>
          <w:rFonts w:hint="cs"/>
          <w:rtl/>
          <w:lang w:val="en-GB"/>
        </w:rPr>
        <w:t xml:space="preserve"> مبادرة إقليمية (</w:t>
      </w:r>
      <w:r w:rsidR="008F66AA">
        <w:rPr>
          <w:lang w:val="en-GB"/>
        </w:rPr>
        <w:t>5</w:t>
      </w:r>
      <w:r w:rsidR="007C347F">
        <w:rPr>
          <w:rFonts w:hint="cs"/>
          <w:rtl/>
          <w:lang w:val="en-GB"/>
        </w:rPr>
        <w:t xml:space="preserve"> مبادرات لكل منطقة)</w:t>
      </w:r>
      <w:r w:rsidR="008F66AA">
        <w:rPr>
          <w:rFonts w:hint="cs"/>
          <w:rtl/>
          <w:lang w:val="en-GB" w:bidi="ar-EG"/>
        </w:rPr>
        <w:t>،</w:t>
      </w:r>
      <w:r w:rsidR="007C347F">
        <w:rPr>
          <w:rFonts w:hint="cs"/>
          <w:rtl/>
          <w:lang w:val="en-GB"/>
        </w:rPr>
        <w:t xml:space="preserve"> واردة في تقرير نهائي من </w:t>
      </w:r>
      <w:r w:rsidR="007C347F">
        <w:rPr>
          <w:lang w:val="en-GB"/>
        </w:rPr>
        <w:t>716</w:t>
      </w:r>
      <w:r w:rsidR="007C347F">
        <w:rPr>
          <w:rFonts w:hint="cs"/>
          <w:rtl/>
          <w:lang w:val="en-GB"/>
        </w:rPr>
        <w:t xml:space="preserve"> صفحة.</w:t>
      </w:r>
    </w:p>
    <w:p w14:paraId="62B995E5" w14:textId="340B32F9" w:rsidR="007C347F" w:rsidRDefault="002A7BD6" w:rsidP="002A7BD6">
      <w:pPr>
        <w:pStyle w:val="enumlev1"/>
        <w:rPr>
          <w:rtl/>
          <w:lang w:val="en-GB"/>
        </w:rPr>
      </w:pPr>
      <w:r>
        <w:rPr>
          <w:lang w:val="en-GB"/>
        </w:rPr>
        <w:sym w:font="Symbol" w:char="F0B7"/>
      </w:r>
      <w:r w:rsidR="007C347F">
        <w:rPr>
          <w:rtl/>
          <w:lang w:val="en-GB"/>
        </w:rPr>
        <w:tab/>
      </w:r>
      <w:r w:rsidR="007C347F" w:rsidRPr="002A7BD6">
        <w:rPr>
          <w:rFonts w:hint="cs"/>
          <w:rtl/>
        </w:rPr>
        <w:t>المؤتمر</w:t>
      </w:r>
      <w:r w:rsidR="007C347F">
        <w:rPr>
          <w:rFonts w:hint="cs"/>
          <w:rtl/>
          <w:lang w:val="en-GB"/>
        </w:rPr>
        <w:t xml:space="preserve"> العالمي لتنمية الاتصالات لعام </w:t>
      </w:r>
      <w:r w:rsidR="007C347F">
        <w:rPr>
          <w:lang w:val="en-GB"/>
        </w:rPr>
        <w:t>2017</w:t>
      </w:r>
      <w:r w:rsidR="007C347F">
        <w:rPr>
          <w:rFonts w:hint="cs"/>
          <w:rtl/>
          <w:lang w:val="en-GB"/>
        </w:rPr>
        <w:t>، بوينس آيرس،</w:t>
      </w:r>
      <w:r w:rsidR="00B5233F">
        <w:rPr>
          <w:rFonts w:hint="cs"/>
          <w:rtl/>
          <w:lang w:val="en-GB"/>
        </w:rPr>
        <w:t xml:space="preserve"> الأرجنتين،</w:t>
      </w:r>
      <w:r w:rsidR="007C347F">
        <w:rPr>
          <w:rFonts w:hint="cs"/>
          <w:rtl/>
          <w:lang w:val="en-GB"/>
        </w:rPr>
        <w:t xml:space="preserve"> </w:t>
      </w:r>
      <w:r w:rsidR="007C347F">
        <w:rPr>
          <w:lang w:val="en-GB"/>
        </w:rPr>
        <w:t>20-9</w:t>
      </w:r>
      <w:r w:rsidR="007C347F">
        <w:rPr>
          <w:rFonts w:hint="cs"/>
          <w:rtl/>
          <w:lang w:val="en-GB"/>
        </w:rPr>
        <w:t xml:space="preserve"> أكتوبر </w:t>
      </w:r>
      <w:r w:rsidR="007C347F">
        <w:rPr>
          <w:lang w:val="en-GB"/>
        </w:rPr>
        <w:t>2017</w:t>
      </w:r>
      <w:r w:rsidR="007C347F">
        <w:rPr>
          <w:rFonts w:hint="cs"/>
          <w:rtl/>
          <w:lang w:val="en-GB"/>
        </w:rPr>
        <w:t xml:space="preserve"> وكانت النتائج على النحو التالي: </w:t>
      </w:r>
      <w:r w:rsidR="007C347F">
        <w:rPr>
          <w:lang w:val="en-GB"/>
        </w:rPr>
        <w:t>11</w:t>
      </w:r>
      <w:r w:rsidR="007C347F">
        <w:rPr>
          <w:rFonts w:hint="cs"/>
          <w:rtl/>
          <w:lang w:val="en-GB"/>
        </w:rPr>
        <w:t xml:space="preserve"> برنامجاً</w:t>
      </w:r>
      <w:r w:rsidR="00621256">
        <w:rPr>
          <w:rFonts w:hint="cs"/>
          <w:rtl/>
          <w:lang w:val="en-GB"/>
        </w:rPr>
        <w:t xml:space="preserve"> </w:t>
      </w:r>
      <w:r w:rsidR="00621256">
        <w:rPr>
          <w:rFonts w:hint="eastAsia"/>
          <w:rtl/>
          <w:lang w:val="en-GB"/>
        </w:rPr>
        <w:t>–</w:t>
      </w:r>
      <w:r w:rsidR="00621256">
        <w:rPr>
          <w:rFonts w:hint="cs"/>
          <w:rtl/>
          <w:lang w:val="en-GB"/>
        </w:rPr>
        <w:t xml:space="preserve"> </w:t>
      </w:r>
      <w:r w:rsidR="008F66AA">
        <w:rPr>
          <w:lang w:val="en-GB"/>
        </w:rPr>
        <w:t>4</w:t>
      </w:r>
      <w:r w:rsidR="007C347F">
        <w:rPr>
          <w:rFonts w:hint="cs"/>
          <w:rtl/>
          <w:lang w:val="en-GB"/>
        </w:rPr>
        <w:t xml:space="preserve"> أهداف،</w:t>
      </w:r>
      <w:r w:rsidR="00753923">
        <w:rPr>
          <w:rFonts w:hint="cs"/>
          <w:rtl/>
          <w:lang w:val="en-GB"/>
        </w:rPr>
        <w:t xml:space="preserve"> </w:t>
      </w:r>
      <w:r w:rsidR="00195164">
        <w:rPr>
          <w:rFonts w:hint="cs"/>
          <w:rtl/>
          <w:lang w:val="en-GB"/>
        </w:rPr>
        <w:t>و</w:t>
      </w:r>
      <w:r w:rsidR="007C347F">
        <w:rPr>
          <w:lang w:val="en-GB"/>
        </w:rPr>
        <w:t>66</w:t>
      </w:r>
      <w:r w:rsidR="00753923">
        <w:rPr>
          <w:rFonts w:hint="cs"/>
          <w:rtl/>
          <w:lang w:val="en-GB"/>
        </w:rPr>
        <w:t xml:space="preserve"> </w:t>
      </w:r>
      <w:r w:rsidR="007C347F">
        <w:rPr>
          <w:rFonts w:hint="cs"/>
          <w:rtl/>
          <w:lang w:val="en-GB"/>
        </w:rPr>
        <w:t xml:space="preserve">قراراً، </w:t>
      </w:r>
      <w:r w:rsidR="008F66AA">
        <w:rPr>
          <w:rFonts w:hint="cs"/>
          <w:rtl/>
          <w:lang w:val="en-GB"/>
        </w:rPr>
        <w:t>و</w:t>
      </w:r>
      <w:r w:rsidR="008F66AA">
        <w:t>5</w:t>
      </w:r>
      <w:r w:rsidR="007C347F">
        <w:rPr>
          <w:rFonts w:hint="cs"/>
          <w:rtl/>
          <w:lang w:val="en-GB"/>
        </w:rPr>
        <w:t xml:space="preserve"> توصيات، </w:t>
      </w:r>
      <w:r w:rsidR="003D16D2">
        <w:rPr>
          <w:rFonts w:hint="cs"/>
          <w:rtl/>
          <w:lang w:val="en-GB" w:bidi="ar-EG"/>
        </w:rPr>
        <w:t>و</w:t>
      </w:r>
      <w:r w:rsidR="007C347F">
        <w:rPr>
          <w:lang w:val="en-GB"/>
        </w:rPr>
        <w:t>30</w:t>
      </w:r>
      <w:r w:rsidR="007C347F">
        <w:rPr>
          <w:rFonts w:hint="cs"/>
          <w:rtl/>
          <w:lang w:val="en-GB"/>
        </w:rPr>
        <w:t xml:space="preserve"> مبادرة إقليمية (</w:t>
      </w:r>
      <w:r w:rsidR="008F66AA">
        <w:rPr>
          <w:lang w:val="en-GB"/>
        </w:rPr>
        <w:t>5</w:t>
      </w:r>
      <w:r w:rsidR="007C347F">
        <w:rPr>
          <w:rFonts w:hint="cs"/>
          <w:rtl/>
          <w:lang w:val="en-GB"/>
        </w:rPr>
        <w:t xml:space="preserve"> مبادرات لكل منطقة)</w:t>
      </w:r>
      <w:r w:rsidR="008F66AA">
        <w:rPr>
          <w:rFonts w:hint="cs"/>
          <w:rtl/>
          <w:lang w:val="en-GB" w:bidi="ar-EG"/>
        </w:rPr>
        <w:t>،</w:t>
      </w:r>
      <w:r w:rsidR="007C347F">
        <w:rPr>
          <w:rFonts w:hint="cs"/>
          <w:rtl/>
          <w:lang w:val="en-GB"/>
        </w:rPr>
        <w:t xml:space="preserve"> واردة في تقرير نهائي من </w:t>
      </w:r>
      <w:r w:rsidR="007C347F">
        <w:rPr>
          <w:lang w:val="en-GB"/>
        </w:rPr>
        <w:t>820</w:t>
      </w:r>
      <w:r w:rsidR="007C347F">
        <w:rPr>
          <w:rFonts w:hint="cs"/>
          <w:rtl/>
          <w:lang w:val="en-GB"/>
        </w:rPr>
        <w:t xml:space="preserve"> صفحة.</w:t>
      </w:r>
    </w:p>
    <w:p w14:paraId="04B86762" w14:textId="77777777" w:rsidR="007C347F" w:rsidRPr="00621256" w:rsidRDefault="007C347F" w:rsidP="006B2E65">
      <w:pPr>
        <w:pStyle w:val="Heading1"/>
        <w:pBdr>
          <w:bottom w:val="single" w:sz="4" w:space="1" w:color="00B0F0"/>
        </w:pBdr>
        <w:rPr>
          <w:rtl/>
          <w:lang w:val="en-GB"/>
        </w:rPr>
      </w:pPr>
      <w:r w:rsidRPr="009631D9">
        <w:rPr>
          <w:rFonts w:hint="cs"/>
          <w:rtl/>
          <w:lang w:val="en-GB"/>
        </w:rPr>
        <w:t xml:space="preserve">الموضوع </w:t>
      </w:r>
      <w:r w:rsidRPr="009631D9">
        <w:rPr>
          <w:lang w:val="en-GB"/>
        </w:rPr>
        <w:t>1</w:t>
      </w:r>
      <w:r w:rsidRPr="009631D9">
        <w:rPr>
          <w:rFonts w:hint="cs"/>
          <w:rtl/>
          <w:lang w:val="en-GB"/>
        </w:rPr>
        <w:t xml:space="preserve"> - العملية التحضيرية</w:t>
      </w:r>
    </w:p>
    <w:p w14:paraId="3162D160" w14:textId="770079FE" w:rsidR="007C347F" w:rsidRDefault="007C347F" w:rsidP="009E06B9">
      <w:pPr>
        <w:spacing w:before="240"/>
        <w:rPr>
          <w:rtl/>
          <w:lang w:val="en-GB"/>
        </w:rPr>
      </w:pPr>
      <w:r w:rsidRPr="009631D9">
        <w:rPr>
          <w:rFonts w:hint="cs"/>
          <w:color w:val="000000"/>
          <w:rtl/>
        </w:rPr>
        <w:t>هل العملية التحضيرية للمؤتمر العالمي لتنمية</w:t>
      </w:r>
      <w:r>
        <w:rPr>
          <w:rFonts w:hint="cs"/>
          <w:color w:val="000000"/>
          <w:rtl/>
        </w:rPr>
        <w:t xml:space="preserve"> الاتصالات لا </w:t>
      </w:r>
      <w:r w:rsidR="008D5170">
        <w:rPr>
          <w:rFonts w:hint="cs"/>
          <w:color w:val="000000"/>
          <w:rtl/>
        </w:rPr>
        <w:t>تزال</w:t>
      </w:r>
      <w:r>
        <w:rPr>
          <w:rFonts w:hint="cs"/>
          <w:color w:val="000000"/>
          <w:rtl/>
        </w:rPr>
        <w:t xml:space="preserve"> تفي بالغرض؟ </w:t>
      </w:r>
      <w:r>
        <w:rPr>
          <w:color w:val="000000"/>
          <w:rtl/>
        </w:rPr>
        <w:t>كيف يمكن تحسين تكاملها مع العملية التحضيرية للمنظمات الإقليمية للاتصالات؟</w:t>
      </w:r>
      <w:r>
        <w:rPr>
          <w:rFonts w:hint="cs"/>
          <w:rtl/>
          <w:lang w:val="en-GB"/>
        </w:rPr>
        <w:t xml:space="preserve"> هل ينبغي تنظيم اجتماعات أقاليمية غير رسمية، وإذا كان الأمر كذلك، فما هو الشكل الذي ينبغي أن تتخذه؟ هل ينبغي استخدام الاجتماعات الأقاليمية غير الرسمية لتعزيز الاتفاق قبل المؤتمر (بشأن القضايا الإدارية مثلاً) لإتاحة الوقت للمؤتمر كي يناقش قضايا </w:t>
      </w:r>
      <w:r w:rsidR="00D61BAF">
        <w:rPr>
          <w:rFonts w:hint="cs"/>
          <w:rtl/>
          <w:lang w:val="en-GB"/>
        </w:rPr>
        <w:t>تنمية</w:t>
      </w:r>
      <w:r>
        <w:rPr>
          <w:rFonts w:hint="cs"/>
          <w:rtl/>
          <w:lang w:val="en-GB"/>
        </w:rPr>
        <w:t xml:space="preserve"> تكنولوجيا المعلومات والاتصالات الهامة؟</w:t>
      </w:r>
    </w:p>
    <w:p w14:paraId="3707213F" w14:textId="77777777" w:rsidR="007C347F" w:rsidRPr="006B2E65" w:rsidRDefault="007C347F" w:rsidP="00621256">
      <w:pPr>
        <w:pStyle w:val="Headingb"/>
        <w:rPr>
          <w:rtl/>
        </w:rPr>
      </w:pPr>
      <w:r w:rsidRPr="006B2E65">
        <w:rPr>
          <w:rFonts w:hint="cs"/>
          <w:rtl/>
        </w:rPr>
        <w:t>التحدي</w:t>
      </w:r>
    </w:p>
    <w:p w14:paraId="279351C5" w14:textId="77777777" w:rsidR="007C347F" w:rsidRDefault="007C347F" w:rsidP="007C347F">
      <w:pPr>
        <w:rPr>
          <w:color w:val="222222"/>
          <w:rtl/>
          <w:lang w:bidi="ar"/>
        </w:rPr>
      </w:pPr>
      <w:r>
        <w:rPr>
          <w:rFonts w:hint="cs"/>
          <w:rtl/>
          <w:lang w:val="en-GB"/>
        </w:rPr>
        <w:t xml:space="preserve">على الرغم من أن المؤتمرات العالمية لتنمية الاتصالات حققت معدلات نجاح عالية </w:t>
      </w:r>
      <w:r>
        <w:rPr>
          <w:rFonts w:hint="cs"/>
          <w:color w:val="222222"/>
          <w:rtl/>
        </w:rPr>
        <w:t>على مدار تاريخها، فقد حان الوقت لإعادة تشكيل العملية التحضيرية لجعلها مناسبة للغرض المنشود في عالم سريع التغير</w:t>
      </w:r>
      <w:r>
        <w:rPr>
          <w:rFonts w:hint="cs"/>
          <w:color w:val="222222"/>
          <w:rtl/>
          <w:lang w:bidi="ar"/>
        </w:rPr>
        <w:t xml:space="preserve">. </w:t>
      </w:r>
      <w:r>
        <w:rPr>
          <w:rFonts w:hint="cs"/>
          <w:color w:val="222222"/>
          <w:rtl/>
        </w:rPr>
        <w:t>ووافق المشاركون في الحوار الإلكتروني بشأن المؤتمر العالمي لتنمية الاتصالات على ضرورة الإصلاح هذه</w:t>
      </w:r>
      <w:r>
        <w:rPr>
          <w:rFonts w:hint="cs"/>
          <w:color w:val="222222"/>
          <w:rtl/>
          <w:lang w:bidi="ar"/>
        </w:rPr>
        <w:t>.</w:t>
      </w:r>
    </w:p>
    <w:p w14:paraId="5D192D71" w14:textId="05EAF827" w:rsidR="006B2E65" w:rsidRPr="00791109" w:rsidRDefault="007C347F" w:rsidP="006B2E65">
      <w:pPr>
        <w:rPr>
          <w:rtl/>
        </w:rPr>
      </w:pPr>
      <w:r w:rsidRPr="00791109">
        <w:rPr>
          <w:rFonts w:hint="cs"/>
          <w:rtl/>
          <w:lang w:val="en-GB"/>
        </w:rPr>
        <w:t xml:space="preserve">ومن الملاحظات التي </w:t>
      </w:r>
      <w:r w:rsidR="005F69B0">
        <w:rPr>
          <w:rFonts w:hint="cs"/>
          <w:rtl/>
          <w:lang w:val="en-GB"/>
        </w:rPr>
        <w:t>أُبديت</w:t>
      </w:r>
      <w:r w:rsidRPr="00791109">
        <w:rPr>
          <w:rFonts w:hint="cs"/>
          <w:rtl/>
          <w:lang w:val="en-GB"/>
        </w:rPr>
        <w:t xml:space="preserve"> </w:t>
      </w:r>
      <w:r w:rsidR="005F69B0">
        <w:rPr>
          <w:rFonts w:hint="cs"/>
          <w:rtl/>
          <w:lang w:val="en-GB"/>
        </w:rPr>
        <w:t>الفترة الفاصلة</w:t>
      </w:r>
      <w:r w:rsidRPr="00791109">
        <w:rPr>
          <w:rFonts w:hint="cs"/>
          <w:rtl/>
          <w:lang w:val="en-GB"/>
        </w:rPr>
        <w:t xml:space="preserve"> التي </w:t>
      </w:r>
      <w:r w:rsidR="005F69B0">
        <w:rPr>
          <w:rFonts w:hint="cs"/>
          <w:rtl/>
          <w:lang w:val="en-GB"/>
        </w:rPr>
        <w:t>بلغت</w:t>
      </w:r>
      <w:r w:rsidRPr="00791109">
        <w:rPr>
          <w:rFonts w:hint="cs"/>
          <w:rtl/>
          <w:lang w:val="en-GB"/>
        </w:rPr>
        <w:t xml:space="preserve"> ستة أشهر بين الاجتماع الإقليمي التحضيري الأخير للمؤتمر العالمي لتنمية الاتصالات لعام </w:t>
      </w:r>
      <w:r w:rsidRPr="00791109">
        <w:rPr>
          <w:lang w:val="en-GB" w:bidi="ar"/>
        </w:rPr>
        <w:t>2017</w:t>
      </w:r>
      <w:r w:rsidRPr="00791109">
        <w:rPr>
          <w:rFonts w:hint="cs"/>
          <w:rtl/>
          <w:lang w:val="en-GB"/>
        </w:rPr>
        <w:t xml:space="preserve"> وافتتاح هذا المؤتمر. وفي الفترة التي سبقت انعقاد المؤتمر العالمي لتنمية الاتصالات لعام </w:t>
      </w:r>
      <w:r w:rsidRPr="00791109">
        <w:rPr>
          <w:lang w:val="en-GB"/>
        </w:rPr>
        <w:t>2017</w:t>
      </w:r>
      <w:r w:rsidRPr="00791109">
        <w:rPr>
          <w:rFonts w:hint="cs"/>
          <w:rtl/>
          <w:lang w:val="en-GB"/>
        </w:rPr>
        <w:t>، نظّم مكتب تنمية الاتصالات اجتماعاً إقليمياً تحضيرياً واحداً لكل منطقة من المناطق الست لقطاع تنمية الاتصالات</w:t>
      </w:r>
      <w:r w:rsidRPr="00791109">
        <w:rPr>
          <w:rStyle w:val="FootnoteReference"/>
          <w:rtl/>
          <w:lang w:val="en-GB"/>
        </w:rPr>
        <w:footnoteReference w:id="1"/>
      </w:r>
      <w:r w:rsidRPr="00791109">
        <w:rPr>
          <w:rFonts w:hint="cs"/>
          <w:rtl/>
          <w:lang w:val="en-GB"/>
        </w:rPr>
        <w:t xml:space="preserve"> </w:t>
      </w:r>
      <w:r w:rsidR="005F69B0">
        <w:rPr>
          <w:rFonts w:hint="cs"/>
          <w:rtl/>
          <w:lang w:val="en-GB"/>
        </w:rPr>
        <w:t>فعقد اجتماعين</w:t>
      </w:r>
      <w:r w:rsidRPr="00791109">
        <w:rPr>
          <w:rFonts w:hint="cs"/>
          <w:rtl/>
          <w:lang w:val="en-GB"/>
        </w:rPr>
        <w:t xml:space="preserve"> في الربع الأخير من عام </w:t>
      </w:r>
      <w:r w:rsidRPr="00791109">
        <w:rPr>
          <w:lang w:val="en-GB"/>
        </w:rPr>
        <w:t>2016</w:t>
      </w:r>
      <w:r w:rsidRPr="00791109">
        <w:rPr>
          <w:rFonts w:hint="cs"/>
          <w:rtl/>
          <w:lang w:val="en-GB"/>
        </w:rPr>
        <w:t xml:space="preserve"> وأربعة اجتماعات في الربع الأول من </w:t>
      </w:r>
      <w:r w:rsidRPr="00791109">
        <w:rPr>
          <w:lang w:val="en-GB"/>
        </w:rPr>
        <w:t>2017</w:t>
      </w:r>
      <w:r w:rsidRPr="00791109">
        <w:rPr>
          <w:rFonts w:hint="cs"/>
          <w:rtl/>
          <w:lang w:val="en-GB"/>
        </w:rPr>
        <w:t xml:space="preserve">. وعُقدت هذه الاجتماعات على مدى ستة أشهر متتالية </w:t>
      </w:r>
      <w:r w:rsidRPr="00791109">
        <w:rPr>
          <w:rFonts w:hint="cs"/>
          <w:rtl/>
        </w:rPr>
        <w:t xml:space="preserve">من نوفمبر </w:t>
      </w:r>
      <w:r w:rsidRPr="00791109">
        <w:t>2016</w:t>
      </w:r>
      <w:r w:rsidRPr="00791109">
        <w:rPr>
          <w:rFonts w:hint="cs"/>
          <w:rtl/>
        </w:rPr>
        <w:t xml:space="preserve"> إلى أبريل </w:t>
      </w:r>
      <w:r w:rsidRPr="00791109">
        <w:t>2017</w:t>
      </w:r>
      <w:r w:rsidRPr="00791109">
        <w:rPr>
          <w:rFonts w:hint="cs"/>
          <w:rtl/>
        </w:rPr>
        <w:t>.</w:t>
      </w:r>
      <w:r w:rsidR="006B2E65" w:rsidRPr="00791109">
        <w:rPr>
          <w:rFonts w:hint="cs"/>
          <w:rtl/>
        </w:rPr>
        <w:t xml:space="preserve"> </w:t>
      </w:r>
      <w:r w:rsidRPr="00791109">
        <w:rPr>
          <w:rFonts w:hint="cs"/>
          <w:rtl/>
        </w:rPr>
        <w:t xml:space="preserve">وافتتح المؤتمر في أكتوبر </w:t>
      </w:r>
      <w:r w:rsidRPr="00791109">
        <w:t>2017</w:t>
      </w:r>
      <w:r w:rsidRPr="00791109">
        <w:rPr>
          <w:rFonts w:hint="cs"/>
          <w:rtl/>
        </w:rPr>
        <w:t>، مما يعني أن ستة أشهر مرت دون أي تفاعلات بين المناطق.</w:t>
      </w:r>
    </w:p>
    <w:p w14:paraId="030D9D44" w14:textId="6565313E" w:rsidR="007C347F" w:rsidRPr="00791109" w:rsidRDefault="007C347F" w:rsidP="006B2E65">
      <w:pPr>
        <w:rPr>
          <w:rtl/>
          <w:lang w:val="en-GB"/>
        </w:rPr>
      </w:pPr>
      <w:r w:rsidRPr="00791109">
        <w:rPr>
          <w:rFonts w:hint="cs"/>
          <w:rtl/>
          <w:lang w:val="en-GB"/>
        </w:rPr>
        <w:t xml:space="preserve">وفي حين أن الاجتماعات الإقليمية التحضيرية ربما تكون قد ساعدت في </w:t>
      </w:r>
      <w:r w:rsidR="00A45BEF" w:rsidRPr="00791109">
        <w:rPr>
          <w:rFonts w:hint="cs"/>
          <w:rtl/>
          <w:lang w:val="en-GB"/>
        </w:rPr>
        <w:t xml:space="preserve">توحيد </w:t>
      </w:r>
      <w:r w:rsidRPr="00791109">
        <w:rPr>
          <w:rFonts w:hint="cs"/>
          <w:rtl/>
          <w:lang w:val="en-GB"/>
        </w:rPr>
        <w:t>المواقف</w:t>
      </w:r>
      <w:r w:rsidR="00642443" w:rsidRPr="00791109">
        <w:rPr>
          <w:rFonts w:hint="cs"/>
          <w:rtl/>
          <w:lang w:val="en-GB"/>
        </w:rPr>
        <w:t xml:space="preserve"> الإقليمية</w:t>
      </w:r>
      <w:r w:rsidRPr="00791109">
        <w:rPr>
          <w:rFonts w:hint="cs"/>
          <w:rtl/>
          <w:lang w:val="en-GB"/>
        </w:rPr>
        <w:t xml:space="preserve"> ولا سيما بشأن المبادرات الإقليمية، فإنها لم توفر أي فرص لبناء التوافق في الآراء بشأن </w:t>
      </w:r>
      <w:r w:rsidR="00B8603C">
        <w:rPr>
          <w:rFonts w:hint="cs"/>
          <w:rtl/>
          <w:lang w:val="en-GB"/>
        </w:rPr>
        <w:t>أمور</w:t>
      </w:r>
      <w:r w:rsidRPr="00791109">
        <w:rPr>
          <w:rFonts w:hint="cs"/>
          <w:rtl/>
          <w:lang w:val="en-GB"/>
        </w:rPr>
        <w:t xml:space="preserve"> من قبيل القرارات ومسائل لجان الدراسات والمدخلات في</w:t>
      </w:r>
      <w:r w:rsidR="00642443" w:rsidRPr="00791109">
        <w:rPr>
          <w:rFonts w:hint="eastAsia"/>
          <w:rtl/>
          <w:lang w:val="en-GB"/>
        </w:rPr>
        <w:t> </w:t>
      </w:r>
      <w:r w:rsidRPr="00791109">
        <w:rPr>
          <w:rFonts w:hint="cs"/>
          <w:rtl/>
          <w:lang w:val="en-GB"/>
        </w:rPr>
        <w:t>الخطة الاستراتيجية للاتحاد.</w:t>
      </w:r>
    </w:p>
    <w:p w14:paraId="3C56ED67" w14:textId="77777777" w:rsidR="007C347F" w:rsidRPr="00791109" w:rsidRDefault="007C347F" w:rsidP="007C347F">
      <w:pPr>
        <w:rPr>
          <w:lang w:val="en-GB"/>
        </w:rPr>
      </w:pPr>
      <w:r w:rsidRPr="00791109">
        <w:rPr>
          <w:rFonts w:hint="cs"/>
          <w:rtl/>
          <w:lang w:val="en-GB"/>
        </w:rPr>
        <w:t xml:space="preserve">وهكذا أُنفق وقت طويل خلال مناقشة وصياغة المؤتمر </w:t>
      </w:r>
      <w:r w:rsidRPr="00791109">
        <w:rPr>
          <w:lang w:val="en-GB"/>
        </w:rPr>
        <w:t>WTDC-17</w:t>
      </w:r>
      <w:r w:rsidRPr="00791109">
        <w:rPr>
          <w:rFonts w:hint="cs"/>
          <w:rtl/>
          <w:lang w:val="en-GB"/>
        </w:rPr>
        <w:t xml:space="preserve"> لمسائل لجان الدراسات والإعلان.</w:t>
      </w:r>
    </w:p>
    <w:p w14:paraId="6DDE6EFF" w14:textId="77777777" w:rsidR="007C347F" w:rsidRPr="00791109" w:rsidRDefault="007C347F" w:rsidP="00621256">
      <w:pPr>
        <w:pStyle w:val="Headingb"/>
        <w:rPr>
          <w:rtl/>
          <w:lang w:val="en-GB"/>
        </w:rPr>
      </w:pPr>
      <w:r w:rsidRPr="00791109">
        <w:rPr>
          <w:rFonts w:hint="cs"/>
          <w:rtl/>
          <w:lang w:val="en-GB"/>
        </w:rPr>
        <w:t>بعض المقترحات</w:t>
      </w:r>
    </w:p>
    <w:p w14:paraId="095510AB" w14:textId="6EF62302" w:rsidR="007C347F" w:rsidRPr="00791109" w:rsidRDefault="007C347F" w:rsidP="007C347F">
      <w:pPr>
        <w:rPr>
          <w:rtl/>
          <w:lang w:val="en-GB"/>
        </w:rPr>
      </w:pPr>
      <w:r w:rsidRPr="00791109">
        <w:rPr>
          <w:rFonts w:hint="cs"/>
          <w:rtl/>
          <w:lang w:val="en-GB"/>
        </w:rPr>
        <w:t xml:space="preserve">نشر نتائج مفصلة على الإنترنت لتنفيذ خطة عمل بوينس آيرس لإعلام وتوجيه جميع الاجتماعات الإقليمية التحضيرية. وفي الفترة التي تسبق المؤتمر العالمي لتنمية الاتصالات لعام </w:t>
      </w:r>
      <w:r w:rsidRPr="00791109">
        <w:rPr>
          <w:lang w:val="en-GB"/>
        </w:rPr>
        <w:t>2021</w:t>
      </w:r>
      <w:r w:rsidRPr="00791109">
        <w:rPr>
          <w:rFonts w:hint="cs"/>
          <w:rtl/>
          <w:lang w:val="en-GB"/>
        </w:rPr>
        <w:t xml:space="preserve">، ينبغي لمكتب تنمية الاتصالات </w:t>
      </w:r>
      <w:r w:rsidR="00261D4C">
        <w:rPr>
          <w:rFonts w:hint="cs"/>
          <w:rtl/>
          <w:lang w:val="en-GB"/>
        </w:rPr>
        <w:t>تجميع</w:t>
      </w:r>
      <w:r w:rsidRPr="00791109">
        <w:rPr>
          <w:rFonts w:hint="cs"/>
          <w:rtl/>
          <w:lang w:val="en-GB"/>
        </w:rPr>
        <w:t xml:space="preserve"> ونشر نتائج كل عنصر من عناصر خطة العمل.</w:t>
      </w:r>
    </w:p>
    <w:p w14:paraId="1F6D367B" w14:textId="7D63B36A" w:rsidR="007C347F" w:rsidRPr="00791109" w:rsidRDefault="007C347F" w:rsidP="007C347F">
      <w:pPr>
        <w:rPr>
          <w:rtl/>
          <w:lang w:val="en-GB"/>
        </w:rPr>
      </w:pPr>
      <w:r w:rsidRPr="00791109">
        <w:rPr>
          <w:rFonts w:hint="cs"/>
          <w:rtl/>
          <w:lang w:val="en-GB"/>
        </w:rPr>
        <w:t>استخدام العملية الإقليمية التحضيرية بشكل كامل لمراجعة أو صياغة القرارات ومسائل لجان الدراسات وللتوصل إلى توافق في الآراء بشأن الأولويات/المجموعات المواضيع</w:t>
      </w:r>
      <w:r w:rsidR="009E06B9" w:rsidRPr="00791109">
        <w:rPr>
          <w:rFonts w:hint="cs"/>
          <w:rtl/>
          <w:lang w:val="en-GB"/>
        </w:rPr>
        <w:t>ي</w:t>
      </w:r>
      <w:r w:rsidRPr="00791109">
        <w:rPr>
          <w:rFonts w:hint="cs"/>
          <w:rtl/>
          <w:lang w:val="en-GB"/>
        </w:rPr>
        <w:t>ة.</w:t>
      </w:r>
    </w:p>
    <w:p w14:paraId="3BCFD5AA" w14:textId="7538EB12" w:rsidR="007C347F" w:rsidRPr="00791109" w:rsidRDefault="006E3369" w:rsidP="008172F6">
      <w:pPr>
        <w:rPr>
          <w:rtl/>
          <w:lang w:val="en-GB"/>
        </w:rPr>
      </w:pPr>
      <w:r>
        <w:rPr>
          <w:rFonts w:hint="cs"/>
          <w:rtl/>
          <w:lang w:val="en-GB"/>
        </w:rPr>
        <w:t>عقد</w:t>
      </w:r>
      <w:r w:rsidR="007C347F" w:rsidRPr="00791109">
        <w:rPr>
          <w:rFonts w:hint="cs"/>
          <w:rtl/>
          <w:lang w:val="en-GB"/>
        </w:rPr>
        <w:t xml:space="preserve"> اجتماعات أقاليمية لتحسين العملية التحضيرية من أجل تحقيق نتائج </w:t>
      </w:r>
      <w:r w:rsidR="00A7355C">
        <w:rPr>
          <w:rFonts w:hint="cs"/>
          <w:rtl/>
          <w:lang w:val="en-GB"/>
        </w:rPr>
        <w:t>ملموسة</w:t>
      </w:r>
      <w:r w:rsidR="007C347F" w:rsidRPr="00791109">
        <w:rPr>
          <w:rFonts w:hint="cs"/>
          <w:rtl/>
          <w:lang w:val="en-GB"/>
        </w:rPr>
        <w:t xml:space="preserve"> وتعزيز الاتفاق قبل المؤتمر </w:t>
      </w:r>
      <w:r w:rsidR="007C347F" w:rsidRPr="00791109">
        <w:rPr>
          <w:lang w:val="en-GB"/>
        </w:rPr>
        <w:t>WTDC</w:t>
      </w:r>
      <w:r w:rsidR="008172F6" w:rsidRPr="00791109">
        <w:noBreakHyphen/>
      </w:r>
      <w:r w:rsidR="007C347F" w:rsidRPr="00791109">
        <w:rPr>
          <w:lang w:val="en-GB"/>
        </w:rPr>
        <w:t>21</w:t>
      </w:r>
      <w:r w:rsidR="007C347F" w:rsidRPr="00791109">
        <w:rPr>
          <w:rFonts w:hint="cs"/>
          <w:rtl/>
          <w:lang w:val="en-GB"/>
        </w:rPr>
        <w:t>.</w:t>
      </w:r>
    </w:p>
    <w:p w14:paraId="2F44B174" w14:textId="07623948" w:rsidR="007C347F" w:rsidRDefault="007C347F" w:rsidP="007C347F">
      <w:pPr>
        <w:rPr>
          <w:rtl/>
          <w:lang w:val="en-GB"/>
        </w:rPr>
      </w:pPr>
      <w:r w:rsidRPr="00791109">
        <w:rPr>
          <w:rFonts w:hint="cs"/>
          <w:rtl/>
          <w:lang w:val="en-GB"/>
        </w:rPr>
        <w:lastRenderedPageBreak/>
        <w:t xml:space="preserve">عقد اجتماع أقاليمي واحد في اليوم التالي لكل اجتماع إقليمي تحضيري. </w:t>
      </w:r>
      <w:r w:rsidR="00D30792">
        <w:rPr>
          <w:rFonts w:hint="cs"/>
          <w:rtl/>
          <w:lang w:val="en-GB"/>
        </w:rPr>
        <w:t>ويمكن أن يشمل</w:t>
      </w:r>
      <w:r w:rsidRPr="00791109">
        <w:rPr>
          <w:rFonts w:hint="cs"/>
          <w:rtl/>
          <w:lang w:val="en-GB"/>
        </w:rPr>
        <w:t xml:space="preserve"> جدول أعمال الاجتماعات الأقاليمية المسائل التي تحتاج إلى </w:t>
      </w:r>
      <w:r w:rsidR="00D30792">
        <w:rPr>
          <w:rFonts w:hint="cs"/>
          <w:rtl/>
          <w:lang w:val="en-GB"/>
        </w:rPr>
        <w:t>توافق الآراء على المستوى</w:t>
      </w:r>
      <w:r w:rsidRPr="00791109">
        <w:rPr>
          <w:rFonts w:hint="cs"/>
          <w:rtl/>
          <w:lang w:val="en-GB"/>
        </w:rPr>
        <w:t xml:space="preserve"> </w:t>
      </w:r>
      <w:r w:rsidR="00D30792">
        <w:rPr>
          <w:rFonts w:hint="cs"/>
          <w:rtl/>
          <w:lang w:val="en-GB"/>
        </w:rPr>
        <w:t>ال</w:t>
      </w:r>
      <w:r w:rsidRPr="00791109">
        <w:rPr>
          <w:rFonts w:hint="cs"/>
          <w:rtl/>
          <w:lang w:val="en-GB"/>
        </w:rPr>
        <w:t xml:space="preserve">أقاليمي مثل القرارات ومسائل لجان الدراسات وعرض المشاريع الإنمائية </w:t>
      </w:r>
      <w:r w:rsidR="000E55EF" w:rsidRPr="00791109">
        <w:rPr>
          <w:rFonts w:hint="cs"/>
          <w:rtl/>
          <w:lang w:val="en-GB"/>
        </w:rPr>
        <w:t>المراد تنفيذها للحصول على</w:t>
      </w:r>
      <w:r w:rsidR="00791109">
        <w:rPr>
          <w:rFonts w:hint="eastAsia"/>
          <w:rtl/>
          <w:lang w:val="en-GB"/>
        </w:rPr>
        <w:t> </w:t>
      </w:r>
      <w:r w:rsidR="000E55EF" w:rsidRPr="00791109">
        <w:rPr>
          <w:rFonts w:hint="cs"/>
          <w:rtl/>
          <w:lang w:val="en-GB"/>
        </w:rPr>
        <w:t>التمويل</w:t>
      </w:r>
      <w:r w:rsidRPr="00791109">
        <w:rPr>
          <w:rFonts w:hint="cs"/>
          <w:rtl/>
          <w:lang w:val="en-GB"/>
        </w:rPr>
        <w:t>.</w:t>
      </w:r>
    </w:p>
    <w:p w14:paraId="795868AF" w14:textId="20629E8F" w:rsidR="007C347F" w:rsidRDefault="007C347F" w:rsidP="007C347F">
      <w:pPr>
        <w:rPr>
          <w:rtl/>
          <w:lang w:val="en-GB"/>
        </w:rPr>
      </w:pPr>
      <w:r>
        <w:rPr>
          <w:rFonts w:hint="cs"/>
          <w:rtl/>
          <w:lang w:val="en-GB"/>
        </w:rPr>
        <w:t>إلقاء نظرة فاحصة على ورش العمل الأقاليمية التي ينظمها مكتب الاتصالات الراديوية. فقد تقدم رؤى من شأنها أن تساعد في</w:t>
      </w:r>
      <w:r w:rsidR="001F0636">
        <w:rPr>
          <w:rFonts w:hint="eastAsia"/>
          <w:rtl/>
          <w:lang w:val="en-GB"/>
        </w:rPr>
        <w:t> </w:t>
      </w:r>
      <w:r>
        <w:rPr>
          <w:rFonts w:hint="cs"/>
          <w:rtl/>
          <w:lang w:val="en-GB"/>
        </w:rPr>
        <w:t xml:space="preserve">تجنب المناقشات المطولة في </w:t>
      </w:r>
      <w:r w:rsidR="006E0201">
        <w:rPr>
          <w:rFonts w:hint="cs"/>
          <w:rtl/>
          <w:lang w:val="en-GB"/>
        </w:rPr>
        <w:t>ال</w:t>
      </w:r>
      <w:r>
        <w:rPr>
          <w:rFonts w:hint="cs"/>
          <w:rtl/>
          <w:lang w:val="en-GB"/>
        </w:rPr>
        <w:t xml:space="preserve">مؤتمر </w:t>
      </w:r>
      <w:r w:rsidR="006E0201">
        <w:rPr>
          <w:rFonts w:hint="cs"/>
          <w:rtl/>
          <w:lang w:val="en-GB"/>
        </w:rPr>
        <w:t>ال</w:t>
      </w:r>
      <w:r>
        <w:rPr>
          <w:rFonts w:hint="cs"/>
          <w:rtl/>
          <w:lang w:val="en-GB"/>
        </w:rPr>
        <w:t xml:space="preserve">عالمي لتنمية الاتصالات. وتشكل ورش العمل الأقاليمية هذه جزءاً لا يتجزأ من الأعمال التحضيرية قبل انعقاد </w:t>
      </w:r>
      <w:r w:rsidR="006E0201">
        <w:rPr>
          <w:rFonts w:hint="cs"/>
          <w:rtl/>
          <w:lang w:val="en-GB"/>
        </w:rPr>
        <w:t>ال</w:t>
      </w:r>
      <w:r>
        <w:rPr>
          <w:rFonts w:hint="cs"/>
          <w:rtl/>
          <w:lang w:val="en-GB"/>
        </w:rPr>
        <w:t xml:space="preserve">مؤتمر </w:t>
      </w:r>
      <w:r w:rsidR="006E0201">
        <w:rPr>
          <w:rFonts w:hint="cs"/>
          <w:rtl/>
          <w:lang w:val="en-GB"/>
        </w:rPr>
        <w:t>ال</w:t>
      </w:r>
      <w:r>
        <w:rPr>
          <w:rFonts w:hint="cs"/>
          <w:rtl/>
          <w:lang w:val="en-GB"/>
        </w:rPr>
        <w:t xml:space="preserve">عالمي للاتصالات الراديوية </w:t>
      </w:r>
      <w:r>
        <w:rPr>
          <w:lang w:val="en-GB"/>
        </w:rPr>
        <w:t>(WRC)</w:t>
      </w:r>
      <w:r>
        <w:rPr>
          <w:rFonts w:hint="cs"/>
          <w:rtl/>
          <w:lang w:val="en-GB"/>
        </w:rPr>
        <w:t xml:space="preserve">. وتشمل كل دورة من دورات المؤتمر العالمي للاتصالات الراديوية ورش عمل تُنظم سنوياً </w:t>
      </w:r>
      <w:r w:rsidR="006E0201">
        <w:rPr>
          <w:rFonts w:hint="cs"/>
          <w:rtl/>
          <w:lang w:val="en-GB"/>
        </w:rPr>
        <w:t>تُعقد</w:t>
      </w:r>
      <w:r>
        <w:rPr>
          <w:rFonts w:hint="cs"/>
          <w:rtl/>
          <w:lang w:val="en-GB"/>
        </w:rPr>
        <w:t xml:space="preserve"> آخرها قبل المؤتمر مباشرة</w:t>
      </w:r>
      <w:r w:rsidR="007E7CEC">
        <w:rPr>
          <w:rFonts w:hint="cs"/>
          <w:rtl/>
          <w:lang w:val="en-GB"/>
        </w:rPr>
        <w:t>ً</w:t>
      </w:r>
      <w:r>
        <w:rPr>
          <w:rFonts w:hint="cs"/>
          <w:rtl/>
          <w:lang w:val="en-GB"/>
        </w:rPr>
        <w:t>.</w:t>
      </w:r>
    </w:p>
    <w:p w14:paraId="4FB4EE98" w14:textId="2B10B0CA" w:rsidR="007C347F" w:rsidRDefault="007C347F" w:rsidP="007C347F">
      <w:pPr>
        <w:rPr>
          <w:rtl/>
          <w:lang w:val="en-GB"/>
        </w:rPr>
      </w:pPr>
      <w:r>
        <w:rPr>
          <w:rFonts w:hint="cs"/>
          <w:rtl/>
          <w:lang w:val="en-GB"/>
        </w:rPr>
        <w:t>النظر في استخدام المشاركة عن ب</w:t>
      </w:r>
      <w:r w:rsidR="002503B3">
        <w:rPr>
          <w:rFonts w:hint="cs"/>
          <w:rtl/>
          <w:lang w:val="en-GB"/>
        </w:rPr>
        <w:t>ُ</w:t>
      </w:r>
      <w:r>
        <w:rPr>
          <w:rFonts w:hint="cs"/>
          <w:rtl/>
          <w:lang w:val="en-GB"/>
        </w:rPr>
        <w:t>عد لتعزيز العملية الإقليمية التحضيرية. ومن الأبعاد الهامة للاجتماعات الإقليمية والاجتماعات الأقاليمية، على وجه الخصوص، ضمان وجود مشاركة فع</w:t>
      </w:r>
      <w:r w:rsidR="00A66429">
        <w:rPr>
          <w:rFonts w:hint="cs"/>
          <w:rtl/>
          <w:lang w:val="en-GB"/>
        </w:rPr>
        <w:t>ّ</w:t>
      </w:r>
      <w:r>
        <w:rPr>
          <w:rFonts w:hint="cs"/>
          <w:rtl/>
          <w:lang w:val="en-GB"/>
        </w:rPr>
        <w:t xml:space="preserve">الة </w:t>
      </w:r>
      <w:r w:rsidR="002503B3">
        <w:rPr>
          <w:rFonts w:hint="cs"/>
          <w:rtl/>
          <w:lang w:val="en-GB"/>
        </w:rPr>
        <w:t xml:space="preserve">عن بُعد </w:t>
      </w:r>
      <w:r>
        <w:rPr>
          <w:rFonts w:hint="cs"/>
          <w:rtl/>
          <w:lang w:val="en-GB"/>
        </w:rPr>
        <w:t>من داخل المناطق على أساس المساواة مع</w:t>
      </w:r>
      <w:r w:rsidR="00FD0EE1">
        <w:rPr>
          <w:rFonts w:hint="cs"/>
          <w:rtl/>
          <w:lang w:val="en-GB"/>
        </w:rPr>
        <w:t xml:space="preserve"> المشاركين</w:t>
      </w:r>
      <w:r>
        <w:rPr>
          <w:rFonts w:hint="cs"/>
          <w:rtl/>
          <w:lang w:val="en-GB"/>
        </w:rPr>
        <w:t xml:space="preserve"> الموجودين في</w:t>
      </w:r>
      <w:r w:rsidR="001F0636">
        <w:rPr>
          <w:rFonts w:hint="eastAsia"/>
          <w:rtl/>
          <w:lang w:val="en-GB"/>
        </w:rPr>
        <w:t> </w:t>
      </w:r>
      <w:r>
        <w:rPr>
          <w:rFonts w:hint="cs"/>
          <w:rtl/>
          <w:lang w:val="en-GB"/>
        </w:rPr>
        <w:t>القاعة. وسيؤدي ذلك إلى ضمان وجود مشاركة واسعة بين المناطق في العملية التحضيرية.</w:t>
      </w:r>
    </w:p>
    <w:p w14:paraId="6B322225" w14:textId="77777777" w:rsidR="007C347F" w:rsidRDefault="007C347F" w:rsidP="007C347F">
      <w:pPr>
        <w:rPr>
          <w:rtl/>
          <w:lang w:val="en-GB"/>
        </w:rPr>
      </w:pPr>
      <w:r>
        <w:rPr>
          <w:rFonts w:hint="cs"/>
          <w:rtl/>
          <w:lang w:val="en-GB"/>
        </w:rPr>
        <w:t>التأكيد على دور المنظمات الإقليمية في تحديد القضايا الحاسمة داخل منطقة معينة. وهذه المنظمات كانت ولا تزال تفعل ذلك. ولكن يبدو أن المسائل ذات الأولوية التي يُسلط الضوء عليها ليست جذابة أو مرئية على نحو كافٍ لشركاء آخرين. استحداث المزيد من الحيوية داخل العملية التحضيرية في مختلف المناطق حتى تتمكن من ضمان وجود رؤية وانسجام وإقبال على الأنشطة التي تسلط عليها الضوء باعتبارها أنشطة حاسمة قبل المؤتمر.</w:t>
      </w:r>
    </w:p>
    <w:p w14:paraId="7D54D8FA" w14:textId="33B5B6B8" w:rsidR="007C347F" w:rsidRPr="009E06B9" w:rsidRDefault="007C347F" w:rsidP="007C347F">
      <w:pPr>
        <w:rPr>
          <w:rtl/>
        </w:rPr>
      </w:pPr>
      <w:r w:rsidRPr="009E06B9">
        <w:rPr>
          <w:rFonts w:hint="cs"/>
          <w:rtl/>
        </w:rPr>
        <w:t xml:space="preserve">إعادة تركيز المؤتمر العالمي لتنمية الاتصالات: يضم المشاركون في المؤتمر وزراء الحكومات وواضعي السياسات والخبراء التقنيين والأكاديميين الذين يتحاورون مع بعضهم البعض ولكن على مستويات مختلفة. وهذه الطريقة في العمل لا </w:t>
      </w:r>
      <w:r w:rsidR="008633C3">
        <w:rPr>
          <w:rFonts w:hint="cs"/>
          <w:rtl/>
        </w:rPr>
        <w:t>تحقق تقدماً في الكثير من الأحيان</w:t>
      </w:r>
      <w:r w:rsidRPr="009E06B9">
        <w:rPr>
          <w:rFonts w:hint="cs"/>
          <w:rtl/>
        </w:rPr>
        <w:t>. ومن الضروري التوصل إلى اتفاق بشأن ما إذا كان ينبغي تنظيم الاجتماعات التقنية بشكل منفصل. وهل ستكون هذه اجتماعات أقاليمية؟ ومن الضروري أيضاً التوصل إلى اتفاق بشأن الجهة التي ينبغي أن تتولى قيادة المؤتمر العالمي لتنمية الاتصالات. يرى بعض الوفود أن هذه الجهة يمكن أن تتمثل في واضعي السياسات، وبالنسبة لوفود أخرى، فيمكن أن تتمثل في</w:t>
      </w:r>
      <w:r w:rsidR="00A66429">
        <w:rPr>
          <w:rFonts w:hint="eastAsia"/>
          <w:rtl/>
        </w:rPr>
        <w:t> </w:t>
      </w:r>
      <w:r w:rsidRPr="009E06B9">
        <w:rPr>
          <w:rFonts w:hint="cs"/>
          <w:rtl/>
        </w:rPr>
        <w:t>الخبراء التقنيين والوزراء. وهذا يجعل من الصعب جداً إيجاد قواسم مشتركة عند بدء المناقشات.</w:t>
      </w:r>
    </w:p>
    <w:p w14:paraId="3B14F29F" w14:textId="77777777" w:rsidR="007C347F" w:rsidRDefault="007C347F" w:rsidP="007C347F">
      <w:pPr>
        <w:rPr>
          <w:rtl/>
          <w:lang w:val="en-GB"/>
        </w:rPr>
      </w:pPr>
      <w:r>
        <w:rPr>
          <w:rFonts w:hint="cs"/>
          <w:rtl/>
          <w:lang w:val="en-GB"/>
        </w:rPr>
        <w:t>تعزيز التنسيق بين مكتب تنمية الاتصالات والمنظمات الإقليمية في العملية التحضيرية للمؤتمر العالمي لتنمية الاتصالات. وينفذ مكتب تنمية الاتصالات عملياته على نطاق أوسع بالمقارنة مع المنظمات الأخرى. ولمكتب تنمية الاتصالات مزاياه الخاصة به وللمنظمات الإقليمية مزاياها الخاصة بها أيضاً. وسيساعد التعاون وتعزيز علاقات العمل الأوثق والدعم المتبادل في تجنب الازدواجية. والهدف من العملية التحضيرية هو إسماع صوت المناطق. وهناك فائدة في أن تجتمع المناطق تحت لواء واحد لتبادل الأفكار والتوصل إلى توافق في الآراء.</w:t>
      </w:r>
    </w:p>
    <w:p w14:paraId="2DAC84B8" w14:textId="1A56E4AA" w:rsidR="007C347F" w:rsidRDefault="007C347F" w:rsidP="007C347F">
      <w:pPr>
        <w:rPr>
          <w:rtl/>
          <w:lang w:val="en-GB"/>
        </w:rPr>
      </w:pPr>
      <w:r>
        <w:rPr>
          <w:rFonts w:hint="cs"/>
          <w:rtl/>
          <w:lang w:val="en-GB"/>
        </w:rPr>
        <w:t xml:space="preserve">ستتم إعادة تسمية أفرقة العمل بالمراسلة. وبالنسبة </w:t>
      </w:r>
      <w:r w:rsidR="00090063">
        <w:rPr>
          <w:rFonts w:hint="cs"/>
          <w:rtl/>
          <w:lang w:val="en-GB"/>
        </w:rPr>
        <w:t>إلى المؤتمر</w:t>
      </w:r>
      <w:r>
        <w:rPr>
          <w:rFonts w:hint="cs"/>
          <w:rtl/>
          <w:lang w:val="en-GB"/>
        </w:rPr>
        <w:t xml:space="preserve"> العالمي لتنمية الاتصالات لعام </w:t>
      </w:r>
      <w:r>
        <w:rPr>
          <w:lang w:val="en-GB"/>
        </w:rPr>
        <w:t>2017</w:t>
      </w:r>
      <w:r>
        <w:rPr>
          <w:rFonts w:hint="cs"/>
          <w:rtl/>
          <w:lang w:val="en-GB"/>
        </w:rPr>
        <w:t>، تم تشكيل أفرقة العمل بالمراسلة التابعة للفريق الاستشاري في وقت سابق. وهذه المرة، كان التفضيل لعدم إنشائها في مرحلة مبكرة جداً إذ سيحوّل ذلك التركيز عن الأنشطة الحالية.</w:t>
      </w:r>
    </w:p>
    <w:p w14:paraId="4E6C6135" w14:textId="543197E1" w:rsidR="007C347F" w:rsidRPr="00621256" w:rsidRDefault="00564ED4" w:rsidP="00621256">
      <w:pPr>
        <w:pStyle w:val="Headingb"/>
        <w:rPr>
          <w:rtl/>
          <w:lang w:val="en-GB"/>
        </w:rPr>
      </w:pPr>
      <w:r>
        <w:rPr>
          <w:rFonts w:hint="cs"/>
          <w:rtl/>
          <w:lang w:val="en-GB"/>
        </w:rPr>
        <w:t>ال</w:t>
      </w:r>
      <w:r w:rsidR="007C347F">
        <w:rPr>
          <w:rFonts w:hint="cs"/>
          <w:rtl/>
          <w:lang w:val="en-GB"/>
        </w:rPr>
        <w:t>خلاصة</w:t>
      </w:r>
    </w:p>
    <w:p w14:paraId="2EDA0A58" w14:textId="77777777" w:rsidR="007C347F" w:rsidRDefault="007C347F" w:rsidP="007C347F">
      <w:pPr>
        <w:rPr>
          <w:rtl/>
          <w:lang w:val="en-GB"/>
        </w:rPr>
      </w:pPr>
      <w:r>
        <w:rPr>
          <w:rFonts w:hint="cs"/>
          <w:rtl/>
          <w:lang w:val="en-GB"/>
        </w:rPr>
        <w:t>تم الإعراب عن تفضيل عملية تحضيرية تبدأ في مرحلة مبكرة مع محاولة تسليط الضوء على القضايا الرئيسية وتسوية أكبر عدد ممكن منها قبل بدء المؤتمر.</w:t>
      </w:r>
    </w:p>
    <w:p w14:paraId="7DCB8E82" w14:textId="31156C42" w:rsidR="007C347F" w:rsidRPr="009250B3" w:rsidRDefault="007C347F" w:rsidP="007C347F">
      <w:pPr>
        <w:rPr>
          <w:rtl/>
          <w:lang w:val="en-GB"/>
        </w:rPr>
      </w:pPr>
      <w:bookmarkStart w:id="5" w:name="_Hlk38976720"/>
      <w:r>
        <w:rPr>
          <w:rFonts w:hint="cs"/>
          <w:rtl/>
          <w:lang w:val="en-GB"/>
        </w:rPr>
        <w:t xml:space="preserve">يُنظر إلى الاجتماعات الأقاليمية على أنها خطوة جيدة في تحسين العملية التحضيرية لتعزيز الاتفاق قبل المؤتمر العالمي لتنمية الاتصالات لعام </w:t>
      </w:r>
      <w:r>
        <w:rPr>
          <w:lang w:val="en-GB"/>
        </w:rPr>
        <w:t>2021</w:t>
      </w:r>
      <w:r>
        <w:rPr>
          <w:rFonts w:hint="cs"/>
          <w:rtl/>
          <w:lang w:val="en-GB"/>
        </w:rPr>
        <w:t xml:space="preserve"> من أجل إتاحة الوقت للمؤتمر لمناقشة القضايا </w:t>
      </w:r>
      <w:r w:rsidRPr="00791109">
        <w:rPr>
          <w:rFonts w:hint="cs"/>
          <w:rtl/>
          <w:lang w:val="en-GB"/>
        </w:rPr>
        <w:t>الهامة</w:t>
      </w:r>
      <w:r>
        <w:rPr>
          <w:rFonts w:hint="cs"/>
          <w:rtl/>
          <w:lang w:val="en-GB"/>
        </w:rPr>
        <w:t xml:space="preserve"> المتعلقة </w:t>
      </w:r>
      <w:r w:rsidR="000F0621">
        <w:rPr>
          <w:rFonts w:hint="cs"/>
          <w:rtl/>
          <w:lang w:val="en-GB"/>
        </w:rPr>
        <w:t>بتنمية</w:t>
      </w:r>
      <w:r>
        <w:rPr>
          <w:rFonts w:hint="cs"/>
          <w:rtl/>
          <w:lang w:val="en-GB"/>
        </w:rPr>
        <w:t xml:space="preserve"> تكنولوجيا المعلومات والاتصالات </w:t>
      </w:r>
      <w:r w:rsidRPr="009250B3">
        <w:rPr>
          <w:rFonts w:hint="cs"/>
          <w:rtl/>
          <w:lang w:val="en-GB"/>
        </w:rPr>
        <w:t xml:space="preserve">واختتام المؤتمر كشركاء حقيقيين في </w:t>
      </w:r>
      <w:r w:rsidR="000F0621">
        <w:rPr>
          <w:rFonts w:hint="cs"/>
          <w:rtl/>
          <w:lang w:val="en-GB"/>
        </w:rPr>
        <w:t>تنمية</w:t>
      </w:r>
      <w:r w:rsidRPr="009250B3">
        <w:rPr>
          <w:rFonts w:hint="cs"/>
          <w:rtl/>
          <w:lang w:val="en-GB"/>
        </w:rPr>
        <w:t xml:space="preserve"> تكنولوجيا المعلومات والاتصالات. ولكن، لا بد أن يكون للاجتماعات الأقاليمية جداول أعمال </w:t>
      </w:r>
      <w:r>
        <w:rPr>
          <w:rFonts w:hint="cs"/>
          <w:rtl/>
          <w:lang w:val="en-GB"/>
        </w:rPr>
        <w:t>وأهداف</w:t>
      </w:r>
      <w:r w:rsidRPr="009250B3">
        <w:rPr>
          <w:rFonts w:hint="cs"/>
          <w:rtl/>
          <w:lang w:val="en-GB"/>
        </w:rPr>
        <w:t xml:space="preserve"> واضحة </w:t>
      </w:r>
      <w:r w:rsidRPr="009250B3">
        <w:rPr>
          <w:rtl/>
          <w:lang w:val="en-GB"/>
        </w:rPr>
        <w:t>–</w:t>
      </w:r>
      <w:r w:rsidRPr="009250B3">
        <w:rPr>
          <w:rFonts w:hint="cs"/>
          <w:rtl/>
          <w:lang w:val="en-GB"/>
        </w:rPr>
        <w:t xml:space="preserve"> فعلى سبيل المثال يمكن تخصيص </w:t>
      </w:r>
      <w:r w:rsidR="00CD14E4">
        <w:rPr>
          <w:rFonts w:hint="cs"/>
          <w:rtl/>
          <w:lang w:val="en-GB"/>
        </w:rPr>
        <w:t>مهمتين</w:t>
      </w:r>
      <w:r w:rsidR="000F0621">
        <w:rPr>
          <w:rFonts w:hint="cs"/>
          <w:rtl/>
          <w:lang w:val="en-GB"/>
        </w:rPr>
        <w:t xml:space="preserve"> فقط لها</w:t>
      </w:r>
      <w:r w:rsidRPr="009250B3">
        <w:rPr>
          <w:rFonts w:hint="cs"/>
          <w:rtl/>
          <w:lang w:val="en-GB"/>
        </w:rPr>
        <w:t xml:space="preserve"> للتوصل إلى توافق الآراء بشأنهما</w:t>
      </w:r>
      <w:r w:rsidR="009E06B9">
        <w:rPr>
          <w:rFonts w:hint="cs"/>
          <w:rtl/>
          <w:lang w:val="en-GB"/>
        </w:rPr>
        <w:t>.</w:t>
      </w:r>
    </w:p>
    <w:bookmarkEnd w:id="5"/>
    <w:p w14:paraId="05270871" w14:textId="77777777" w:rsidR="007C347F" w:rsidRPr="00621256" w:rsidRDefault="007C347F" w:rsidP="006B2E65">
      <w:pPr>
        <w:pStyle w:val="Heading1"/>
        <w:pBdr>
          <w:bottom w:val="single" w:sz="4" w:space="1" w:color="00B0F0"/>
        </w:pBdr>
        <w:rPr>
          <w:rtl/>
          <w:lang w:val="en-GB"/>
        </w:rPr>
      </w:pPr>
      <w:r w:rsidRPr="009250B3">
        <w:rPr>
          <w:rFonts w:hint="cs"/>
          <w:rtl/>
          <w:lang w:val="en-GB"/>
        </w:rPr>
        <w:t xml:space="preserve">الموضوع </w:t>
      </w:r>
      <w:r w:rsidRPr="009250B3">
        <w:rPr>
          <w:lang w:val="en-GB"/>
        </w:rPr>
        <w:t>2</w:t>
      </w:r>
      <w:r w:rsidRPr="009250B3">
        <w:rPr>
          <w:rFonts w:hint="cs"/>
          <w:rtl/>
          <w:lang w:val="en-GB"/>
        </w:rPr>
        <w:t xml:space="preserve"> </w:t>
      </w:r>
      <w:r w:rsidRPr="009250B3">
        <w:rPr>
          <w:rtl/>
          <w:lang w:val="en-GB"/>
        </w:rPr>
        <w:t>–</w:t>
      </w:r>
      <w:r w:rsidRPr="009250B3">
        <w:rPr>
          <w:rFonts w:hint="cs"/>
          <w:rtl/>
          <w:lang w:val="en-GB"/>
        </w:rPr>
        <w:t xml:space="preserve"> المضمون والهيكل</w:t>
      </w:r>
    </w:p>
    <w:p w14:paraId="457B8A3A" w14:textId="16611C38" w:rsidR="007C347F" w:rsidRDefault="007C347F" w:rsidP="009E06B9">
      <w:pPr>
        <w:spacing w:before="240"/>
        <w:rPr>
          <w:rtl/>
          <w:lang w:val="en-GB"/>
        </w:rPr>
      </w:pPr>
      <w:r>
        <w:rPr>
          <w:rFonts w:hint="cs"/>
          <w:rtl/>
          <w:lang w:val="en-GB"/>
        </w:rPr>
        <w:t xml:space="preserve">أبرزت المناقشة بشأن هذا الموضوع رأياً مشتركاً مفاده أن التحديات الإنمائية لا تُعالج على نحو كافٍ في المؤتمر العالمي لتنمية الاتصالات وأنه يجب إصلاح مضمون المؤتمر وهيكله لاجتذاب </w:t>
      </w:r>
      <w:r w:rsidR="000B4461">
        <w:rPr>
          <w:rFonts w:hint="cs"/>
          <w:rtl/>
          <w:lang w:val="en-GB"/>
        </w:rPr>
        <w:t>صانعي</w:t>
      </w:r>
      <w:r>
        <w:rPr>
          <w:rFonts w:hint="cs"/>
          <w:rtl/>
          <w:lang w:val="en-GB"/>
        </w:rPr>
        <w:t xml:space="preserve"> القرار رفيعي المستوى والقادة العالميين والجهات المانحة. والغرض من ذلك توليد نواتج وإجراءات وأنشطة واضحة.</w:t>
      </w:r>
    </w:p>
    <w:p w14:paraId="2F72AF3C" w14:textId="7F81EF6D" w:rsidR="007C347F" w:rsidRPr="0063116F" w:rsidRDefault="007C347F" w:rsidP="0063116F">
      <w:pPr>
        <w:rPr>
          <w:spacing w:val="-6"/>
          <w:rtl/>
          <w:lang w:val="en-GB" w:bidi="ar"/>
        </w:rPr>
      </w:pPr>
      <w:r w:rsidRPr="0063116F">
        <w:rPr>
          <w:rFonts w:hint="cs"/>
          <w:color w:val="222222"/>
          <w:spacing w:val="-6"/>
          <w:rtl/>
        </w:rPr>
        <w:lastRenderedPageBreak/>
        <w:t>كيف يمكن تحسين جدول الأعمال لجعل المؤتمر العالمي لتنمية الاتصالات حدث</w:t>
      </w:r>
      <w:r w:rsidR="009E06B9" w:rsidRPr="0063116F">
        <w:rPr>
          <w:rFonts w:hint="cs"/>
          <w:color w:val="222222"/>
          <w:spacing w:val="-6"/>
          <w:rtl/>
        </w:rPr>
        <w:t>اً</w:t>
      </w:r>
      <w:r w:rsidRPr="0063116F">
        <w:rPr>
          <w:rFonts w:hint="cs"/>
          <w:color w:val="222222"/>
          <w:spacing w:val="-6"/>
          <w:rtl/>
        </w:rPr>
        <w:t xml:space="preserve"> أكثر </w:t>
      </w:r>
      <w:r w:rsidR="000B4461">
        <w:rPr>
          <w:rFonts w:hint="cs"/>
          <w:color w:val="222222"/>
          <w:spacing w:val="-6"/>
          <w:rtl/>
        </w:rPr>
        <w:t>أهمية</w:t>
      </w:r>
      <w:r w:rsidRPr="0063116F">
        <w:rPr>
          <w:rFonts w:hint="cs"/>
          <w:color w:val="222222"/>
          <w:spacing w:val="-6"/>
          <w:rtl/>
        </w:rPr>
        <w:t xml:space="preserve"> وجاذبية؟ كيف يمكن إعادة تركيز نطاق المؤتمر على التحديات الحاسمة </w:t>
      </w:r>
      <w:r w:rsidR="000B4461">
        <w:rPr>
          <w:rFonts w:hint="cs"/>
          <w:color w:val="222222"/>
          <w:spacing w:val="-6"/>
          <w:rtl/>
        </w:rPr>
        <w:t>لتنمية</w:t>
      </w:r>
      <w:r w:rsidRPr="0063116F">
        <w:rPr>
          <w:rFonts w:hint="cs"/>
          <w:color w:val="222222"/>
          <w:spacing w:val="-6"/>
          <w:rtl/>
        </w:rPr>
        <w:t xml:space="preserve"> تكنولوجيا المعلومات والاتصالات والتزامات الجهات المانحة لتمويل مشاريع تكنولوجيا المعلومات والاتصالات لأغراض التنمية؟ كيف يمكن تحسين مساهمة المؤتمر العالمي لتنمية الاتصالات في الخطة الاستراتيجية للاتحاد؟</w:t>
      </w:r>
    </w:p>
    <w:p w14:paraId="5DB9544E" w14:textId="77777777" w:rsidR="007C347F" w:rsidRDefault="007C347F" w:rsidP="007C347F">
      <w:pPr>
        <w:rPr>
          <w:rtl/>
          <w:lang w:val="en-GB" w:bidi="ar"/>
        </w:rPr>
      </w:pPr>
      <w:r>
        <w:rPr>
          <w:rFonts w:hint="cs"/>
          <w:color w:val="222222"/>
          <w:rtl/>
        </w:rPr>
        <w:t>كيف يمكن تحسين الصلة بين عمل لجان الدراسات والعمل المواضيعي</w:t>
      </w:r>
      <w:r>
        <w:rPr>
          <w:rFonts w:hint="cs"/>
          <w:color w:val="222222"/>
          <w:rtl/>
          <w:lang w:bidi="ar"/>
        </w:rPr>
        <w:t>/</w:t>
      </w:r>
      <w:r>
        <w:rPr>
          <w:rFonts w:hint="cs"/>
          <w:color w:val="222222"/>
          <w:rtl/>
        </w:rPr>
        <w:t>البرنامجي وكيف يمكن جعل نتائج لجان الدراسات أكثر فائدة وملاءمة ومتاحة في الوقت المناسب؟ هل يجب على كل منطقة أن تطور مبادرات إقليمية منفصلة؟</w:t>
      </w:r>
    </w:p>
    <w:p w14:paraId="29E4276D" w14:textId="77777777" w:rsidR="007C347F" w:rsidRPr="00621256" w:rsidRDefault="007C347F" w:rsidP="00621256">
      <w:pPr>
        <w:pStyle w:val="Headingb"/>
        <w:rPr>
          <w:rtl/>
          <w:lang w:val="en-GB"/>
        </w:rPr>
      </w:pPr>
      <w:r w:rsidRPr="000525BF">
        <w:rPr>
          <w:rFonts w:hint="cs"/>
          <w:rtl/>
          <w:lang w:val="en-GB"/>
        </w:rPr>
        <w:t>التحدي</w:t>
      </w:r>
    </w:p>
    <w:p w14:paraId="30C95A70" w14:textId="77777777" w:rsidR="007C347F" w:rsidRDefault="007C347F" w:rsidP="007C347F">
      <w:pPr>
        <w:rPr>
          <w:rtl/>
          <w:lang w:val="en-GB"/>
        </w:rPr>
      </w:pPr>
      <w:r>
        <w:rPr>
          <w:rFonts w:hint="cs"/>
          <w:color w:val="222222"/>
          <w:rtl/>
        </w:rPr>
        <w:t>يحتاج المؤتمر العالمي لتنمية الاتصالات إلى اجتذاب مشاركين جدد وأكثر تنوعاً من القطاع الخاص وجهات مانحة محتملة</w:t>
      </w:r>
      <w:r>
        <w:rPr>
          <w:rFonts w:hint="cs"/>
          <w:rtl/>
          <w:lang w:val="en-GB" w:bidi="ar"/>
        </w:rPr>
        <w:t>.</w:t>
      </w:r>
    </w:p>
    <w:p w14:paraId="379F4C5C" w14:textId="77777777" w:rsidR="007C347F" w:rsidRPr="009E06B9" w:rsidRDefault="007C347F" w:rsidP="009E06B9">
      <w:pPr>
        <w:rPr>
          <w:spacing w:val="2"/>
          <w:rtl/>
        </w:rPr>
      </w:pPr>
      <w:r w:rsidRPr="009E06B9">
        <w:rPr>
          <w:rFonts w:hint="cs"/>
          <w:spacing w:val="2"/>
          <w:rtl/>
        </w:rPr>
        <w:t>أي تغييرات في هيكل المؤتمر العالمي لتنمية الاتصالات وأدواره ونطاقه ومضمونه ستشمل دور الفريق الاستشاري لتنمية الاتصالات والمجلس والاجتماعات التحضيرية وتعاون جميع الأفرقة الاستشارية للقطاعات. وستكون بعض هذه التغييرات أكثر إلحاحاً (الدورة الحالية) وينبغي أن تجري التغييرات الأخرى بشكل تدريجي ومركّز في إطار الأعمال التحضيرية لدورة المؤتمر في 2025.</w:t>
      </w:r>
    </w:p>
    <w:p w14:paraId="75413ECF" w14:textId="21E33FF3" w:rsidR="007C347F" w:rsidRDefault="007C347F" w:rsidP="007C347F">
      <w:pPr>
        <w:rPr>
          <w:rtl/>
          <w:lang w:val="en-GB" w:bidi="ar"/>
        </w:rPr>
      </w:pPr>
      <w:r>
        <w:rPr>
          <w:rFonts w:hint="cs"/>
          <w:color w:val="222222"/>
          <w:rtl/>
        </w:rPr>
        <w:t xml:space="preserve">إذا كان على المؤتمر العالمي لتنمية الاتصالات معالجة القضايا الإنمائية الرئيسية، فينبغي له أن يركز على الاحتياجات الأكثر إلحاحاً لقطاع التنمية، مثل الحاجة إلى التوصيلية التي تم التأكيد عليها في الأزمة الصحية الحالية، وينبغي أن يجتذب </w:t>
      </w:r>
      <w:r w:rsidR="00E86DD3">
        <w:rPr>
          <w:rFonts w:hint="cs"/>
          <w:color w:val="222222"/>
          <w:rtl/>
        </w:rPr>
        <w:t>صانعي</w:t>
      </w:r>
      <w:r>
        <w:rPr>
          <w:rFonts w:hint="cs"/>
          <w:color w:val="222222"/>
          <w:rtl/>
        </w:rPr>
        <w:t xml:space="preserve"> القرار رفيعي المستوى وواضعي السياسات، وشركاء التمويل، وأصحاب المصلحة في القطاع الذين سيكفلون وسائل التنفيذ</w:t>
      </w:r>
      <w:r>
        <w:rPr>
          <w:rFonts w:hint="cs"/>
          <w:color w:val="222222"/>
          <w:rtl/>
          <w:lang w:bidi="ar"/>
        </w:rPr>
        <w:t>.</w:t>
      </w:r>
    </w:p>
    <w:p w14:paraId="63137FC9" w14:textId="77777777" w:rsidR="007C347F" w:rsidRDefault="007C347F" w:rsidP="007C347F">
      <w:pPr>
        <w:rPr>
          <w:rtl/>
          <w:lang w:val="en-GB" w:bidi="ar"/>
        </w:rPr>
      </w:pPr>
      <w:r>
        <w:rPr>
          <w:rFonts w:hint="cs"/>
          <w:rtl/>
          <w:lang w:val="en-GB"/>
        </w:rPr>
        <w:t>وهناك أيضاً ما يدعو إلى استعراض هيكل المؤتمر لضمان دعمه لأهداف المؤتمر</w:t>
      </w:r>
      <w:r>
        <w:rPr>
          <w:rFonts w:hint="cs"/>
          <w:rtl/>
          <w:lang w:val="en-GB" w:bidi="ar"/>
        </w:rPr>
        <w:t>.</w:t>
      </w:r>
    </w:p>
    <w:p w14:paraId="7E1A3422" w14:textId="77777777" w:rsidR="007C347F" w:rsidRPr="00621256" w:rsidRDefault="007C347F" w:rsidP="00621256">
      <w:pPr>
        <w:pStyle w:val="Headingb"/>
        <w:rPr>
          <w:rtl/>
          <w:lang w:val="en-GB"/>
        </w:rPr>
      </w:pPr>
      <w:r w:rsidRPr="00C145F3">
        <w:rPr>
          <w:rFonts w:hint="cs"/>
          <w:rtl/>
          <w:lang w:val="en-GB"/>
        </w:rPr>
        <w:t>بعض المقترحات</w:t>
      </w:r>
    </w:p>
    <w:p w14:paraId="4E4EEEB1" w14:textId="61BB81AA" w:rsidR="007C347F" w:rsidRDefault="007C347F" w:rsidP="007C347F">
      <w:pPr>
        <w:rPr>
          <w:rtl/>
          <w:lang w:val="en-GB"/>
        </w:rPr>
      </w:pPr>
      <w:r>
        <w:rPr>
          <w:rFonts w:hint="cs"/>
          <w:rtl/>
          <w:lang w:val="en-GB"/>
        </w:rPr>
        <w:t xml:space="preserve">إعادة تركيز أعمال المؤتمر. يمكن لاجتماع الفريق الاستشاري لتنمية الاتصالات لعام </w:t>
      </w:r>
      <w:r>
        <w:rPr>
          <w:lang w:val="en-GB"/>
        </w:rPr>
        <w:t>2020</w:t>
      </w:r>
      <w:r>
        <w:rPr>
          <w:rFonts w:hint="cs"/>
          <w:rtl/>
          <w:lang w:val="en-GB"/>
        </w:rPr>
        <w:t xml:space="preserve"> أن ينشئ فريق عمل بشأن الإصلاح، تتمثل ولايته في تقديم تقرير إلى المؤتمر العالمي لتنمية الاتصالات. </w:t>
      </w:r>
      <w:r w:rsidR="000E0FEC">
        <w:rPr>
          <w:rFonts w:hint="cs"/>
          <w:rtl/>
          <w:lang w:val="en-GB"/>
        </w:rPr>
        <w:t>ويمكن أن يسهم</w:t>
      </w:r>
      <w:r>
        <w:rPr>
          <w:rFonts w:hint="cs"/>
          <w:rtl/>
          <w:lang w:val="en-GB"/>
        </w:rPr>
        <w:t xml:space="preserve"> الفريق، على سبيل المثال، في إعداد مشروع جدول أعمل المؤتمر </w:t>
      </w:r>
      <w:r>
        <w:rPr>
          <w:lang w:val="en-GB"/>
        </w:rPr>
        <w:t>WTDC-21</w:t>
      </w:r>
      <w:r>
        <w:rPr>
          <w:rFonts w:hint="cs"/>
          <w:rtl/>
          <w:lang w:val="en-GB"/>
        </w:rPr>
        <w:t xml:space="preserve"> للنظر فيه قبل الاجتماعات التحضيرية الإقليمية والأقاليمية التي من شأنها أن تتيح للأعضاء الوقت الكافي للتفكير في الأنشطة التي تتماشى مع القضايا الإنمائية وشركاء التمويل وأهداف التنمية المستدامة </w:t>
      </w:r>
      <w:r>
        <w:rPr>
          <w:lang w:val="en-GB"/>
        </w:rPr>
        <w:t>(SDG)</w:t>
      </w:r>
      <w:r>
        <w:rPr>
          <w:rFonts w:hint="cs"/>
          <w:rtl/>
          <w:lang w:val="en-GB"/>
        </w:rPr>
        <w:t>.</w:t>
      </w:r>
    </w:p>
    <w:p w14:paraId="4527DD55" w14:textId="04710378" w:rsidR="007C347F" w:rsidRDefault="007C347F" w:rsidP="007C347F">
      <w:pPr>
        <w:rPr>
          <w:rtl/>
          <w:lang w:val="en-GB"/>
        </w:rPr>
      </w:pPr>
      <w:r w:rsidRPr="00C90DB1">
        <w:rPr>
          <w:rFonts w:hint="cs"/>
          <w:rtl/>
          <w:lang w:val="en-GB"/>
        </w:rPr>
        <w:t>ويمكن ل</w:t>
      </w:r>
      <w:r>
        <w:rPr>
          <w:rFonts w:hint="cs"/>
          <w:rtl/>
          <w:lang w:val="en-GB"/>
        </w:rPr>
        <w:t xml:space="preserve">فريق العمل بالمراسلة التابع للفريق الاستشاري والذي </w:t>
      </w:r>
      <w:r w:rsidR="002443C5">
        <w:rPr>
          <w:rFonts w:hint="cs"/>
          <w:rtl/>
          <w:lang w:val="en-GB"/>
        </w:rPr>
        <w:t>أُعيدت</w:t>
      </w:r>
      <w:r>
        <w:rPr>
          <w:rFonts w:hint="cs"/>
          <w:rtl/>
          <w:lang w:val="en-GB"/>
        </w:rPr>
        <w:t xml:space="preserve"> </w:t>
      </w:r>
      <w:r w:rsidR="002443C5">
        <w:rPr>
          <w:rFonts w:hint="cs"/>
          <w:rtl/>
          <w:lang w:val="en-GB"/>
        </w:rPr>
        <w:t>تسميته</w:t>
      </w:r>
      <w:r>
        <w:rPr>
          <w:rFonts w:hint="cs"/>
          <w:rtl/>
          <w:lang w:val="en-GB"/>
        </w:rPr>
        <w:t xml:space="preserve"> أن يقوم بإعداد مقترحات ومساهمات قطاع تنمية الاتصالات في الخطة الاستراتيجية</w:t>
      </w:r>
      <w:r w:rsidR="00F2767D">
        <w:rPr>
          <w:rFonts w:hint="cs"/>
          <w:rtl/>
          <w:lang w:val="en-GB" w:bidi="ar-EG"/>
        </w:rPr>
        <w:t xml:space="preserve"> </w:t>
      </w:r>
      <w:r w:rsidR="00F2767D" w:rsidRPr="00791109">
        <w:rPr>
          <w:rFonts w:hint="cs"/>
          <w:rtl/>
          <w:lang w:val="en-GB" w:bidi="ar-EG"/>
        </w:rPr>
        <w:t>للاتحاد</w:t>
      </w:r>
      <w:r>
        <w:rPr>
          <w:rFonts w:hint="cs"/>
          <w:rtl/>
          <w:lang w:val="en-GB"/>
        </w:rPr>
        <w:t xml:space="preserve"> لمناقشتها من خلال المجلس في إطار يشمل القطاعين الآخرين للاتحاد قبل مؤتمر المندوبين المفوضين. وهذا يمكن أن تيح الوقت للمؤتمر للتركيز على تحديات التنمية</w:t>
      </w:r>
      <w:r w:rsidR="009E06B9">
        <w:rPr>
          <w:rFonts w:hint="cs"/>
          <w:rtl/>
          <w:lang w:val="en-GB"/>
        </w:rPr>
        <w:t>.</w:t>
      </w:r>
      <w:r>
        <w:rPr>
          <w:rStyle w:val="FootnoteReference"/>
          <w:rtl/>
          <w:lang w:val="en-GB"/>
        </w:rPr>
        <w:footnoteReference w:id="2"/>
      </w:r>
    </w:p>
    <w:p w14:paraId="2562E856" w14:textId="0234C56E" w:rsidR="007C347F" w:rsidRPr="00FC517F" w:rsidRDefault="007C347F" w:rsidP="007C347F">
      <w:pPr>
        <w:rPr>
          <w:spacing w:val="-2"/>
          <w:rtl/>
          <w:lang w:val="en-GB"/>
        </w:rPr>
      </w:pPr>
      <w:r w:rsidRPr="00FC517F">
        <w:rPr>
          <w:rFonts w:hint="cs"/>
          <w:spacing w:val="-2"/>
          <w:rtl/>
          <w:lang w:val="en-GB"/>
        </w:rPr>
        <w:t xml:space="preserve">استعراض نسق بيانات السياسة العامة رفيعة المستوى. يمكن الاستعاضة عن ذلك بحلقات نقاش رفيعة المستوى بين واضعي السياسات والجهات المانحة والقادة العالميين بشأن التحديات الحرجة المتعلقة </w:t>
      </w:r>
      <w:r w:rsidR="00FC3E93">
        <w:rPr>
          <w:rFonts w:hint="cs"/>
          <w:spacing w:val="-2"/>
          <w:rtl/>
          <w:lang w:val="en-GB"/>
        </w:rPr>
        <w:t>بتنمية</w:t>
      </w:r>
      <w:r w:rsidRPr="00FC517F">
        <w:rPr>
          <w:rFonts w:hint="cs"/>
          <w:spacing w:val="-2"/>
          <w:rtl/>
          <w:lang w:val="en-GB"/>
        </w:rPr>
        <w:t xml:space="preserve"> تكنولوجيا المعلومات والاتصالات.</w:t>
      </w:r>
    </w:p>
    <w:p w14:paraId="5E77F8A4" w14:textId="78AFF80F" w:rsidR="007C347F" w:rsidRDefault="007C347F" w:rsidP="007C347F">
      <w:pPr>
        <w:rPr>
          <w:rtl/>
          <w:lang w:val="en-GB"/>
        </w:rPr>
      </w:pPr>
      <w:r>
        <w:rPr>
          <w:rFonts w:hint="cs"/>
          <w:rtl/>
          <w:lang w:val="en-GB"/>
        </w:rPr>
        <w:t>يمكن لفريق عمل تابع للفريق الاستشاري أن يعمل مسبقاً بشأن العناصر التي تستغرق وقتاً طويلاً</w:t>
      </w:r>
      <w:r w:rsidR="002B0B5F">
        <w:rPr>
          <w:rFonts w:hint="cs"/>
          <w:rtl/>
          <w:lang w:val="en-GB"/>
        </w:rPr>
        <w:t>،</w:t>
      </w:r>
      <w:r>
        <w:rPr>
          <w:rFonts w:hint="cs"/>
          <w:rtl/>
          <w:lang w:val="en-GB"/>
        </w:rPr>
        <w:t xml:space="preserve"> مثل القرار </w:t>
      </w:r>
      <w:r>
        <w:rPr>
          <w:lang w:val="en-GB"/>
        </w:rPr>
        <w:t>1</w:t>
      </w:r>
      <w:r>
        <w:rPr>
          <w:rFonts w:hint="cs"/>
          <w:rtl/>
          <w:lang w:val="en-GB"/>
        </w:rPr>
        <w:t xml:space="preserve">، وتبسيط القرارات، والقرارات الجديدة </w:t>
      </w:r>
      <w:r w:rsidRPr="00EF2507">
        <w:rPr>
          <w:rFonts w:hint="cs"/>
          <w:rtl/>
          <w:lang w:val="en-GB"/>
        </w:rPr>
        <w:t>وتخصيصها للجان.</w:t>
      </w:r>
    </w:p>
    <w:p w14:paraId="3B8A9DC5" w14:textId="77777777" w:rsidR="007C347F" w:rsidRDefault="007C347F" w:rsidP="007C347F">
      <w:pPr>
        <w:rPr>
          <w:rtl/>
          <w:lang w:val="en-GB"/>
        </w:rPr>
      </w:pPr>
      <w:r>
        <w:rPr>
          <w:rFonts w:hint="cs"/>
          <w:rtl/>
          <w:lang w:val="en-GB"/>
        </w:rPr>
        <w:t>يمكن مناقشة الخطة الاستراتيجية للاتحاد في إطار جميع قطاعات الاتحاد. ويمكن الاضطلاع بذلك من خلال أفرقة عمل تابعة للقطاعات تقدم تقريراً إلى المجلس. وسيقوم الفريق الاستشاري</w:t>
      </w:r>
      <w:r w:rsidRPr="00EE6E9F">
        <w:rPr>
          <w:rFonts w:hint="cs"/>
          <w:rtl/>
          <w:lang w:val="en-GB"/>
        </w:rPr>
        <w:t xml:space="preserve"> </w:t>
      </w:r>
      <w:r>
        <w:rPr>
          <w:rFonts w:hint="cs"/>
          <w:rtl/>
          <w:lang w:val="en-GB"/>
        </w:rPr>
        <w:t>بالمصادقة على هذه الخطة قبل المؤتمر العالمي لتنمية الاتصالات ومؤتمر المندوبين المفوضين.</w:t>
      </w:r>
    </w:p>
    <w:p w14:paraId="4FD36183" w14:textId="77777777" w:rsidR="007C347F" w:rsidRPr="00FC517F" w:rsidRDefault="007C347F" w:rsidP="007C347F">
      <w:pPr>
        <w:rPr>
          <w:spacing w:val="-2"/>
          <w:rtl/>
        </w:rPr>
      </w:pPr>
      <w:r w:rsidRPr="00FC517F">
        <w:rPr>
          <w:rFonts w:hint="cs"/>
          <w:spacing w:val="-2"/>
          <w:rtl/>
        </w:rPr>
        <w:t>صقل أعمال لجان الدراسات. وهذا يعني ضمان عدم تكرار المسائل والعمل في فترات زمنية أقصر ونشر النتائج بشكل أكثر تواتراً.</w:t>
      </w:r>
    </w:p>
    <w:p w14:paraId="7B50BB59" w14:textId="77777777" w:rsidR="007C347F" w:rsidRDefault="007C347F" w:rsidP="007C347F">
      <w:pPr>
        <w:rPr>
          <w:rtl/>
          <w:lang w:val="en-GB"/>
        </w:rPr>
      </w:pPr>
      <w:r>
        <w:rPr>
          <w:rFonts w:hint="cs"/>
          <w:rtl/>
          <w:lang w:val="en-GB"/>
        </w:rPr>
        <w:t>استخدام نواتج لجان الدراسات لدعم العملية التحضيرية. ويستعمل القطاعان الآخران نواتج لجان الدراسات لتحديد الأولويات الإقليمية وتطويرها وتعزيزها. وترتبط نواتج كل لجنة دراسات بالعملية التحضيرية والمبادرات الإقليمية.</w:t>
      </w:r>
    </w:p>
    <w:p w14:paraId="63304096" w14:textId="71C59714" w:rsidR="007C347F" w:rsidRDefault="007C347F" w:rsidP="007C347F">
      <w:pPr>
        <w:rPr>
          <w:rtl/>
          <w:lang w:val="en-GB"/>
        </w:rPr>
      </w:pPr>
      <w:r>
        <w:rPr>
          <w:rFonts w:hint="cs"/>
          <w:rtl/>
          <w:lang w:val="en-GB"/>
        </w:rPr>
        <w:t>تحديد المبادرات الإقليمية المشتركة، استناداً إلى اجتماعات المنظمات الإقليمية للاتصالات والاجتماعات الإقليمية التحضيرية التي تُعقد بالتعاقب حيثما أمكن</w:t>
      </w:r>
      <w:r w:rsidR="00101586">
        <w:rPr>
          <w:rFonts w:hint="cs"/>
          <w:rtl/>
          <w:lang w:val="en-GB"/>
        </w:rPr>
        <w:t>،</w:t>
      </w:r>
      <w:r>
        <w:rPr>
          <w:rFonts w:hint="cs"/>
          <w:rtl/>
          <w:lang w:val="en-GB"/>
        </w:rPr>
        <w:t xml:space="preserve"> بما في ذلك </w:t>
      </w:r>
      <w:r w:rsidR="00D4095A">
        <w:rPr>
          <w:rFonts w:hint="cs"/>
          <w:rtl/>
          <w:lang w:val="en-GB"/>
        </w:rPr>
        <w:t>عقد</w:t>
      </w:r>
      <w:r>
        <w:rPr>
          <w:rFonts w:hint="cs"/>
          <w:rtl/>
          <w:lang w:val="en-GB"/>
        </w:rPr>
        <w:t xml:space="preserve"> الاجتماعات الأقاليمية.</w:t>
      </w:r>
    </w:p>
    <w:p w14:paraId="4D2AB30D" w14:textId="2C8156C0" w:rsidR="007C347F" w:rsidRDefault="007C347F" w:rsidP="007C347F">
      <w:pPr>
        <w:rPr>
          <w:rtl/>
          <w:lang w:val="en-GB"/>
        </w:rPr>
      </w:pPr>
      <w:r>
        <w:rPr>
          <w:rFonts w:hint="cs"/>
          <w:rtl/>
          <w:lang w:val="en-GB"/>
        </w:rPr>
        <w:lastRenderedPageBreak/>
        <w:t xml:space="preserve">ينبغي، على سبيل المثال، إشراك جهات الاتصال من أعضاء لجان دراسات قطاع تنمية الاتصالات في العملية التحضيرية على مستوى الاجتماعات الأقاليمية التحضيرية </w:t>
      </w:r>
      <w:r w:rsidRPr="00D067AA">
        <w:rPr>
          <w:rFonts w:hint="cs"/>
          <w:rtl/>
          <w:lang w:val="en-GB"/>
        </w:rPr>
        <w:t>لتشجيع الأولويات/المجموعات المواضيع</w:t>
      </w:r>
      <w:r w:rsidR="009E06B9">
        <w:rPr>
          <w:rFonts w:hint="cs"/>
          <w:rtl/>
          <w:lang w:val="en-GB"/>
        </w:rPr>
        <w:t>ي</w:t>
      </w:r>
      <w:r w:rsidRPr="00D067AA">
        <w:rPr>
          <w:rFonts w:hint="cs"/>
          <w:rtl/>
          <w:lang w:val="en-GB"/>
        </w:rPr>
        <w:t>ة المشتركة</w:t>
      </w:r>
      <w:r>
        <w:rPr>
          <w:rFonts w:hint="cs"/>
          <w:rtl/>
          <w:lang w:val="en-GB"/>
        </w:rPr>
        <w:t xml:space="preserve"> وأوجه التآزر عند مناقشة البرامج والقرارات المرتبطة بها والمبادرات الإقليمية في المناطق وفي المؤتمر العالمي لتنمية الاتصالات</w:t>
      </w:r>
      <w:r w:rsidR="003E3053">
        <w:rPr>
          <w:rFonts w:hint="cs"/>
          <w:rtl/>
          <w:lang w:val="en-GB"/>
        </w:rPr>
        <w:t>.</w:t>
      </w:r>
      <w:r>
        <w:rPr>
          <w:rStyle w:val="FootnoteReference"/>
          <w:rtl/>
          <w:lang w:val="en-GB"/>
        </w:rPr>
        <w:footnoteReference w:id="3"/>
      </w:r>
    </w:p>
    <w:p w14:paraId="7A23DD86" w14:textId="77777777" w:rsidR="007C347F" w:rsidRDefault="007C347F" w:rsidP="007C347F">
      <w:pPr>
        <w:rPr>
          <w:rtl/>
          <w:lang w:val="en-GB"/>
        </w:rPr>
      </w:pPr>
      <w:r>
        <w:rPr>
          <w:rFonts w:hint="cs"/>
          <w:rtl/>
          <w:lang w:val="en-GB"/>
        </w:rPr>
        <w:t>إدراج مناقشات آليات التمويل خلال العملية التحضيرية.</w:t>
      </w:r>
    </w:p>
    <w:p w14:paraId="4CF65BC9" w14:textId="0FC1C10F" w:rsidR="007C347F" w:rsidRPr="00621256" w:rsidRDefault="005958F1" w:rsidP="00621256">
      <w:pPr>
        <w:pStyle w:val="Headingb"/>
        <w:rPr>
          <w:rtl/>
          <w:lang w:val="en-GB"/>
        </w:rPr>
      </w:pPr>
      <w:r>
        <w:rPr>
          <w:rFonts w:hint="cs"/>
          <w:rtl/>
          <w:lang w:val="en-GB"/>
        </w:rPr>
        <w:t>ال</w:t>
      </w:r>
      <w:r w:rsidR="007C347F" w:rsidRPr="00637A87">
        <w:rPr>
          <w:rFonts w:hint="cs"/>
          <w:rtl/>
          <w:lang w:val="en-GB"/>
        </w:rPr>
        <w:t>خلاصة</w:t>
      </w:r>
    </w:p>
    <w:p w14:paraId="222BFC79" w14:textId="41549439" w:rsidR="007C347F" w:rsidRDefault="007C347F" w:rsidP="007C347F">
      <w:pPr>
        <w:rPr>
          <w:rtl/>
          <w:lang w:val="en-GB"/>
        </w:rPr>
      </w:pPr>
      <w:bookmarkStart w:id="6" w:name="_Hlk38977428"/>
      <w:r>
        <w:rPr>
          <w:rFonts w:hint="cs"/>
          <w:rtl/>
          <w:lang w:val="en-GB"/>
        </w:rPr>
        <w:t xml:space="preserve">يتعين على المؤتمر العالمي لتنمية الاتصالات أن يقوم بإعداد مشاريع ووضع استراتيجيات من شأنها أن تؤدي إلى مشاركة الجهات المانحة. ويجب أن يجمع مضمون المؤتمر وهيكله وجدول أعماله ونطاقه بين الجهات الفاعلة الرئيسية في النظام </w:t>
      </w:r>
      <w:r w:rsidRPr="00C22BC7">
        <w:rPr>
          <w:rFonts w:hint="cs"/>
          <w:rtl/>
          <w:lang w:val="en-GB"/>
        </w:rPr>
        <w:t xml:space="preserve">الإيكولوجي للتنمية وإشراكها في هذا النظام من خلال معالجة التحديات </w:t>
      </w:r>
      <w:r w:rsidRPr="00C22BC7">
        <w:rPr>
          <w:rFonts w:hint="cs"/>
          <w:color w:val="222222"/>
          <w:rtl/>
        </w:rPr>
        <w:t xml:space="preserve">الرئيسية المتعلقة </w:t>
      </w:r>
      <w:r w:rsidR="00101586">
        <w:rPr>
          <w:rFonts w:hint="cs"/>
          <w:color w:val="222222"/>
          <w:rtl/>
        </w:rPr>
        <w:t>بتنمية</w:t>
      </w:r>
      <w:r w:rsidRPr="00C22BC7">
        <w:rPr>
          <w:rFonts w:hint="cs"/>
          <w:color w:val="222222"/>
          <w:rtl/>
        </w:rPr>
        <w:t xml:space="preserve"> تكنولوجيا المعلومات والاتصالات، وخاصة استراتيجيات تعبئة الموارد وخيارات التمويل، من خلال التركيز على المشاريع الهامة لتكنولوجيا المعلومات والاتصالات لأغراض التنمية </w:t>
      </w:r>
      <w:r w:rsidR="00101586">
        <w:rPr>
          <w:rFonts w:hint="cs"/>
          <w:color w:val="222222"/>
          <w:rtl/>
        </w:rPr>
        <w:t>والتي تتماشى</w:t>
      </w:r>
      <w:r w:rsidRPr="00C22BC7">
        <w:rPr>
          <w:rFonts w:hint="cs"/>
          <w:color w:val="222222"/>
          <w:rtl/>
        </w:rPr>
        <w:t xml:space="preserve"> مع التزامات الجهات المانحة، ومن خلال تنظيم جلسات مكرسة لهذه الجهات الفاعلة الرئيسية للتخلي عن الأحداث الجانبية والاندماج بشكل تام في البرنامج</w:t>
      </w:r>
      <w:r w:rsidRPr="00C22BC7">
        <w:rPr>
          <w:rFonts w:hint="cs"/>
          <w:rtl/>
          <w:lang w:val="en-GB" w:bidi="ar"/>
        </w:rPr>
        <w:t>.</w:t>
      </w:r>
      <w:r w:rsidRPr="00C22BC7">
        <w:rPr>
          <w:rFonts w:hint="cs"/>
          <w:rtl/>
          <w:lang w:val="en-GB"/>
        </w:rPr>
        <w:t xml:space="preserve"> </w:t>
      </w:r>
      <w:bookmarkEnd w:id="6"/>
      <w:r w:rsidRPr="00C22BC7">
        <w:rPr>
          <w:rFonts w:hint="cs"/>
          <w:rtl/>
          <w:lang w:val="en-GB"/>
        </w:rPr>
        <w:t>ويتعين على لجان الدراسات أن تركز على عدد النواتج. ومن الصعب الحفاظ على أهمية المسائل ذات الصلة على مدى دورة مدتها أربع سنوات. وتطوير الاجتماعات الأقاليمية أمر سليم من الناحية المفاهيمية، وكذلك الجمع بين مساهمات المنظمات الإقليمية للاتصالات والاجتماعات الإقليمية التحضيرية من خلال عقد اجتماعات متتالية.</w:t>
      </w:r>
    </w:p>
    <w:p w14:paraId="0C816841" w14:textId="77777777" w:rsidR="007C347F" w:rsidRPr="00621256" w:rsidRDefault="007C347F" w:rsidP="006B2E65">
      <w:pPr>
        <w:pStyle w:val="Heading1"/>
        <w:pBdr>
          <w:bottom w:val="single" w:sz="4" w:space="1" w:color="00B0F0"/>
        </w:pBdr>
        <w:rPr>
          <w:rtl/>
          <w:lang w:val="en-GB"/>
        </w:rPr>
      </w:pPr>
      <w:r w:rsidRPr="00D0251D">
        <w:rPr>
          <w:rFonts w:hint="cs"/>
          <w:rtl/>
          <w:lang w:val="en-GB"/>
        </w:rPr>
        <w:t xml:space="preserve">الموضوع </w:t>
      </w:r>
      <w:r w:rsidRPr="00D0251D">
        <w:rPr>
          <w:lang w:val="en-GB"/>
        </w:rPr>
        <w:t>3</w:t>
      </w:r>
      <w:r w:rsidRPr="00D0251D">
        <w:rPr>
          <w:rFonts w:hint="cs"/>
          <w:rtl/>
          <w:lang w:val="en-GB"/>
        </w:rPr>
        <w:t xml:space="preserve"> </w:t>
      </w:r>
      <w:r w:rsidRPr="00D0251D">
        <w:rPr>
          <w:rtl/>
          <w:lang w:val="en-GB"/>
        </w:rPr>
        <w:t>–</w:t>
      </w:r>
      <w:r w:rsidRPr="00D0251D">
        <w:rPr>
          <w:rFonts w:hint="cs"/>
          <w:rtl/>
          <w:lang w:val="en-GB"/>
        </w:rPr>
        <w:t xml:space="preserve"> </w:t>
      </w:r>
      <w:r>
        <w:rPr>
          <w:rFonts w:hint="cs"/>
          <w:rtl/>
          <w:lang w:val="en-GB"/>
        </w:rPr>
        <w:t>إشراك</w:t>
      </w:r>
      <w:r w:rsidRPr="00D0251D">
        <w:rPr>
          <w:rFonts w:hint="cs"/>
          <w:rtl/>
          <w:lang w:val="en-GB"/>
        </w:rPr>
        <w:t xml:space="preserve"> أصحاب المصلحة</w:t>
      </w:r>
    </w:p>
    <w:p w14:paraId="5B89453A" w14:textId="49AE1C88" w:rsidR="007C347F" w:rsidRDefault="007C347F" w:rsidP="00DC68E8">
      <w:pPr>
        <w:spacing w:before="240"/>
        <w:rPr>
          <w:rtl/>
          <w:lang w:val="en-GB"/>
        </w:rPr>
      </w:pPr>
      <w:r>
        <w:rPr>
          <w:rFonts w:hint="cs"/>
          <w:rtl/>
          <w:lang w:val="en-GB"/>
        </w:rPr>
        <w:t xml:space="preserve">على الرغم من أن </w:t>
      </w:r>
      <w:r>
        <w:rPr>
          <w:lang w:val="en-GB"/>
        </w:rPr>
        <w:t>1</w:t>
      </w:r>
      <w:r w:rsidR="00DC68E8">
        <w:t> </w:t>
      </w:r>
      <w:r>
        <w:rPr>
          <w:lang w:val="en-GB"/>
        </w:rPr>
        <w:t>300</w:t>
      </w:r>
      <w:r>
        <w:rPr>
          <w:rFonts w:hint="cs"/>
          <w:rtl/>
          <w:lang w:val="en-GB"/>
        </w:rPr>
        <w:t xml:space="preserve"> مشارك حضروا المؤتمر العالمي لتنمية الاتصالات لعام </w:t>
      </w:r>
      <w:r>
        <w:rPr>
          <w:lang w:val="en-GB"/>
        </w:rPr>
        <w:t>2017</w:t>
      </w:r>
      <w:r>
        <w:rPr>
          <w:rFonts w:hint="cs"/>
          <w:rtl/>
          <w:lang w:val="en-GB"/>
        </w:rPr>
        <w:t xml:space="preserve">، فإن </w:t>
      </w:r>
      <w:r>
        <w:rPr>
          <w:lang w:val="en-GB"/>
        </w:rPr>
        <w:t>69</w:t>
      </w:r>
      <w:r>
        <w:rPr>
          <w:rFonts w:hint="cs"/>
          <w:rtl/>
          <w:lang w:val="en-GB"/>
        </w:rPr>
        <w:t xml:space="preserve"> في المائة فقط كانوا من مندوبي الدول الأعضاء في الاتحاد و</w:t>
      </w:r>
      <w:r>
        <w:rPr>
          <w:lang w:val="en-GB"/>
        </w:rPr>
        <w:t>21</w:t>
      </w:r>
      <w:r>
        <w:rPr>
          <w:rFonts w:hint="cs"/>
          <w:rtl/>
          <w:lang w:val="en-GB"/>
        </w:rPr>
        <w:t xml:space="preserve"> في المائة من ممثلي أعضاء قطاع تنمية الاتصالات. </w:t>
      </w:r>
      <w:r>
        <w:rPr>
          <w:rFonts w:hint="cs"/>
          <w:color w:val="222222"/>
          <w:rtl/>
        </w:rPr>
        <w:t xml:space="preserve">وبغية ضمان فعالية وجدوى المؤتمر، ستكون مشاركة </w:t>
      </w:r>
      <w:r w:rsidR="00F1591D">
        <w:rPr>
          <w:rFonts w:hint="cs"/>
          <w:color w:val="222222"/>
          <w:rtl/>
        </w:rPr>
        <w:t>صانعي</w:t>
      </w:r>
      <w:r>
        <w:rPr>
          <w:rFonts w:hint="cs"/>
          <w:color w:val="222222"/>
          <w:rtl/>
        </w:rPr>
        <w:t xml:space="preserve"> القرار الرئيسيين والمؤثرين الرئيسيين حاسمة</w:t>
      </w:r>
      <w:r>
        <w:rPr>
          <w:rFonts w:hint="cs"/>
          <w:color w:val="222222"/>
          <w:rtl/>
          <w:lang w:bidi="ar"/>
        </w:rPr>
        <w:t xml:space="preserve">. </w:t>
      </w:r>
      <w:r w:rsidRPr="00791109">
        <w:rPr>
          <w:rFonts w:hint="cs"/>
          <w:color w:val="222222"/>
          <w:rtl/>
        </w:rPr>
        <w:t>فمن هي</w:t>
      </w:r>
      <w:r>
        <w:rPr>
          <w:rFonts w:hint="cs"/>
          <w:color w:val="222222"/>
          <w:rtl/>
        </w:rPr>
        <w:t xml:space="preserve"> مجموعات </w:t>
      </w:r>
      <w:r w:rsidR="00F1591D">
        <w:rPr>
          <w:rFonts w:hint="cs"/>
          <w:color w:val="222222"/>
          <w:rtl/>
        </w:rPr>
        <w:t>الأعضاء،</w:t>
      </w:r>
      <w:r>
        <w:rPr>
          <w:rFonts w:hint="cs"/>
          <w:color w:val="222222"/>
          <w:rtl/>
        </w:rPr>
        <w:t xml:space="preserve"> الحالية والجديدة</w:t>
      </w:r>
      <w:r w:rsidR="00F1591D">
        <w:rPr>
          <w:rFonts w:hint="cs"/>
          <w:color w:val="222222"/>
          <w:rtl/>
        </w:rPr>
        <w:t>،</w:t>
      </w:r>
      <w:r>
        <w:rPr>
          <w:rFonts w:hint="cs"/>
          <w:color w:val="222222"/>
          <w:rtl/>
        </w:rPr>
        <w:t xml:space="preserve"> التي يتعين أن تحضر المؤتمر </w:t>
      </w:r>
      <w:r>
        <w:rPr>
          <w:rFonts w:hint="cs"/>
          <w:color w:val="222222"/>
          <w:rtl/>
          <w:lang w:bidi="ar"/>
        </w:rPr>
        <w:t>(</w:t>
      </w:r>
      <w:r>
        <w:rPr>
          <w:rFonts w:hint="cs"/>
          <w:color w:val="222222"/>
          <w:rtl/>
        </w:rPr>
        <w:t>مثلاً الحكومات بما في ذلك ممثلون عن الوزارات الأخرى، ومنظمات الأمم المتحدة</w:t>
      </w:r>
      <w:r w:rsidR="003E1A5F">
        <w:rPr>
          <w:rFonts w:hint="cs"/>
          <w:color w:val="222222"/>
          <w:rtl/>
        </w:rPr>
        <w:t xml:space="preserve"> </w:t>
      </w:r>
      <w:r>
        <w:rPr>
          <w:rFonts w:hint="cs"/>
          <w:color w:val="222222"/>
          <w:rtl/>
        </w:rPr>
        <w:t>الأخرى، ومؤسسات التمويل المتعددة الأطراف</w:t>
      </w:r>
      <w:r>
        <w:rPr>
          <w:rFonts w:hint="cs"/>
          <w:color w:val="222222"/>
          <w:rtl/>
          <w:lang w:bidi="ar"/>
        </w:rPr>
        <w:t>/</w:t>
      </w:r>
      <w:r>
        <w:rPr>
          <w:rFonts w:hint="cs"/>
          <w:color w:val="222222"/>
          <w:rtl/>
        </w:rPr>
        <w:t>الثنائية، والمديرون التنفيذيون، والهيئات الأكاديمية، والمجتمع المدني، والشباب</w:t>
      </w:r>
      <w:r>
        <w:rPr>
          <w:rFonts w:hint="cs"/>
          <w:color w:val="222222"/>
          <w:rtl/>
          <w:lang w:bidi="ar"/>
        </w:rPr>
        <w:t>)</w:t>
      </w:r>
      <w:r>
        <w:rPr>
          <w:rFonts w:hint="cs"/>
          <w:color w:val="222222"/>
          <w:rtl/>
        </w:rPr>
        <w:t>، وما هي نسبة المشاركة؟</w:t>
      </w:r>
      <w:r>
        <w:rPr>
          <w:rFonts w:hint="cs"/>
          <w:rtl/>
          <w:lang w:val="en-GB"/>
        </w:rPr>
        <w:t xml:space="preserve"> </w:t>
      </w:r>
      <w:r>
        <w:rPr>
          <w:rFonts w:hint="cs"/>
          <w:color w:val="222222"/>
          <w:rtl/>
        </w:rPr>
        <w:t xml:space="preserve">ماذا الذي يمكن القيام به في المؤتمر لضمان حضور هذه </w:t>
      </w:r>
      <w:r w:rsidR="00F1591D">
        <w:rPr>
          <w:rFonts w:hint="cs"/>
          <w:color w:val="222222"/>
          <w:rtl/>
        </w:rPr>
        <w:t>المجموعات وصانعي</w:t>
      </w:r>
      <w:r>
        <w:rPr>
          <w:rFonts w:hint="cs"/>
          <w:color w:val="222222"/>
          <w:rtl/>
        </w:rPr>
        <w:t xml:space="preserve"> القرار رفيعي المستوى</w:t>
      </w:r>
      <w:r w:rsidR="000F7EEE">
        <w:rPr>
          <w:rFonts w:hint="cs"/>
          <w:color w:val="222222"/>
          <w:rtl/>
        </w:rPr>
        <w:t xml:space="preserve"> فيها</w:t>
      </w:r>
      <w:r>
        <w:rPr>
          <w:rFonts w:hint="cs"/>
          <w:color w:val="222222"/>
          <w:rtl/>
        </w:rPr>
        <w:t xml:space="preserve"> والمشاركة بفعالية؟ كيف يمكن إشراك أصحاب المصلحة هؤلاء في العملية التحضيرية للمؤتمر </w:t>
      </w:r>
      <w:r>
        <w:rPr>
          <w:rFonts w:hint="cs"/>
          <w:color w:val="222222"/>
          <w:rtl/>
          <w:lang w:bidi="ar"/>
        </w:rPr>
        <w:t>(</w:t>
      </w:r>
      <w:r>
        <w:rPr>
          <w:rFonts w:hint="cs"/>
          <w:color w:val="222222"/>
          <w:rtl/>
        </w:rPr>
        <w:t>إجراء مشاورات إلكترونية، وعقد اجتماعات عمومية، واجتماعات تحضيرية مثلاً</w:t>
      </w:r>
      <w:r>
        <w:rPr>
          <w:rFonts w:hint="cs"/>
          <w:color w:val="222222"/>
          <w:rtl/>
          <w:lang w:bidi="ar"/>
        </w:rPr>
        <w:t>)</w:t>
      </w:r>
      <w:r>
        <w:rPr>
          <w:rFonts w:hint="cs"/>
          <w:color w:val="222222"/>
          <w:rtl/>
        </w:rPr>
        <w:t>؟ في الأزمة الحالية، تعد التوصيلية أولوية، ولكن لن تحظى بالدعم ما لم يكن الذين بحاجة إليها، والذين بإمكانهم توفيرها، حاضرين في المؤتمر</w:t>
      </w:r>
      <w:r>
        <w:rPr>
          <w:rFonts w:hint="cs"/>
          <w:color w:val="222222"/>
          <w:rtl/>
          <w:lang w:bidi="ar"/>
        </w:rPr>
        <w:t>.</w:t>
      </w:r>
    </w:p>
    <w:p w14:paraId="3C31A414" w14:textId="77777777" w:rsidR="007C347F" w:rsidRPr="00621256" w:rsidRDefault="007C347F" w:rsidP="00621256">
      <w:pPr>
        <w:pStyle w:val="Headingb"/>
        <w:rPr>
          <w:rtl/>
          <w:lang w:val="en-GB"/>
        </w:rPr>
      </w:pPr>
      <w:r w:rsidRPr="003E2CC8">
        <w:rPr>
          <w:rFonts w:hint="cs"/>
          <w:rtl/>
          <w:lang w:val="en-GB"/>
        </w:rPr>
        <w:t>بعض المقترحات</w:t>
      </w:r>
    </w:p>
    <w:p w14:paraId="57705D38" w14:textId="7164552E" w:rsidR="007C347F" w:rsidRPr="00791109" w:rsidRDefault="007C347F" w:rsidP="007C347F">
      <w:pPr>
        <w:rPr>
          <w:color w:val="222222"/>
          <w:rtl/>
          <w:lang w:bidi="ar"/>
        </w:rPr>
      </w:pPr>
      <w:r w:rsidRPr="00791109">
        <w:rPr>
          <w:rFonts w:hint="cs"/>
          <w:color w:val="222222"/>
          <w:rtl/>
        </w:rPr>
        <w:t xml:space="preserve">دعوة المشاركين ليكونوا جزءاً من العملية التحضيرية لتعزيز التماسك والأهداف من خلال فهم أفضل لما يريدون الحصول عليه من العملية، والمشاكل الرئيسية التي يريدون معالجتها </w:t>
      </w:r>
      <w:r w:rsidR="00A45BEF" w:rsidRPr="00791109">
        <w:rPr>
          <w:rFonts w:hint="cs"/>
          <w:color w:val="222222"/>
          <w:rtl/>
        </w:rPr>
        <w:t>ومناقشتها</w:t>
      </w:r>
      <w:r w:rsidRPr="00791109">
        <w:rPr>
          <w:rFonts w:hint="cs"/>
          <w:color w:val="222222"/>
          <w:rtl/>
        </w:rPr>
        <w:t>، والهيكل المثالي لاجتذاب أصحاب المصلحة الرئيسيين مثل القطاع الخاص والوكالات المتعددة الأطراف</w:t>
      </w:r>
      <w:r w:rsidRPr="00791109">
        <w:rPr>
          <w:rFonts w:hint="cs"/>
          <w:color w:val="222222"/>
          <w:rtl/>
          <w:lang w:bidi="ar"/>
        </w:rPr>
        <w:t>/</w:t>
      </w:r>
      <w:r w:rsidRPr="00791109">
        <w:rPr>
          <w:rFonts w:hint="cs"/>
          <w:color w:val="222222"/>
          <w:rtl/>
        </w:rPr>
        <w:t>الدولية والجهات المانحة</w:t>
      </w:r>
      <w:r w:rsidRPr="00791109">
        <w:rPr>
          <w:rFonts w:hint="cs"/>
          <w:color w:val="222222"/>
          <w:rtl/>
          <w:lang w:bidi="ar"/>
        </w:rPr>
        <w:t xml:space="preserve">. </w:t>
      </w:r>
      <w:r w:rsidR="00F40605">
        <w:rPr>
          <w:rFonts w:hint="cs"/>
          <w:color w:val="222222"/>
          <w:rtl/>
        </w:rPr>
        <w:t>ويتطلع</w:t>
      </w:r>
      <w:r w:rsidRPr="00791109">
        <w:rPr>
          <w:rFonts w:hint="cs"/>
          <w:color w:val="222222"/>
          <w:rtl/>
        </w:rPr>
        <w:t xml:space="preserve"> المديرون التنفيذيون </w:t>
      </w:r>
      <w:r w:rsidR="00E71EA0">
        <w:rPr>
          <w:rFonts w:hint="cs"/>
          <w:color w:val="222222"/>
          <w:rtl/>
        </w:rPr>
        <w:t>وصانعو</w:t>
      </w:r>
      <w:r w:rsidRPr="00791109">
        <w:rPr>
          <w:rFonts w:hint="cs"/>
          <w:color w:val="222222"/>
          <w:rtl/>
        </w:rPr>
        <w:t xml:space="preserve"> القرار رفيعو المستوى إلى جدول أعمال </w:t>
      </w:r>
      <w:r w:rsidR="000F7EEE">
        <w:rPr>
          <w:rFonts w:hint="cs"/>
          <w:color w:val="222222"/>
          <w:rtl/>
        </w:rPr>
        <w:t>للمناقشات يكون مناسباً لهم، إذ</w:t>
      </w:r>
      <w:r w:rsidRPr="00791109">
        <w:rPr>
          <w:rFonts w:hint="cs"/>
          <w:color w:val="222222"/>
          <w:rtl/>
        </w:rPr>
        <w:t xml:space="preserve"> ينبغي أن </w:t>
      </w:r>
      <w:r w:rsidR="00B010D4">
        <w:rPr>
          <w:rFonts w:hint="cs"/>
          <w:color w:val="222222"/>
          <w:rtl/>
        </w:rPr>
        <w:t>ي</w:t>
      </w:r>
      <w:r w:rsidRPr="00791109">
        <w:rPr>
          <w:rFonts w:hint="cs"/>
          <w:color w:val="222222"/>
          <w:rtl/>
        </w:rPr>
        <w:t>تماشى مع أولوياتهم وعملهم</w:t>
      </w:r>
      <w:r w:rsidRPr="00791109">
        <w:rPr>
          <w:rFonts w:hint="cs"/>
          <w:color w:val="222222"/>
          <w:rtl/>
          <w:lang w:bidi="ar"/>
        </w:rPr>
        <w:t>.</w:t>
      </w:r>
    </w:p>
    <w:p w14:paraId="0CB511E7" w14:textId="352F7DE3" w:rsidR="007C347F" w:rsidRPr="00791109" w:rsidRDefault="007C347F" w:rsidP="007C347F">
      <w:pPr>
        <w:rPr>
          <w:rtl/>
          <w:lang w:val="en-GB"/>
        </w:rPr>
      </w:pPr>
      <w:r w:rsidRPr="00791109">
        <w:rPr>
          <w:rFonts w:hint="cs"/>
          <w:color w:val="222222"/>
          <w:rtl/>
        </w:rPr>
        <w:t xml:space="preserve">الاستفادة من خبرة قطاع تنمية الاتصالات وتحقيق التآزر مع أحداث </w:t>
      </w:r>
      <w:r w:rsidR="004B4E45">
        <w:rPr>
          <w:rFonts w:hint="cs"/>
          <w:color w:val="222222"/>
          <w:rtl/>
        </w:rPr>
        <w:t>القطاع</w:t>
      </w:r>
      <w:r w:rsidRPr="00791109">
        <w:rPr>
          <w:rFonts w:hint="cs"/>
          <w:color w:val="222222"/>
          <w:rtl/>
        </w:rPr>
        <w:t xml:space="preserve"> الأخرى مثل المؤتمر العالمي للاتصالات المتنقلة من أجل كسب اهتمام قطاعي واسع النطاق بقضايا التنمية، هذا الاهتمام الذي يتيح المشاركة، </w:t>
      </w:r>
      <w:r w:rsidR="00F40605">
        <w:rPr>
          <w:rFonts w:hint="cs"/>
          <w:color w:val="222222"/>
          <w:rtl/>
        </w:rPr>
        <w:t>ويتيح</w:t>
      </w:r>
      <w:r w:rsidRPr="00791109">
        <w:rPr>
          <w:rFonts w:hint="cs"/>
          <w:color w:val="222222"/>
          <w:rtl/>
        </w:rPr>
        <w:t xml:space="preserve"> </w:t>
      </w:r>
      <w:r w:rsidR="00F40605">
        <w:rPr>
          <w:rFonts w:hint="cs"/>
          <w:color w:val="222222"/>
          <w:rtl/>
        </w:rPr>
        <w:t>ال</w:t>
      </w:r>
      <w:r w:rsidRPr="00791109">
        <w:rPr>
          <w:rFonts w:hint="cs"/>
          <w:color w:val="222222"/>
          <w:rtl/>
        </w:rPr>
        <w:t>فرصة لأصحاب المصلحة للمشاركة وإضافة قيمة</w:t>
      </w:r>
      <w:r w:rsidRPr="00791109">
        <w:rPr>
          <w:rFonts w:hint="cs"/>
          <w:rtl/>
          <w:lang w:val="en-GB" w:bidi="ar"/>
        </w:rPr>
        <w:t>.</w:t>
      </w:r>
    </w:p>
    <w:p w14:paraId="197C7541" w14:textId="70F2D996" w:rsidR="007C347F" w:rsidRPr="00791109" w:rsidRDefault="007C347F" w:rsidP="007C347F">
      <w:pPr>
        <w:rPr>
          <w:rtl/>
          <w:lang w:val="en-GB" w:bidi="ar"/>
        </w:rPr>
      </w:pPr>
      <w:r w:rsidRPr="00791109">
        <w:rPr>
          <w:rFonts w:hint="cs"/>
          <w:color w:val="222222"/>
          <w:rtl/>
        </w:rPr>
        <w:t xml:space="preserve">دعوة أصحاب المصلحة إلى </w:t>
      </w:r>
      <w:r w:rsidR="00721B49">
        <w:rPr>
          <w:rFonts w:hint="cs"/>
          <w:color w:val="222222"/>
          <w:rtl/>
        </w:rPr>
        <w:t xml:space="preserve">حدث من نوع </w:t>
      </w:r>
      <w:r w:rsidRPr="00791109">
        <w:rPr>
          <w:rFonts w:hint="cs"/>
          <w:color w:val="222222"/>
          <w:rtl/>
        </w:rPr>
        <w:t>الأحداث التي تتبع قواعد تشاتام هاوس "</w:t>
      </w:r>
      <w:r w:rsidRPr="00791109">
        <w:rPr>
          <w:szCs w:val="24"/>
        </w:rPr>
        <w:t>Chatham House rules</w:t>
      </w:r>
      <w:r w:rsidRPr="00791109">
        <w:rPr>
          <w:rFonts w:hint="cs"/>
          <w:color w:val="222222"/>
          <w:rtl/>
        </w:rPr>
        <w:t>" والجمع بين كبار المسؤولين التنفيذيين من القطاعات المعنية بالاتصالات المتنقلة و</w:t>
      </w:r>
      <w:r w:rsidR="0093767A" w:rsidRPr="00791109">
        <w:rPr>
          <w:rFonts w:hint="cs"/>
          <w:color w:val="222222"/>
          <w:rtl/>
        </w:rPr>
        <w:t xml:space="preserve">الجهات الفاعلة في مجال </w:t>
      </w:r>
      <w:r w:rsidRPr="00791109">
        <w:rPr>
          <w:rFonts w:hint="cs"/>
          <w:color w:val="222222"/>
          <w:rtl/>
        </w:rPr>
        <w:t>التكنولوجيا والوزراء والهيئات التنظيمية وأعضاء صناعة حماية البيانات والمنظمات الدولية الأخرى وغيرها لتبادل المعرفة وإتاحة الفرصة لإجراء مناقشات وإقامة اتصالات تعزز حوارات أوسع وأشمل</w:t>
      </w:r>
      <w:r w:rsidRPr="00791109">
        <w:rPr>
          <w:rFonts w:hint="cs"/>
          <w:color w:val="222222"/>
          <w:rtl/>
          <w:lang w:bidi="ar"/>
        </w:rPr>
        <w:t xml:space="preserve">. </w:t>
      </w:r>
      <w:r w:rsidRPr="00791109">
        <w:rPr>
          <w:rFonts w:hint="cs"/>
          <w:color w:val="222222"/>
          <w:rtl/>
        </w:rPr>
        <w:t xml:space="preserve">ونظراً لقصر مدة الحدث، من الضروري التركيز على جعل المشاركة ذات قيمة بالنسبة </w:t>
      </w:r>
      <w:r w:rsidR="0093767A" w:rsidRPr="00791109">
        <w:rPr>
          <w:rFonts w:hint="cs"/>
          <w:color w:val="222222"/>
          <w:rtl/>
        </w:rPr>
        <w:t>إليهم</w:t>
      </w:r>
      <w:r w:rsidRPr="00791109">
        <w:rPr>
          <w:rFonts w:hint="cs"/>
          <w:color w:val="222222"/>
          <w:rtl/>
        </w:rPr>
        <w:t xml:space="preserve"> وللحدث</w:t>
      </w:r>
      <w:r w:rsidRPr="00791109">
        <w:rPr>
          <w:rFonts w:hint="cs"/>
          <w:color w:val="222222"/>
          <w:rtl/>
          <w:lang w:bidi="ar"/>
        </w:rPr>
        <w:t>.</w:t>
      </w:r>
    </w:p>
    <w:p w14:paraId="56AB0A24" w14:textId="2FAB3015" w:rsidR="007C347F" w:rsidRPr="00791109" w:rsidRDefault="007C347F" w:rsidP="007C347F">
      <w:pPr>
        <w:rPr>
          <w:rtl/>
          <w:lang w:val="en-GB"/>
        </w:rPr>
      </w:pPr>
      <w:r w:rsidRPr="00791109">
        <w:rPr>
          <w:rFonts w:hint="cs"/>
          <w:rtl/>
          <w:lang w:val="en-GB"/>
        </w:rPr>
        <w:lastRenderedPageBreak/>
        <w:t xml:space="preserve">الإبلاغ عما يمكن أن يفعله قطاع تنمية الاتصالات لمساعدة واضعي السياسات والقادة وأصحاب المصلحة على تحقيق </w:t>
      </w:r>
      <w:r w:rsidR="00721B49">
        <w:rPr>
          <w:rFonts w:hint="cs"/>
          <w:rtl/>
          <w:lang w:val="en-GB"/>
        </w:rPr>
        <w:t>غاياتهم</w:t>
      </w:r>
      <w:r w:rsidRPr="00791109">
        <w:rPr>
          <w:rFonts w:hint="cs"/>
          <w:rtl/>
          <w:lang w:val="en-GB"/>
        </w:rPr>
        <w:t xml:space="preserve"> وإضافة قيمة </w:t>
      </w:r>
      <w:r w:rsidR="00721B49">
        <w:rPr>
          <w:rFonts w:hint="cs"/>
          <w:rtl/>
          <w:lang w:val="en-GB"/>
        </w:rPr>
        <w:t>ل</w:t>
      </w:r>
      <w:r w:rsidRPr="00791109">
        <w:rPr>
          <w:rFonts w:hint="cs"/>
          <w:rtl/>
          <w:lang w:val="en-GB"/>
        </w:rPr>
        <w:t xml:space="preserve">أهدافهم دون </w:t>
      </w:r>
      <w:r w:rsidR="00721B49">
        <w:rPr>
          <w:rFonts w:hint="cs"/>
          <w:rtl/>
          <w:lang w:val="en-GB"/>
        </w:rPr>
        <w:t>تكريس</w:t>
      </w:r>
      <w:r w:rsidRPr="00791109">
        <w:rPr>
          <w:rFonts w:hint="cs"/>
          <w:rtl/>
          <w:lang w:val="en-GB"/>
        </w:rPr>
        <w:t xml:space="preserve"> ثلاثة أيام </w:t>
      </w:r>
      <w:r w:rsidR="00EC6ED8">
        <w:rPr>
          <w:rFonts w:hint="cs"/>
          <w:rtl/>
          <w:lang w:val="en-GB"/>
        </w:rPr>
        <w:t>ل</w:t>
      </w:r>
      <w:r w:rsidRPr="00791109">
        <w:rPr>
          <w:rFonts w:hint="cs"/>
          <w:rtl/>
          <w:lang w:val="en-GB"/>
        </w:rPr>
        <w:t>بيانات السياسة العامة.</w:t>
      </w:r>
    </w:p>
    <w:p w14:paraId="7AB0E483" w14:textId="30AC6F6E" w:rsidR="007C347F" w:rsidRPr="00791109" w:rsidRDefault="007C347F" w:rsidP="007C347F">
      <w:pPr>
        <w:rPr>
          <w:rtl/>
          <w:lang w:val="en-GB" w:bidi="ar"/>
        </w:rPr>
      </w:pPr>
      <w:r w:rsidRPr="00791109">
        <w:rPr>
          <w:rFonts w:hint="cs"/>
          <w:color w:val="222222"/>
          <w:rtl/>
        </w:rPr>
        <w:t>ضمان فهم أعضاء القطاع للدور الفع</w:t>
      </w:r>
      <w:r w:rsidR="00B84212" w:rsidRPr="00791109">
        <w:rPr>
          <w:rFonts w:hint="cs"/>
          <w:color w:val="222222"/>
          <w:rtl/>
        </w:rPr>
        <w:t>ّ</w:t>
      </w:r>
      <w:r w:rsidRPr="00791109">
        <w:rPr>
          <w:rFonts w:hint="cs"/>
          <w:color w:val="222222"/>
          <w:rtl/>
        </w:rPr>
        <w:t>ال الذي يُدعون للقيام به في المؤتمر، الذي يمثل منصة يمكنهم</w:t>
      </w:r>
      <w:r w:rsidR="00C7597A">
        <w:rPr>
          <w:rFonts w:hint="cs"/>
          <w:color w:val="222222"/>
          <w:rtl/>
        </w:rPr>
        <w:t xml:space="preserve"> فيها</w:t>
      </w:r>
      <w:r w:rsidRPr="00791109">
        <w:rPr>
          <w:rFonts w:hint="cs"/>
          <w:color w:val="222222"/>
          <w:rtl/>
        </w:rPr>
        <w:t xml:space="preserve"> تبادل المعلومات وإجراء الحوار مع واضعي السياسات وغيرهم</w:t>
      </w:r>
      <w:r w:rsidRPr="00791109">
        <w:rPr>
          <w:rFonts w:hint="cs"/>
          <w:color w:val="222222"/>
          <w:rtl/>
          <w:lang w:bidi="ar"/>
        </w:rPr>
        <w:t xml:space="preserve">. </w:t>
      </w:r>
      <w:r w:rsidRPr="00791109">
        <w:rPr>
          <w:rFonts w:hint="cs"/>
          <w:color w:val="222222"/>
          <w:rtl/>
        </w:rPr>
        <w:t>ويجب أن يكونوا قادرين على إجراء مناقشات مع الحكومات وعلى علم بالأولويات، وكيف يمكنهم إضافة قيمة لبرنامج التنمية</w:t>
      </w:r>
      <w:r w:rsidRPr="00791109">
        <w:rPr>
          <w:rFonts w:hint="cs"/>
          <w:color w:val="222222"/>
          <w:rtl/>
          <w:lang w:bidi="ar"/>
        </w:rPr>
        <w:t>.</w:t>
      </w:r>
    </w:p>
    <w:p w14:paraId="6F3B62D5" w14:textId="7E2463E4" w:rsidR="007C347F" w:rsidRPr="00791109" w:rsidRDefault="007C347F" w:rsidP="007C347F">
      <w:pPr>
        <w:rPr>
          <w:rtl/>
          <w:lang w:val="en-GB"/>
        </w:rPr>
      </w:pPr>
      <w:r w:rsidRPr="00791109">
        <w:rPr>
          <w:rFonts w:hint="cs"/>
          <w:rtl/>
          <w:lang w:val="en-GB"/>
        </w:rPr>
        <w:t xml:space="preserve">ضمان أن </w:t>
      </w:r>
      <w:r w:rsidR="00FF4B7B">
        <w:rPr>
          <w:rFonts w:hint="cs"/>
          <w:rtl/>
          <w:lang w:val="en-GB"/>
        </w:rPr>
        <w:t>يفهم</w:t>
      </w:r>
      <w:r w:rsidRPr="00791109">
        <w:rPr>
          <w:rFonts w:hint="cs"/>
          <w:rtl/>
          <w:lang w:val="en-GB"/>
        </w:rPr>
        <w:t xml:space="preserve"> جميع </w:t>
      </w:r>
      <w:r w:rsidR="00FF4B7B">
        <w:rPr>
          <w:rFonts w:hint="cs"/>
          <w:rtl/>
          <w:lang w:val="en-GB"/>
        </w:rPr>
        <w:t>ال</w:t>
      </w:r>
      <w:r w:rsidR="00216915" w:rsidRPr="00791109">
        <w:rPr>
          <w:rFonts w:hint="cs"/>
          <w:rtl/>
          <w:lang w:val="en-GB"/>
        </w:rPr>
        <w:t>أعضاء</w:t>
      </w:r>
      <w:r w:rsidR="00FF4B7B">
        <w:rPr>
          <w:rFonts w:hint="cs"/>
          <w:rtl/>
          <w:lang w:val="en-GB"/>
        </w:rPr>
        <w:t xml:space="preserve"> من</w:t>
      </w:r>
      <w:r w:rsidR="00216915" w:rsidRPr="00791109">
        <w:rPr>
          <w:rFonts w:hint="cs"/>
          <w:rtl/>
          <w:lang w:val="en-GB"/>
        </w:rPr>
        <w:t xml:space="preserve"> </w:t>
      </w:r>
      <w:r w:rsidRPr="00791109">
        <w:rPr>
          <w:rFonts w:hint="cs"/>
          <w:rtl/>
          <w:lang w:val="en-GB"/>
        </w:rPr>
        <w:t>الحكومات الطابع واسع النطاق لتكنولوجيا المعلومات والاتصالات، والنفاذ والتوصيلية من أجل الحصول على مساهمات ومشاركة من الوزارات</w:t>
      </w:r>
      <w:r w:rsidR="008E35AE" w:rsidRPr="00791109">
        <w:rPr>
          <w:rFonts w:hint="cs"/>
          <w:rtl/>
          <w:lang w:val="en-GB" w:bidi="ar"/>
        </w:rPr>
        <w:t>.</w:t>
      </w:r>
    </w:p>
    <w:p w14:paraId="544B7F49" w14:textId="77777777" w:rsidR="007C347F" w:rsidRDefault="007C347F" w:rsidP="007C347F">
      <w:pPr>
        <w:rPr>
          <w:rtl/>
          <w:lang w:val="en-GB"/>
        </w:rPr>
      </w:pPr>
      <w:r w:rsidRPr="00791109">
        <w:rPr>
          <w:rFonts w:hint="cs"/>
          <w:rtl/>
          <w:lang w:val="en-GB"/>
        </w:rPr>
        <w:t>الجمع بين دوائر الصناعة وأصحاب المصلحة الآخرين للإبلاغ عن أفضل الممارسات والتحديات التنظيمية وفهمها.</w:t>
      </w:r>
    </w:p>
    <w:p w14:paraId="6F5F01BD" w14:textId="6079898B" w:rsidR="007C347F" w:rsidRPr="00621256" w:rsidRDefault="00216915" w:rsidP="00621256">
      <w:pPr>
        <w:pStyle w:val="Headingb"/>
        <w:rPr>
          <w:rtl/>
          <w:lang w:val="en-GB"/>
        </w:rPr>
      </w:pPr>
      <w:r>
        <w:rPr>
          <w:rFonts w:hint="cs"/>
          <w:rtl/>
          <w:lang w:val="en-GB"/>
        </w:rPr>
        <w:t>ال</w:t>
      </w:r>
      <w:r w:rsidR="007C347F" w:rsidRPr="00601068">
        <w:rPr>
          <w:rFonts w:hint="cs"/>
          <w:rtl/>
          <w:lang w:val="en-GB"/>
        </w:rPr>
        <w:t>خلاصة</w:t>
      </w:r>
    </w:p>
    <w:p w14:paraId="2AD290EB" w14:textId="0E0800B9" w:rsidR="007C347F" w:rsidRDefault="007C347F" w:rsidP="007C347F">
      <w:pPr>
        <w:rPr>
          <w:rtl/>
          <w:lang w:val="en-GB"/>
        </w:rPr>
      </w:pPr>
      <w:r>
        <w:rPr>
          <w:rFonts w:hint="cs"/>
          <w:rtl/>
          <w:lang w:val="en-GB"/>
        </w:rPr>
        <w:t xml:space="preserve">يتعين على قطاع تنمية الاتصالات إيجاد الدافع الذي سيحفز المشاركين الرئيسيين </w:t>
      </w:r>
      <w:r w:rsidRPr="004A74B9">
        <w:rPr>
          <w:rFonts w:hint="cs"/>
          <w:rtl/>
          <w:lang w:val="en-GB"/>
        </w:rPr>
        <w:t>على</w:t>
      </w:r>
      <w:r>
        <w:rPr>
          <w:rFonts w:hint="cs"/>
          <w:rtl/>
          <w:lang w:val="en-GB"/>
        </w:rPr>
        <w:t xml:space="preserve"> حضور الحدث الرئيسي للقطاع، </w:t>
      </w:r>
      <w:r w:rsidR="00FF4B7B">
        <w:rPr>
          <w:rFonts w:hint="cs"/>
          <w:rtl/>
          <w:lang w:val="en-GB"/>
        </w:rPr>
        <w:t>وبلورة</w:t>
      </w:r>
      <w:r>
        <w:rPr>
          <w:rFonts w:hint="cs"/>
          <w:rtl/>
          <w:lang w:val="en-GB"/>
        </w:rPr>
        <w:t xml:space="preserve"> ونشر مقترح القيمة والحوافز التي ستدفع أعضاء القطاع والدول الأعضاء إلى حضور المؤتمر.</w:t>
      </w:r>
    </w:p>
    <w:p w14:paraId="6B0E5884" w14:textId="610797F6" w:rsidR="007C347F" w:rsidRDefault="007C347F" w:rsidP="007C347F">
      <w:pPr>
        <w:rPr>
          <w:rtl/>
          <w:lang w:val="en-GB"/>
        </w:rPr>
      </w:pPr>
      <w:r>
        <w:rPr>
          <w:rFonts w:hint="cs"/>
          <w:rtl/>
          <w:lang w:val="en-GB"/>
        </w:rPr>
        <w:t xml:space="preserve">وينبغي أن يعرف قطاع تنمية الاتصالات مقترح القيمة ويعلن عنه للمشاركين، وينبغي أن يعلن عن الهيكل والجدول الزمني، وأن يعرف من سيستجيب لمقترح القيمة والحوافز لإنشاء مزيج من الجهات الفاعلة رفيعة المستوى وأصحاب المصلحة، وكيف </w:t>
      </w:r>
      <w:r w:rsidR="00FF4B7B">
        <w:rPr>
          <w:rFonts w:hint="cs"/>
          <w:rtl/>
          <w:lang w:val="en-GB"/>
        </w:rPr>
        <w:t>سيدعم</w:t>
      </w:r>
      <w:r>
        <w:rPr>
          <w:rFonts w:hint="cs"/>
          <w:rtl/>
          <w:lang w:val="en-GB"/>
        </w:rPr>
        <w:t xml:space="preserve"> هيكل الحدث هذا التفاعل.</w:t>
      </w:r>
    </w:p>
    <w:p w14:paraId="2066B54B" w14:textId="574627DF" w:rsidR="007C347F" w:rsidRDefault="007C347F" w:rsidP="007C347F">
      <w:pPr>
        <w:rPr>
          <w:lang w:val="en-GB"/>
        </w:rPr>
      </w:pPr>
      <w:r>
        <w:rPr>
          <w:rFonts w:hint="cs"/>
          <w:rtl/>
          <w:lang w:val="en-GB"/>
        </w:rPr>
        <w:t xml:space="preserve">ينبغي لقطاع تنمية الاتصالات أن يستفيد من سلسلة قيمة النشاط من الآن وحتى انعقاد الحدث، مع الإدراك التام بأن الدعوة ليست سوى وسيلة واحدة لجذب المشاركين إلى الاجتماع. وينبغي إشراك أصحاب المصلحة في الاجتماعات التحضيرية </w:t>
      </w:r>
      <w:r w:rsidR="000839DA">
        <w:rPr>
          <w:rFonts w:hint="cs"/>
          <w:rtl/>
          <w:lang w:val="en-GB"/>
        </w:rPr>
        <w:t>بما أنهم سيشاركون</w:t>
      </w:r>
      <w:r>
        <w:rPr>
          <w:rFonts w:hint="cs"/>
          <w:rtl/>
          <w:lang w:val="en-GB"/>
        </w:rPr>
        <w:t xml:space="preserve"> في المؤتمر</w:t>
      </w:r>
      <w:r w:rsidR="009B4BB3">
        <w:rPr>
          <w:rFonts w:hint="cs"/>
          <w:rtl/>
          <w:lang w:val="en-GB"/>
        </w:rPr>
        <w:t xml:space="preserve"> </w:t>
      </w:r>
      <w:r w:rsidR="008C5F1F">
        <w:rPr>
          <w:rFonts w:hint="cs"/>
          <w:rtl/>
          <w:lang w:val="en-GB"/>
        </w:rPr>
        <w:t>نفسه</w:t>
      </w:r>
      <w:r>
        <w:rPr>
          <w:rFonts w:hint="cs"/>
          <w:rtl/>
          <w:lang w:val="en-GB"/>
        </w:rPr>
        <w:t>.</w:t>
      </w:r>
    </w:p>
    <w:p w14:paraId="1F45C31C" w14:textId="77777777" w:rsidR="007C347F" w:rsidRPr="00621256" w:rsidRDefault="007C347F" w:rsidP="006B2E65">
      <w:pPr>
        <w:pStyle w:val="Heading1"/>
        <w:pBdr>
          <w:bottom w:val="single" w:sz="4" w:space="1" w:color="00B0F0"/>
        </w:pBdr>
        <w:rPr>
          <w:rtl/>
          <w:lang w:val="en-GB"/>
        </w:rPr>
      </w:pPr>
      <w:r w:rsidRPr="005B7885">
        <w:rPr>
          <w:rFonts w:hint="cs"/>
          <w:rtl/>
          <w:lang w:val="en-GB"/>
        </w:rPr>
        <w:t xml:space="preserve">الموضوع </w:t>
      </w:r>
      <w:r w:rsidRPr="005B7885">
        <w:rPr>
          <w:lang w:val="en-GB"/>
        </w:rPr>
        <w:t>4</w:t>
      </w:r>
      <w:r w:rsidRPr="005B7885">
        <w:rPr>
          <w:rFonts w:hint="cs"/>
          <w:rtl/>
          <w:lang w:val="en-GB"/>
        </w:rPr>
        <w:t xml:space="preserve"> </w:t>
      </w:r>
      <w:r w:rsidRPr="005B7885">
        <w:rPr>
          <w:rtl/>
          <w:lang w:val="en-GB"/>
        </w:rPr>
        <w:t>–</w:t>
      </w:r>
      <w:r w:rsidRPr="005B7885">
        <w:rPr>
          <w:rFonts w:hint="cs"/>
          <w:rtl/>
          <w:lang w:val="en-GB"/>
        </w:rPr>
        <w:t xml:space="preserve"> الأحداث الجانبية</w:t>
      </w:r>
    </w:p>
    <w:p w14:paraId="525AB9E0" w14:textId="20AEEC60" w:rsidR="007C347F" w:rsidRDefault="007C347F" w:rsidP="007F51A7">
      <w:pPr>
        <w:spacing w:before="240"/>
        <w:rPr>
          <w:rtl/>
          <w:lang w:val="en-GB"/>
        </w:rPr>
      </w:pPr>
      <w:r>
        <w:rPr>
          <w:rFonts w:hint="cs"/>
          <w:rtl/>
          <w:lang w:val="en-GB"/>
        </w:rPr>
        <w:t xml:space="preserve">في السنوات الأخيرة، عُقدت على هامش المؤتمر أحداث جانبية مواضيعية تركز على مجالات اهتمام الأعضاء (مثل قمة الشباب، والقمة العالمية لمجتمع المعلومات، والأمن السيبراني وما إلى ذلك). فهل ينبغي أن تظل هذه المناقشات المتعمقة أحداثاً جانبية أم ينبغي أن تصبح جزءاً لا يتجزأ من المؤتمر؟ ما هي المواضيع التي ينبغي مناقشتها خلال هذه الأحداث الجانبية وقمة الشباب؟ كيف ينبغي تنظيم هذه المواضيع (مثل المسارات المواضيعية، والبرنامج رفيع المستوى، والمعرض وما إلى ذلك)؟ وما هو الناتج الذي ينبغي </w:t>
      </w:r>
      <w:r w:rsidR="00BD4FFF">
        <w:rPr>
          <w:rFonts w:hint="cs"/>
          <w:rtl/>
          <w:lang w:val="en-GB"/>
        </w:rPr>
        <w:t>أن يصدر عن</w:t>
      </w:r>
      <w:r>
        <w:rPr>
          <w:rFonts w:hint="cs"/>
          <w:rtl/>
          <w:lang w:val="en-GB"/>
        </w:rPr>
        <w:t xml:space="preserve"> هذه الأحداث؟</w:t>
      </w:r>
    </w:p>
    <w:p w14:paraId="7D99A2C2" w14:textId="77777777" w:rsidR="007C347F" w:rsidRPr="00621256" w:rsidRDefault="007C347F" w:rsidP="00621256">
      <w:pPr>
        <w:pStyle w:val="Headingb"/>
        <w:rPr>
          <w:rtl/>
          <w:lang w:val="en-GB"/>
        </w:rPr>
      </w:pPr>
      <w:r w:rsidRPr="006E7214">
        <w:rPr>
          <w:rFonts w:hint="cs"/>
          <w:rtl/>
          <w:lang w:val="en-GB"/>
        </w:rPr>
        <w:t>التحدي</w:t>
      </w:r>
    </w:p>
    <w:p w14:paraId="0A05EB42" w14:textId="77777777" w:rsidR="007C347F" w:rsidRDefault="007C347F" w:rsidP="007C347F">
      <w:pPr>
        <w:rPr>
          <w:rtl/>
          <w:lang w:val="en-GB"/>
        </w:rPr>
      </w:pPr>
      <w:r>
        <w:rPr>
          <w:rFonts w:hint="cs"/>
          <w:rtl/>
          <w:lang w:val="en-GB"/>
        </w:rPr>
        <w:t>اتفق المشاركون على أن تكون الأحداث الجانبية جزءاً لا يتجزأ من المؤتمر، وإعادة تشكيلها لإحداث أثر أكبر.</w:t>
      </w:r>
    </w:p>
    <w:p w14:paraId="201F0358" w14:textId="63852358" w:rsidR="007C347F" w:rsidRDefault="007C347F" w:rsidP="007C347F">
      <w:pPr>
        <w:rPr>
          <w:rtl/>
          <w:lang w:val="en-GB"/>
        </w:rPr>
      </w:pPr>
      <w:r>
        <w:rPr>
          <w:rFonts w:hint="cs"/>
          <w:rtl/>
          <w:lang w:val="en-GB"/>
        </w:rPr>
        <w:t xml:space="preserve">تتيح الأحداث الجانبية فرصة ممتازة لتسليط الضوء على الطابع الملح للقضايا والاتجاهات </w:t>
      </w:r>
      <w:r w:rsidR="007C728B">
        <w:rPr>
          <w:rFonts w:hint="cs"/>
          <w:rtl/>
          <w:lang w:val="en-GB"/>
        </w:rPr>
        <w:t>البالغة الأهمية</w:t>
      </w:r>
      <w:r>
        <w:rPr>
          <w:rFonts w:hint="cs"/>
          <w:rtl/>
          <w:lang w:val="en-GB"/>
        </w:rPr>
        <w:t xml:space="preserve"> التي يتعين على قطاع تكنولوجيا المعلومات والاتصالات معالجتها بالتعاون مع الشركاء الآخرين، والتفكير بصورة غير نمطية والاستفادة من حسن نيتهم للعمل معاً في سبيل إيجاد حلول للقضايا ذات الاهتمام العالمي.</w:t>
      </w:r>
    </w:p>
    <w:p w14:paraId="60CFFB91" w14:textId="475348A5" w:rsidR="007C347F" w:rsidRDefault="007C347F" w:rsidP="007C347F">
      <w:pPr>
        <w:rPr>
          <w:rtl/>
          <w:lang w:val="en-GB"/>
        </w:rPr>
      </w:pPr>
      <w:r w:rsidRPr="00791109">
        <w:rPr>
          <w:rFonts w:hint="cs"/>
          <w:rtl/>
          <w:lang w:val="en-GB"/>
        </w:rPr>
        <w:t xml:space="preserve">تُظهر </w:t>
      </w:r>
      <w:r w:rsidRPr="00791109">
        <w:rPr>
          <w:color w:val="000000"/>
          <w:rtl/>
        </w:rPr>
        <w:t>جائحة فيروس كورونا المستجد</w:t>
      </w:r>
      <w:r w:rsidRPr="00791109">
        <w:rPr>
          <w:rFonts w:hint="cs"/>
          <w:color w:val="000000"/>
          <w:rtl/>
        </w:rPr>
        <w:t xml:space="preserve"> </w:t>
      </w:r>
      <w:r w:rsidRPr="00791109">
        <w:rPr>
          <w:color w:val="000000"/>
          <w:lang w:val="en-GB"/>
        </w:rPr>
        <w:t>(COVID-19)</w:t>
      </w:r>
      <w:r w:rsidRPr="00791109">
        <w:rPr>
          <w:rFonts w:hint="cs"/>
          <w:color w:val="000000"/>
          <w:rtl/>
          <w:lang w:val="en-GB"/>
        </w:rPr>
        <w:t xml:space="preserve"> والتأثير الذي ستحدثه على جميع قطاعات الاقتصاد مدى أهمية وضرورة توصيل غير الموصولين. ولكن، لتحقيق الحلم المتمثل في كوكب موصول، من الضروري أن نفهم السبب في استمرار وجود فجوة بعد نشر تقرير </w:t>
      </w:r>
      <w:r w:rsidRPr="00791109">
        <w:rPr>
          <w:rFonts w:hint="cs"/>
          <w:i/>
          <w:iCs/>
          <w:color w:val="000000"/>
          <w:rtl/>
          <w:lang w:val="en-GB"/>
        </w:rPr>
        <w:t>"الحلقة المفقودة"</w:t>
      </w:r>
      <w:r w:rsidRPr="00791109">
        <w:rPr>
          <w:rFonts w:hint="cs"/>
          <w:color w:val="000000"/>
          <w:rtl/>
          <w:lang w:val="en-GB"/>
        </w:rPr>
        <w:t xml:space="preserve"> بخمسة وثلاثين (</w:t>
      </w:r>
      <w:r w:rsidRPr="00791109">
        <w:rPr>
          <w:color w:val="000000"/>
          <w:lang w:val="en-GB"/>
        </w:rPr>
        <w:t>(35</w:t>
      </w:r>
      <w:r w:rsidRPr="00791109">
        <w:rPr>
          <w:rFonts w:hint="cs"/>
          <w:color w:val="000000"/>
          <w:rtl/>
          <w:lang w:val="en-GB"/>
        </w:rPr>
        <w:t xml:space="preserve"> عاماً. وتنطوي الأحداث الجانبية على إمكانات كبيرة لاجتذاب مشاركين رفيعي المستوى بما في ذلك الحكومات وقادة الصناعة ومجتمع التنمية والجهات المانحة.</w:t>
      </w:r>
    </w:p>
    <w:p w14:paraId="25F2D726" w14:textId="77777777" w:rsidR="007C347F" w:rsidRPr="00621256" w:rsidRDefault="007C347F" w:rsidP="00621256">
      <w:pPr>
        <w:pStyle w:val="Headingb"/>
        <w:rPr>
          <w:rtl/>
          <w:lang w:val="en-GB"/>
        </w:rPr>
      </w:pPr>
      <w:r w:rsidRPr="000B39C6">
        <w:rPr>
          <w:rFonts w:hint="cs"/>
          <w:rtl/>
          <w:lang w:val="en-GB"/>
        </w:rPr>
        <w:t>بعض المقترحات</w:t>
      </w:r>
    </w:p>
    <w:p w14:paraId="70348EBD" w14:textId="113E6F40" w:rsidR="007C347F" w:rsidRDefault="007C347F" w:rsidP="007C347F">
      <w:pPr>
        <w:rPr>
          <w:rtl/>
          <w:lang w:val="en-GB"/>
        </w:rPr>
      </w:pPr>
      <w:r>
        <w:rPr>
          <w:rFonts w:hint="cs"/>
          <w:rtl/>
          <w:lang w:val="en-GB"/>
        </w:rPr>
        <w:t xml:space="preserve">إعادة صياغة الأحداث الجانبية ودمجها في المؤتمر. ينطوي اسم "أحداث جانبية" على دلالة مفادها أن هذه الأحداث ليست مهمة </w:t>
      </w:r>
      <w:r w:rsidR="00B731D1">
        <w:rPr>
          <w:rFonts w:hint="cs"/>
          <w:rtl/>
          <w:lang w:val="en-GB"/>
        </w:rPr>
        <w:t>لأن مواعيدها تقع</w:t>
      </w:r>
      <w:r>
        <w:rPr>
          <w:rFonts w:hint="cs"/>
          <w:rtl/>
          <w:lang w:val="en-GB"/>
        </w:rPr>
        <w:t xml:space="preserve"> خارج ساعات المؤتمر وخارج مفاوضات المؤتمر. </w:t>
      </w:r>
      <w:r w:rsidR="006B2B10">
        <w:rPr>
          <w:rFonts w:hint="cs"/>
          <w:rtl/>
          <w:lang w:val="en-GB"/>
        </w:rPr>
        <w:t>ف</w:t>
      </w:r>
      <w:r>
        <w:rPr>
          <w:rFonts w:hint="cs"/>
          <w:rtl/>
          <w:lang w:val="en-GB"/>
        </w:rPr>
        <w:t xml:space="preserve">دمج الأحداث الجانبية في المؤتمر بمثابة رسالة إيجابية عن </w:t>
      </w:r>
      <w:r w:rsidR="00B731D1">
        <w:rPr>
          <w:rFonts w:hint="cs"/>
          <w:rtl/>
          <w:lang w:val="en-GB"/>
        </w:rPr>
        <w:t>ال</w:t>
      </w:r>
      <w:r>
        <w:rPr>
          <w:rFonts w:hint="cs"/>
          <w:rtl/>
          <w:lang w:val="en-GB"/>
        </w:rPr>
        <w:t xml:space="preserve">شمولية </w:t>
      </w:r>
      <w:r w:rsidR="00B731D1">
        <w:rPr>
          <w:rFonts w:hint="cs"/>
          <w:rtl/>
          <w:lang w:val="en-GB"/>
        </w:rPr>
        <w:t xml:space="preserve">إلى </w:t>
      </w:r>
      <w:r>
        <w:rPr>
          <w:rFonts w:hint="cs"/>
          <w:rtl/>
          <w:lang w:val="en-GB"/>
        </w:rPr>
        <w:t>جميع أصحاب المصلحة والشركاء في الاتحاد، ويتيح لجميع الوفود فرصة المشاركة.</w:t>
      </w:r>
    </w:p>
    <w:p w14:paraId="2B54E2DF" w14:textId="54280981" w:rsidR="007C347F" w:rsidRDefault="007C347F" w:rsidP="007C347F">
      <w:pPr>
        <w:rPr>
          <w:rtl/>
          <w:lang w:val="en-GB"/>
        </w:rPr>
      </w:pPr>
      <w:r>
        <w:rPr>
          <w:rFonts w:hint="cs"/>
          <w:rtl/>
          <w:lang w:val="en-GB"/>
        </w:rPr>
        <w:t>تصميم أحداث جانبية تحدث التأثير</w:t>
      </w:r>
      <w:r w:rsidR="00B4601D">
        <w:rPr>
          <w:rFonts w:hint="cs"/>
          <w:rtl/>
          <w:lang w:val="en-GB"/>
        </w:rPr>
        <w:t xml:space="preserve"> المنشود</w:t>
      </w:r>
      <w:r>
        <w:rPr>
          <w:rFonts w:hint="cs"/>
          <w:rtl/>
          <w:lang w:val="en-GB"/>
        </w:rPr>
        <w:t xml:space="preserve">. في المؤتمرات السابقة، كان هناك عدد كبير جداً من الأحداث الجانبية وهذا </w:t>
      </w:r>
      <w:r w:rsidRPr="00E3775C">
        <w:rPr>
          <w:rFonts w:hint="cs"/>
          <w:rtl/>
          <w:lang w:val="en-GB"/>
        </w:rPr>
        <w:t>يضعف</w:t>
      </w:r>
      <w:r>
        <w:rPr>
          <w:rFonts w:hint="cs"/>
          <w:rtl/>
          <w:lang w:val="en-GB"/>
        </w:rPr>
        <w:t xml:space="preserve"> قيمتها. وتقليل عدد هذه الأحداث يجعلها أكثر تنظيماً وتركيزاً ويدمجها في البرنامج العام للمؤتمر.</w:t>
      </w:r>
    </w:p>
    <w:p w14:paraId="72904260" w14:textId="77777777" w:rsidR="007C347F" w:rsidRDefault="007C347F" w:rsidP="007C347F">
      <w:pPr>
        <w:rPr>
          <w:rtl/>
          <w:lang w:val="en-GB"/>
        </w:rPr>
      </w:pPr>
      <w:r>
        <w:rPr>
          <w:rFonts w:hint="cs"/>
          <w:rtl/>
          <w:lang w:val="en-GB"/>
        </w:rPr>
        <w:lastRenderedPageBreak/>
        <w:t>تحديد الجمهور المستهدف وإعداد قائمة بأصحاب المصلحة الذين سيتم دعوتهم. ينبغي تنظيم الأحداث الجانبية التي يعاد تحديدها خلال الأيام الأولى للمؤتمر حتى يتمكن المشاركون رفيعو المستوى من الحضور.</w:t>
      </w:r>
    </w:p>
    <w:p w14:paraId="234F5403" w14:textId="6543CF0A" w:rsidR="007C347F" w:rsidRPr="00791109" w:rsidRDefault="00B4601D" w:rsidP="003C2EF4">
      <w:pPr>
        <w:rPr>
          <w:rFonts w:eastAsia="Times New Roman"/>
          <w:sz w:val="21"/>
          <w:szCs w:val="21"/>
          <w:rtl/>
          <w:lang w:val="en" w:eastAsia="en-GB" w:bidi="ar"/>
        </w:rPr>
      </w:pPr>
      <w:r>
        <w:rPr>
          <w:rFonts w:hint="cs"/>
          <w:rtl/>
          <w:lang w:val="en-GB"/>
        </w:rPr>
        <w:t>وضع</w:t>
      </w:r>
      <w:r w:rsidR="007C347F" w:rsidRPr="00791109">
        <w:rPr>
          <w:rFonts w:hint="cs"/>
          <w:rtl/>
          <w:lang w:val="en-GB"/>
        </w:rPr>
        <w:t xml:space="preserve"> جدول أعمال واضح </w:t>
      </w:r>
      <w:r>
        <w:rPr>
          <w:rFonts w:hint="cs"/>
          <w:rtl/>
          <w:lang w:val="en-GB"/>
        </w:rPr>
        <w:t>ويتضمن بنوداً بارزة</w:t>
      </w:r>
      <w:r w:rsidR="007C347F" w:rsidRPr="00791109">
        <w:rPr>
          <w:rFonts w:hint="cs"/>
          <w:rtl/>
          <w:lang w:val="en-GB"/>
        </w:rPr>
        <w:t xml:space="preserve">. ويمكن أن </w:t>
      </w:r>
      <w:r w:rsidR="003C2EF4" w:rsidRPr="003C2EF4">
        <w:rPr>
          <w:rFonts w:hint="cs"/>
          <w:rtl/>
          <w:lang w:val="en-GB"/>
        </w:rPr>
        <w:t xml:space="preserve">تُستوحى </w:t>
      </w:r>
      <w:r w:rsidR="000E55EF" w:rsidRPr="00791109">
        <w:rPr>
          <w:rFonts w:hint="cs"/>
          <w:rtl/>
          <w:lang w:val="en-GB"/>
        </w:rPr>
        <w:t xml:space="preserve">بعض الأفكار </w:t>
      </w:r>
      <w:r w:rsidR="007C347F" w:rsidRPr="00791109">
        <w:rPr>
          <w:rFonts w:hint="cs"/>
          <w:rtl/>
          <w:lang w:val="en-GB"/>
        </w:rPr>
        <w:t xml:space="preserve">من البرنامج الوزاري لرابطة النظام العالمي للاتصالات المتنقلة وكذلك الاجتماع السنوي للمنتدى الاقتصادي العالمي في دافوس واجتماعات الربيع للبنك الدولي. ويوفر البرنامج الوزاري، بوصفه جزءاً لا يتجزأ من المؤتمر العالمي للاتصالات المتنقلة، منتدى لوزراء الحكومات والمنظمين والمنظمات الدولية والمديرين التنفيذيين من جميع أنحاء العالم لمناقشة التطورات الرئيسية والاتجاهات </w:t>
      </w:r>
      <w:r w:rsidR="003C2EF4">
        <w:rPr>
          <w:rFonts w:hint="cs"/>
          <w:rtl/>
          <w:lang w:val="en-GB"/>
        </w:rPr>
        <w:t>في مجال السياسة العامة</w:t>
      </w:r>
      <w:r w:rsidR="007C347F" w:rsidRPr="00791109">
        <w:rPr>
          <w:rFonts w:hint="cs"/>
          <w:rtl/>
          <w:lang w:val="en-GB"/>
        </w:rPr>
        <w:t>. ويتيح اجتماع دافوس لكبار قادة العالم المشاركة في أنشطة تعاونية لتشكيل البرامج العالمية والإقليمية والصناعية.</w:t>
      </w:r>
    </w:p>
    <w:p w14:paraId="3556C9BD" w14:textId="788A0110" w:rsidR="007C347F" w:rsidRDefault="007C347F" w:rsidP="007C347F">
      <w:pPr>
        <w:rPr>
          <w:lang w:val="en"/>
        </w:rPr>
      </w:pPr>
      <w:r w:rsidRPr="00791109">
        <w:rPr>
          <w:rFonts w:hint="cs"/>
          <w:rtl/>
          <w:lang w:val="en"/>
        </w:rPr>
        <w:t>اختيار موضوع أو مواضيع من شأنها أن تثير اهتمام جميع المشاركين وتؤدي إلى مناقشات موضوعية من شأنها أن تصب في</w:t>
      </w:r>
      <w:r w:rsidR="00E3775C" w:rsidRPr="00791109">
        <w:rPr>
          <w:rFonts w:hint="eastAsia"/>
          <w:rtl/>
          <w:lang w:val="en"/>
        </w:rPr>
        <w:t> </w:t>
      </w:r>
      <w:r w:rsidRPr="00791109">
        <w:rPr>
          <w:rFonts w:hint="cs"/>
          <w:rtl/>
          <w:lang w:val="en"/>
        </w:rPr>
        <w:t>نتائج المؤتمر.</w:t>
      </w:r>
    </w:p>
    <w:p w14:paraId="5D86188C" w14:textId="3436E4B8" w:rsidR="007C347F" w:rsidRDefault="007C347F" w:rsidP="007C347F">
      <w:pPr>
        <w:rPr>
          <w:rtl/>
          <w:lang w:val="en"/>
        </w:rPr>
      </w:pPr>
      <w:r w:rsidRPr="005E634B">
        <w:rPr>
          <w:rFonts w:hint="cs"/>
          <w:rtl/>
          <w:lang w:val="en"/>
        </w:rPr>
        <w:t xml:space="preserve">سيأتي الناس إلى المؤتمر إذا كان هناك ما يثير اهتمامهم. فما هو مقترح القيمة؟ وما هو جدول الأعمال؟ وما هو الموضوع؟ عند دعوة وزراء الشؤون المالية أو الصحة على سبيل المثال، وهم لا يترددون عادة على الاتحاد، يجب بذل كل جهد ممكن لضمان أن يسفر النشاط الذي يُدعون إليه، عن نتائج يمكنهم اتخاذها إلى </w:t>
      </w:r>
      <w:r w:rsidR="00163D60">
        <w:rPr>
          <w:rFonts w:hint="cs"/>
          <w:rtl/>
          <w:lang w:val="en"/>
        </w:rPr>
        <w:t>أوطانهم</w:t>
      </w:r>
      <w:r w:rsidRPr="005E634B">
        <w:rPr>
          <w:rFonts w:hint="cs"/>
          <w:rtl/>
          <w:lang w:val="en"/>
        </w:rPr>
        <w:t xml:space="preserve"> والعمل على أساسها.</w:t>
      </w:r>
    </w:p>
    <w:p w14:paraId="7C68983C" w14:textId="28402130" w:rsidR="007C347F" w:rsidRPr="007F51A7" w:rsidRDefault="007C347F" w:rsidP="007C347F">
      <w:pPr>
        <w:rPr>
          <w:spacing w:val="2"/>
          <w:rtl/>
        </w:rPr>
      </w:pPr>
      <w:r w:rsidRPr="007F51A7">
        <w:rPr>
          <w:rFonts w:hint="cs"/>
          <w:spacing w:val="2"/>
          <w:rtl/>
        </w:rPr>
        <w:t xml:space="preserve">الجمع بين الأحداث الجانبية المعاد تحديدها والجزء رفيع المستوى في حوارات تفاعلية. وهكذا يمكن للوزراء ونواب الوزراء (أو </w:t>
      </w:r>
      <w:r w:rsidR="0012378B">
        <w:rPr>
          <w:rFonts w:hint="cs"/>
          <w:spacing w:val="2"/>
          <w:rtl/>
        </w:rPr>
        <w:t>من</w:t>
      </w:r>
      <w:r w:rsidRPr="007F51A7">
        <w:rPr>
          <w:rFonts w:hint="cs"/>
          <w:spacing w:val="2"/>
          <w:rtl/>
        </w:rPr>
        <w:t xml:space="preserve"> يعادلهم) المشاركة في حوارات تفاعلية تندرج في إطار المواضيع المختارة للمؤتمر بدلاً من بيانات السياسة العامة </w:t>
      </w:r>
      <w:r w:rsidR="0012378B">
        <w:rPr>
          <w:rFonts w:hint="cs"/>
          <w:spacing w:val="2"/>
          <w:rtl/>
        </w:rPr>
        <w:t>المتتالية</w:t>
      </w:r>
      <w:r w:rsidRPr="007F51A7">
        <w:rPr>
          <w:rFonts w:hint="cs"/>
          <w:spacing w:val="2"/>
          <w:rtl/>
        </w:rPr>
        <w:t>. ولن تُنشر بيانات السياسة العامة، في حالة الإبقاء عليها، إلا في الموقع الإلكتروني للحدث، ولا يتم الإدلاء بها.</w:t>
      </w:r>
    </w:p>
    <w:p w14:paraId="53A52CC8" w14:textId="77777777" w:rsidR="007C347F" w:rsidRDefault="007C347F" w:rsidP="007C347F">
      <w:pPr>
        <w:rPr>
          <w:rtl/>
          <w:lang w:val="en-GB"/>
        </w:rPr>
      </w:pPr>
      <w:r>
        <w:rPr>
          <w:rFonts w:hint="cs"/>
          <w:rtl/>
          <w:lang w:val="en-GB"/>
        </w:rPr>
        <w:t>والأحداث الجانبية المعاد تحديدها والمصممة جيداً والمخطط لها تخطيطاً سليماً من شأنها توليد اهتمام كبير لدى الجهات المانحة ومجتمعات الابتكار.</w:t>
      </w:r>
    </w:p>
    <w:p w14:paraId="02B3DF95" w14:textId="6A1CE05E" w:rsidR="007C347F" w:rsidRPr="00621256" w:rsidRDefault="004A74B9" w:rsidP="00621256">
      <w:pPr>
        <w:pStyle w:val="Headingb"/>
        <w:rPr>
          <w:lang w:val="en-GB"/>
        </w:rPr>
      </w:pPr>
      <w:r>
        <w:rPr>
          <w:rFonts w:hint="cs"/>
          <w:rtl/>
          <w:lang w:val="en-GB"/>
        </w:rPr>
        <w:t>ال</w:t>
      </w:r>
      <w:r w:rsidR="007C347F" w:rsidRPr="005C13F7">
        <w:rPr>
          <w:rFonts w:hint="cs"/>
          <w:rtl/>
          <w:lang w:val="en-GB"/>
        </w:rPr>
        <w:t>خلاصة</w:t>
      </w:r>
    </w:p>
    <w:p w14:paraId="49951252" w14:textId="4BAE0030" w:rsidR="007C347F" w:rsidRDefault="007C347F" w:rsidP="007C347F">
      <w:pPr>
        <w:rPr>
          <w:rtl/>
          <w:lang w:val="en-GB"/>
        </w:rPr>
      </w:pPr>
      <w:r>
        <w:rPr>
          <w:rFonts w:hint="cs"/>
          <w:rtl/>
          <w:lang w:val="en-GB"/>
        </w:rPr>
        <w:t xml:space="preserve">إعادة تحديد الأحداث الجانبية لتصبح عناصر تُغير قواعد اللعبة. مَن لديه المشكلة ومن لديه الحل؟ هل لدينا بيئة تمكينية؟ كيف يمكن الجمع بين من لديهم مشكلة ومن لديهم الحل </w:t>
      </w:r>
      <w:r w:rsidR="007C2B10">
        <w:rPr>
          <w:rFonts w:hint="cs"/>
          <w:rtl/>
          <w:lang w:val="en-GB"/>
        </w:rPr>
        <w:t>وأصحاب</w:t>
      </w:r>
      <w:r>
        <w:rPr>
          <w:rFonts w:hint="cs"/>
          <w:rtl/>
          <w:lang w:val="en-GB"/>
        </w:rPr>
        <w:t xml:space="preserve"> الموارد</w:t>
      </w:r>
      <w:r w:rsidR="007C2B10">
        <w:rPr>
          <w:rFonts w:hint="cs"/>
          <w:rtl/>
          <w:lang w:val="en-GB"/>
        </w:rPr>
        <w:t xml:space="preserve"> من أجل</w:t>
      </w:r>
      <w:r>
        <w:rPr>
          <w:rFonts w:hint="cs"/>
          <w:rtl/>
          <w:lang w:val="en-GB"/>
        </w:rPr>
        <w:t xml:space="preserve"> التعاون معاً </w:t>
      </w:r>
      <w:r w:rsidR="007C2B10">
        <w:rPr>
          <w:rFonts w:hint="cs"/>
          <w:rtl/>
          <w:lang w:val="en-GB"/>
        </w:rPr>
        <w:t>والالتزام</w:t>
      </w:r>
      <w:r>
        <w:rPr>
          <w:rFonts w:hint="cs"/>
          <w:rtl/>
          <w:lang w:val="en-GB"/>
        </w:rPr>
        <w:t xml:space="preserve"> التزاماً راسخاً بتقديم مساهم</w:t>
      </w:r>
      <w:r w:rsidR="00D34604">
        <w:rPr>
          <w:rFonts w:hint="cs"/>
          <w:rtl/>
          <w:lang w:val="en-GB"/>
        </w:rPr>
        <w:t>ا</w:t>
      </w:r>
      <w:r>
        <w:rPr>
          <w:rFonts w:hint="cs"/>
          <w:rtl/>
          <w:lang w:val="en-GB"/>
        </w:rPr>
        <w:t>تهم المفيدة في معالجة قضايا التنمية الرقمية</w:t>
      </w:r>
      <w:r w:rsidR="00581DDF">
        <w:rPr>
          <w:rFonts w:hint="cs"/>
          <w:rtl/>
          <w:lang w:val="en-GB"/>
        </w:rPr>
        <w:t>؟</w:t>
      </w:r>
    </w:p>
    <w:p w14:paraId="76ECC0A9" w14:textId="77777777" w:rsidR="007C347F" w:rsidRDefault="007C347F" w:rsidP="007C347F">
      <w:pPr>
        <w:rPr>
          <w:rtl/>
          <w:lang w:val="en-GB"/>
        </w:rPr>
      </w:pPr>
      <w:r>
        <w:rPr>
          <w:rFonts w:hint="cs"/>
          <w:rtl/>
          <w:lang w:val="en-GB"/>
        </w:rPr>
        <w:t>والشروع المبكر في تحديد المسائل التي ستناقش في الأحداث الجانبية من شأنه أن يعجّل بتنفيذ المقترحات المذكورة أعلاه. وينبغي التخطيط للمؤتمر حول مواضيع محددة. وكنقطة انطلاق، يمكن تحديد عدد من المواضيع وتعميمها والترويج لها في كل مناسبة إلى أن يتم اتخاذ قرار بشأن المواضيع التي تعتبر بارزة. ومن ثم، ستشكل المواضيع التي يتم اختيارها على هذا النحو جزءاً من المسارات المواضيعية للمؤتمر.</w:t>
      </w:r>
    </w:p>
    <w:p w14:paraId="73A80150" w14:textId="23EBB67A" w:rsidR="007C347F" w:rsidRDefault="007C347F" w:rsidP="007C347F">
      <w:pPr>
        <w:rPr>
          <w:rtl/>
          <w:lang w:val="en-GB"/>
        </w:rPr>
      </w:pPr>
      <w:r>
        <w:rPr>
          <w:rFonts w:hint="cs"/>
          <w:rtl/>
          <w:lang w:val="en-GB"/>
        </w:rPr>
        <w:t xml:space="preserve">ولدى إفريقيا، حيث سيعقد المؤتمر العالمي لتنمية الاتصالات لعام </w:t>
      </w:r>
      <w:r>
        <w:rPr>
          <w:lang w:val="en-GB"/>
        </w:rPr>
        <w:t>2021</w:t>
      </w:r>
      <w:r>
        <w:rPr>
          <w:rFonts w:hint="cs"/>
          <w:rtl/>
          <w:lang w:val="en-GB"/>
        </w:rPr>
        <w:t xml:space="preserve">، العديد من قصص النجاح. وينبغي </w:t>
      </w:r>
      <w:r w:rsidR="007C2B10">
        <w:rPr>
          <w:rFonts w:hint="cs"/>
          <w:rtl/>
          <w:lang w:val="en-GB"/>
        </w:rPr>
        <w:t>توفير</w:t>
      </w:r>
      <w:r>
        <w:rPr>
          <w:rFonts w:hint="cs"/>
          <w:rtl/>
          <w:lang w:val="en-GB"/>
        </w:rPr>
        <w:t xml:space="preserve"> منصة للتعريف بها وللمناطق النامية الأخرى لعرض بعض أنشطتها المتصلة بأهداف التنمية المستدامة.</w:t>
      </w:r>
    </w:p>
    <w:p w14:paraId="7FAF384C" w14:textId="68C3504B" w:rsidR="007C347F" w:rsidRPr="00C22201" w:rsidRDefault="00C22201" w:rsidP="00C22201">
      <w:pPr>
        <w:spacing w:before="600"/>
        <w:jc w:val="center"/>
        <w:rPr>
          <w:rtl/>
        </w:rPr>
      </w:pPr>
      <w:r>
        <w:rPr>
          <w:rFonts w:hint="cs"/>
          <w:rtl/>
        </w:rPr>
        <w:t>ـــــــــــــــــــــــــــــــــــــــــــــــــــــــــــــــــــــــــــــــــــــــــــــــــــــ</w:t>
      </w:r>
    </w:p>
    <w:sectPr w:rsidR="007C347F" w:rsidRPr="00C22201" w:rsidSect="006C3242">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9ECC8" w14:textId="77777777" w:rsidR="00EB3BA6" w:rsidRDefault="00EB3BA6" w:rsidP="006C3242">
      <w:pPr>
        <w:spacing w:before="0" w:line="240" w:lineRule="auto"/>
      </w:pPr>
      <w:r>
        <w:separator/>
      </w:r>
    </w:p>
  </w:endnote>
  <w:endnote w:type="continuationSeparator" w:id="0">
    <w:p w14:paraId="054319C5" w14:textId="77777777" w:rsidR="00EB3BA6" w:rsidRDefault="00EB3BA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28F56" w14:textId="77777777" w:rsidR="0088322C" w:rsidRDefault="00883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B308C" w14:textId="20C3FBEA" w:rsidR="006C3242" w:rsidRPr="00A45BEF" w:rsidRDefault="006C3242" w:rsidP="00FE5872">
    <w:pPr>
      <w:pStyle w:val="Footer"/>
      <w:tabs>
        <w:tab w:val="clear" w:pos="4153"/>
        <w:tab w:val="clear" w:pos="8306"/>
        <w:tab w:val="center" w:pos="5103"/>
        <w:tab w:val="right" w:pos="9639"/>
      </w:tabs>
      <w:spacing w:before="120"/>
      <w:rPr>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639" w:type="dxa"/>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490985" w:rsidRPr="00901F9F" w14:paraId="12B98CF7" w14:textId="77777777" w:rsidTr="00F1345B">
      <w:tc>
        <w:tcPr>
          <w:tcW w:w="1298" w:type="dxa"/>
          <w:tcBorders>
            <w:top w:val="single" w:sz="4" w:space="0" w:color="auto"/>
            <w:left w:val="nil"/>
            <w:bottom w:val="nil"/>
            <w:right w:val="nil"/>
          </w:tcBorders>
          <w:shd w:val="clear" w:color="auto" w:fill="FFFFFF" w:themeFill="background1"/>
          <w:hideMark/>
        </w:tcPr>
        <w:p w14:paraId="50A66B51" w14:textId="77777777" w:rsidR="00490985" w:rsidRPr="00490985" w:rsidRDefault="00490985" w:rsidP="00490985">
          <w:pPr>
            <w:spacing w:after="60" w:line="260" w:lineRule="exact"/>
            <w:rPr>
              <w:rFonts w:ascii="Traditional Arabic" w:hAnsi="Traditional Arabic" w:cs="Traditional Arabic"/>
              <w:sz w:val="20"/>
              <w:szCs w:val="26"/>
              <w:lang w:val="en-GB"/>
            </w:rPr>
          </w:pPr>
          <w:r w:rsidRPr="00490985">
            <w:rPr>
              <w:rFonts w:ascii="Traditional Arabic" w:hAnsi="Traditional Arabic" w:cs="Traditional Arabic" w:hint="cs"/>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1B6FF059" w14:textId="77777777" w:rsidR="00490985" w:rsidRPr="00490985" w:rsidRDefault="00490985" w:rsidP="00490985">
          <w:pPr>
            <w:spacing w:after="60" w:line="260" w:lineRule="exact"/>
            <w:rPr>
              <w:rFonts w:ascii="Traditional Arabic" w:hAnsi="Traditional Arabic" w:cs="Traditional Arabic"/>
              <w:sz w:val="26"/>
              <w:szCs w:val="26"/>
              <w:lang w:val="en-GB"/>
            </w:rPr>
          </w:pPr>
          <w:r w:rsidRPr="00490985">
            <w:rPr>
              <w:rFonts w:ascii="Traditional Arabic" w:hAnsi="Traditional Arabic" w:cs="Traditional Arabic" w:hint="cs"/>
              <w:sz w:val="26"/>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30644BB8" w14:textId="77777777" w:rsidR="00490985" w:rsidRPr="00490985" w:rsidRDefault="00490985" w:rsidP="00490985">
          <w:pPr>
            <w:pStyle w:val="FirstFooter"/>
            <w:tabs>
              <w:tab w:val="left" w:pos="2302"/>
            </w:tabs>
            <w:jc w:val="right"/>
            <w:rPr>
              <w:rFonts w:ascii="Traditional Arabic" w:hAnsi="Traditional Arabic" w:cs="Traditional Arabic"/>
              <w:sz w:val="26"/>
              <w:szCs w:val="26"/>
              <w:lang w:val="en-US"/>
            </w:rPr>
          </w:pPr>
          <w:r w:rsidRPr="00490985">
            <w:rPr>
              <w:rFonts w:ascii="Traditional Arabic" w:hAnsi="Traditional Arabic" w:cs="Traditional Arabic" w:hint="cs"/>
              <w:sz w:val="26"/>
              <w:szCs w:val="26"/>
              <w:rtl/>
              <w:lang w:val="en-US"/>
            </w:rPr>
            <w:t>دورين بوغدان</w:t>
          </w:r>
          <w:r w:rsidRPr="00490985">
            <w:rPr>
              <w:rFonts w:ascii="Traditional Arabic" w:hAnsi="Traditional Arabic" w:cs="Traditional Arabic" w:hint="cs"/>
              <w:sz w:val="26"/>
              <w:szCs w:val="26"/>
              <w:lang w:val="en-US"/>
            </w:rPr>
            <w:t>-</w:t>
          </w:r>
          <w:r w:rsidRPr="00490985">
            <w:rPr>
              <w:rFonts w:ascii="Traditional Arabic" w:hAnsi="Traditional Arabic" w:cs="Traditional Arabic" w:hint="cs"/>
              <w:sz w:val="26"/>
              <w:szCs w:val="26"/>
              <w:rtl/>
              <w:lang w:val="en-US"/>
            </w:rPr>
            <w:t>مارتن</w:t>
          </w:r>
          <w:r w:rsidRPr="00490985">
            <w:rPr>
              <w:rFonts w:ascii="Traditional Arabic" w:hAnsi="Traditional Arabic" w:cs="Traditional Arabic" w:hint="cs"/>
              <w:sz w:val="26"/>
              <w:szCs w:val="26"/>
              <w:lang w:val="en-US"/>
            </w:rPr>
            <w:t xml:space="preserve">, </w:t>
          </w:r>
          <w:r w:rsidRPr="00490985">
            <w:rPr>
              <w:rFonts w:ascii="Traditional Arabic" w:hAnsi="Traditional Arabic" w:cs="Traditional Arabic" w:hint="cs"/>
              <w:sz w:val="26"/>
              <w:szCs w:val="26"/>
              <w:rtl/>
              <w:lang w:val="en-US"/>
            </w:rPr>
            <w:t>المديرة</w:t>
          </w:r>
          <w:r w:rsidRPr="00490985">
            <w:rPr>
              <w:rFonts w:ascii="Traditional Arabic" w:hAnsi="Traditional Arabic" w:cs="Traditional Arabic" w:hint="cs"/>
              <w:sz w:val="26"/>
              <w:szCs w:val="26"/>
              <w:lang w:val="en-US"/>
            </w:rPr>
            <w:t xml:space="preserve">, </w:t>
          </w:r>
          <w:r w:rsidRPr="00490985">
            <w:rPr>
              <w:rFonts w:ascii="Traditional Arabic" w:hAnsi="Traditional Arabic" w:cs="Traditional Arabic" w:hint="cs"/>
              <w:sz w:val="26"/>
              <w:szCs w:val="26"/>
              <w:rtl/>
              <w:lang w:val="en-US"/>
            </w:rPr>
            <w:t>مكتب تنمية الاتصالات</w:t>
          </w:r>
        </w:p>
      </w:tc>
    </w:tr>
    <w:tr w:rsidR="00490985" w:rsidRPr="00901F9F" w14:paraId="35C6D428" w14:textId="77777777" w:rsidTr="00F1345B">
      <w:tc>
        <w:tcPr>
          <w:tcW w:w="1298" w:type="dxa"/>
        </w:tcPr>
        <w:p w14:paraId="73619F44" w14:textId="77777777" w:rsidR="00490985" w:rsidRPr="00490985" w:rsidRDefault="00490985" w:rsidP="00490985">
          <w:pPr>
            <w:spacing w:before="40" w:after="60" w:line="260" w:lineRule="exact"/>
            <w:rPr>
              <w:rFonts w:ascii="Traditional Arabic" w:hAnsi="Traditional Arabic" w:cs="Traditional Arabic"/>
              <w:sz w:val="20"/>
              <w:szCs w:val="26"/>
              <w:lang w:val="en-GB"/>
            </w:rPr>
          </w:pPr>
        </w:p>
      </w:tc>
      <w:tc>
        <w:tcPr>
          <w:tcW w:w="2104" w:type="dxa"/>
          <w:hideMark/>
        </w:tcPr>
        <w:p w14:paraId="0327F51C" w14:textId="77777777" w:rsidR="00490985" w:rsidRPr="00490985" w:rsidRDefault="00490985" w:rsidP="00490985">
          <w:pPr>
            <w:spacing w:before="40" w:after="60" w:line="260" w:lineRule="exact"/>
            <w:rPr>
              <w:rFonts w:ascii="Traditional Arabic" w:hAnsi="Traditional Arabic" w:cs="Traditional Arabic"/>
              <w:sz w:val="20"/>
              <w:szCs w:val="26"/>
              <w:lang w:val="en-GB"/>
            </w:rPr>
          </w:pPr>
          <w:r w:rsidRPr="00490985">
            <w:rPr>
              <w:rFonts w:ascii="Traditional Arabic" w:hAnsi="Traditional Arabic" w:cs="Traditional Arabic" w:hint="cs"/>
              <w:sz w:val="20"/>
              <w:szCs w:val="26"/>
              <w:rtl/>
              <w:lang w:bidi="ar-EG"/>
            </w:rPr>
            <w:t>رقم الهاتف:</w:t>
          </w:r>
        </w:p>
      </w:tc>
      <w:tc>
        <w:tcPr>
          <w:tcW w:w="6237" w:type="dxa"/>
        </w:tcPr>
        <w:p w14:paraId="2EF2DAF6" w14:textId="77777777" w:rsidR="00490985" w:rsidRPr="00D8064E" w:rsidRDefault="00490985" w:rsidP="00490985">
          <w:pPr>
            <w:pStyle w:val="FirstFooter"/>
            <w:tabs>
              <w:tab w:val="left" w:pos="2302"/>
            </w:tabs>
            <w:jc w:val="right"/>
            <w:rPr>
              <w:sz w:val="18"/>
              <w:szCs w:val="18"/>
              <w:lang w:val="en-US"/>
            </w:rPr>
          </w:pPr>
          <w:r w:rsidRPr="00D8064E">
            <w:rPr>
              <w:sz w:val="18"/>
              <w:szCs w:val="18"/>
              <w:lang w:val="en-US"/>
            </w:rPr>
            <w:t>+41 22 730 5533</w:t>
          </w:r>
        </w:p>
      </w:tc>
    </w:tr>
    <w:tr w:rsidR="00490985" w:rsidRPr="00901F9F" w14:paraId="76A4CD87" w14:textId="77777777" w:rsidTr="00F1345B">
      <w:tc>
        <w:tcPr>
          <w:tcW w:w="1298" w:type="dxa"/>
        </w:tcPr>
        <w:p w14:paraId="27C5C345" w14:textId="77777777" w:rsidR="00490985" w:rsidRPr="00490985" w:rsidRDefault="00490985" w:rsidP="00490985">
          <w:pPr>
            <w:spacing w:before="40" w:after="60" w:line="260" w:lineRule="exact"/>
            <w:rPr>
              <w:rFonts w:ascii="Traditional Arabic" w:hAnsi="Traditional Arabic" w:cs="Traditional Arabic"/>
              <w:sz w:val="20"/>
              <w:szCs w:val="26"/>
              <w:lang w:val="en-GB"/>
            </w:rPr>
          </w:pPr>
        </w:p>
      </w:tc>
      <w:tc>
        <w:tcPr>
          <w:tcW w:w="2104" w:type="dxa"/>
          <w:hideMark/>
        </w:tcPr>
        <w:p w14:paraId="68E10581" w14:textId="77777777" w:rsidR="00490985" w:rsidRPr="00490985" w:rsidRDefault="00490985" w:rsidP="00490985">
          <w:pPr>
            <w:spacing w:before="40" w:after="60" w:line="260" w:lineRule="exact"/>
            <w:rPr>
              <w:rFonts w:ascii="Traditional Arabic" w:hAnsi="Traditional Arabic" w:cs="Traditional Arabic"/>
              <w:sz w:val="20"/>
              <w:szCs w:val="26"/>
              <w:lang w:val="en-GB"/>
            </w:rPr>
          </w:pPr>
          <w:r w:rsidRPr="00490985">
            <w:rPr>
              <w:rFonts w:ascii="Traditional Arabic" w:hAnsi="Traditional Arabic" w:cs="Traditional Arabic" w:hint="cs"/>
              <w:sz w:val="20"/>
              <w:szCs w:val="26"/>
              <w:rtl/>
              <w:lang w:bidi="ar-EG"/>
            </w:rPr>
            <w:t>البريد الإلكتروني:</w:t>
          </w:r>
        </w:p>
      </w:tc>
      <w:tc>
        <w:tcPr>
          <w:tcW w:w="6237" w:type="dxa"/>
        </w:tcPr>
        <w:p w14:paraId="1B9D2518" w14:textId="77777777" w:rsidR="00490985" w:rsidRPr="00D8064E" w:rsidRDefault="00126B3F" w:rsidP="00490985">
          <w:pPr>
            <w:pStyle w:val="FirstFooter"/>
            <w:tabs>
              <w:tab w:val="left" w:pos="2302"/>
            </w:tabs>
            <w:jc w:val="right"/>
            <w:rPr>
              <w:sz w:val="18"/>
              <w:szCs w:val="18"/>
              <w:lang w:val="en-US"/>
            </w:rPr>
          </w:pPr>
          <w:hyperlink r:id="rId1" w:history="1">
            <w:r w:rsidR="00490985">
              <w:rPr>
                <w:rStyle w:val="Hyperlink"/>
                <w:sz w:val="18"/>
                <w:szCs w:val="18"/>
              </w:rPr>
              <w:t>bdtdir@itu.int</w:t>
            </w:r>
          </w:hyperlink>
        </w:p>
      </w:tc>
    </w:tr>
  </w:tbl>
  <w:p w14:paraId="08D490AF" w14:textId="1FE0CDFA" w:rsidR="0006468A" w:rsidRPr="00490985" w:rsidRDefault="00126B3F" w:rsidP="00490985">
    <w:pPr>
      <w:pStyle w:val="Footer"/>
      <w:spacing w:before="120"/>
      <w:jc w:val="center"/>
      <w:rPr>
        <w:lang w:val="en-GB"/>
      </w:rPr>
    </w:pPr>
    <w:hyperlink r:id="rId2" w:history="1">
      <w:r w:rsidR="00490985">
        <w:rPr>
          <w:rStyle w:val="Hyperlink"/>
          <w:sz w:val="18"/>
          <w:szCs w:val="18"/>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D9A26" w14:textId="77777777" w:rsidR="00EB3BA6" w:rsidRDefault="00EB3BA6" w:rsidP="006C3242">
      <w:pPr>
        <w:spacing w:before="0" w:line="240" w:lineRule="auto"/>
      </w:pPr>
      <w:r>
        <w:separator/>
      </w:r>
    </w:p>
  </w:footnote>
  <w:footnote w:type="continuationSeparator" w:id="0">
    <w:p w14:paraId="19C94EAF" w14:textId="77777777" w:rsidR="00EB3BA6" w:rsidRDefault="00EB3BA6" w:rsidP="006C3242">
      <w:pPr>
        <w:spacing w:before="0" w:line="240" w:lineRule="auto"/>
      </w:pPr>
      <w:r>
        <w:continuationSeparator/>
      </w:r>
    </w:p>
  </w:footnote>
  <w:footnote w:id="1">
    <w:p w14:paraId="0F4745E3" w14:textId="233DB309" w:rsidR="007C347F" w:rsidRPr="00BA7E63" w:rsidRDefault="007C347F" w:rsidP="003E3053">
      <w:pPr>
        <w:pStyle w:val="FootnoteText"/>
      </w:pPr>
      <w:r>
        <w:rPr>
          <w:rStyle w:val="FootnoteReference"/>
        </w:rPr>
        <w:footnoteRef/>
      </w:r>
      <w:r w:rsidR="006B2E65">
        <w:tab/>
      </w:r>
      <w:r w:rsidRPr="00BA7E63">
        <w:rPr>
          <w:rFonts w:hint="cs"/>
          <w:rtl/>
        </w:rPr>
        <w:t>إفريقيا</w:t>
      </w:r>
      <w:r>
        <w:rPr>
          <w:rFonts w:hint="cs"/>
          <w:rtl/>
        </w:rPr>
        <w:t xml:space="preserve"> والأمريكتان والدول العربية وآسيا-المحيط الهادئ وكومنولث الدول المستقلة وأوروبا.</w:t>
      </w:r>
    </w:p>
  </w:footnote>
  <w:footnote w:id="2">
    <w:p w14:paraId="3C50D7A1" w14:textId="355A9A6B" w:rsidR="007C347F" w:rsidRPr="007F51A7" w:rsidRDefault="007C347F" w:rsidP="003E3053">
      <w:pPr>
        <w:pStyle w:val="FootnoteText"/>
        <w:rPr>
          <w:spacing w:val="2"/>
          <w:rtl/>
          <w:lang w:val="en-GB"/>
        </w:rPr>
      </w:pPr>
      <w:r w:rsidRPr="007F51A7">
        <w:rPr>
          <w:rStyle w:val="FootnoteReference"/>
          <w:spacing w:val="2"/>
        </w:rPr>
        <w:footnoteRef/>
      </w:r>
      <w:r w:rsidR="009E06B9" w:rsidRPr="007F51A7">
        <w:rPr>
          <w:spacing w:val="2"/>
        </w:rPr>
        <w:tab/>
      </w:r>
      <w:r w:rsidRPr="007F51A7">
        <w:rPr>
          <w:rFonts w:hint="cs"/>
          <w:spacing w:val="2"/>
          <w:rtl/>
        </w:rPr>
        <w:t>لا ينص دستور الاتحاد ولا اتفاقيته على أن يسهم المؤتمر العالمي لتنمية الاتصالات في الخطة الاستراتيجية للاتحاد. ومع ذلك، ترد المساهمة في</w:t>
      </w:r>
      <w:r w:rsidR="00F2767D">
        <w:rPr>
          <w:rFonts w:hint="eastAsia"/>
          <w:spacing w:val="2"/>
          <w:rtl/>
        </w:rPr>
        <w:t> </w:t>
      </w:r>
      <w:r w:rsidRPr="007F51A7">
        <w:rPr>
          <w:rFonts w:hint="cs"/>
          <w:spacing w:val="2"/>
          <w:rtl/>
        </w:rPr>
        <w:t xml:space="preserve">المادة </w:t>
      </w:r>
      <w:r w:rsidRPr="007F51A7">
        <w:rPr>
          <w:spacing w:val="2"/>
          <w:lang w:val="en-GB"/>
        </w:rPr>
        <w:t>2.8.1</w:t>
      </w:r>
      <w:r w:rsidRPr="007F51A7">
        <w:rPr>
          <w:rFonts w:hint="cs"/>
          <w:spacing w:val="2"/>
          <w:rtl/>
          <w:lang w:val="en-GB"/>
        </w:rPr>
        <w:t xml:space="preserve"> من القرار </w:t>
      </w:r>
      <w:r w:rsidRPr="007F51A7">
        <w:rPr>
          <w:spacing w:val="2"/>
          <w:lang w:val="en-GB"/>
        </w:rPr>
        <w:t>1</w:t>
      </w:r>
      <w:r w:rsidRPr="007F51A7">
        <w:rPr>
          <w:rFonts w:hint="cs"/>
          <w:spacing w:val="2"/>
          <w:rtl/>
          <w:lang w:val="en-GB"/>
        </w:rPr>
        <w:t xml:space="preserve"> (المراج</w:t>
      </w:r>
      <w:r w:rsidR="003E3053" w:rsidRPr="007F51A7">
        <w:rPr>
          <w:rFonts w:hint="cs"/>
          <w:spacing w:val="2"/>
          <w:rtl/>
          <w:lang w:val="en-GB"/>
        </w:rPr>
        <w:t>َ</w:t>
      </w:r>
      <w:r w:rsidRPr="007F51A7">
        <w:rPr>
          <w:rFonts w:hint="cs"/>
          <w:spacing w:val="2"/>
          <w:rtl/>
          <w:lang w:val="en-GB"/>
        </w:rPr>
        <w:t xml:space="preserve">ع في بوينس آيرس، </w:t>
      </w:r>
      <w:r w:rsidRPr="007F51A7">
        <w:rPr>
          <w:spacing w:val="2"/>
          <w:lang w:val="en-GB"/>
        </w:rPr>
        <w:t>2017</w:t>
      </w:r>
      <w:r w:rsidRPr="007F51A7">
        <w:rPr>
          <w:rFonts w:hint="cs"/>
          <w:spacing w:val="2"/>
          <w:rtl/>
          <w:lang w:val="en-GB"/>
        </w:rPr>
        <w:t>) للمؤتمر العالمي لتنمية الاتصالات</w:t>
      </w:r>
      <w:r w:rsidR="003E3053" w:rsidRPr="007F51A7">
        <w:rPr>
          <w:rFonts w:hint="cs"/>
          <w:spacing w:val="2"/>
          <w:rtl/>
          <w:lang w:val="en-GB"/>
        </w:rPr>
        <w:t>.</w:t>
      </w:r>
    </w:p>
  </w:footnote>
  <w:footnote w:id="3">
    <w:p w14:paraId="046CFDE1" w14:textId="29C7C0B3" w:rsidR="007C347F" w:rsidRPr="00BC1030" w:rsidRDefault="007C347F" w:rsidP="003E3053">
      <w:pPr>
        <w:pStyle w:val="FootnoteText"/>
        <w:rPr>
          <w:rtl/>
          <w:lang w:val="en-GB"/>
        </w:rPr>
      </w:pPr>
      <w:r>
        <w:rPr>
          <w:rStyle w:val="FootnoteReference"/>
        </w:rPr>
        <w:footnoteRef/>
      </w:r>
      <w:r w:rsidR="003E3053">
        <w:tab/>
      </w:r>
      <w:r w:rsidRPr="003E3053">
        <w:rPr>
          <w:rFonts w:hint="cs"/>
          <w:rtl/>
        </w:rPr>
        <w:t>في المؤتمر العالمي لتنمية الاتصالات لعام</w:t>
      </w:r>
      <w:r>
        <w:rPr>
          <w:rFonts w:hint="cs"/>
          <w:rtl/>
          <w:lang w:val="en-GB"/>
        </w:rPr>
        <w:t xml:space="preserve"> </w:t>
      </w:r>
      <w:r>
        <w:rPr>
          <w:lang w:val="en-GB"/>
        </w:rPr>
        <w:t>2017</w:t>
      </w:r>
      <w:r>
        <w:rPr>
          <w:rFonts w:hint="cs"/>
          <w:rtl/>
          <w:lang w:val="en-GB"/>
        </w:rPr>
        <w:t xml:space="preserve">، تناولت اللجنة </w:t>
      </w:r>
      <w:r>
        <w:rPr>
          <w:lang w:val="en-GB"/>
        </w:rPr>
        <w:t>4</w:t>
      </w:r>
      <w:r>
        <w:rPr>
          <w:rFonts w:hint="cs"/>
          <w:rtl/>
          <w:lang w:val="en-GB"/>
        </w:rPr>
        <w:t xml:space="preserve"> لجان الدراسات وتوزيع المسائل بيد أن اللجنة </w:t>
      </w:r>
      <w:r>
        <w:rPr>
          <w:lang w:val="en-GB"/>
        </w:rPr>
        <w:t>3</w:t>
      </w:r>
      <w:r>
        <w:rPr>
          <w:rFonts w:hint="cs"/>
          <w:rtl/>
          <w:lang w:val="en-GB"/>
        </w:rPr>
        <w:t xml:space="preserve"> تناولت مسائل الدراسة. ولم يكن هناك سوى القليل من أوجه التآزر بين البرامج والمبادرات الإقليمية ومسائل الدراسة.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4302F" w14:textId="77777777" w:rsidR="0088322C" w:rsidRDefault="00883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1375531529"/>
      <w:docPartObj>
        <w:docPartGallery w:val="Page Numbers (Top of Page)"/>
        <w:docPartUnique/>
      </w:docPartObj>
    </w:sdtPr>
    <w:sdtEndPr>
      <w:rPr>
        <w:rFonts w:cs="Calibri"/>
        <w:noProof/>
        <w:sz w:val="18"/>
        <w:szCs w:val="18"/>
      </w:rPr>
    </w:sdtEndPr>
    <w:sdtContent>
      <w:p w14:paraId="242A3E68" w14:textId="487E1E6B" w:rsidR="00D3108F" w:rsidRPr="00FC3D2F" w:rsidRDefault="00D3108F" w:rsidP="00D3108F">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bookmarkStart w:id="7" w:name="DocNo2"/>
        <w:bookmarkEnd w:id="7"/>
        <w:r>
          <w:rPr>
            <w:sz w:val="20"/>
            <w:szCs w:val="20"/>
            <w:lang w:val="es-ES_tradnl"/>
          </w:rPr>
          <w:t>INF/</w:t>
        </w:r>
        <w:r>
          <w:rPr>
            <w:sz w:val="20"/>
            <w:szCs w:val="20"/>
          </w:rPr>
          <w:t>7</w:t>
        </w:r>
        <w:r w:rsidR="0088322C">
          <w:rPr>
            <w:sz w:val="20"/>
            <w:szCs w:val="20"/>
          </w:rPr>
          <w:t>-</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p w14:paraId="5B2D480E" w14:textId="7160A86C" w:rsidR="00447F32" w:rsidRPr="00D3108F" w:rsidRDefault="00447F32" w:rsidP="00D3108F">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AE722" w14:textId="77777777" w:rsidR="0088322C" w:rsidRDefault="00883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2F"/>
    <w:rsid w:val="00014AC4"/>
    <w:rsid w:val="0006468A"/>
    <w:rsid w:val="000839DA"/>
    <w:rsid w:val="00090063"/>
    <w:rsid w:val="00090574"/>
    <w:rsid w:val="000B4461"/>
    <w:rsid w:val="000C1C0E"/>
    <w:rsid w:val="000C548A"/>
    <w:rsid w:val="000E0FEC"/>
    <w:rsid w:val="000E55EF"/>
    <w:rsid w:val="000F0621"/>
    <w:rsid w:val="000F7EEE"/>
    <w:rsid w:val="00101586"/>
    <w:rsid w:val="0012378B"/>
    <w:rsid w:val="00126B3F"/>
    <w:rsid w:val="001276BE"/>
    <w:rsid w:val="00134220"/>
    <w:rsid w:val="00163D60"/>
    <w:rsid w:val="00195164"/>
    <w:rsid w:val="001C0169"/>
    <w:rsid w:val="001D1D50"/>
    <w:rsid w:val="001D6745"/>
    <w:rsid w:val="001E446E"/>
    <w:rsid w:val="001F0636"/>
    <w:rsid w:val="002154EE"/>
    <w:rsid w:val="00216915"/>
    <w:rsid w:val="002276D2"/>
    <w:rsid w:val="0023283D"/>
    <w:rsid w:val="002349BC"/>
    <w:rsid w:val="002443C5"/>
    <w:rsid w:val="002503B3"/>
    <w:rsid w:val="00261D4C"/>
    <w:rsid w:val="0026373E"/>
    <w:rsid w:val="00271C43"/>
    <w:rsid w:val="00290728"/>
    <w:rsid w:val="002978F4"/>
    <w:rsid w:val="002A7BD6"/>
    <w:rsid w:val="002B028D"/>
    <w:rsid w:val="002B0B5F"/>
    <w:rsid w:val="002E6541"/>
    <w:rsid w:val="002F4435"/>
    <w:rsid w:val="00334924"/>
    <w:rsid w:val="003409BC"/>
    <w:rsid w:val="00357185"/>
    <w:rsid w:val="00383829"/>
    <w:rsid w:val="003C2EF4"/>
    <w:rsid w:val="003D16D2"/>
    <w:rsid w:val="003E1A5F"/>
    <w:rsid w:val="003E3053"/>
    <w:rsid w:val="003F4B29"/>
    <w:rsid w:val="0042686F"/>
    <w:rsid w:val="004317D8"/>
    <w:rsid w:val="00434183"/>
    <w:rsid w:val="00437EBA"/>
    <w:rsid w:val="00443869"/>
    <w:rsid w:val="00447F32"/>
    <w:rsid w:val="00490985"/>
    <w:rsid w:val="004A74B9"/>
    <w:rsid w:val="004B4E45"/>
    <w:rsid w:val="004E11DC"/>
    <w:rsid w:val="00525DDD"/>
    <w:rsid w:val="005409AC"/>
    <w:rsid w:val="00554A6A"/>
    <w:rsid w:val="0055516A"/>
    <w:rsid w:val="00564ED4"/>
    <w:rsid w:val="00581DDF"/>
    <w:rsid w:val="0058491B"/>
    <w:rsid w:val="00592EA5"/>
    <w:rsid w:val="005958F1"/>
    <w:rsid w:val="005A3170"/>
    <w:rsid w:val="005B2D64"/>
    <w:rsid w:val="005D2287"/>
    <w:rsid w:val="005F69B0"/>
    <w:rsid w:val="006119AF"/>
    <w:rsid w:val="00621256"/>
    <w:rsid w:val="0063116F"/>
    <w:rsid w:val="00642443"/>
    <w:rsid w:val="00650260"/>
    <w:rsid w:val="00677396"/>
    <w:rsid w:val="0069200F"/>
    <w:rsid w:val="00693E9A"/>
    <w:rsid w:val="006A65CB"/>
    <w:rsid w:val="006B2B10"/>
    <w:rsid w:val="006B2E65"/>
    <w:rsid w:val="006C3242"/>
    <w:rsid w:val="006C7CC0"/>
    <w:rsid w:val="006E0201"/>
    <w:rsid w:val="006E3369"/>
    <w:rsid w:val="006F63F7"/>
    <w:rsid w:val="007025C7"/>
    <w:rsid w:val="00704C4B"/>
    <w:rsid w:val="00706D7A"/>
    <w:rsid w:val="00721B49"/>
    <w:rsid w:val="00722F0D"/>
    <w:rsid w:val="0074420E"/>
    <w:rsid w:val="00753923"/>
    <w:rsid w:val="00783E26"/>
    <w:rsid w:val="00791109"/>
    <w:rsid w:val="007C2B10"/>
    <w:rsid w:val="007C347F"/>
    <w:rsid w:val="007C3BC7"/>
    <w:rsid w:val="007C3BCD"/>
    <w:rsid w:val="007C728B"/>
    <w:rsid w:val="007D4ACF"/>
    <w:rsid w:val="007E7CEC"/>
    <w:rsid w:val="007F0787"/>
    <w:rsid w:val="007F51A7"/>
    <w:rsid w:val="00810B7B"/>
    <w:rsid w:val="00816F89"/>
    <w:rsid w:val="008172F6"/>
    <w:rsid w:val="0082358A"/>
    <w:rsid w:val="008235CD"/>
    <w:rsid w:val="008247DE"/>
    <w:rsid w:val="00840B10"/>
    <w:rsid w:val="008513CB"/>
    <w:rsid w:val="008633C3"/>
    <w:rsid w:val="0088322C"/>
    <w:rsid w:val="008A7F84"/>
    <w:rsid w:val="008C5F1F"/>
    <w:rsid w:val="008D5170"/>
    <w:rsid w:val="008E35AE"/>
    <w:rsid w:val="008F51DD"/>
    <w:rsid w:val="008F66AA"/>
    <w:rsid w:val="0091702E"/>
    <w:rsid w:val="00923B0C"/>
    <w:rsid w:val="0093767A"/>
    <w:rsid w:val="0094021C"/>
    <w:rsid w:val="00943E33"/>
    <w:rsid w:val="00952F86"/>
    <w:rsid w:val="00965C3C"/>
    <w:rsid w:val="00982B28"/>
    <w:rsid w:val="009B1139"/>
    <w:rsid w:val="009B4BB3"/>
    <w:rsid w:val="009D313F"/>
    <w:rsid w:val="009E06B9"/>
    <w:rsid w:val="009E3B00"/>
    <w:rsid w:val="00A279A8"/>
    <w:rsid w:val="00A45BEF"/>
    <w:rsid w:val="00A47A5A"/>
    <w:rsid w:val="00A60470"/>
    <w:rsid w:val="00A66429"/>
    <w:rsid w:val="00A6683B"/>
    <w:rsid w:val="00A70517"/>
    <w:rsid w:val="00A7355C"/>
    <w:rsid w:val="00A97F94"/>
    <w:rsid w:val="00AA7EA2"/>
    <w:rsid w:val="00AB01B6"/>
    <w:rsid w:val="00B010D4"/>
    <w:rsid w:val="00B03099"/>
    <w:rsid w:val="00B05BC8"/>
    <w:rsid w:val="00B41FDB"/>
    <w:rsid w:val="00B4601D"/>
    <w:rsid w:val="00B5233F"/>
    <w:rsid w:val="00B57B7A"/>
    <w:rsid w:val="00B64B47"/>
    <w:rsid w:val="00B731D1"/>
    <w:rsid w:val="00B84212"/>
    <w:rsid w:val="00B8603C"/>
    <w:rsid w:val="00B96E82"/>
    <w:rsid w:val="00BD4FFF"/>
    <w:rsid w:val="00C002DE"/>
    <w:rsid w:val="00C22201"/>
    <w:rsid w:val="00C307DF"/>
    <w:rsid w:val="00C53BF8"/>
    <w:rsid w:val="00C66157"/>
    <w:rsid w:val="00C674FE"/>
    <w:rsid w:val="00C67501"/>
    <w:rsid w:val="00C75633"/>
    <w:rsid w:val="00C7597A"/>
    <w:rsid w:val="00CC21AC"/>
    <w:rsid w:val="00CD14E4"/>
    <w:rsid w:val="00CD24F5"/>
    <w:rsid w:val="00CE2EE1"/>
    <w:rsid w:val="00CE3349"/>
    <w:rsid w:val="00CE36E5"/>
    <w:rsid w:val="00CF27F5"/>
    <w:rsid w:val="00CF3FFD"/>
    <w:rsid w:val="00D10CCF"/>
    <w:rsid w:val="00D30792"/>
    <w:rsid w:val="00D3108F"/>
    <w:rsid w:val="00D34604"/>
    <w:rsid w:val="00D4095A"/>
    <w:rsid w:val="00D61BAF"/>
    <w:rsid w:val="00D77D0F"/>
    <w:rsid w:val="00D90DA4"/>
    <w:rsid w:val="00D91454"/>
    <w:rsid w:val="00DA1CF0"/>
    <w:rsid w:val="00DC1E02"/>
    <w:rsid w:val="00DC24B4"/>
    <w:rsid w:val="00DC5FB0"/>
    <w:rsid w:val="00DC68E8"/>
    <w:rsid w:val="00DE3AF7"/>
    <w:rsid w:val="00DF16DC"/>
    <w:rsid w:val="00E216E0"/>
    <w:rsid w:val="00E3775C"/>
    <w:rsid w:val="00E45211"/>
    <w:rsid w:val="00E473C5"/>
    <w:rsid w:val="00E62FBC"/>
    <w:rsid w:val="00E71EA0"/>
    <w:rsid w:val="00E86DD3"/>
    <w:rsid w:val="00E92863"/>
    <w:rsid w:val="00EB3BA6"/>
    <w:rsid w:val="00EB796D"/>
    <w:rsid w:val="00EC6ED8"/>
    <w:rsid w:val="00F058DC"/>
    <w:rsid w:val="00F1591D"/>
    <w:rsid w:val="00F24FC4"/>
    <w:rsid w:val="00F2676C"/>
    <w:rsid w:val="00F2767D"/>
    <w:rsid w:val="00F40605"/>
    <w:rsid w:val="00F84366"/>
    <w:rsid w:val="00F85089"/>
    <w:rsid w:val="00F974C5"/>
    <w:rsid w:val="00FA6F46"/>
    <w:rsid w:val="00FC3D2F"/>
    <w:rsid w:val="00FC3E93"/>
    <w:rsid w:val="00FC517F"/>
    <w:rsid w:val="00FD0EE1"/>
    <w:rsid w:val="00FE5872"/>
    <w:rsid w:val="00FE7FCA"/>
    <w:rsid w:val="00FF4B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6736EC"/>
  <w15:chartTrackingRefBased/>
  <w15:docId w15:val="{8E646A7A-A8F3-40B2-9446-06F49FC6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47F"/>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3E3053"/>
    <w:pPr>
      <w:tabs>
        <w:tab w:val="clear" w:pos="794"/>
      </w:tabs>
      <w:spacing w:before="60"/>
      <w:ind w:left="454" w:hanging="454"/>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3E3053"/>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BalloonText">
    <w:name w:val="Balloon Text"/>
    <w:basedOn w:val="Normal"/>
    <w:link w:val="BalloonTextChar"/>
    <w:uiPriority w:val="99"/>
    <w:semiHidden/>
    <w:unhideWhenUsed/>
    <w:rsid w:val="00A45B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BEF"/>
    <w:rPr>
      <w:rFonts w:ascii="Segoe UI" w:hAnsi="Segoe UI" w:cs="Segoe UI"/>
      <w:sz w:val="18"/>
      <w:szCs w:val="18"/>
    </w:rPr>
  </w:style>
  <w:style w:type="paragraph" w:customStyle="1" w:styleId="FirstFooter">
    <w:name w:val="FirstFooter"/>
    <w:basedOn w:val="Footer"/>
    <w:rsid w:val="00490985"/>
    <w:pPr>
      <w:tabs>
        <w:tab w:val="clear" w:pos="794"/>
        <w:tab w:val="clear" w:pos="4153"/>
        <w:tab w:val="clear" w:pos="8306"/>
      </w:tabs>
      <w:spacing w:before="40"/>
    </w:pPr>
    <w:rPr>
      <w:rFonts w:asciiTheme="minorHAnsi" w:hAnsiTheme="minorHAnsi" w:cs="Times New Roman"/>
      <w:sz w:val="16"/>
      <w:lang w:val="fr-FR"/>
    </w:rPr>
  </w:style>
  <w:style w:type="character" w:styleId="PageNumber">
    <w:name w:val="page number"/>
    <w:basedOn w:val="DefaultParagraphFont"/>
    <w:rsid w:val="00CC21AC"/>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D18-TDAG25.2-200602-TD-000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A63D03CADEE7408CE0872F6B311359" ma:contentTypeVersion="12" ma:contentTypeDescription="Create a new document." ma:contentTypeScope="" ma:versionID="f82838ed58d6b88e51768136d050af18">
  <xsd:schema xmlns:xsd="http://www.w3.org/2001/XMLSchema" xmlns:xs="http://www.w3.org/2001/XMLSchema" xmlns:p="http://schemas.microsoft.com/office/2006/metadata/properties" xmlns:ns3="5db1b76a-bb5e-4623-8f90-860a60479885" xmlns:ns4="cf4b30ba-e706-4f8d-87aa-ab933dfd973f" targetNamespace="http://schemas.microsoft.com/office/2006/metadata/properties" ma:root="true" ma:fieldsID="0d3a949fcf464ef952f72dd98c6fce07" ns3:_="" ns4:_="">
    <xsd:import namespace="5db1b76a-bb5e-4623-8f90-860a60479885"/>
    <xsd:import namespace="cf4b30ba-e706-4f8d-87aa-ab933dfd9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1b76a-bb5e-4623-8f90-860a60479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b30ba-e706-4f8d-87aa-ab933dfd97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A57B4-7562-4A11-A0DE-4438748FAFF0}">
  <ds:schemaRefs>
    <ds:schemaRef ds:uri="http://schemas.microsoft.com/sharepoint/v3/contenttype/forms"/>
  </ds:schemaRefs>
</ds:datastoreItem>
</file>

<file path=customXml/itemProps2.xml><?xml version="1.0" encoding="utf-8"?>
<ds:datastoreItem xmlns:ds="http://schemas.openxmlformats.org/officeDocument/2006/customXml" ds:itemID="{9FA39628-33D3-4FCB-A177-3E76945A4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1b76a-bb5e-4623-8f90-860a60479885"/>
    <ds:schemaRef ds:uri="cf4b30ba-e706-4f8d-87aa-ab933dfd9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4766A-A67F-434C-816F-5FEB99BD1E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84B8F9-F663-4250-B848-2D628B4A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3351</Words>
  <Characters>19102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Mohammad Haitham</dc:creator>
  <cp:keywords/>
  <dc:description/>
  <cp:lastModifiedBy>BDT-nd</cp:lastModifiedBy>
  <cp:revision>7</cp:revision>
  <dcterms:created xsi:type="dcterms:W3CDTF">2020-05-11T16:19:00Z</dcterms:created>
  <dcterms:modified xsi:type="dcterms:W3CDTF">2020-05-18T10:12:00Z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0x01010060A63D03CADEE7408CE0872F6B311359</vt:lpwstr>
  </property>
</Properties>
</file>