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367"/>
        <w:gridCol w:w="35"/>
      </w:tblGrid>
      <w:tr w:rsidR="00D20099" w14:paraId="44AE91FB" w14:textId="77777777" w:rsidTr="00A240E8">
        <w:trPr>
          <w:cantSplit/>
          <w:trHeight w:val="1134"/>
        </w:trPr>
        <w:tc>
          <w:tcPr>
            <w:tcW w:w="6521" w:type="dxa"/>
          </w:tcPr>
          <w:p w14:paraId="5B2E5BA4" w14:textId="77777777" w:rsidR="00D20099" w:rsidRDefault="00D20099" w:rsidP="00D20099">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C7E8077" w14:textId="77777777" w:rsidR="00D20099" w:rsidRPr="00844A56" w:rsidRDefault="00EE0CA8" w:rsidP="00977AF0">
            <w:pPr>
              <w:tabs>
                <w:tab w:val="clear" w:pos="1191"/>
                <w:tab w:val="clear" w:pos="1588"/>
                <w:tab w:val="clear" w:pos="1985"/>
              </w:tabs>
              <w:spacing w:before="100" w:after="120"/>
              <w:ind w:left="34" w:right="-142"/>
              <w:rPr>
                <w:rFonts w:ascii="Verdana" w:hAnsi="Verdana"/>
                <w:sz w:val="28"/>
                <w:szCs w:val="28"/>
              </w:rPr>
            </w:pPr>
            <w:r w:rsidRPr="00EE0CA8">
              <w:rPr>
                <w:b/>
                <w:bCs/>
                <w:sz w:val="26"/>
                <w:szCs w:val="26"/>
              </w:rPr>
              <w:t>25th Meeting, Geneva, 2-5 June 2020</w:t>
            </w:r>
          </w:p>
        </w:tc>
        <w:tc>
          <w:tcPr>
            <w:tcW w:w="3402" w:type="dxa"/>
            <w:gridSpan w:val="2"/>
          </w:tcPr>
          <w:p w14:paraId="3C131F8F" w14:textId="77777777" w:rsidR="00D20099" w:rsidRPr="00683C32" w:rsidRDefault="002A7DEE" w:rsidP="00255A4F">
            <w:pPr>
              <w:spacing w:before="0"/>
              <w:jc w:val="right"/>
            </w:pPr>
            <w:r>
              <w:rPr>
                <w:noProof/>
                <w:lang w:val="en-US"/>
              </w:rPr>
              <w:drawing>
                <wp:inline distT="0" distB="0" distL="0" distR="0" wp14:anchorId="2E11EB1C" wp14:editId="00755D74">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31FD517" w14:textId="77777777" w:rsidTr="00A240E8">
        <w:trPr>
          <w:gridAfter w:val="1"/>
          <w:wAfter w:w="35" w:type="dxa"/>
          <w:cantSplit/>
        </w:trPr>
        <w:tc>
          <w:tcPr>
            <w:tcW w:w="6521" w:type="dxa"/>
            <w:tcBorders>
              <w:top w:val="single" w:sz="12" w:space="0" w:color="auto"/>
            </w:tcBorders>
          </w:tcPr>
          <w:p w14:paraId="78232CA3" w14:textId="77777777" w:rsidR="00683C32" w:rsidRPr="00997358" w:rsidRDefault="00683C32" w:rsidP="00D20099">
            <w:pPr>
              <w:spacing w:before="0"/>
              <w:ind w:left="34" w:right="-142"/>
              <w:rPr>
                <w:rFonts w:cs="Arial"/>
                <w:b/>
                <w:bCs/>
                <w:sz w:val="20"/>
              </w:rPr>
            </w:pPr>
          </w:p>
        </w:tc>
        <w:tc>
          <w:tcPr>
            <w:tcW w:w="3367" w:type="dxa"/>
            <w:tcBorders>
              <w:top w:val="single" w:sz="12" w:space="0" w:color="auto"/>
            </w:tcBorders>
          </w:tcPr>
          <w:p w14:paraId="78745CFA" w14:textId="77777777" w:rsidR="00683C32" w:rsidRPr="00997358" w:rsidRDefault="00683C32" w:rsidP="00D20099">
            <w:pPr>
              <w:spacing w:before="0"/>
              <w:ind w:left="34" w:right="-142"/>
              <w:rPr>
                <w:b/>
                <w:bCs/>
                <w:sz w:val="20"/>
              </w:rPr>
            </w:pPr>
          </w:p>
        </w:tc>
      </w:tr>
      <w:tr w:rsidR="006D3F3B" w:rsidRPr="00002716" w14:paraId="5DEF7EE4" w14:textId="77777777" w:rsidTr="00A240E8">
        <w:trPr>
          <w:gridAfter w:val="1"/>
          <w:wAfter w:w="35" w:type="dxa"/>
          <w:cantSplit/>
        </w:trPr>
        <w:tc>
          <w:tcPr>
            <w:tcW w:w="6521" w:type="dxa"/>
          </w:tcPr>
          <w:p w14:paraId="173E86FC" w14:textId="77777777" w:rsidR="006D3F3B" w:rsidRPr="007F1CC7" w:rsidRDefault="006D3F3B" w:rsidP="006D3F3B">
            <w:pPr>
              <w:pStyle w:val="Committee"/>
              <w:spacing w:before="0"/>
              <w:ind w:left="34" w:right="-142"/>
              <w:rPr>
                <w:b w:val="0"/>
                <w:szCs w:val="24"/>
              </w:rPr>
            </w:pPr>
          </w:p>
        </w:tc>
        <w:tc>
          <w:tcPr>
            <w:tcW w:w="3367" w:type="dxa"/>
          </w:tcPr>
          <w:p w14:paraId="54CD2ACB" w14:textId="40CE7562" w:rsidR="006D3F3B" w:rsidRPr="007F1CC7" w:rsidRDefault="006D3F3B" w:rsidP="006D3F3B">
            <w:pPr>
              <w:spacing w:before="0"/>
              <w:ind w:left="34" w:right="-142"/>
              <w:jc w:val="both"/>
              <w:rPr>
                <w:bCs/>
                <w:szCs w:val="24"/>
                <w:lang w:val="en-US"/>
              </w:rPr>
            </w:pPr>
            <w:r w:rsidRPr="00002716">
              <w:rPr>
                <w:b/>
                <w:bCs/>
                <w:lang w:val="en-US"/>
              </w:rPr>
              <w:t>Document</w:t>
            </w:r>
            <w:r w:rsidRPr="00A54E72">
              <w:rPr>
                <w:b/>
                <w:bCs/>
                <w:lang w:val="en-US"/>
              </w:rPr>
              <w:t xml:space="preserve"> </w:t>
            </w:r>
            <w:bookmarkStart w:id="0" w:name="DocRef1"/>
            <w:bookmarkEnd w:id="0"/>
            <w:r w:rsidRPr="00A6503E">
              <w:rPr>
                <w:b/>
                <w:bCs/>
              </w:rPr>
              <w:t>TDAG-20</w:t>
            </w:r>
            <w:bookmarkStart w:id="1" w:name="DocNo1"/>
            <w:bookmarkEnd w:id="1"/>
            <w:r w:rsidR="009402BC">
              <w:rPr>
                <w:b/>
                <w:bCs/>
              </w:rPr>
              <w:t>/</w:t>
            </w:r>
            <w:r w:rsidR="00A240E8">
              <w:rPr>
                <w:b/>
                <w:bCs/>
              </w:rPr>
              <w:t>DT/</w:t>
            </w:r>
            <w:r w:rsidR="00C81A70">
              <w:rPr>
                <w:b/>
                <w:bCs/>
              </w:rPr>
              <w:t>5</w:t>
            </w:r>
            <w:r w:rsidR="00A240E8">
              <w:rPr>
                <w:b/>
                <w:bCs/>
              </w:rPr>
              <w:t>-E</w:t>
            </w:r>
          </w:p>
        </w:tc>
      </w:tr>
      <w:tr w:rsidR="006D3F3B" w14:paraId="17D5BA03" w14:textId="77777777" w:rsidTr="00A240E8">
        <w:trPr>
          <w:gridAfter w:val="1"/>
          <w:wAfter w:w="35" w:type="dxa"/>
          <w:cantSplit/>
        </w:trPr>
        <w:tc>
          <w:tcPr>
            <w:tcW w:w="6521" w:type="dxa"/>
          </w:tcPr>
          <w:p w14:paraId="47E3E62A" w14:textId="77777777" w:rsidR="006D3F3B" w:rsidRPr="007F1CC7" w:rsidRDefault="006D3F3B" w:rsidP="006D3F3B">
            <w:pPr>
              <w:spacing w:before="0"/>
              <w:ind w:left="34" w:right="-142"/>
              <w:rPr>
                <w:b/>
                <w:bCs/>
                <w:smallCaps/>
                <w:szCs w:val="24"/>
                <w:lang w:val="en-US"/>
              </w:rPr>
            </w:pPr>
          </w:p>
        </w:tc>
        <w:tc>
          <w:tcPr>
            <w:tcW w:w="3367" w:type="dxa"/>
          </w:tcPr>
          <w:p w14:paraId="0D01C455" w14:textId="176689CD" w:rsidR="006D3F3B" w:rsidRPr="007F1CC7" w:rsidRDefault="00C81A70" w:rsidP="006D3F3B">
            <w:pPr>
              <w:spacing w:before="0"/>
              <w:ind w:left="34" w:right="-142"/>
              <w:rPr>
                <w:b/>
                <w:szCs w:val="24"/>
              </w:rPr>
            </w:pPr>
            <w:bookmarkStart w:id="2" w:name="CreationDate"/>
            <w:bookmarkEnd w:id="2"/>
            <w:r>
              <w:rPr>
                <w:b/>
                <w:szCs w:val="24"/>
              </w:rPr>
              <w:t>4 June</w:t>
            </w:r>
            <w:r w:rsidR="009402BC">
              <w:rPr>
                <w:b/>
                <w:szCs w:val="24"/>
              </w:rPr>
              <w:t xml:space="preserve"> 2020</w:t>
            </w:r>
          </w:p>
        </w:tc>
      </w:tr>
      <w:tr w:rsidR="006D3F3B" w14:paraId="29E81421" w14:textId="77777777" w:rsidTr="00A240E8">
        <w:trPr>
          <w:gridAfter w:val="1"/>
          <w:wAfter w:w="35" w:type="dxa"/>
          <w:cantSplit/>
        </w:trPr>
        <w:tc>
          <w:tcPr>
            <w:tcW w:w="6521" w:type="dxa"/>
          </w:tcPr>
          <w:p w14:paraId="7D4DC35A" w14:textId="77777777" w:rsidR="006D3F3B" w:rsidRPr="007F1CC7" w:rsidRDefault="006D3F3B" w:rsidP="006D3F3B">
            <w:pPr>
              <w:spacing w:before="0"/>
              <w:ind w:left="34" w:right="-142"/>
              <w:rPr>
                <w:b/>
                <w:bCs/>
                <w:smallCaps/>
                <w:szCs w:val="24"/>
              </w:rPr>
            </w:pPr>
          </w:p>
        </w:tc>
        <w:tc>
          <w:tcPr>
            <w:tcW w:w="3367" w:type="dxa"/>
          </w:tcPr>
          <w:p w14:paraId="2B4C51BA" w14:textId="40009022" w:rsidR="006D3F3B" w:rsidRPr="007F1CC7" w:rsidRDefault="006D3F3B" w:rsidP="006D3F3B">
            <w:pPr>
              <w:spacing w:before="0"/>
              <w:ind w:left="34" w:right="-142"/>
              <w:rPr>
                <w:szCs w:val="24"/>
              </w:rPr>
            </w:pPr>
            <w:r>
              <w:rPr>
                <w:b/>
              </w:rPr>
              <w:t>English only</w:t>
            </w:r>
          </w:p>
        </w:tc>
      </w:tr>
      <w:tr w:rsidR="00A13162" w14:paraId="3BB04CFE" w14:textId="77777777" w:rsidTr="00BD4FC6">
        <w:trPr>
          <w:gridAfter w:val="1"/>
          <w:wAfter w:w="35" w:type="dxa"/>
          <w:cantSplit/>
          <w:trHeight w:val="852"/>
        </w:trPr>
        <w:tc>
          <w:tcPr>
            <w:tcW w:w="9888" w:type="dxa"/>
            <w:gridSpan w:val="2"/>
            <w:vAlign w:val="center"/>
          </w:tcPr>
          <w:p w14:paraId="4758FB5F" w14:textId="6CEB2E09" w:rsidR="00924103" w:rsidRPr="00924103" w:rsidRDefault="00C81A70" w:rsidP="00A240E8">
            <w:pPr>
              <w:pStyle w:val="Source"/>
              <w:spacing w:before="240" w:after="240"/>
              <w:ind w:left="34" w:right="-142"/>
            </w:pPr>
            <w:bookmarkStart w:id="3" w:name="Source"/>
            <w:bookmarkEnd w:id="3"/>
            <w:r w:rsidRPr="00C81A70">
              <w:t>Canada</w:t>
            </w:r>
          </w:p>
        </w:tc>
      </w:tr>
      <w:tr w:rsidR="00A240E8" w14:paraId="5E65109A" w14:textId="77777777" w:rsidTr="00A240E8">
        <w:trPr>
          <w:gridAfter w:val="1"/>
          <w:wAfter w:w="35" w:type="dxa"/>
          <w:cantSplit/>
        </w:trPr>
        <w:tc>
          <w:tcPr>
            <w:tcW w:w="9888" w:type="dxa"/>
            <w:gridSpan w:val="2"/>
            <w:vAlign w:val="center"/>
          </w:tcPr>
          <w:p w14:paraId="63D0DAC1" w14:textId="07DF4165" w:rsidR="00A240E8" w:rsidRPr="00A240E8" w:rsidRDefault="00EC36AB" w:rsidP="00A240E8">
            <w:pPr>
              <w:pStyle w:val="Normalaftertitle"/>
              <w:spacing w:before="120" w:after="120"/>
              <w:jc w:val="center"/>
              <w:rPr>
                <w:caps/>
              </w:rPr>
            </w:pPr>
            <w:r w:rsidRPr="00EC36AB">
              <w:rPr>
                <w:caps/>
                <w:sz w:val="28"/>
                <w:szCs w:val="22"/>
              </w:rPr>
              <w:t xml:space="preserve">TDAG Working Group on WTDC Reform </w:t>
            </w:r>
            <w:r w:rsidR="005D483F">
              <w:rPr>
                <w:caps/>
                <w:sz w:val="28"/>
                <w:szCs w:val="22"/>
              </w:rPr>
              <w:t xml:space="preserve">- </w:t>
            </w:r>
            <w:r w:rsidRPr="00EC36AB">
              <w:rPr>
                <w:caps/>
                <w:sz w:val="28"/>
                <w:szCs w:val="22"/>
              </w:rPr>
              <w:t>Follow-up</w:t>
            </w:r>
          </w:p>
        </w:tc>
      </w:tr>
      <w:tr w:rsidR="00A240E8" w14:paraId="686C6F8D" w14:textId="77777777" w:rsidTr="00A240E8">
        <w:trPr>
          <w:gridAfter w:val="1"/>
          <w:wAfter w:w="35" w:type="dxa"/>
          <w:cantSplit/>
        </w:trPr>
        <w:tc>
          <w:tcPr>
            <w:tcW w:w="9888" w:type="dxa"/>
            <w:gridSpan w:val="2"/>
            <w:vAlign w:val="center"/>
          </w:tcPr>
          <w:p w14:paraId="77969F5B" w14:textId="77777777" w:rsidR="00A240E8" w:rsidRPr="00A240E8" w:rsidRDefault="00A240E8" w:rsidP="00A240E8">
            <w:pPr>
              <w:pStyle w:val="Normalaftertitle"/>
              <w:spacing w:before="120"/>
              <w:jc w:val="center"/>
              <w:rPr>
                <w:caps/>
                <w:szCs w:val="24"/>
              </w:rPr>
            </w:pPr>
          </w:p>
        </w:tc>
      </w:tr>
      <w:tr w:rsidR="00A721F4" w:rsidRPr="002E6963" w14:paraId="5DFDB384"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629B38D8" w14:textId="77777777" w:rsidR="00A240E8" w:rsidRDefault="00A721F4" w:rsidP="00A240E8">
            <w:pPr>
              <w:tabs>
                <w:tab w:val="clear" w:pos="794"/>
                <w:tab w:val="clear" w:pos="1191"/>
                <w:tab w:val="clear" w:pos="1588"/>
                <w:tab w:val="clear" w:pos="1985"/>
              </w:tabs>
              <w:overflowPunct/>
              <w:autoSpaceDE/>
              <w:autoSpaceDN/>
              <w:adjustRightInd/>
              <w:spacing w:after="120"/>
              <w:textAlignment w:val="auto"/>
              <w:rPr>
                <w:b/>
                <w:bCs/>
                <w:szCs w:val="24"/>
              </w:rPr>
            </w:pPr>
            <w:bookmarkStart w:id="4" w:name="Title"/>
            <w:bookmarkEnd w:id="4"/>
            <w:r w:rsidRPr="00A240E8">
              <w:rPr>
                <w:b/>
                <w:bCs/>
                <w:szCs w:val="24"/>
              </w:rPr>
              <w:t>Summary:</w:t>
            </w:r>
          </w:p>
          <w:p w14:paraId="01037A68" w14:textId="4A45D5CE" w:rsidR="00CC3314" w:rsidRPr="00A240E8" w:rsidRDefault="005D483F" w:rsidP="00EC36AB">
            <w:pPr>
              <w:tabs>
                <w:tab w:val="clear" w:pos="794"/>
                <w:tab w:val="clear" w:pos="1191"/>
                <w:tab w:val="clear" w:pos="1588"/>
                <w:tab w:val="clear" w:pos="1985"/>
              </w:tabs>
              <w:overflowPunct/>
              <w:autoSpaceDE/>
              <w:autoSpaceDN/>
              <w:adjustRightInd/>
              <w:spacing w:after="120"/>
              <w:textAlignment w:val="auto"/>
              <w:rPr>
                <w:rFonts w:cstheme="minorHAnsi"/>
                <w:szCs w:val="24"/>
                <w:bdr w:val="none" w:sz="0" w:space="0" w:color="auto" w:frame="1"/>
                <w:shd w:val="clear" w:color="auto" w:fill="FFFFFF"/>
              </w:rPr>
            </w:pPr>
            <w:r>
              <w:rPr>
                <w:szCs w:val="24"/>
              </w:rPr>
              <w:t>This document provides a follow-up to Canada’s contribution 37(Rev.2).</w:t>
            </w:r>
          </w:p>
          <w:p w14:paraId="000995F9" w14:textId="77777777" w:rsidR="00A240E8" w:rsidRDefault="00A721F4" w:rsidP="00A240E8">
            <w:pPr>
              <w:spacing w:after="120"/>
              <w:ind w:left="34" w:right="-142"/>
              <w:rPr>
                <w:b/>
                <w:bCs/>
                <w:szCs w:val="24"/>
              </w:rPr>
            </w:pPr>
            <w:r w:rsidRPr="00A240E8">
              <w:rPr>
                <w:b/>
                <w:bCs/>
                <w:szCs w:val="24"/>
              </w:rPr>
              <w:t>References:</w:t>
            </w:r>
            <w:bookmarkStart w:id="5" w:name="References"/>
            <w:bookmarkEnd w:id="5"/>
            <w:r w:rsidR="00D04CE4" w:rsidRPr="00A240E8">
              <w:rPr>
                <w:b/>
                <w:bCs/>
                <w:szCs w:val="24"/>
              </w:rPr>
              <w:t xml:space="preserve"> </w:t>
            </w:r>
          </w:p>
          <w:p w14:paraId="16B94E4E" w14:textId="08EECBDC" w:rsidR="007C7E88" w:rsidRPr="00C93BDB" w:rsidRDefault="005D483F" w:rsidP="00A240E8">
            <w:pPr>
              <w:spacing w:after="120"/>
              <w:ind w:left="34" w:right="-142"/>
              <w:rPr>
                <w:b/>
                <w:bCs/>
                <w:sz w:val="22"/>
                <w:szCs w:val="22"/>
              </w:rPr>
            </w:pPr>
            <w:hyperlink r:id="rId12" w:history="1">
              <w:r w:rsidR="00EC36AB" w:rsidRPr="00873569">
                <w:rPr>
                  <w:rStyle w:val="Hyperlink"/>
                  <w:szCs w:val="24"/>
                </w:rPr>
                <w:t>TDAG-20/37</w:t>
              </w:r>
            </w:hyperlink>
          </w:p>
        </w:tc>
      </w:tr>
    </w:tbl>
    <w:p w14:paraId="66D42095" w14:textId="77777777" w:rsidR="00AC6F14" w:rsidRDefault="00AC6F14" w:rsidP="00D20099">
      <w:pPr>
        <w:ind w:left="34" w:right="-142"/>
      </w:pPr>
    </w:p>
    <w:p w14:paraId="3BBE552E" w14:textId="77777777" w:rsidR="00A240E8" w:rsidRDefault="00A240E8">
      <w:pPr>
        <w:tabs>
          <w:tab w:val="clear" w:pos="794"/>
          <w:tab w:val="clear" w:pos="1191"/>
          <w:tab w:val="clear" w:pos="1588"/>
          <w:tab w:val="clear" w:pos="1985"/>
        </w:tabs>
        <w:overflowPunct/>
        <w:autoSpaceDE/>
        <w:autoSpaceDN/>
        <w:adjustRightInd/>
        <w:spacing w:before="0"/>
        <w:textAlignment w:val="auto"/>
        <w:rPr>
          <w:b/>
        </w:rPr>
      </w:pPr>
      <w:bookmarkStart w:id="6" w:name="Proposal"/>
      <w:bookmarkEnd w:id="6"/>
      <w:r>
        <w:rPr>
          <w:b/>
        </w:rPr>
        <w:br w:type="page"/>
      </w:r>
    </w:p>
    <w:p w14:paraId="4CFF33B7" w14:textId="77777777" w:rsidR="00EC36AB" w:rsidRDefault="00EC36AB" w:rsidP="00EC36AB">
      <w:pPr>
        <w:spacing w:after="120"/>
      </w:pPr>
      <w:r>
        <w:rPr>
          <w:lang w:val="en-US"/>
        </w:rPr>
        <w:lastRenderedPageBreak/>
        <w:t xml:space="preserve">As a follow-up to contribution 37 rev 2 </w:t>
      </w:r>
      <w:r>
        <w:t>Canada invites TDAG to consider agreeing on the following proposals for WTDC reform, based on the discussions in the TDAG Web Dialogues on 16 March and 30 April 2020, and proposals submitted to TDAG-20:</w:t>
      </w:r>
    </w:p>
    <w:p w14:paraId="756FD82E" w14:textId="77777777" w:rsidR="00EC36AB" w:rsidRPr="00F02830" w:rsidRDefault="00EC36AB" w:rsidP="00EC36AB">
      <w:pPr>
        <w:tabs>
          <w:tab w:val="clear" w:pos="794"/>
          <w:tab w:val="clear" w:pos="1191"/>
          <w:tab w:val="clear" w:pos="1588"/>
          <w:tab w:val="clear" w:pos="1985"/>
        </w:tabs>
        <w:spacing w:after="120"/>
        <w:ind w:left="720" w:hanging="720"/>
        <w:rPr>
          <w:rFonts w:cstheme="minorHAnsi"/>
          <w:bCs/>
          <w:szCs w:val="24"/>
        </w:rPr>
      </w:pPr>
      <w:r>
        <w:rPr>
          <w:rFonts w:cstheme="minorHAnsi"/>
          <w:szCs w:val="24"/>
        </w:rPr>
        <w:t>1.</w:t>
      </w:r>
      <w:r w:rsidRPr="00F54239">
        <w:rPr>
          <w:rFonts w:cstheme="minorHAnsi"/>
          <w:szCs w:val="24"/>
        </w:rPr>
        <w:tab/>
      </w:r>
      <w:r w:rsidRPr="00F02830">
        <w:rPr>
          <w:rFonts w:cstheme="minorHAnsi"/>
          <w:bCs/>
          <w:szCs w:val="24"/>
        </w:rPr>
        <w:t>Consideration should be given to the following approaches</w:t>
      </w:r>
      <w:r>
        <w:rPr>
          <w:rFonts w:cstheme="minorHAnsi"/>
          <w:bCs/>
          <w:szCs w:val="24"/>
        </w:rPr>
        <w:t xml:space="preserve"> in preparation for WTDC-21</w:t>
      </w:r>
      <w:r w:rsidRPr="00F02830">
        <w:rPr>
          <w:rFonts w:cstheme="minorHAnsi"/>
          <w:bCs/>
          <w:szCs w:val="24"/>
        </w:rPr>
        <w:t xml:space="preserve">: </w:t>
      </w:r>
    </w:p>
    <w:p w14:paraId="5EC561B5" w14:textId="77777777" w:rsidR="00EC36AB" w:rsidRPr="00F02830" w:rsidRDefault="00EC36AB" w:rsidP="00EC36AB">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rPr>
      </w:pPr>
      <w:r w:rsidRPr="00F02830">
        <w:rPr>
          <w:rFonts w:cstheme="minorHAnsi"/>
          <w:bCs/>
          <w:szCs w:val="24"/>
        </w:rPr>
        <w:t>Implement a comprehensive preparatory process that introduces formal inter-regional coordination meetings (IRMs).  These meetings should have a clearly defined format and clear agendas. Outcomes of IRMs would be non-binding as Member States have the sovereign right to submit proposals at the Conference.</w:t>
      </w:r>
    </w:p>
    <w:p w14:paraId="5542467A" w14:textId="77777777" w:rsidR="00EC36AB" w:rsidRPr="00F02830" w:rsidRDefault="00EC36AB" w:rsidP="00EC36AB">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rPr>
      </w:pPr>
      <w:r w:rsidRPr="00F02830">
        <w:rPr>
          <w:rFonts w:cstheme="minorHAnsi"/>
          <w:bCs/>
          <w:szCs w:val="24"/>
        </w:rPr>
        <w:t>Define the number of representatives from each region to attend IRMs and decide on the chairmanship of IRMs.</w:t>
      </w:r>
    </w:p>
    <w:p w14:paraId="6A969B79" w14:textId="77777777" w:rsidR="00EC36AB" w:rsidRPr="00F02830" w:rsidRDefault="00EC36AB" w:rsidP="00EC36AB">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rPr>
      </w:pPr>
      <w:r w:rsidRPr="00F02830">
        <w:rPr>
          <w:rFonts w:cstheme="minorHAnsi"/>
          <w:bCs/>
          <w:szCs w:val="24"/>
        </w:rPr>
        <w:t>Define target lists by constituent group, including a short list of “stars” and a focus on funding entities and beneficiaries of ITU-D activities (youth, women, representatives from LDCs, persons from indigenous communities, etc.).</w:t>
      </w:r>
    </w:p>
    <w:p w14:paraId="2ED7530A" w14:textId="77777777" w:rsidR="00EC36AB" w:rsidRPr="00F02830" w:rsidRDefault="00EC36AB" w:rsidP="00EC36AB">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rPr>
      </w:pPr>
      <w:r w:rsidRPr="00F02830">
        <w:rPr>
          <w:rFonts w:cstheme="minorHAnsi"/>
          <w:bCs/>
          <w:szCs w:val="24"/>
        </w:rPr>
        <w:t>Ensure proper planning and coordination between RPMs, IRMs and RTO preparatory meetings to safeguard the efficiency of the Conference preparatory process.</w:t>
      </w:r>
    </w:p>
    <w:p w14:paraId="1599778F" w14:textId="77777777" w:rsidR="00EC36AB" w:rsidRPr="00F02830" w:rsidRDefault="00EC36AB" w:rsidP="00EC36AB">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rPr>
      </w:pPr>
      <w:r w:rsidRPr="00F02830">
        <w:rPr>
          <w:rFonts w:cstheme="minorHAnsi"/>
          <w:bCs/>
          <w:szCs w:val="24"/>
        </w:rPr>
        <w:t>Establish, in collaboration with the Secretariat, a list of coordinators from each region for each topic on the Conference agenda.</w:t>
      </w:r>
    </w:p>
    <w:p w14:paraId="3B8C6305" w14:textId="77777777" w:rsidR="00EC36AB" w:rsidRPr="00F02830" w:rsidRDefault="00EC36AB" w:rsidP="00EC36AB">
      <w:pPr>
        <w:pStyle w:val="ListParagraph"/>
        <w:numPr>
          <w:ilvl w:val="0"/>
          <w:numId w:val="13"/>
        </w:numPr>
        <w:tabs>
          <w:tab w:val="clear" w:pos="1134"/>
          <w:tab w:val="clear" w:pos="1871"/>
          <w:tab w:val="clear" w:pos="2268"/>
        </w:tabs>
        <w:spacing w:before="60" w:after="60"/>
        <w:ind w:left="1287" w:hanging="567"/>
        <w:contextualSpacing w:val="0"/>
        <w:rPr>
          <w:rFonts w:cstheme="minorHAnsi"/>
          <w:bCs/>
          <w:szCs w:val="24"/>
        </w:rPr>
      </w:pPr>
      <w:r w:rsidRPr="00F02830">
        <w:rPr>
          <w:rFonts w:cstheme="minorHAnsi"/>
          <w:bCs/>
          <w:szCs w:val="24"/>
        </w:rPr>
        <w:t xml:space="preserve">Leverage on a </w:t>
      </w:r>
      <w:proofErr w:type="gramStart"/>
      <w:r w:rsidRPr="00F02830">
        <w:rPr>
          <w:rFonts w:cstheme="minorHAnsi"/>
          <w:bCs/>
          <w:szCs w:val="24"/>
        </w:rPr>
        <w:t>selected basis other high-profile fora</w:t>
      </w:r>
      <w:proofErr w:type="gramEnd"/>
      <w:r w:rsidRPr="00F02830">
        <w:rPr>
          <w:rFonts w:cstheme="minorHAnsi"/>
          <w:bCs/>
          <w:szCs w:val="24"/>
        </w:rPr>
        <w:t xml:space="preserve"> to raise awareness and interest on WTDC.</w:t>
      </w:r>
    </w:p>
    <w:p w14:paraId="13BF87E4" w14:textId="77777777" w:rsidR="00EC36AB" w:rsidRPr="00F02830" w:rsidRDefault="00EC36AB" w:rsidP="00EC36AB">
      <w:pPr>
        <w:tabs>
          <w:tab w:val="clear" w:pos="794"/>
          <w:tab w:val="clear" w:pos="1191"/>
          <w:tab w:val="clear" w:pos="1588"/>
          <w:tab w:val="clear" w:pos="1985"/>
        </w:tabs>
        <w:spacing w:after="120"/>
        <w:ind w:left="720" w:hanging="720"/>
        <w:rPr>
          <w:rFonts w:cstheme="minorHAnsi"/>
          <w:bCs/>
          <w:szCs w:val="24"/>
        </w:rPr>
      </w:pPr>
      <w:r>
        <w:rPr>
          <w:rFonts w:cstheme="minorHAnsi"/>
          <w:bCs/>
          <w:szCs w:val="24"/>
        </w:rPr>
        <w:t>2.</w:t>
      </w:r>
      <w:r w:rsidRPr="00F02830">
        <w:rPr>
          <w:rFonts w:cstheme="minorHAnsi"/>
          <w:bCs/>
          <w:szCs w:val="24"/>
        </w:rPr>
        <w:tab/>
        <w:t>Consideration should be given to merging the high-level segment and the side-events into thematic events, a “Development Track” as follows:</w:t>
      </w:r>
    </w:p>
    <w:p w14:paraId="35CCFDD6" w14:textId="77777777" w:rsidR="00EC36AB" w:rsidRPr="00F02830" w:rsidRDefault="00EC36AB" w:rsidP="00EC36AB">
      <w:pPr>
        <w:pStyle w:val="ListParagraph"/>
        <w:numPr>
          <w:ilvl w:val="0"/>
          <w:numId w:val="14"/>
        </w:numPr>
        <w:tabs>
          <w:tab w:val="clear" w:pos="1134"/>
          <w:tab w:val="clear" w:pos="1871"/>
          <w:tab w:val="clear" w:pos="2268"/>
        </w:tabs>
        <w:spacing w:before="60" w:after="60"/>
        <w:ind w:left="1287" w:hanging="567"/>
        <w:contextualSpacing w:val="0"/>
        <w:rPr>
          <w:rFonts w:cstheme="minorHAnsi"/>
          <w:bCs/>
          <w:szCs w:val="24"/>
        </w:rPr>
      </w:pPr>
      <w:r w:rsidRPr="00F02830">
        <w:rPr>
          <w:rFonts w:cstheme="minorHAnsi"/>
          <w:bCs/>
          <w:szCs w:val="24"/>
        </w:rPr>
        <w:t xml:space="preserve">Carefully select themes to match the WTDC </w:t>
      </w:r>
      <w:proofErr w:type="gramStart"/>
      <w:r w:rsidRPr="00F02830">
        <w:rPr>
          <w:rFonts w:cstheme="minorHAnsi"/>
          <w:bCs/>
          <w:szCs w:val="24"/>
        </w:rPr>
        <w:t>agenda, and</w:t>
      </w:r>
      <w:proofErr w:type="gramEnd"/>
      <w:r w:rsidRPr="00F02830">
        <w:rPr>
          <w:rFonts w:cstheme="minorHAnsi"/>
          <w:bCs/>
          <w:szCs w:val="24"/>
        </w:rPr>
        <w:t xml:space="preserve"> establish a clear agenda and value proposition with the intention of addressing development challenges and membership priorities, and obtaining funding/pledges to complement the ITU budget.</w:t>
      </w:r>
    </w:p>
    <w:p w14:paraId="1432C393" w14:textId="77777777" w:rsidR="00EC36AB" w:rsidRPr="00F02830" w:rsidRDefault="00EC36AB" w:rsidP="00EC36AB">
      <w:pPr>
        <w:pStyle w:val="ListParagraph"/>
        <w:numPr>
          <w:ilvl w:val="0"/>
          <w:numId w:val="14"/>
        </w:numPr>
        <w:tabs>
          <w:tab w:val="clear" w:pos="1134"/>
          <w:tab w:val="clear" w:pos="1871"/>
          <w:tab w:val="clear" w:pos="2268"/>
        </w:tabs>
        <w:spacing w:before="60" w:after="60"/>
        <w:ind w:left="1287" w:hanging="567"/>
        <w:contextualSpacing w:val="0"/>
        <w:rPr>
          <w:rFonts w:cstheme="minorHAnsi"/>
          <w:bCs/>
          <w:szCs w:val="24"/>
        </w:rPr>
      </w:pPr>
      <w:r w:rsidRPr="00F02830">
        <w:rPr>
          <w:rFonts w:cstheme="minorHAnsi"/>
          <w:bCs/>
          <w:szCs w:val="24"/>
        </w:rPr>
        <w:t>Invite high-level participants to chair and/or deliver key-note speeches on the theme(s) selected.</w:t>
      </w:r>
    </w:p>
    <w:p w14:paraId="7A85A728" w14:textId="77777777" w:rsidR="00EC36AB" w:rsidRPr="00F02830" w:rsidRDefault="00EC36AB" w:rsidP="00EC36AB">
      <w:pPr>
        <w:pStyle w:val="ListParagraph"/>
        <w:numPr>
          <w:ilvl w:val="0"/>
          <w:numId w:val="14"/>
        </w:numPr>
        <w:tabs>
          <w:tab w:val="clear" w:pos="1134"/>
          <w:tab w:val="clear" w:pos="1871"/>
          <w:tab w:val="clear" w:pos="2268"/>
        </w:tabs>
        <w:spacing w:before="60" w:after="60"/>
        <w:ind w:left="1287" w:hanging="567"/>
        <w:contextualSpacing w:val="0"/>
        <w:rPr>
          <w:rFonts w:cstheme="minorHAnsi"/>
          <w:bCs/>
          <w:szCs w:val="24"/>
        </w:rPr>
      </w:pPr>
      <w:r w:rsidRPr="00F02830">
        <w:rPr>
          <w:rFonts w:cstheme="minorHAnsi"/>
          <w:bCs/>
          <w:szCs w:val="24"/>
        </w:rPr>
        <w:t>Organize thematic tracks to be separate from the “administrative” part of the conference.</w:t>
      </w:r>
    </w:p>
    <w:p w14:paraId="746A91AE" w14:textId="77777777" w:rsidR="00EC36AB" w:rsidRPr="00F02830" w:rsidRDefault="00EC36AB" w:rsidP="00EC36AB">
      <w:pPr>
        <w:tabs>
          <w:tab w:val="clear" w:pos="794"/>
          <w:tab w:val="clear" w:pos="1191"/>
          <w:tab w:val="clear" w:pos="1588"/>
          <w:tab w:val="clear" w:pos="1985"/>
        </w:tabs>
        <w:spacing w:after="120"/>
        <w:ind w:left="567" w:hanging="567"/>
        <w:rPr>
          <w:rFonts w:cstheme="minorHAnsi"/>
          <w:szCs w:val="24"/>
        </w:rPr>
      </w:pPr>
      <w:r>
        <w:rPr>
          <w:rFonts w:cstheme="minorHAnsi"/>
          <w:bCs/>
          <w:szCs w:val="24"/>
        </w:rPr>
        <w:t>3.</w:t>
      </w:r>
      <w:r>
        <w:rPr>
          <w:rFonts w:cstheme="minorHAnsi"/>
          <w:bCs/>
          <w:szCs w:val="24"/>
        </w:rPr>
        <w:tab/>
      </w:r>
      <w:r w:rsidRPr="00F02830">
        <w:rPr>
          <w:rFonts w:cstheme="minorHAnsi"/>
          <w:bCs/>
          <w:szCs w:val="24"/>
        </w:rPr>
        <w:t>The conference should no longer discuss the ITU-D contribution to the ITU Strategic Plan, with this responsibility being transferred to TDAG.</w:t>
      </w:r>
    </w:p>
    <w:p w14:paraId="3763ACA2" w14:textId="77777777" w:rsidR="00EC36AB" w:rsidRPr="00FF359D" w:rsidRDefault="00EC36AB" w:rsidP="00EC36AB">
      <w:pPr>
        <w:spacing w:after="120"/>
        <w:rPr>
          <w:rFonts w:ascii="Calibri" w:eastAsia="Calibri" w:hAnsi="Calibri"/>
          <w:szCs w:val="24"/>
          <w:lang w:val="en-US"/>
        </w:rPr>
      </w:pPr>
      <w:r>
        <w:t>TDAG-20 agrees that the BDT Director should proceed to implement those proposals to the extent possible for WTDC-21, and has formed this Working Group on WTDC Reform t</w:t>
      </w:r>
      <w:r>
        <w:rPr>
          <w:rFonts w:ascii="Calibri" w:eastAsia="Calibri" w:hAnsi="Calibri"/>
          <w:szCs w:val="24"/>
          <w:lang w:val="en-US"/>
        </w:rPr>
        <w:t>o provide advice and assistance to the BDT Director in the further development and implementation of the proposals, as follows:</w:t>
      </w:r>
    </w:p>
    <w:p w14:paraId="05E29667" w14:textId="77777777" w:rsidR="00EC36AB" w:rsidRPr="00FF359D" w:rsidRDefault="00EC36AB" w:rsidP="00EC36AB">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color w:val="000000"/>
          <w:kern w:val="24"/>
          <w:szCs w:val="24"/>
          <w:lang w:val="en-US"/>
        </w:rPr>
      </w:pPr>
      <w:r>
        <w:rPr>
          <w:rFonts w:ascii="Calibri" w:hAnsi="Calibri" w:cs="Calibri"/>
          <w:color w:val="000000"/>
          <w:kern w:val="24"/>
          <w:szCs w:val="24"/>
          <w:lang w:val="en-US"/>
        </w:rPr>
        <w:t>To implement a refined preparatory process for WTDC-21 and enhancing the</w:t>
      </w:r>
      <w:r w:rsidRPr="00FF359D">
        <w:rPr>
          <w:rFonts w:ascii="Calibri" w:hAnsi="Calibri" w:cs="Calibri"/>
          <w:color w:val="000000"/>
          <w:kern w:val="24"/>
          <w:szCs w:val="24"/>
          <w:lang w:val="en-US"/>
        </w:rPr>
        <w:t xml:space="preserve"> role and interaction between RTO preparations, </w:t>
      </w:r>
      <w:proofErr w:type="gramStart"/>
      <w:r w:rsidRPr="00FF359D">
        <w:rPr>
          <w:rFonts w:ascii="Calibri" w:hAnsi="Calibri" w:cs="Calibri"/>
          <w:color w:val="000000"/>
          <w:kern w:val="24"/>
          <w:szCs w:val="24"/>
          <w:lang w:val="en-US"/>
        </w:rPr>
        <w:t>RPMs</w:t>
      </w:r>
      <w:proofErr w:type="gramEnd"/>
      <w:r w:rsidRPr="00FF359D">
        <w:rPr>
          <w:rFonts w:ascii="Calibri" w:hAnsi="Calibri" w:cs="Calibri"/>
          <w:color w:val="000000"/>
          <w:kern w:val="24"/>
          <w:szCs w:val="24"/>
          <w:lang w:val="en-US"/>
        </w:rPr>
        <w:t xml:space="preserve"> and inter-regional meetings, in terms of efficiency, effectiveness and economy taking into account the preparations underway in the regional telecommunication organizations (RTOs).</w:t>
      </w:r>
    </w:p>
    <w:p w14:paraId="60B08ED6" w14:textId="77777777" w:rsidR="00EC36AB" w:rsidRPr="00FF359D" w:rsidRDefault="00EC36AB" w:rsidP="00EC36AB">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color w:val="000000"/>
          <w:kern w:val="24"/>
          <w:szCs w:val="24"/>
          <w:lang w:val="en-US"/>
        </w:rPr>
      </w:pPr>
      <w:r>
        <w:rPr>
          <w:rFonts w:ascii="Calibri" w:hAnsi="Calibri" w:cs="Calibri"/>
          <w:szCs w:val="24"/>
          <w:lang w:val="en-US"/>
        </w:rPr>
        <w:t>To c</w:t>
      </w:r>
      <w:r w:rsidRPr="00FF359D">
        <w:rPr>
          <w:rFonts w:ascii="Calibri" w:hAnsi="Calibri" w:cs="Calibri"/>
          <w:szCs w:val="24"/>
          <w:lang w:val="en-US"/>
        </w:rPr>
        <w:t xml:space="preserve">onsider proposals from RTOs for regional priorities reflected in regional initiatives for the purpose of </w:t>
      </w:r>
      <w:r>
        <w:rPr>
          <w:rFonts w:ascii="Calibri" w:hAnsi="Calibri" w:cs="Calibri"/>
          <w:szCs w:val="24"/>
          <w:lang w:val="en-US"/>
        </w:rPr>
        <w:t xml:space="preserve">encouraging </w:t>
      </w:r>
      <w:r w:rsidRPr="00FF359D">
        <w:rPr>
          <w:rFonts w:ascii="Calibri" w:hAnsi="Calibri" w:cs="Calibri"/>
          <w:szCs w:val="24"/>
          <w:lang w:val="en-US"/>
        </w:rPr>
        <w:t xml:space="preserve">focus on issues which create wider interest, lead to financing and proper implementation by BDT in </w:t>
      </w:r>
      <w:proofErr w:type="gramStart"/>
      <w:r w:rsidRPr="00FF359D">
        <w:rPr>
          <w:rFonts w:ascii="Calibri" w:hAnsi="Calibri" w:cs="Calibri"/>
          <w:szCs w:val="24"/>
          <w:lang w:val="en-US"/>
        </w:rPr>
        <w:t>all of</w:t>
      </w:r>
      <w:proofErr w:type="gramEnd"/>
      <w:r w:rsidRPr="00FF359D">
        <w:rPr>
          <w:rFonts w:ascii="Calibri" w:hAnsi="Calibri" w:cs="Calibri"/>
          <w:szCs w:val="24"/>
          <w:lang w:val="en-US"/>
        </w:rPr>
        <w:t xml:space="preserve"> the regions. </w:t>
      </w:r>
    </w:p>
    <w:p w14:paraId="70648207" w14:textId="77777777" w:rsidR="00EC36AB" w:rsidRPr="00FF359D" w:rsidRDefault="00EC36AB" w:rsidP="00EC36AB">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lang w:val="en-US"/>
        </w:rPr>
      </w:pPr>
      <w:r>
        <w:rPr>
          <w:rFonts w:ascii="Calibri" w:hAnsi="Calibri" w:cs="Calibri"/>
          <w:szCs w:val="24"/>
          <w:lang w:val="en-US"/>
        </w:rPr>
        <w:lastRenderedPageBreak/>
        <w:t>Consider and develop</w:t>
      </w:r>
      <w:r w:rsidRPr="00FF359D">
        <w:rPr>
          <w:rFonts w:ascii="Calibri" w:hAnsi="Calibri" w:cs="Calibri"/>
          <w:szCs w:val="24"/>
          <w:lang w:val="en-US"/>
        </w:rPr>
        <w:t xml:space="preserve"> </w:t>
      </w:r>
      <w:r>
        <w:rPr>
          <w:rFonts w:ascii="Calibri" w:hAnsi="Calibri" w:cs="Calibri"/>
          <w:szCs w:val="24"/>
          <w:lang w:val="en-US"/>
        </w:rPr>
        <w:t xml:space="preserve">an approach to </w:t>
      </w:r>
      <w:r w:rsidRPr="00FF359D">
        <w:rPr>
          <w:rFonts w:ascii="Calibri" w:hAnsi="Calibri" w:cs="Calibri"/>
          <w:szCs w:val="24"/>
          <w:lang w:val="en-US"/>
        </w:rPr>
        <w:t xml:space="preserve">repurposing </w:t>
      </w:r>
      <w:r>
        <w:rPr>
          <w:rFonts w:ascii="Calibri" w:hAnsi="Calibri" w:cs="Calibri"/>
          <w:szCs w:val="24"/>
          <w:lang w:val="en-US"/>
        </w:rPr>
        <w:t xml:space="preserve">of </w:t>
      </w:r>
      <w:r w:rsidRPr="00FF359D">
        <w:rPr>
          <w:rFonts w:ascii="Calibri" w:hAnsi="Calibri" w:cs="Calibri"/>
          <w:szCs w:val="24"/>
          <w:lang w:val="en-US"/>
        </w:rPr>
        <w:t xml:space="preserve">high-level policy statement process and Side Events </w:t>
      </w:r>
      <w:r>
        <w:rPr>
          <w:rFonts w:ascii="Calibri" w:hAnsi="Calibri" w:cs="Calibri"/>
          <w:szCs w:val="24"/>
          <w:lang w:val="en-US"/>
        </w:rPr>
        <w:t>in</w:t>
      </w:r>
      <w:r w:rsidRPr="00FF359D">
        <w:rPr>
          <w:rFonts w:ascii="Calibri" w:hAnsi="Calibri" w:cs="Calibri"/>
          <w:szCs w:val="24"/>
          <w:lang w:val="en-US"/>
        </w:rPr>
        <w:t>to thematic events to address development challenges and priorities, as well as development funding and enhanced partnerships.</w:t>
      </w:r>
    </w:p>
    <w:p w14:paraId="5ADD4206" w14:textId="77777777" w:rsidR="00EC36AB" w:rsidRPr="00FF359D" w:rsidRDefault="00EC36AB" w:rsidP="00EC36AB">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lang w:val="en-US"/>
        </w:rPr>
      </w:pPr>
      <w:r w:rsidRPr="00FF359D">
        <w:rPr>
          <w:rFonts w:ascii="Calibri" w:hAnsi="Calibri" w:cs="Calibri"/>
          <w:szCs w:val="24"/>
          <w:lang w:val="en-US"/>
        </w:rPr>
        <w:t>Propose strategies for assisting Member States prepare inputs for WTDC-21.</w:t>
      </w:r>
      <w:r>
        <w:rPr>
          <w:rFonts w:ascii="Calibri" w:hAnsi="Calibri" w:cs="Calibri"/>
          <w:szCs w:val="24"/>
          <w:lang w:val="en-US"/>
        </w:rPr>
        <w:t xml:space="preserve"> </w:t>
      </w:r>
    </w:p>
    <w:p w14:paraId="753AC734" w14:textId="77777777" w:rsidR="00EC36AB" w:rsidRPr="00FF359D" w:rsidRDefault="00EC36AB" w:rsidP="00EC36AB">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lang w:val="en-US"/>
        </w:rPr>
      </w:pPr>
      <w:r>
        <w:rPr>
          <w:rFonts w:ascii="Calibri" w:hAnsi="Calibri" w:cs="Calibri"/>
          <w:szCs w:val="24"/>
          <w:lang w:val="en-US"/>
        </w:rPr>
        <w:t>E</w:t>
      </w:r>
      <w:r w:rsidRPr="00FF359D">
        <w:rPr>
          <w:rFonts w:ascii="Calibri" w:hAnsi="Calibri" w:cs="Calibri"/>
          <w:szCs w:val="24"/>
          <w:lang w:val="en-US"/>
        </w:rPr>
        <w:t>nhancing the participation at WTDC-21 of the right stakeholders (e.g., problem owners, solution owners, fund owners and beneficiaries)</w:t>
      </w:r>
      <w:r>
        <w:rPr>
          <w:rFonts w:ascii="Calibri" w:hAnsi="Calibri" w:cs="Calibri"/>
          <w:szCs w:val="24"/>
          <w:lang w:val="en-US"/>
        </w:rPr>
        <w:t xml:space="preserve"> </w:t>
      </w:r>
      <w:r w:rsidRPr="00FF359D">
        <w:rPr>
          <w:rFonts w:ascii="Calibri" w:hAnsi="Calibri" w:cs="Calibri"/>
          <w:szCs w:val="24"/>
          <w:lang w:val="en-US"/>
        </w:rPr>
        <w:t>at WTDC-21.</w:t>
      </w:r>
    </w:p>
    <w:p w14:paraId="6AF90CBA" w14:textId="77777777" w:rsidR="00EC36AB" w:rsidRPr="00FF359D" w:rsidRDefault="00EC36AB" w:rsidP="00EC36AB">
      <w:pPr>
        <w:numPr>
          <w:ilvl w:val="0"/>
          <w:numId w:val="12"/>
        </w:numPr>
        <w:tabs>
          <w:tab w:val="clear" w:pos="794"/>
          <w:tab w:val="clear" w:pos="1191"/>
          <w:tab w:val="clear" w:pos="1588"/>
          <w:tab w:val="clear" w:pos="1985"/>
        </w:tabs>
        <w:overflowPunct/>
        <w:autoSpaceDE/>
        <w:autoSpaceDN/>
        <w:adjustRightInd/>
        <w:spacing w:before="60" w:after="60"/>
        <w:ind w:left="714" w:hanging="357"/>
        <w:textAlignment w:val="auto"/>
        <w:rPr>
          <w:rFonts w:ascii="Calibri" w:hAnsi="Calibri" w:cs="Calibri"/>
          <w:szCs w:val="24"/>
          <w:lang w:val="en-US"/>
        </w:rPr>
      </w:pPr>
      <w:r w:rsidRPr="00FF359D">
        <w:rPr>
          <w:rFonts w:ascii="Calibri" w:hAnsi="Calibri" w:cs="Calibri"/>
          <w:szCs w:val="24"/>
          <w:lang w:val="en-US"/>
        </w:rPr>
        <w:t>Identify</w:t>
      </w:r>
      <w:r>
        <w:rPr>
          <w:rFonts w:ascii="Calibri" w:hAnsi="Calibri" w:cs="Calibri"/>
          <w:szCs w:val="24"/>
          <w:lang w:val="en-US"/>
        </w:rPr>
        <w:t>ing</w:t>
      </w:r>
      <w:r w:rsidRPr="00FF359D">
        <w:rPr>
          <w:rFonts w:ascii="Calibri" w:hAnsi="Calibri" w:cs="Calibri"/>
          <w:szCs w:val="24"/>
          <w:lang w:val="en-US"/>
        </w:rPr>
        <w:t xml:space="preserve"> the elements associated with the elaboration of the draft Declaration as the blueprint for the implementation of the Action Plan.</w:t>
      </w:r>
    </w:p>
    <w:p w14:paraId="6F6A18B4" w14:textId="77777777" w:rsidR="00EC36AB" w:rsidRPr="00691644" w:rsidRDefault="00EC36AB" w:rsidP="00EC36AB">
      <w:pPr>
        <w:tabs>
          <w:tab w:val="clear" w:pos="794"/>
          <w:tab w:val="clear" w:pos="1191"/>
          <w:tab w:val="clear" w:pos="1588"/>
          <w:tab w:val="clear" w:pos="1985"/>
        </w:tabs>
        <w:overflowPunct/>
        <w:autoSpaceDE/>
        <w:autoSpaceDN/>
        <w:adjustRightInd/>
        <w:spacing w:after="120"/>
        <w:textAlignment w:val="auto"/>
        <w:rPr>
          <w:rFonts w:ascii="Calibri" w:hAnsi="Calibri"/>
          <w:szCs w:val="24"/>
        </w:rPr>
      </w:pPr>
      <w:r w:rsidRPr="00691644">
        <w:rPr>
          <w:rFonts w:ascii="Calibri" w:hAnsi="Calibri" w:cs="Calibri"/>
          <w:color w:val="444444"/>
          <w:szCs w:val="24"/>
          <w:lang w:val="en-US"/>
        </w:rPr>
        <w:t>T</w:t>
      </w:r>
      <w:r>
        <w:rPr>
          <w:rFonts w:ascii="Calibri" w:hAnsi="Calibri" w:cs="Calibri"/>
          <w:color w:val="444444"/>
          <w:szCs w:val="24"/>
          <w:lang w:val="en-US"/>
        </w:rPr>
        <w:t xml:space="preserve">he working group should </w:t>
      </w:r>
      <w:r w:rsidRPr="00691644">
        <w:rPr>
          <w:rFonts w:ascii="Calibri" w:hAnsi="Calibri" w:cs="Calibri"/>
          <w:szCs w:val="24"/>
        </w:rPr>
        <w:t>report</w:t>
      </w:r>
      <w:r w:rsidRPr="00691644">
        <w:rPr>
          <w:rFonts w:ascii="Calibri" w:hAnsi="Calibri" w:cs="Calibri"/>
          <w:color w:val="444444"/>
          <w:szCs w:val="24"/>
          <w:lang w:val="en-US"/>
        </w:rPr>
        <w:t xml:space="preserve"> to the 2021 meeting of TDAG</w:t>
      </w:r>
      <w:r>
        <w:rPr>
          <w:rFonts w:ascii="Calibri" w:hAnsi="Calibri" w:cs="Calibri"/>
          <w:color w:val="444444"/>
          <w:szCs w:val="24"/>
          <w:lang w:val="en-US"/>
        </w:rPr>
        <w:t xml:space="preserve"> on actions taken and progress toward reform of WTDC-21.</w:t>
      </w:r>
    </w:p>
    <w:p w14:paraId="3B4EF322" w14:textId="77777777" w:rsidR="00A240E8" w:rsidRPr="00A240E8" w:rsidRDefault="00A240E8" w:rsidP="00EC36AB">
      <w:pPr>
        <w:overflowPunct/>
        <w:autoSpaceDE/>
        <w:autoSpaceDN/>
        <w:adjustRightInd/>
        <w:spacing w:after="120"/>
        <w:textAlignment w:val="auto"/>
        <w:rPr>
          <w:rFonts w:cstheme="minorHAnsi"/>
        </w:rPr>
      </w:pPr>
    </w:p>
    <w:p w14:paraId="632C6F8D" w14:textId="4EE0B7F6" w:rsidR="00DF174A" w:rsidRDefault="00A240E8" w:rsidP="00DF174A">
      <w:pPr>
        <w:pStyle w:val="ListParagraph"/>
        <w:overflowPunct/>
        <w:autoSpaceDE/>
        <w:autoSpaceDN/>
        <w:adjustRightInd/>
        <w:spacing w:before="0"/>
        <w:jc w:val="center"/>
        <w:textAlignment w:val="auto"/>
      </w:pPr>
      <w:r>
        <w:t>________________</w:t>
      </w:r>
    </w:p>
    <w:sectPr w:rsidR="00DF174A" w:rsidSect="00D20099">
      <w:headerReference w:type="default" r:id="rId13"/>
      <w:footerReference w:type="first" r:id="rId14"/>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FC4B5" w14:textId="77777777" w:rsidR="00720B60" w:rsidRDefault="00720B60">
      <w:r>
        <w:separator/>
      </w:r>
    </w:p>
  </w:endnote>
  <w:endnote w:type="continuationSeparator" w:id="0">
    <w:p w14:paraId="4F1FF3E7" w14:textId="77777777" w:rsidR="00720B60" w:rsidRDefault="0072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C81A70" w:rsidRPr="004D495C" w14:paraId="4B11A259" w14:textId="77777777" w:rsidTr="00A273C6">
      <w:tc>
        <w:tcPr>
          <w:tcW w:w="1526" w:type="dxa"/>
          <w:tcBorders>
            <w:top w:val="single" w:sz="4" w:space="0" w:color="000000"/>
          </w:tcBorders>
          <w:shd w:val="clear" w:color="auto" w:fill="auto"/>
        </w:tcPr>
        <w:p w14:paraId="022DDC77" w14:textId="77777777" w:rsidR="00C81A70" w:rsidRPr="004D495C" w:rsidRDefault="00C81A70" w:rsidP="00C81A7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46F7109" w14:textId="77777777" w:rsidR="00C81A70" w:rsidRPr="004D495C" w:rsidRDefault="00C81A70" w:rsidP="00C81A7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32503BC4" w14:textId="77777777" w:rsidR="00C81A70" w:rsidRPr="00255A4F" w:rsidRDefault="00C81A70" w:rsidP="00C81A70">
          <w:pPr>
            <w:pStyle w:val="FirstFooter"/>
            <w:tabs>
              <w:tab w:val="left" w:pos="2302"/>
            </w:tabs>
            <w:rPr>
              <w:sz w:val="18"/>
              <w:szCs w:val="18"/>
              <w:lang w:val="en-US"/>
            </w:rPr>
          </w:pPr>
          <w:bookmarkStart w:id="7" w:name="OrgName"/>
          <w:bookmarkEnd w:id="7"/>
          <w:proofErr w:type="spellStart"/>
          <w:r>
            <w:rPr>
              <w:sz w:val="18"/>
              <w:szCs w:val="18"/>
              <w:lang w:val="en-US"/>
            </w:rPr>
            <w:t>Mr</w:t>
          </w:r>
          <w:proofErr w:type="spellEnd"/>
          <w:r>
            <w:rPr>
              <w:sz w:val="18"/>
              <w:szCs w:val="18"/>
              <w:lang w:val="en-US"/>
            </w:rPr>
            <w:t xml:space="preserve"> Santiago Reyes-Borda, </w:t>
          </w:r>
          <w:r w:rsidRPr="00656673">
            <w:rPr>
              <w:sz w:val="18"/>
              <w:szCs w:val="18"/>
              <w:lang w:val="en-US"/>
            </w:rPr>
            <w:t>Innovation, Science and Economic Development Canada</w:t>
          </w:r>
          <w:r>
            <w:rPr>
              <w:sz w:val="18"/>
              <w:szCs w:val="18"/>
              <w:lang w:val="en-US"/>
            </w:rPr>
            <w:t>, Canada</w:t>
          </w:r>
        </w:p>
      </w:tc>
    </w:tr>
    <w:tr w:rsidR="00C81A70" w:rsidRPr="004D495C" w14:paraId="1B7DDC82" w14:textId="77777777" w:rsidTr="00A273C6">
      <w:tc>
        <w:tcPr>
          <w:tcW w:w="1526" w:type="dxa"/>
          <w:shd w:val="clear" w:color="auto" w:fill="auto"/>
        </w:tcPr>
        <w:p w14:paraId="7E8E097E" w14:textId="77777777" w:rsidR="00C81A70" w:rsidRPr="004D495C" w:rsidRDefault="00C81A70" w:rsidP="00C81A70">
          <w:pPr>
            <w:pStyle w:val="FirstFooter"/>
            <w:tabs>
              <w:tab w:val="left" w:pos="1559"/>
              <w:tab w:val="left" w:pos="3828"/>
            </w:tabs>
            <w:rPr>
              <w:sz w:val="20"/>
              <w:lang w:val="en-US"/>
            </w:rPr>
          </w:pPr>
        </w:p>
      </w:tc>
      <w:tc>
        <w:tcPr>
          <w:tcW w:w="2410" w:type="dxa"/>
          <w:shd w:val="clear" w:color="auto" w:fill="auto"/>
        </w:tcPr>
        <w:p w14:paraId="2A0F2CD2" w14:textId="77777777" w:rsidR="00C81A70" w:rsidRPr="004D495C" w:rsidRDefault="00C81A70" w:rsidP="00C81A70">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23374C7B" w14:textId="77777777" w:rsidR="00C81A70" w:rsidRPr="001647C3" w:rsidRDefault="00C81A70" w:rsidP="00C81A70">
          <w:pPr>
            <w:pStyle w:val="FirstFooter"/>
            <w:tabs>
              <w:tab w:val="left" w:pos="2302"/>
            </w:tabs>
            <w:rPr>
              <w:sz w:val="18"/>
              <w:szCs w:val="18"/>
              <w:lang w:val="en-US"/>
            </w:rPr>
          </w:pPr>
          <w:bookmarkStart w:id="8" w:name="PhoneNo"/>
          <w:bookmarkEnd w:id="8"/>
          <w:r>
            <w:rPr>
              <w:sz w:val="18"/>
              <w:szCs w:val="18"/>
              <w:lang w:val="en-US"/>
            </w:rPr>
            <w:t>+1 343 291 3066</w:t>
          </w:r>
        </w:p>
      </w:tc>
    </w:tr>
    <w:tr w:rsidR="00C81A70" w:rsidRPr="004D495C" w14:paraId="5793C59D" w14:textId="77777777" w:rsidTr="00A273C6">
      <w:tc>
        <w:tcPr>
          <w:tcW w:w="1526" w:type="dxa"/>
          <w:shd w:val="clear" w:color="auto" w:fill="auto"/>
        </w:tcPr>
        <w:p w14:paraId="46812830" w14:textId="77777777" w:rsidR="00C81A70" w:rsidRPr="004D495C" w:rsidRDefault="00C81A70" w:rsidP="00C81A70">
          <w:pPr>
            <w:pStyle w:val="FirstFooter"/>
            <w:tabs>
              <w:tab w:val="left" w:pos="1559"/>
              <w:tab w:val="left" w:pos="3828"/>
            </w:tabs>
            <w:rPr>
              <w:sz w:val="20"/>
              <w:lang w:val="en-US"/>
            </w:rPr>
          </w:pPr>
        </w:p>
      </w:tc>
      <w:tc>
        <w:tcPr>
          <w:tcW w:w="2410" w:type="dxa"/>
          <w:shd w:val="clear" w:color="auto" w:fill="auto"/>
        </w:tcPr>
        <w:p w14:paraId="63EFA5C8" w14:textId="77777777" w:rsidR="00C81A70" w:rsidRPr="004D495C" w:rsidRDefault="00C81A70" w:rsidP="00C81A70">
          <w:pPr>
            <w:pStyle w:val="FirstFooter"/>
            <w:tabs>
              <w:tab w:val="left" w:pos="2302"/>
            </w:tabs>
            <w:rPr>
              <w:sz w:val="18"/>
              <w:szCs w:val="18"/>
              <w:lang w:val="en-US"/>
            </w:rPr>
          </w:pPr>
          <w:r w:rsidRPr="004D495C">
            <w:rPr>
              <w:sz w:val="18"/>
              <w:szCs w:val="18"/>
              <w:lang w:val="en-US"/>
            </w:rPr>
            <w:t>E-mail:</w:t>
          </w:r>
        </w:p>
      </w:tc>
      <w:bookmarkStart w:id="9" w:name="Email"/>
      <w:bookmarkEnd w:id="9"/>
      <w:tc>
        <w:tcPr>
          <w:tcW w:w="5987" w:type="dxa"/>
          <w:shd w:val="clear" w:color="auto" w:fill="auto"/>
        </w:tcPr>
        <w:p w14:paraId="7BB7DC85" w14:textId="77777777" w:rsidR="00C81A70" w:rsidRPr="001647C3" w:rsidRDefault="00C81A70" w:rsidP="00C81A70">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"mailto:santiago.reyes-borda@canada.ca" </w:instrText>
          </w:r>
          <w:r>
            <w:rPr>
              <w:sz w:val="18"/>
              <w:szCs w:val="18"/>
              <w:lang w:val="en-US"/>
            </w:rPr>
            <w:fldChar w:fldCharType="separate"/>
          </w:r>
          <w:r w:rsidRPr="00454865">
            <w:rPr>
              <w:rStyle w:val="Hyperlink"/>
              <w:sz w:val="18"/>
              <w:szCs w:val="18"/>
              <w:lang w:val="en-US"/>
            </w:rPr>
            <w:t>santiago.reyes-borda@canada.ca</w:t>
          </w:r>
          <w:r>
            <w:rPr>
              <w:sz w:val="18"/>
              <w:szCs w:val="18"/>
              <w:lang w:val="en-US"/>
            </w:rPr>
            <w:fldChar w:fldCharType="end"/>
          </w:r>
          <w:r>
            <w:rPr>
              <w:sz w:val="18"/>
              <w:szCs w:val="18"/>
              <w:lang w:val="en-US"/>
            </w:rPr>
            <w:t xml:space="preserve"> </w:t>
          </w:r>
        </w:p>
      </w:tc>
    </w:tr>
  </w:tbl>
  <w:p w14:paraId="779F48E5" w14:textId="447B22A6" w:rsidR="00721657" w:rsidRPr="0006061C" w:rsidRDefault="005D483F" w:rsidP="007559A6">
    <w:pPr>
      <w:jc w:val="center"/>
    </w:pPr>
    <w:hyperlink r:id="rId1" w:history="1">
      <w:r w:rsidR="007559A6"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508AB" w14:textId="77777777" w:rsidR="00720B60" w:rsidRDefault="00720B60">
      <w:r>
        <w:t>____________________</w:t>
      </w:r>
    </w:p>
  </w:footnote>
  <w:footnote w:type="continuationSeparator" w:id="0">
    <w:p w14:paraId="6F4E20DC" w14:textId="77777777" w:rsidR="00720B60" w:rsidRDefault="0072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35C9" w14:textId="4AF59A8E" w:rsidR="00721657" w:rsidRPr="007559A6" w:rsidRDefault="007559A6" w:rsidP="007559A6">
    <w:pPr>
      <w:tabs>
        <w:tab w:val="clear" w:pos="794"/>
        <w:tab w:val="clear" w:pos="1191"/>
        <w:tab w:val="clear" w:pos="1588"/>
        <w:tab w:val="clear" w:pos="1985"/>
        <w:tab w:val="center" w:pos="4820"/>
        <w:tab w:val="right" w:pos="9639"/>
      </w:tabs>
      <w:spacing w:after="120"/>
      <w:ind w:right="1"/>
      <w:rPr>
        <w:rStyle w:val="PageNumber"/>
      </w:rPr>
    </w:pPr>
    <w:r w:rsidRPr="007559A6">
      <w:rPr>
        <w:sz w:val="22"/>
        <w:szCs w:val="22"/>
      </w:rPr>
      <w:tab/>
    </w:r>
    <w:r w:rsidRPr="007559A6">
      <w:rPr>
        <w:sz w:val="22"/>
        <w:szCs w:val="22"/>
        <w:lang w:val="de-CH"/>
      </w:rPr>
      <w:t>TDAG-20/</w:t>
    </w:r>
    <w:r>
      <w:rPr>
        <w:sz w:val="22"/>
        <w:szCs w:val="22"/>
        <w:lang w:val="de-CH"/>
      </w:rPr>
      <w:t>DT/</w:t>
    </w:r>
    <w:r w:rsidR="00EC36AB">
      <w:rPr>
        <w:sz w:val="22"/>
        <w:szCs w:val="22"/>
        <w:lang w:val="de-CH"/>
      </w:rPr>
      <w:t>5</w:t>
    </w:r>
    <w:r>
      <w:rPr>
        <w:sz w:val="22"/>
        <w:szCs w:val="22"/>
        <w:lang w:val="de-CH"/>
      </w:rPr>
      <w:t>-E</w:t>
    </w:r>
    <w:r w:rsidRPr="007559A6">
      <w:rPr>
        <w:sz w:val="22"/>
        <w:szCs w:val="22"/>
        <w:lang w:val="de-CH"/>
      </w:rPr>
      <w:tab/>
      <w:t xml:space="preserve">Page </w:t>
    </w:r>
    <w:r w:rsidRPr="007559A6">
      <w:rPr>
        <w:sz w:val="22"/>
        <w:szCs w:val="22"/>
      </w:rPr>
      <w:fldChar w:fldCharType="begin"/>
    </w:r>
    <w:r w:rsidRPr="007559A6">
      <w:rPr>
        <w:sz w:val="22"/>
        <w:szCs w:val="22"/>
        <w:lang w:val="de-CH"/>
      </w:rPr>
      <w:instrText xml:space="preserve"> PAGE </w:instrText>
    </w:r>
    <w:r w:rsidRPr="007559A6">
      <w:rPr>
        <w:sz w:val="22"/>
        <w:szCs w:val="22"/>
      </w:rPr>
      <w:fldChar w:fldCharType="separate"/>
    </w:r>
    <w:r w:rsidR="00402ABC">
      <w:rPr>
        <w:noProof/>
        <w:sz w:val="22"/>
        <w:szCs w:val="22"/>
        <w:lang w:val="de-CH"/>
      </w:rPr>
      <w:t>2</w:t>
    </w:r>
    <w:r w:rsidRPr="007559A6">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A13D5D"/>
    <w:multiLevelType w:val="hybridMultilevel"/>
    <w:tmpl w:val="A4945C00"/>
    <w:lvl w:ilvl="0" w:tplc="A07E792A">
      <w:start w:val="2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322050"/>
    <w:multiLevelType w:val="multilevel"/>
    <w:tmpl w:val="BEB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F7573"/>
    <w:multiLevelType w:val="multilevel"/>
    <w:tmpl w:val="13CC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20155"/>
    <w:multiLevelType w:val="hybridMultilevel"/>
    <w:tmpl w:val="75302992"/>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25800"/>
    <w:multiLevelType w:val="hybridMultilevel"/>
    <w:tmpl w:val="6010D68E"/>
    <w:lvl w:ilvl="0" w:tplc="DDB611A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364D53F3"/>
    <w:multiLevelType w:val="hybridMultilevel"/>
    <w:tmpl w:val="8E9EA9DA"/>
    <w:lvl w:ilvl="0" w:tplc="920A18F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7" w15:restartNumberingAfterBreak="0">
    <w:nsid w:val="3B7C46F5"/>
    <w:multiLevelType w:val="hybridMultilevel"/>
    <w:tmpl w:val="B8BE04CA"/>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5DC559D"/>
    <w:multiLevelType w:val="hybridMultilevel"/>
    <w:tmpl w:val="586468F0"/>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47943296"/>
    <w:multiLevelType w:val="multilevel"/>
    <w:tmpl w:val="A71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BA1306"/>
    <w:multiLevelType w:val="hybridMultilevel"/>
    <w:tmpl w:val="2B4EAB2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6"/>
  </w:num>
  <w:num w:numId="5">
    <w:abstractNumId w:val="3"/>
  </w:num>
  <w:num w:numId="6">
    <w:abstractNumId w:val="12"/>
  </w:num>
  <w:num w:numId="7">
    <w:abstractNumId w:val="9"/>
  </w:num>
  <w:num w:numId="8">
    <w:abstractNumId w:val="2"/>
  </w:num>
  <w:num w:numId="9">
    <w:abstractNumId w:val="13"/>
  </w:num>
  <w:num w:numId="10">
    <w:abstractNumId w:val="1"/>
  </w:num>
  <w:num w:numId="11">
    <w:abstractNumId w:val="0"/>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06"/>
    <w:rsid w:val="00001F69"/>
    <w:rsid w:val="00002716"/>
    <w:rsid w:val="00005791"/>
    <w:rsid w:val="00010827"/>
    <w:rsid w:val="00015089"/>
    <w:rsid w:val="0001695C"/>
    <w:rsid w:val="0002520B"/>
    <w:rsid w:val="00037A9E"/>
    <w:rsid w:val="00037F91"/>
    <w:rsid w:val="00053823"/>
    <w:rsid w:val="000539F1"/>
    <w:rsid w:val="00054747"/>
    <w:rsid w:val="0005521D"/>
    <w:rsid w:val="00055A2A"/>
    <w:rsid w:val="0006061C"/>
    <w:rsid w:val="00060F2E"/>
    <w:rsid w:val="000615C1"/>
    <w:rsid w:val="00061675"/>
    <w:rsid w:val="00073308"/>
    <w:rsid w:val="000743AA"/>
    <w:rsid w:val="0008219D"/>
    <w:rsid w:val="00086B55"/>
    <w:rsid w:val="0009225C"/>
    <w:rsid w:val="000A17C4"/>
    <w:rsid w:val="000A36A4"/>
    <w:rsid w:val="000A4D34"/>
    <w:rsid w:val="000B2352"/>
    <w:rsid w:val="000B3146"/>
    <w:rsid w:val="000B4957"/>
    <w:rsid w:val="000B650B"/>
    <w:rsid w:val="000C7B84"/>
    <w:rsid w:val="000C7E44"/>
    <w:rsid w:val="000D261B"/>
    <w:rsid w:val="000D58A3"/>
    <w:rsid w:val="000E3ED4"/>
    <w:rsid w:val="000E3F9C"/>
    <w:rsid w:val="000E5136"/>
    <w:rsid w:val="000E6850"/>
    <w:rsid w:val="000F1550"/>
    <w:rsid w:val="000F251B"/>
    <w:rsid w:val="000F5FE8"/>
    <w:rsid w:val="000F6644"/>
    <w:rsid w:val="00100833"/>
    <w:rsid w:val="00102F72"/>
    <w:rsid w:val="00107E85"/>
    <w:rsid w:val="00111787"/>
    <w:rsid w:val="00113EE8"/>
    <w:rsid w:val="0011455A"/>
    <w:rsid w:val="00114A65"/>
    <w:rsid w:val="001215CD"/>
    <w:rsid w:val="00133061"/>
    <w:rsid w:val="00141699"/>
    <w:rsid w:val="00147000"/>
    <w:rsid w:val="00163091"/>
    <w:rsid w:val="001631BC"/>
    <w:rsid w:val="001645CB"/>
    <w:rsid w:val="001647C3"/>
    <w:rsid w:val="00166305"/>
    <w:rsid w:val="00167545"/>
    <w:rsid w:val="00167760"/>
    <w:rsid w:val="001703C6"/>
    <w:rsid w:val="00173781"/>
    <w:rsid w:val="00175ADF"/>
    <w:rsid w:val="00175CAE"/>
    <w:rsid w:val="00176664"/>
    <w:rsid w:val="001828DB"/>
    <w:rsid w:val="00183163"/>
    <w:rsid w:val="001850FE"/>
    <w:rsid w:val="00185135"/>
    <w:rsid w:val="0019037C"/>
    <w:rsid w:val="001905A9"/>
    <w:rsid w:val="00191273"/>
    <w:rsid w:val="001942A7"/>
    <w:rsid w:val="0019587B"/>
    <w:rsid w:val="001A163D"/>
    <w:rsid w:val="001A441E"/>
    <w:rsid w:val="001A6733"/>
    <w:rsid w:val="001B357F"/>
    <w:rsid w:val="001B477A"/>
    <w:rsid w:val="001C3444"/>
    <w:rsid w:val="001C3702"/>
    <w:rsid w:val="001C4656"/>
    <w:rsid w:val="001C46BC"/>
    <w:rsid w:val="001D0551"/>
    <w:rsid w:val="001F23E6"/>
    <w:rsid w:val="001F4238"/>
    <w:rsid w:val="00200A38"/>
    <w:rsid w:val="00200A46"/>
    <w:rsid w:val="00211B6F"/>
    <w:rsid w:val="00217CC3"/>
    <w:rsid w:val="00220AB6"/>
    <w:rsid w:val="0022120F"/>
    <w:rsid w:val="0022754A"/>
    <w:rsid w:val="00231D64"/>
    <w:rsid w:val="0023309E"/>
    <w:rsid w:val="00236560"/>
    <w:rsid w:val="0023662E"/>
    <w:rsid w:val="00245D0F"/>
    <w:rsid w:val="00253C47"/>
    <w:rsid w:val="002548C3"/>
    <w:rsid w:val="00255A4F"/>
    <w:rsid w:val="00257ACD"/>
    <w:rsid w:val="00257BC7"/>
    <w:rsid w:val="00262908"/>
    <w:rsid w:val="002650F4"/>
    <w:rsid w:val="00266F15"/>
    <w:rsid w:val="002715FD"/>
    <w:rsid w:val="002770B1"/>
    <w:rsid w:val="00285B33"/>
    <w:rsid w:val="00287A3C"/>
    <w:rsid w:val="002A2FC6"/>
    <w:rsid w:val="002A7DEE"/>
    <w:rsid w:val="002C1EC7"/>
    <w:rsid w:val="002C4342"/>
    <w:rsid w:val="002C6B66"/>
    <w:rsid w:val="002C7EA3"/>
    <w:rsid w:val="002D20AE"/>
    <w:rsid w:val="002D6C61"/>
    <w:rsid w:val="002E2104"/>
    <w:rsid w:val="002E2DAC"/>
    <w:rsid w:val="002E6963"/>
    <w:rsid w:val="002E6F8F"/>
    <w:rsid w:val="002F05D8"/>
    <w:rsid w:val="002F1B97"/>
    <w:rsid w:val="002F2DE0"/>
    <w:rsid w:val="002F5E25"/>
    <w:rsid w:val="00302CF6"/>
    <w:rsid w:val="0030353C"/>
    <w:rsid w:val="003125C3"/>
    <w:rsid w:val="00312AE6"/>
    <w:rsid w:val="00317D1A"/>
    <w:rsid w:val="003211FF"/>
    <w:rsid w:val="00327247"/>
    <w:rsid w:val="00327A9D"/>
    <w:rsid w:val="0033130E"/>
    <w:rsid w:val="0033269C"/>
    <w:rsid w:val="003467F8"/>
    <w:rsid w:val="0035516C"/>
    <w:rsid w:val="00355A4C"/>
    <w:rsid w:val="003604FB"/>
    <w:rsid w:val="00360B73"/>
    <w:rsid w:val="0036351F"/>
    <w:rsid w:val="003708C3"/>
    <w:rsid w:val="00371A55"/>
    <w:rsid w:val="00380B71"/>
    <w:rsid w:val="00381987"/>
    <w:rsid w:val="0038365A"/>
    <w:rsid w:val="003844D4"/>
    <w:rsid w:val="00386A89"/>
    <w:rsid w:val="0039648E"/>
    <w:rsid w:val="003A5AFE"/>
    <w:rsid w:val="003A5D5F"/>
    <w:rsid w:val="003A7FFE"/>
    <w:rsid w:val="003B0A63"/>
    <w:rsid w:val="003B50E1"/>
    <w:rsid w:val="003C1746"/>
    <w:rsid w:val="003C2AA9"/>
    <w:rsid w:val="003C58BF"/>
    <w:rsid w:val="003D451D"/>
    <w:rsid w:val="003D60BE"/>
    <w:rsid w:val="003E5362"/>
    <w:rsid w:val="003F0DD1"/>
    <w:rsid w:val="003F2DD8"/>
    <w:rsid w:val="003F3F2D"/>
    <w:rsid w:val="003F50B2"/>
    <w:rsid w:val="00400CCF"/>
    <w:rsid w:val="00401BFF"/>
    <w:rsid w:val="00402ABC"/>
    <w:rsid w:val="00404424"/>
    <w:rsid w:val="0041156B"/>
    <w:rsid w:val="004122C5"/>
    <w:rsid w:val="00413B78"/>
    <w:rsid w:val="00416DDE"/>
    <w:rsid w:val="004258F6"/>
    <w:rsid w:val="004406B9"/>
    <w:rsid w:val="0044411E"/>
    <w:rsid w:val="00453435"/>
    <w:rsid w:val="0046447C"/>
    <w:rsid w:val="00466398"/>
    <w:rsid w:val="0047306D"/>
    <w:rsid w:val="00473791"/>
    <w:rsid w:val="00476E48"/>
    <w:rsid w:val="00481DE9"/>
    <w:rsid w:val="004867CF"/>
    <w:rsid w:val="0049128B"/>
    <w:rsid w:val="004933BE"/>
    <w:rsid w:val="00493B49"/>
    <w:rsid w:val="00495501"/>
    <w:rsid w:val="004A070A"/>
    <w:rsid w:val="004A320E"/>
    <w:rsid w:val="004A4E9C"/>
    <w:rsid w:val="004B1A3C"/>
    <w:rsid w:val="004D2CC3"/>
    <w:rsid w:val="004D35CB"/>
    <w:rsid w:val="004D5900"/>
    <w:rsid w:val="004E20E5"/>
    <w:rsid w:val="004E64EA"/>
    <w:rsid w:val="004E7828"/>
    <w:rsid w:val="004F46AA"/>
    <w:rsid w:val="004F6A70"/>
    <w:rsid w:val="004F70B7"/>
    <w:rsid w:val="00500AD7"/>
    <w:rsid w:val="00502ABF"/>
    <w:rsid w:val="00502E0A"/>
    <w:rsid w:val="005033A3"/>
    <w:rsid w:val="00504DB0"/>
    <w:rsid w:val="00507C35"/>
    <w:rsid w:val="00510735"/>
    <w:rsid w:val="00514D2F"/>
    <w:rsid w:val="0054420E"/>
    <w:rsid w:val="00544D1B"/>
    <w:rsid w:val="00545DC0"/>
    <w:rsid w:val="00545F6C"/>
    <w:rsid w:val="005465AD"/>
    <w:rsid w:val="005477D9"/>
    <w:rsid w:val="0055720C"/>
    <w:rsid w:val="005632DD"/>
    <w:rsid w:val="0056423B"/>
    <w:rsid w:val="00570AE8"/>
    <w:rsid w:val="00571DEA"/>
    <w:rsid w:val="00573424"/>
    <w:rsid w:val="0057402F"/>
    <w:rsid w:val="00580C19"/>
    <w:rsid w:val="005818AA"/>
    <w:rsid w:val="005849D6"/>
    <w:rsid w:val="005851DD"/>
    <w:rsid w:val="00585367"/>
    <w:rsid w:val="005871A1"/>
    <w:rsid w:val="0058737E"/>
    <w:rsid w:val="00592518"/>
    <w:rsid w:val="00592E87"/>
    <w:rsid w:val="00594C4D"/>
    <w:rsid w:val="005A33B0"/>
    <w:rsid w:val="005C2DC2"/>
    <w:rsid w:val="005C304A"/>
    <w:rsid w:val="005C3D69"/>
    <w:rsid w:val="005C7C98"/>
    <w:rsid w:val="005D483F"/>
    <w:rsid w:val="005D55A4"/>
    <w:rsid w:val="005D57C8"/>
    <w:rsid w:val="005D7761"/>
    <w:rsid w:val="005E0278"/>
    <w:rsid w:val="005E090D"/>
    <w:rsid w:val="005E39FD"/>
    <w:rsid w:val="005E3CA0"/>
    <w:rsid w:val="005E44B1"/>
    <w:rsid w:val="005E67B0"/>
    <w:rsid w:val="005E7047"/>
    <w:rsid w:val="005E777F"/>
    <w:rsid w:val="005F1CA7"/>
    <w:rsid w:val="005F43DD"/>
    <w:rsid w:val="005F51A9"/>
    <w:rsid w:val="005F6BE1"/>
    <w:rsid w:val="005F7416"/>
    <w:rsid w:val="005F7FEB"/>
    <w:rsid w:val="00600C11"/>
    <w:rsid w:val="00606B89"/>
    <w:rsid w:val="00611EAF"/>
    <w:rsid w:val="00623F30"/>
    <w:rsid w:val="00625FB8"/>
    <w:rsid w:val="006261BD"/>
    <w:rsid w:val="006344DC"/>
    <w:rsid w:val="00635EDB"/>
    <w:rsid w:val="0064734E"/>
    <w:rsid w:val="00650137"/>
    <w:rsid w:val="006509D7"/>
    <w:rsid w:val="00651CE8"/>
    <w:rsid w:val="0065521B"/>
    <w:rsid w:val="00671EF6"/>
    <w:rsid w:val="0067205B"/>
    <w:rsid w:val="006748F8"/>
    <w:rsid w:val="006801DE"/>
    <w:rsid w:val="00680489"/>
    <w:rsid w:val="006837A4"/>
    <w:rsid w:val="00683C32"/>
    <w:rsid w:val="00690BB2"/>
    <w:rsid w:val="00693D09"/>
    <w:rsid w:val="006A309F"/>
    <w:rsid w:val="006A6549"/>
    <w:rsid w:val="006A7710"/>
    <w:rsid w:val="006A7A61"/>
    <w:rsid w:val="006B1E59"/>
    <w:rsid w:val="006B2FFB"/>
    <w:rsid w:val="006C10A2"/>
    <w:rsid w:val="006C1BF0"/>
    <w:rsid w:val="006C1F18"/>
    <w:rsid w:val="006C2A77"/>
    <w:rsid w:val="006D3F3B"/>
    <w:rsid w:val="006D40D5"/>
    <w:rsid w:val="006F009A"/>
    <w:rsid w:val="006F3D93"/>
    <w:rsid w:val="007019B1"/>
    <w:rsid w:val="00702235"/>
    <w:rsid w:val="007058DE"/>
    <w:rsid w:val="0071245F"/>
    <w:rsid w:val="00720B60"/>
    <w:rsid w:val="00721657"/>
    <w:rsid w:val="007279A8"/>
    <w:rsid w:val="00727B1A"/>
    <w:rsid w:val="007337B2"/>
    <w:rsid w:val="00741337"/>
    <w:rsid w:val="00745A33"/>
    <w:rsid w:val="007462C6"/>
    <w:rsid w:val="00752258"/>
    <w:rsid w:val="007529E1"/>
    <w:rsid w:val="007559A6"/>
    <w:rsid w:val="00762880"/>
    <w:rsid w:val="00762AD6"/>
    <w:rsid w:val="00762E02"/>
    <w:rsid w:val="0077067C"/>
    <w:rsid w:val="00772290"/>
    <w:rsid w:val="007743EC"/>
    <w:rsid w:val="00777265"/>
    <w:rsid w:val="007805E7"/>
    <w:rsid w:val="0078222A"/>
    <w:rsid w:val="00787D48"/>
    <w:rsid w:val="0079351C"/>
    <w:rsid w:val="00795294"/>
    <w:rsid w:val="007A4E50"/>
    <w:rsid w:val="007A5F1F"/>
    <w:rsid w:val="007B18A7"/>
    <w:rsid w:val="007B250E"/>
    <w:rsid w:val="007C27FC"/>
    <w:rsid w:val="007C51FF"/>
    <w:rsid w:val="007C6769"/>
    <w:rsid w:val="007C7E88"/>
    <w:rsid w:val="007D50E4"/>
    <w:rsid w:val="007E2DC5"/>
    <w:rsid w:val="007F1CC7"/>
    <w:rsid w:val="008027AC"/>
    <w:rsid w:val="008028CE"/>
    <w:rsid w:val="0080332E"/>
    <w:rsid w:val="0080728E"/>
    <w:rsid w:val="008076DB"/>
    <w:rsid w:val="008141E0"/>
    <w:rsid w:val="00816EE1"/>
    <w:rsid w:val="00816F88"/>
    <w:rsid w:val="00816F9F"/>
    <w:rsid w:val="00822323"/>
    <w:rsid w:val="00824209"/>
    <w:rsid w:val="00827BC6"/>
    <w:rsid w:val="008300AD"/>
    <w:rsid w:val="008322B9"/>
    <w:rsid w:val="00833024"/>
    <w:rsid w:val="008419B1"/>
    <w:rsid w:val="00844A56"/>
    <w:rsid w:val="00845B11"/>
    <w:rsid w:val="00852081"/>
    <w:rsid w:val="00866CE6"/>
    <w:rsid w:val="00872B6E"/>
    <w:rsid w:val="00873569"/>
    <w:rsid w:val="00874DFD"/>
    <w:rsid w:val="008802F9"/>
    <w:rsid w:val="00883086"/>
    <w:rsid w:val="008879FD"/>
    <w:rsid w:val="00894C37"/>
    <w:rsid w:val="00896C2C"/>
    <w:rsid w:val="008A00EA"/>
    <w:rsid w:val="008A3F93"/>
    <w:rsid w:val="008A55D2"/>
    <w:rsid w:val="008A6236"/>
    <w:rsid w:val="008A6E1C"/>
    <w:rsid w:val="008A72FD"/>
    <w:rsid w:val="008B2EDF"/>
    <w:rsid w:val="008B53D1"/>
    <w:rsid w:val="008B54CB"/>
    <w:rsid w:val="008B5A3D"/>
    <w:rsid w:val="008C4010"/>
    <w:rsid w:val="008C4FDF"/>
    <w:rsid w:val="008C6B1F"/>
    <w:rsid w:val="008C7FAE"/>
    <w:rsid w:val="008D5E4F"/>
    <w:rsid w:val="008F14F5"/>
    <w:rsid w:val="008F2E73"/>
    <w:rsid w:val="008F71C1"/>
    <w:rsid w:val="00902D41"/>
    <w:rsid w:val="00902F49"/>
    <w:rsid w:val="00914004"/>
    <w:rsid w:val="00914279"/>
    <w:rsid w:val="00922EC1"/>
    <w:rsid w:val="00924103"/>
    <w:rsid w:val="009301F1"/>
    <w:rsid w:val="009307DF"/>
    <w:rsid w:val="0093121A"/>
    <w:rsid w:val="009356E7"/>
    <w:rsid w:val="009359B8"/>
    <w:rsid w:val="00935FF0"/>
    <w:rsid w:val="009402BC"/>
    <w:rsid w:val="0094076C"/>
    <w:rsid w:val="009431F8"/>
    <w:rsid w:val="00943D41"/>
    <w:rsid w:val="00947A35"/>
    <w:rsid w:val="0096201B"/>
    <w:rsid w:val="00962081"/>
    <w:rsid w:val="00966CB5"/>
    <w:rsid w:val="00975786"/>
    <w:rsid w:val="00977AF0"/>
    <w:rsid w:val="00981CB7"/>
    <w:rsid w:val="00983E1F"/>
    <w:rsid w:val="00993F46"/>
    <w:rsid w:val="00997358"/>
    <w:rsid w:val="009A0FD0"/>
    <w:rsid w:val="009A452B"/>
    <w:rsid w:val="009B050C"/>
    <w:rsid w:val="009B087F"/>
    <w:rsid w:val="009B2AF4"/>
    <w:rsid w:val="009C110B"/>
    <w:rsid w:val="009C5441"/>
    <w:rsid w:val="009D119F"/>
    <w:rsid w:val="009D49A2"/>
    <w:rsid w:val="009E08EB"/>
    <w:rsid w:val="009E5E83"/>
    <w:rsid w:val="009F0D3C"/>
    <w:rsid w:val="009F3940"/>
    <w:rsid w:val="009F3EB2"/>
    <w:rsid w:val="009F6EB1"/>
    <w:rsid w:val="00A11D05"/>
    <w:rsid w:val="00A13162"/>
    <w:rsid w:val="00A20267"/>
    <w:rsid w:val="00A240E8"/>
    <w:rsid w:val="00A3158C"/>
    <w:rsid w:val="00A32DF3"/>
    <w:rsid w:val="00A33E32"/>
    <w:rsid w:val="00A35E20"/>
    <w:rsid w:val="00A36F6D"/>
    <w:rsid w:val="00A46504"/>
    <w:rsid w:val="00A47F9E"/>
    <w:rsid w:val="00A50CA0"/>
    <w:rsid w:val="00A525CC"/>
    <w:rsid w:val="00A53E7C"/>
    <w:rsid w:val="00A60087"/>
    <w:rsid w:val="00A62474"/>
    <w:rsid w:val="00A63AB9"/>
    <w:rsid w:val="00A705E8"/>
    <w:rsid w:val="00A721F4"/>
    <w:rsid w:val="00A73DCA"/>
    <w:rsid w:val="00A8762A"/>
    <w:rsid w:val="00A9392C"/>
    <w:rsid w:val="00A9462B"/>
    <w:rsid w:val="00A97D59"/>
    <w:rsid w:val="00AA3E09"/>
    <w:rsid w:val="00AA4BEF"/>
    <w:rsid w:val="00AB1659"/>
    <w:rsid w:val="00AB4962"/>
    <w:rsid w:val="00AB734E"/>
    <w:rsid w:val="00AB740F"/>
    <w:rsid w:val="00AB75CD"/>
    <w:rsid w:val="00AC6BDD"/>
    <w:rsid w:val="00AC6F14"/>
    <w:rsid w:val="00AC7221"/>
    <w:rsid w:val="00AE5961"/>
    <w:rsid w:val="00AF0745"/>
    <w:rsid w:val="00AF4971"/>
    <w:rsid w:val="00AF5276"/>
    <w:rsid w:val="00AF7C86"/>
    <w:rsid w:val="00B01046"/>
    <w:rsid w:val="00B15F49"/>
    <w:rsid w:val="00B23ABC"/>
    <w:rsid w:val="00B310F9"/>
    <w:rsid w:val="00B37866"/>
    <w:rsid w:val="00B412FB"/>
    <w:rsid w:val="00B41EFD"/>
    <w:rsid w:val="00B4576B"/>
    <w:rsid w:val="00B46350"/>
    <w:rsid w:val="00B46DF3"/>
    <w:rsid w:val="00B656E3"/>
    <w:rsid w:val="00B66E8F"/>
    <w:rsid w:val="00B72906"/>
    <w:rsid w:val="00B80157"/>
    <w:rsid w:val="00B83D5E"/>
    <w:rsid w:val="00B8460A"/>
    <w:rsid w:val="00B8650D"/>
    <w:rsid w:val="00B879B4"/>
    <w:rsid w:val="00B90F07"/>
    <w:rsid w:val="00B96DB5"/>
    <w:rsid w:val="00B97BB9"/>
    <w:rsid w:val="00BA0009"/>
    <w:rsid w:val="00BA4C73"/>
    <w:rsid w:val="00BB1863"/>
    <w:rsid w:val="00BB25EE"/>
    <w:rsid w:val="00BB2AE1"/>
    <w:rsid w:val="00BB363A"/>
    <w:rsid w:val="00BC0360"/>
    <w:rsid w:val="00BC10A0"/>
    <w:rsid w:val="00BC7BA2"/>
    <w:rsid w:val="00BD426B"/>
    <w:rsid w:val="00BD4FC6"/>
    <w:rsid w:val="00BD79F0"/>
    <w:rsid w:val="00BE2B4D"/>
    <w:rsid w:val="00BE3185"/>
    <w:rsid w:val="00BF331D"/>
    <w:rsid w:val="00BF7E23"/>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1A70"/>
    <w:rsid w:val="00C848EF"/>
    <w:rsid w:val="00C86600"/>
    <w:rsid w:val="00C8692A"/>
    <w:rsid w:val="00C87149"/>
    <w:rsid w:val="00C87BCA"/>
    <w:rsid w:val="00C87EED"/>
    <w:rsid w:val="00C93BDB"/>
    <w:rsid w:val="00C94506"/>
    <w:rsid w:val="00C954BC"/>
    <w:rsid w:val="00CA1F0B"/>
    <w:rsid w:val="00CB110F"/>
    <w:rsid w:val="00CB2A2E"/>
    <w:rsid w:val="00CB338A"/>
    <w:rsid w:val="00CB79C5"/>
    <w:rsid w:val="00CC3314"/>
    <w:rsid w:val="00CC411F"/>
    <w:rsid w:val="00CC4B75"/>
    <w:rsid w:val="00CC732E"/>
    <w:rsid w:val="00CD2FCD"/>
    <w:rsid w:val="00CD3DDE"/>
    <w:rsid w:val="00CD7207"/>
    <w:rsid w:val="00CE0422"/>
    <w:rsid w:val="00CE0DBE"/>
    <w:rsid w:val="00CE5E4D"/>
    <w:rsid w:val="00CF02C4"/>
    <w:rsid w:val="00CF167F"/>
    <w:rsid w:val="00CF2E56"/>
    <w:rsid w:val="00CF72E5"/>
    <w:rsid w:val="00D013EE"/>
    <w:rsid w:val="00D01F54"/>
    <w:rsid w:val="00D040F7"/>
    <w:rsid w:val="00D041E5"/>
    <w:rsid w:val="00D04A76"/>
    <w:rsid w:val="00D04CE4"/>
    <w:rsid w:val="00D07DBB"/>
    <w:rsid w:val="00D10FC7"/>
    <w:rsid w:val="00D1519F"/>
    <w:rsid w:val="00D20099"/>
    <w:rsid w:val="00D20E99"/>
    <w:rsid w:val="00D21C83"/>
    <w:rsid w:val="00D22F3A"/>
    <w:rsid w:val="00D25034"/>
    <w:rsid w:val="00D27721"/>
    <w:rsid w:val="00D35BDD"/>
    <w:rsid w:val="00D63006"/>
    <w:rsid w:val="00D72301"/>
    <w:rsid w:val="00D911DE"/>
    <w:rsid w:val="00D91B97"/>
    <w:rsid w:val="00D93ACC"/>
    <w:rsid w:val="00D93C08"/>
    <w:rsid w:val="00D95DAC"/>
    <w:rsid w:val="00D96CF8"/>
    <w:rsid w:val="00DA0B53"/>
    <w:rsid w:val="00DB1171"/>
    <w:rsid w:val="00DB1519"/>
    <w:rsid w:val="00DB1B48"/>
    <w:rsid w:val="00DB2840"/>
    <w:rsid w:val="00DC0A72"/>
    <w:rsid w:val="00DC1BD3"/>
    <w:rsid w:val="00DC2299"/>
    <w:rsid w:val="00DC2C1A"/>
    <w:rsid w:val="00DC54EF"/>
    <w:rsid w:val="00DD66B4"/>
    <w:rsid w:val="00DE1972"/>
    <w:rsid w:val="00DE27AB"/>
    <w:rsid w:val="00DE61F0"/>
    <w:rsid w:val="00DF174A"/>
    <w:rsid w:val="00DF2AB3"/>
    <w:rsid w:val="00DF7250"/>
    <w:rsid w:val="00E00CAA"/>
    <w:rsid w:val="00E0187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1191"/>
    <w:rsid w:val="00E63B14"/>
    <w:rsid w:val="00E65CA0"/>
    <w:rsid w:val="00E70D9F"/>
    <w:rsid w:val="00E73C60"/>
    <w:rsid w:val="00E83810"/>
    <w:rsid w:val="00E86933"/>
    <w:rsid w:val="00E9605B"/>
    <w:rsid w:val="00E97298"/>
    <w:rsid w:val="00E97753"/>
    <w:rsid w:val="00EA7DE7"/>
    <w:rsid w:val="00EB7A8A"/>
    <w:rsid w:val="00EC36AB"/>
    <w:rsid w:val="00EC454C"/>
    <w:rsid w:val="00EE0CA8"/>
    <w:rsid w:val="00EE3A64"/>
    <w:rsid w:val="00EE50E5"/>
    <w:rsid w:val="00EE790B"/>
    <w:rsid w:val="00EF01CF"/>
    <w:rsid w:val="00EF0A6C"/>
    <w:rsid w:val="00F03590"/>
    <w:rsid w:val="00F03622"/>
    <w:rsid w:val="00F077FD"/>
    <w:rsid w:val="00F124FF"/>
    <w:rsid w:val="00F167FA"/>
    <w:rsid w:val="00F204F3"/>
    <w:rsid w:val="00F216B4"/>
    <w:rsid w:val="00F218AB"/>
    <w:rsid w:val="00F238B3"/>
    <w:rsid w:val="00F24FED"/>
    <w:rsid w:val="00F25586"/>
    <w:rsid w:val="00F2651D"/>
    <w:rsid w:val="00F27362"/>
    <w:rsid w:val="00F30185"/>
    <w:rsid w:val="00F31498"/>
    <w:rsid w:val="00F32FEF"/>
    <w:rsid w:val="00F3771D"/>
    <w:rsid w:val="00F41B1C"/>
    <w:rsid w:val="00F42E13"/>
    <w:rsid w:val="00F42F1C"/>
    <w:rsid w:val="00F43B44"/>
    <w:rsid w:val="00F440E5"/>
    <w:rsid w:val="00F448F6"/>
    <w:rsid w:val="00F46C84"/>
    <w:rsid w:val="00F52741"/>
    <w:rsid w:val="00F53D8A"/>
    <w:rsid w:val="00F626F7"/>
    <w:rsid w:val="00F736F9"/>
    <w:rsid w:val="00F73833"/>
    <w:rsid w:val="00F74196"/>
    <w:rsid w:val="00F77A87"/>
    <w:rsid w:val="00F9211C"/>
    <w:rsid w:val="00F9457F"/>
    <w:rsid w:val="00FA095D"/>
    <w:rsid w:val="00FA283C"/>
    <w:rsid w:val="00FA6C8B"/>
    <w:rsid w:val="00FA6CDA"/>
    <w:rsid w:val="00FA7C89"/>
    <w:rsid w:val="00FB4139"/>
    <w:rsid w:val="00FB476E"/>
    <w:rsid w:val="00FC0D90"/>
    <w:rsid w:val="00FC7D8C"/>
    <w:rsid w:val="00FD3980"/>
    <w:rsid w:val="00FD431E"/>
    <w:rsid w:val="00FD5A2C"/>
    <w:rsid w:val="00FD6ABE"/>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1F235A"/>
  <w15:docId w15:val="{3ECD7F88-2243-4BD9-9522-F52A19C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E0187A"/>
    <w:rPr>
      <w:color w:val="605E5C"/>
      <w:shd w:val="clear" w:color="auto" w:fill="E1DFDD"/>
    </w:rPr>
  </w:style>
  <w:style w:type="character" w:customStyle="1" w:styleId="apple-converted-space">
    <w:name w:val="apple-converted-space"/>
    <w:basedOn w:val="DefaultParagraphFont"/>
    <w:rsid w:val="00D25034"/>
  </w:style>
  <w:style w:type="paragraph" w:styleId="BalloonText">
    <w:name w:val="Balloon Text"/>
    <w:basedOn w:val="Normal"/>
    <w:link w:val="BalloonTextChar"/>
    <w:semiHidden/>
    <w:unhideWhenUsed/>
    <w:rsid w:val="007022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2235"/>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87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8-TDAG25.2-C-003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0\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D31809782B643801D6F0079815277" ma:contentTypeVersion="7" ma:contentTypeDescription="Create a new document." ma:contentTypeScope="" ma:versionID="ebaaf76327973c5c048a1179e1742a67">
  <xsd:schema xmlns:xsd="http://www.w3.org/2001/XMLSchema" xmlns:xs="http://www.w3.org/2001/XMLSchema" xmlns:p="http://schemas.microsoft.com/office/2006/metadata/properties" xmlns:ns3="19978beb-ff1d-4bed-896c-532c4589527b" xmlns:ns4="e26013a6-dd53-4f81-a3aa-aa9e274cd820" targetNamespace="http://schemas.microsoft.com/office/2006/metadata/properties" ma:root="true" ma:fieldsID="0744ceeecc251a373240490d780adc35" ns3:_="" ns4:_="">
    <xsd:import namespace="19978beb-ff1d-4bed-896c-532c4589527b"/>
    <xsd:import namespace="e26013a6-dd53-4f81-a3aa-aa9e274cd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8beb-ff1d-4bed-896c-532c4589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013a6-dd53-4f81-a3aa-aa9e274cd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9ECC-ECFB-44A0-B12C-74B5FF1F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8beb-ff1d-4bed-896c-532c4589527b"/>
    <ds:schemaRef ds:uri="e26013a6-dd53-4f81-a3aa-aa9e274c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146C9-1729-443C-83DE-B5E04AAB4427}">
  <ds:schemaRefs>
    <ds:schemaRef ds:uri="http://schemas.microsoft.com/sharepoint/v3/contenttype/forms"/>
  </ds:schemaRefs>
</ds:datastoreItem>
</file>

<file path=customXml/itemProps3.xml><?xml version="1.0" encoding="utf-8"?>
<ds:datastoreItem xmlns:ds="http://schemas.openxmlformats.org/officeDocument/2006/customXml" ds:itemID="{74C44050-4CD8-4F0C-A34C-F64102E10A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C5F01B-5F1E-4977-A23C-90BBCE50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1</TotalTime>
  <Pages>3</Pages>
  <Words>589</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Comas Barnes, Maite</cp:lastModifiedBy>
  <cp:revision>2</cp:revision>
  <cp:lastPrinted>2020-05-20T19:18:00Z</cp:lastPrinted>
  <dcterms:created xsi:type="dcterms:W3CDTF">2020-06-04T12:33:00Z</dcterms:created>
  <dcterms:modified xsi:type="dcterms:W3CDTF">2020-06-04T12:33:00Z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0x01010066AD31809782B643801D6F0079815277</vt:lpwstr>
  </property>
</Properties>
</file>