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821996" w:rsidRPr="001E1B8B" w14:paraId="07C3D63B" w14:textId="77777777" w:rsidTr="0054502F">
        <w:trPr>
          <w:cantSplit/>
          <w:trHeight w:val="1134"/>
        </w:trPr>
        <w:tc>
          <w:tcPr>
            <w:tcW w:w="6663" w:type="dxa"/>
          </w:tcPr>
          <w:p w14:paraId="601AD9D9" w14:textId="77777777" w:rsidR="00821996" w:rsidRPr="001E1B8B" w:rsidRDefault="00821996" w:rsidP="007E2DC5">
            <w:pPr>
              <w:tabs>
                <w:tab w:val="clear" w:pos="1191"/>
                <w:tab w:val="clear" w:pos="1588"/>
                <w:tab w:val="clear" w:pos="1985"/>
              </w:tabs>
              <w:ind w:left="34"/>
              <w:rPr>
                <w:b/>
                <w:bCs/>
                <w:sz w:val="32"/>
                <w:szCs w:val="32"/>
              </w:rPr>
            </w:pPr>
            <w:r w:rsidRPr="001E1B8B">
              <w:rPr>
                <w:b/>
                <w:bCs/>
                <w:sz w:val="32"/>
                <w:szCs w:val="32"/>
              </w:rPr>
              <w:t>Telecommunication Development</w:t>
            </w:r>
            <w:r w:rsidRPr="001E1B8B">
              <w:rPr>
                <w:b/>
                <w:bCs/>
                <w:sz w:val="32"/>
                <w:szCs w:val="32"/>
              </w:rPr>
              <w:br/>
              <w:t>Advisory Group (TDAG)</w:t>
            </w:r>
          </w:p>
          <w:p w14:paraId="0124407D" w14:textId="77777777" w:rsidR="00821996" w:rsidRPr="001E1B8B" w:rsidRDefault="002C3015" w:rsidP="001B7935">
            <w:pPr>
              <w:tabs>
                <w:tab w:val="clear" w:pos="1191"/>
                <w:tab w:val="clear" w:pos="1588"/>
                <w:tab w:val="clear" w:pos="1985"/>
              </w:tabs>
              <w:spacing w:before="100" w:after="120"/>
              <w:ind w:left="34"/>
              <w:rPr>
                <w:rFonts w:ascii="Verdana" w:hAnsi="Verdana"/>
                <w:sz w:val="28"/>
                <w:szCs w:val="28"/>
              </w:rPr>
            </w:pPr>
            <w:r w:rsidRPr="001E1B8B">
              <w:rPr>
                <w:b/>
                <w:bCs/>
                <w:sz w:val="26"/>
                <w:szCs w:val="26"/>
              </w:rPr>
              <w:t>2</w:t>
            </w:r>
            <w:r w:rsidR="00B648C7" w:rsidRPr="001E1B8B">
              <w:rPr>
                <w:b/>
                <w:bCs/>
                <w:sz w:val="26"/>
                <w:szCs w:val="26"/>
              </w:rPr>
              <w:t>5</w:t>
            </w:r>
            <w:r w:rsidRPr="001E1B8B">
              <w:rPr>
                <w:b/>
                <w:bCs/>
                <w:sz w:val="26"/>
                <w:szCs w:val="26"/>
              </w:rPr>
              <w:t xml:space="preserve">th Meeting, Geneva, </w:t>
            </w:r>
            <w:r w:rsidR="00B648C7" w:rsidRPr="001E1B8B">
              <w:rPr>
                <w:b/>
                <w:bCs/>
                <w:sz w:val="26"/>
                <w:szCs w:val="26"/>
              </w:rPr>
              <w:t>24</w:t>
            </w:r>
            <w:r w:rsidRPr="001E1B8B">
              <w:rPr>
                <w:b/>
                <w:bCs/>
                <w:sz w:val="26"/>
                <w:szCs w:val="26"/>
              </w:rPr>
              <w:t>-</w:t>
            </w:r>
            <w:r w:rsidR="00B648C7" w:rsidRPr="001E1B8B">
              <w:rPr>
                <w:b/>
                <w:bCs/>
                <w:sz w:val="26"/>
                <w:szCs w:val="26"/>
              </w:rPr>
              <w:t>27 March</w:t>
            </w:r>
            <w:r w:rsidRPr="001E1B8B">
              <w:rPr>
                <w:b/>
                <w:bCs/>
                <w:sz w:val="26"/>
                <w:szCs w:val="26"/>
              </w:rPr>
              <w:t xml:space="preserve"> </w:t>
            </w:r>
            <w:r w:rsidR="007D731B" w:rsidRPr="001E1B8B">
              <w:rPr>
                <w:b/>
                <w:bCs/>
                <w:sz w:val="26"/>
                <w:szCs w:val="26"/>
              </w:rPr>
              <w:t>2020</w:t>
            </w:r>
          </w:p>
        </w:tc>
        <w:tc>
          <w:tcPr>
            <w:tcW w:w="3225" w:type="dxa"/>
          </w:tcPr>
          <w:p w14:paraId="66CAA90A" w14:textId="77777777" w:rsidR="00821996" w:rsidRPr="001E1B8B" w:rsidRDefault="00561796" w:rsidP="00107E85">
            <w:pPr>
              <w:spacing w:before="0"/>
              <w:ind w:right="142"/>
              <w:jc w:val="right"/>
            </w:pPr>
            <w:r w:rsidRPr="001E1B8B">
              <w:rPr>
                <w:noProof/>
                <w:color w:val="3399FF"/>
                <w:lang w:eastAsia="en-GB"/>
              </w:rPr>
              <w:drawing>
                <wp:inline distT="0" distB="0" distL="0" distR="0" wp14:anchorId="341B4B36" wp14:editId="16212359">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683C32" w:rsidRPr="001E1B8B" w14:paraId="111E1597" w14:textId="77777777" w:rsidTr="00107E85">
        <w:trPr>
          <w:cantSplit/>
        </w:trPr>
        <w:tc>
          <w:tcPr>
            <w:tcW w:w="6663" w:type="dxa"/>
            <w:tcBorders>
              <w:top w:val="single" w:sz="12" w:space="0" w:color="auto"/>
            </w:tcBorders>
          </w:tcPr>
          <w:p w14:paraId="7EFE3C18" w14:textId="77777777" w:rsidR="00683C32" w:rsidRPr="001E1B8B" w:rsidRDefault="00683C32" w:rsidP="00107E85">
            <w:pPr>
              <w:spacing w:before="0"/>
              <w:rPr>
                <w:rFonts w:cs="Arial"/>
                <w:b/>
                <w:bCs/>
                <w:sz w:val="20"/>
              </w:rPr>
            </w:pPr>
          </w:p>
        </w:tc>
        <w:tc>
          <w:tcPr>
            <w:tcW w:w="3225" w:type="dxa"/>
            <w:tcBorders>
              <w:top w:val="single" w:sz="12" w:space="0" w:color="auto"/>
            </w:tcBorders>
          </w:tcPr>
          <w:p w14:paraId="7A545A6E" w14:textId="77777777" w:rsidR="00683C32" w:rsidRPr="001E1B8B" w:rsidRDefault="00683C32" w:rsidP="00107E85">
            <w:pPr>
              <w:spacing w:before="0"/>
              <w:rPr>
                <w:b/>
                <w:bCs/>
                <w:sz w:val="20"/>
              </w:rPr>
            </w:pPr>
          </w:p>
        </w:tc>
      </w:tr>
      <w:tr w:rsidR="00683C32" w:rsidRPr="001E1B8B" w14:paraId="78F299CD" w14:textId="77777777" w:rsidTr="00107E85">
        <w:trPr>
          <w:cantSplit/>
        </w:trPr>
        <w:tc>
          <w:tcPr>
            <w:tcW w:w="6663" w:type="dxa"/>
          </w:tcPr>
          <w:p w14:paraId="4A2EFD6C" w14:textId="77777777" w:rsidR="00683C32" w:rsidRPr="001E1B8B" w:rsidRDefault="00683C32" w:rsidP="00400CCF">
            <w:pPr>
              <w:pStyle w:val="Committee"/>
              <w:spacing w:before="0"/>
              <w:rPr>
                <w:b w:val="0"/>
                <w:szCs w:val="24"/>
              </w:rPr>
            </w:pPr>
          </w:p>
        </w:tc>
        <w:tc>
          <w:tcPr>
            <w:tcW w:w="3225" w:type="dxa"/>
          </w:tcPr>
          <w:p w14:paraId="07BD0196" w14:textId="77777777" w:rsidR="00683C32" w:rsidRPr="001E1B8B" w:rsidRDefault="0096201B" w:rsidP="00191571">
            <w:pPr>
              <w:spacing w:before="0"/>
              <w:jc w:val="both"/>
              <w:rPr>
                <w:bCs/>
                <w:szCs w:val="24"/>
              </w:rPr>
            </w:pPr>
            <w:r w:rsidRPr="001E1B8B">
              <w:rPr>
                <w:b/>
                <w:bCs/>
              </w:rPr>
              <w:t xml:space="preserve">Document </w:t>
            </w:r>
            <w:bookmarkStart w:id="0" w:name="DocRef1"/>
            <w:bookmarkEnd w:id="0"/>
            <w:r w:rsidRPr="001E1B8B">
              <w:rPr>
                <w:b/>
                <w:bCs/>
              </w:rPr>
              <w:t>TDAG</w:t>
            </w:r>
            <w:r w:rsidR="003242AB" w:rsidRPr="001E1B8B">
              <w:rPr>
                <w:b/>
                <w:bCs/>
              </w:rPr>
              <w:t>-</w:t>
            </w:r>
            <w:r w:rsidR="00B648C7" w:rsidRPr="001E1B8B">
              <w:rPr>
                <w:b/>
                <w:bCs/>
              </w:rPr>
              <w:t>20</w:t>
            </w:r>
            <w:r w:rsidRPr="001E1B8B">
              <w:rPr>
                <w:b/>
                <w:bCs/>
              </w:rPr>
              <w:t>/</w:t>
            </w:r>
            <w:bookmarkStart w:id="1" w:name="DocNo1"/>
            <w:bookmarkEnd w:id="1"/>
            <w:r w:rsidR="00191571" w:rsidRPr="001E1B8B">
              <w:rPr>
                <w:b/>
                <w:bCs/>
              </w:rPr>
              <w:t>2</w:t>
            </w:r>
            <w:r w:rsidRPr="001E1B8B">
              <w:rPr>
                <w:b/>
                <w:bCs/>
              </w:rPr>
              <w:t>-E</w:t>
            </w:r>
          </w:p>
        </w:tc>
      </w:tr>
      <w:tr w:rsidR="00683C32" w:rsidRPr="001E1B8B" w14:paraId="66E9BA97" w14:textId="77777777" w:rsidTr="00107E85">
        <w:trPr>
          <w:cantSplit/>
        </w:trPr>
        <w:tc>
          <w:tcPr>
            <w:tcW w:w="6663" w:type="dxa"/>
          </w:tcPr>
          <w:p w14:paraId="0E03442A" w14:textId="77777777" w:rsidR="00683C32" w:rsidRPr="001E1B8B" w:rsidRDefault="00683C32" w:rsidP="00400CCF">
            <w:pPr>
              <w:spacing w:before="0"/>
              <w:rPr>
                <w:b/>
                <w:bCs/>
                <w:smallCaps/>
                <w:szCs w:val="24"/>
              </w:rPr>
            </w:pPr>
          </w:p>
        </w:tc>
        <w:tc>
          <w:tcPr>
            <w:tcW w:w="3225" w:type="dxa"/>
          </w:tcPr>
          <w:p w14:paraId="2E5AA7F2" w14:textId="1156CD71" w:rsidR="00683C32" w:rsidRPr="001E1B8B" w:rsidRDefault="00761651" w:rsidP="00C73365">
            <w:pPr>
              <w:spacing w:before="0"/>
              <w:rPr>
                <w:b/>
                <w:szCs w:val="24"/>
              </w:rPr>
            </w:pPr>
            <w:bookmarkStart w:id="2" w:name="CreationDate"/>
            <w:bookmarkEnd w:id="2"/>
            <w:r w:rsidRPr="00761651">
              <w:rPr>
                <w:b/>
                <w:bCs/>
                <w:szCs w:val="28"/>
              </w:rPr>
              <w:t>2</w:t>
            </w:r>
            <w:r w:rsidR="00191571" w:rsidRPr="00761651">
              <w:rPr>
                <w:b/>
                <w:bCs/>
                <w:szCs w:val="28"/>
              </w:rPr>
              <w:t xml:space="preserve"> </w:t>
            </w:r>
            <w:r w:rsidRPr="00761651">
              <w:rPr>
                <w:b/>
                <w:bCs/>
                <w:szCs w:val="28"/>
              </w:rPr>
              <w:t>March</w:t>
            </w:r>
            <w:r w:rsidR="00CE0422" w:rsidRPr="00761651">
              <w:rPr>
                <w:b/>
                <w:bCs/>
                <w:szCs w:val="28"/>
              </w:rPr>
              <w:t xml:space="preserve"> 20</w:t>
            </w:r>
            <w:r w:rsidR="00B648C7" w:rsidRPr="00761651">
              <w:rPr>
                <w:b/>
                <w:bCs/>
                <w:szCs w:val="28"/>
              </w:rPr>
              <w:t>20</w:t>
            </w:r>
          </w:p>
        </w:tc>
      </w:tr>
      <w:tr w:rsidR="00683C32" w:rsidRPr="001E1B8B" w14:paraId="1150B90D" w14:textId="77777777" w:rsidTr="00107E85">
        <w:trPr>
          <w:cantSplit/>
        </w:trPr>
        <w:tc>
          <w:tcPr>
            <w:tcW w:w="6663" w:type="dxa"/>
          </w:tcPr>
          <w:p w14:paraId="2FA81E3B" w14:textId="77777777" w:rsidR="00683C32" w:rsidRPr="001E1B8B" w:rsidRDefault="00683C32" w:rsidP="00400CCF">
            <w:pPr>
              <w:spacing w:before="0"/>
              <w:rPr>
                <w:b/>
                <w:bCs/>
                <w:smallCaps/>
                <w:szCs w:val="24"/>
              </w:rPr>
            </w:pPr>
          </w:p>
        </w:tc>
        <w:tc>
          <w:tcPr>
            <w:tcW w:w="3225" w:type="dxa"/>
          </w:tcPr>
          <w:p w14:paraId="5F9C7C12" w14:textId="77777777" w:rsidR="00514D2F" w:rsidRPr="001E1B8B" w:rsidRDefault="0096201B" w:rsidP="00400CCF">
            <w:pPr>
              <w:spacing w:before="0"/>
              <w:rPr>
                <w:szCs w:val="24"/>
              </w:rPr>
            </w:pPr>
            <w:r w:rsidRPr="001E1B8B">
              <w:rPr>
                <w:b/>
              </w:rPr>
              <w:t>Original:</w:t>
            </w:r>
            <w:bookmarkStart w:id="3" w:name="Original"/>
            <w:bookmarkEnd w:id="3"/>
            <w:r w:rsidR="00CE0422" w:rsidRPr="001E1B8B">
              <w:rPr>
                <w:b/>
              </w:rPr>
              <w:t xml:space="preserve"> </w:t>
            </w:r>
            <w:r w:rsidR="00191571" w:rsidRPr="001E1B8B">
              <w:rPr>
                <w:b/>
              </w:rPr>
              <w:t>English</w:t>
            </w:r>
          </w:p>
        </w:tc>
      </w:tr>
      <w:tr w:rsidR="00A13162" w:rsidRPr="001E1B8B" w14:paraId="53E7265D" w14:textId="77777777" w:rsidTr="00107E85">
        <w:trPr>
          <w:cantSplit/>
          <w:trHeight w:val="852"/>
        </w:trPr>
        <w:tc>
          <w:tcPr>
            <w:tcW w:w="9888" w:type="dxa"/>
            <w:gridSpan w:val="2"/>
          </w:tcPr>
          <w:p w14:paraId="60D7DA86" w14:textId="77777777" w:rsidR="00A13162" w:rsidRPr="001E1B8B" w:rsidRDefault="00191571" w:rsidP="0030353C">
            <w:pPr>
              <w:pStyle w:val="Source"/>
            </w:pPr>
            <w:bookmarkStart w:id="4" w:name="Source"/>
            <w:bookmarkEnd w:id="4"/>
            <w:r w:rsidRPr="001E1B8B">
              <w:t>Director, Telecommunication Development Bureau</w:t>
            </w:r>
          </w:p>
        </w:tc>
      </w:tr>
      <w:tr w:rsidR="00AC6F14" w:rsidRPr="001E1B8B" w14:paraId="4EFE89C5" w14:textId="77777777" w:rsidTr="00107E85">
        <w:trPr>
          <w:cantSplit/>
        </w:trPr>
        <w:tc>
          <w:tcPr>
            <w:tcW w:w="9888" w:type="dxa"/>
            <w:gridSpan w:val="2"/>
          </w:tcPr>
          <w:p w14:paraId="65B795E6" w14:textId="77777777" w:rsidR="00AC6F14" w:rsidRPr="001E1B8B" w:rsidRDefault="00191571" w:rsidP="00191571">
            <w:pPr>
              <w:pStyle w:val="Title1"/>
              <w:rPr>
                <w:rFonts w:cs="Times New Roman"/>
                <w:bCs/>
                <w:caps/>
              </w:rPr>
            </w:pPr>
            <w:bookmarkStart w:id="5" w:name="Title"/>
            <w:bookmarkEnd w:id="5"/>
            <w:r w:rsidRPr="001E1B8B">
              <w:rPr>
                <w:rFonts w:cs="Times New Roman"/>
                <w:bCs/>
                <w:caps/>
              </w:rPr>
              <w:t xml:space="preserve">2019 progress report on the implementation </w:t>
            </w:r>
            <w:r w:rsidRPr="001E1B8B">
              <w:rPr>
                <w:rFonts w:cs="Times New Roman"/>
                <w:bCs/>
                <w:caps/>
              </w:rPr>
              <w:br/>
              <w:t>of the Buenos Aires Action Plan</w:t>
            </w:r>
          </w:p>
        </w:tc>
      </w:tr>
      <w:tr w:rsidR="00A721F4" w:rsidRPr="001E1B8B" w14:paraId="6E3CFD0F" w14:textId="77777777" w:rsidTr="00A721F4">
        <w:trPr>
          <w:cantSplit/>
        </w:trPr>
        <w:tc>
          <w:tcPr>
            <w:tcW w:w="9888" w:type="dxa"/>
            <w:gridSpan w:val="2"/>
            <w:tcBorders>
              <w:bottom w:val="single" w:sz="4" w:space="0" w:color="auto"/>
            </w:tcBorders>
          </w:tcPr>
          <w:p w14:paraId="15F83604" w14:textId="77777777" w:rsidR="00A721F4" w:rsidRPr="001E1B8B" w:rsidRDefault="00A721F4" w:rsidP="0030353C"/>
        </w:tc>
      </w:tr>
      <w:tr w:rsidR="00A721F4" w:rsidRPr="001E1B8B" w14:paraId="2986C636"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6641A22D" w14:textId="130DAF8B" w:rsidR="00DB618E" w:rsidRPr="001E1B8B" w:rsidRDefault="00DB618E" w:rsidP="00DB618E">
            <w:pPr>
              <w:spacing w:before="240"/>
              <w:rPr>
                <w:b/>
                <w:bCs/>
                <w:szCs w:val="24"/>
              </w:rPr>
            </w:pPr>
            <w:r w:rsidRPr="001E1B8B">
              <w:rPr>
                <w:b/>
                <w:bCs/>
                <w:szCs w:val="24"/>
              </w:rPr>
              <w:t>Summary:</w:t>
            </w:r>
          </w:p>
          <w:p w14:paraId="7EF7769B" w14:textId="3DF8A07C" w:rsidR="00DB618E" w:rsidRPr="001E1B8B" w:rsidRDefault="00B95F96" w:rsidP="00B95F96">
            <w:pPr>
              <w:rPr>
                <w:rFonts w:cstheme="minorHAnsi"/>
                <w:color w:val="000000" w:themeColor="text1"/>
              </w:rPr>
            </w:pPr>
            <w:r w:rsidRPr="001E1B8B">
              <w:rPr>
                <w:rFonts w:cstheme="minorHAnsi"/>
              </w:rPr>
              <w:t xml:space="preserve">In 2019, BDT began a journey of change to create a Bureau that is becoming more relevant and able to keep pace with the fast-changing environment in the development space it serves, a bureau that responds effectively to </w:t>
            </w:r>
            <w:r w:rsidR="00782328" w:rsidRPr="001E1B8B">
              <w:rPr>
                <w:rFonts w:cstheme="minorHAnsi"/>
              </w:rPr>
              <w:t xml:space="preserve">the needs of </w:t>
            </w:r>
            <w:r w:rsidRPr="001E1B8B">
              <w:rPr>
                <w:rFonts w:cstheme="minorHAnsi"/>
              </w:rPr>
              <w:t>Member States and Sector Member</w:t>
            </w:r>
            <w:r w:rsidR="00782328" w:rsidRPr="001E1B8B">
              <w:rPr>
                <w:rFonts w:cstheme="minorHAnsi"/>
              </w:rPr>
              <w:t>s</w:t>
            </w:r>
            <w:r w:rsidRPr="001E1B8B">
              <w:rPr>
                <w:rFonts w:cstheme="minorHAnsi"/>
              </w:rPr>
              <w:t xml:space="preserve">, and one that can demonstrate impact and results: a Fit4Purpose BDT. Following extensive internal consultations, BDT has adopted new innovative ways of working, laying the foundations that will ensure a more effective implementation of the </w:t>
            </w:r>
            <w:hyperlink r:id="rId9" w:history="1">
              <w:r w:rsidRPr="001E1B8B">
                <w:rPr>
                  <w:rStyle w:val="Hyperlink"/>
                  <w:rFonts w:cstheme="minorHAnsi"/>
                  <w:color w:val="00B0F0"/>
                </w:rPr>
                <w:t>Buenos Aires Action Plan</w:t>
              </w:r>
            </w:hyperlink>
            <w:r w:rsidRPr="001E1B8B">
              <w:rPr>
                <w:rFonts w:cstheme="minorHAnsi"/>
                <w:color w:val="00B0F0"/>
              </w:rPr>
              <w:t xml:space="preserve">. </w:t>
            </w:r>
            <w:r w:rsidRPr="001E1B8B">
              <w:rPr>
                <w:rFonts w:cstheme="minorHAnsi"/>
                <w:szCs w:val="24"/>
                <w:shd w:val="clear" w:color="auto" w:fill="FFFFFF"/>
              </w:rPr>
              <w:t>This report features some of the key results of 2019 for each thematic priority as progress is made towards the implementation of the Buenos Aires Action Plan.</w:t>
            </w:r>
          </w:p>
          <w:p w14:paraId="7D359351" w14:textId="77777777" w:rsidR="00A721F4" w:rsidRPr="001E1B8B" w:rsidRDefault="00A721F4" w:rsidP="00A721F4">
            <w:pPr>
              <w:rPr>
                <w:b/>
                <w:bCs/>
                <w:szCs w:val="24"/>
              </w:rPr>
            </w:pPr>
            <w:r w:rsidRPr="001E1B8B">
              <w:rPr>
                <w:b/>
                <w:bCs/>
              </w:rPr>
              <w:t>Action required:</w:t>
            </w:r>
          </w:p>
          <w:p w14:paraId="0B61744E" w14:textId="77777777" w:rsidR="00A721F4" w:rsidRPr="001E1B8B" w:rsidRDefault="00191571" w:rsidP="00A721F4">
            <w:pPr>
              <w:rPr>
                <w:szCs w:val="24"/>
              </w:rPr>
            </w:pPr>
            <w:r w:rsidRPr="001E1B8B">
              <w:rPr>
                <w:szCs w:val="24"/>
              </w:rPr>
              <w:t>TDAG is invited to examine this report and provide guidance as deemed appropriate.</w:t>
            </w:r>
          </w:p>
          <w:p w14:paraId="34B77AC6" w14:textId="77777777" w:rsidR="00A721F4" w:rsidRPr="001E1B8B" w:rsidRDefault="00A721F4" w:rsidP="00A721F4">
            <w:pPr>
              <w:rPr>
                <w:b/>
                <w:bCs/>
                <w:szCs w:val="24"/>
              </w:rPr>
            </w:pPr>
            <w:r w:rsidRPr="001E1B8B">
              <w:rPr>
                <w:b/>
                <w:bCs/>
                <w:szCs w:val="24"/>
              </w:rPr>
              <w:t>References:</w:t>
            </w:r>
          </w:p>
          <w:p w14:paraId="7DEDDEBC" w14:textId="77777777" w:rsidR="00A721F4" w:rsidRPr="001E1B8B" w:rsidRDefault="00191571" w:rsidP="00191571">
            <w:pPr>
              <w:spacing w:after="120"/>
            </w:pPr>
            <w:r w:rsidRPr="001E1B8B">
              <w:t>WTDC-17 Buenos Aires Action Plan</w:t>
            </w:r>
          </w:p>
        </w:tc>
      </w:tr>
    </w:tbl>
    <w:p w14:paraId="326EDF75" w14:textId="77777777" w:rsidR="00191571" w:rsidRPr="001E1B8B" w:rsidRDefault="00191571" w:rsidP="00191571">
      <w:pPr>
        <w:keepNext/>
        <w:spacing w:before="240"/>
        <w:rPr>
          <w:rFonts w:cstheme="minorHAnsi"/>
          <w:b/>
          <w:bCs/>
          <w:szCs w:val="24"/>
        </w:rPr>
      </w:pPr>
      <w:r w:rsidRPr="001E1B8B">
        <w:rPr>
          <w:rFonts w:cstheme="minorHAnsi"/>
          <w:b/>
          <w:bCs/>
          <w:szCs w:val="24"/>
        </w:rPr>
        <w:t>Introduction</w:t>
      </w:r>
    </w:p>
    <w:p w14:paraId="25677805" w14:textId="103D9084" w:rsidR="00B95F96" w:rsidRPr="001E1B8B" w:rsidRDefault="00B95F96">
      <w:pPr>
        <w:pStyle w:val="NormalWeb"/>
        <w:spacing w:before="120" w:beforeAutospacing="0" w:after="0" w:afterAutospacing="0"/>
        <w:ind w:right="-52"/>
        <w:rPr>
          <w:rFonts w:asciiTheme="minorHAnsi" w:hAnsiTheme="minorHAnsi" w:cstheme="minorHAnsi"/>
          <w:color w:val="000000" w:themeColor="text1"/>
        </w:rPr>
      </w:pPr>
      <w:r w:rsidRPr="001E1B8B">
        <w:rPr>
          <w:rFonts w:asciiTheme="minorHAnsi" w:hAnsiTheme="minorHAnsi" w:cstheme="minorHAnsi"/>
        </w:rPr>
        <w:t xml:space="preserve">In 2019, BDT began a journey of change to create a Bureau that is able to keep pace with the fast-changing environment in which it serves, that responds effectively to </w:t>
      </w:r>
      <w:r w:rsidR="00782328" w:rsidRPr="001E1B8B">
        <w:rPr>
          <w:rFonts w:asciiTheme="minorHAnsi" w:hAnsiTheme="minorHAnsi" w:cstheme="minorHAnsi"/>
        </w:rPr>
        <w:t>the needs of Member States and Sector Members</w:t>
      </w:r>
      <w:r w:rsidRPr="001E1B8B">
        <w:rPr>
          <w:rFonts w:asciiTheme="minorHAnsi" w:hAnsiTheme="minorHAnsi" w:cstheme="minorHAnsi"/>
        </w:rPr>
        <w:t xml:space="preserve">, and that is more relevant and demonstrates impact and results: a Fit4Purpose BDT. Following extensive internal consultations, BDT has adopted new innovative ways of working, laying foundations that will ensure timely and efficient implementation of the </w:t>
      </w:r>
      <w:hyperlink r:id="rId10" w:history="1">
        <w:r w:rsidRPr="001E1B8B">
          <w:rPr>
            <w:rStyle w:val="Hyperlink"/>
            <w:rFonts w:asciiTheme="minorHAnsi" w:hAnsiTheme="minorHAnsi" w:cstheme="minorHAnsi"/>
            <w:color w:val="00B0F0"/>
          </w:rPr>
          <w:t>Buenos Aires Action Plan</w:t>
        </w:r>
      </w:hyperlink>
      <w:r w:rsidRPr="001E1B8B">
        <w:rPr>
          <w:rFonts w:asciiTheme="minorHAnsi" w:hAnsiTheme="minorHAnsi" w:cstheme="minorHAnsi"/>
          <w:color w:val="00B0F0"/>
        </w:rPr>
        <w:t>.</w:t>
      </w:r>
    </w:p>
    <w:p w14:paraId="0D742A64" w14:textId="118845D7" w:rsidR="00B95F96" w:rsidRPr="001E1B8B" w:rsidRDefault="007B5A36">
      <w:pPr>
        <w:rPr>
          <w:rFonts w:cstheme="minorHAnsi"/>
          <w:color w:val="000000" w:themeColor="text1"/>
        </w:rPr>
      </w:pPr>
      <w:r w:rsidRPr="001E1B8B">
        <w:rPr>
          <w:rFonts w:cstheme="minorHAnsi"/>
          <w:color w:val="000000" w:themeColor="text1"/>
        </w:rPr>
        <w:t xml:space="preserve">The </w:t>
      </w:r>
      <w:r w:rsidR="00B95F96" w:rsidRPr="001E1B8B">
        <w:rPr>
          <w:rFonts w:cstheme="minorHAnsi"/>
          <w:color w:val="000000" w:themeColor="text1"/>
        </w:rPr>
        <w:t xml:space="preserve">BDT journey for change is a participatory and open consultative process, which relies heavily on feedback and discussion with Member States and Sector Members. </w:t>
      </w:r>
      <w:r w:rsidR="00B95F96" w:rsidRPr="001E1B8B">
        <w:rPr>
          <w:rFonts w:cstheme="minorHAnsi"/>
          <w:szCs w:val="24"/>
        </w:rPr>
        <w:t>This consultative process has helped to streamline priorities and goals, accelerating BDT responsiveness while strengthening its impact.</w:t>
      </w:r>
    </w:p>
    <w:p w14:paraId="3C8AF840" w14:textId="7FDD9BA9" w:rsidR="00B95F96" w:rsidRPr="001E1B8B" w:rsidRDefault="00B95F96">
      <w:pPr>
        <w:rPr>
          <w:rFonts w:cstheme="minorHAnsi"/>
          <w:i/>
          <w:iCs/>
          <w:szCs w:val="24"/>
        </w:rPr>
      </w:pPr>
      <w:r w:rsidRPr="001E1B8B">
        <w:rPr>
          <w:rFonts w:cstheme="minorHAnsi"/>
          <w:szCs w:val="24"/>
        </w:rPr>
        <w:lastRenderedPageBreak/>
        <w:t xml:space="preserve">BDT efforts towards digital transformation through meaningful connectivity are people centric, where the focus is on listening to the people </w:t>
      </w:r>
      <w:r w:rsidR="00782328" w:rsidRPr="001E1B8B">
        <w:rPr>
          <w:rFonts w:cstheme="minorHAnsi"/>
          <w:szCs w:val="24"/>
        </w:rPr>
        <w:t>who</w:t>
      </w:r>
      <w:r w:rsidRPr="001E1B8B">
        <w:rPr>
          <w:rFonts w:cstheme="minorHAnsi"/>
          <w:szCs w:val="24"/>
        </w:rPr>
        <w:t xml:space="preserve"> BDT is trying to reach, allowing for a better assessment of their needs to improve their lives. The services offered by BDT need to provide real value and impact to the people it serves. </w:t>
      </w:r>
    </w:p>
    <w:p w14:paraId="3A627263" w14:textId="547488EC" w:rsidR="00B95F96" w:rsidRPr="001E1B8B" w:rsidRDefault="00B95F96">
      <w:pPr>
        <w:rPr>
          <w:rFonts w:cstheme="minorHAnsi"/>
          <w:szCs w:val="24"/>
        </w:rPr>
      </w:pPr>
      <w:r w:rsidRPr="001E1B8B">
        <w:rPr>
          <w:rFonts w:cstheme="minorHAnsi"/>
          <w:szCs w:val="24"/>
        </w:rPr>
        <w:t>For this purpose, BDT has adopted a cluster-based approach.  The clusters, defined by the programmes of the Buenos Aires Action Plan,</w:t>
      </w:r>
      <w:r w:rsidRPr="001E1B8B" w:rsidDel="00EF3E38">
        <w:rPr>
          <w:rFonts w:cstheme="minorHAnsi"/>
          <w:szCs w:val="24"/>
        </w:rPr>
        <w:t xml:space="preserve"> </w:t>
      </w:r>
      <w:r w:rsidRPr="001E1B8B">
        <w:rPr>
          <w:rFonts w:cstheme="minorHAnsi"/>
          <w:szCs w:val="24"/>
        </w:rPr>
        <w:t xml:space="preserve">will sharpen BDT focus on thematic priorities, and thus strengthen </w:t>
      </w:r>
      <w:r w:rsidR="007B5A36" w:rsidRPr="001E1B8B">
        <w:rPr>
          <w:rFonts w:cstheme="minorHAnsi"/>
          <w:szCs w:val="24"/>
        </w:rPr>
        <w:t>the</w:t>
      </w:r>
      <w:r w:rsidRPr="001E1B8B">
        <w:rPr>
          <w:rFonts w:cstheme="minorHAnsi"/>
          <w:szCs w:val="24"/>
        </w:rPr>
        <w:t xml:space="preserve"> impact for ICT development, while also facilitating coordination and synergy across key programmes, projects, and initiatives.</w:t>
      </w:r>
    </w:p>
    <w:p w14:paraId="7157A656" w14:textId="1949E04C" w:rsidR="00427FD0" w:rsidRPr="001E1B8B" w:rsidRDefault="00B95F96">
      <w:pPr>
        <w:rPr>
          <w:rFonts w:cstheme="minorHAnsi"/>
          <w:szCs w:val="24"/>
        </w:rPr>
      </w:pPr>
      <w:r w:rsidRPr="001E1B8B">
        <w:rPr>
          <w:rFonts w:cstheme="minorHAnsi"/>
          <w:szCs w:val="24"/>
        </w:rPr>
        <w:t>Furthermore, the organization of the work program</w:t>
      </w:r>
      <w:r w:rsidR="00EE19CD" w:rsidRPr="001E1B8B">
        <w:rPr>
          <w:rFonts w:cstheme="minorHAnsi"/>
          <w:szCs w:val="24"/>
        </w:rPr>
        <w:t>me</w:t>
      </w:r>
      <w:r w:rsidRPr="001E1B8B">
        <w:rPr>
          <w:rFonts w:cstheme="minorHAnsi"/>
          <w:szCs w:val="24"/>
        </w:rPr>
        <w:t xml:space="preserve"> around thematic priorities will improve delivery of:</w:t>
      </w:r>
    </w:p>
    <w:p w14:paraId="01FEEAAD" w14:textId="27F7A0B9" w:rsidR="004A25E4" w:rsidRPr="001E1B8B" w:rsidRDefault="008C7034" w:rsidP="002D4CEB">
      <w:pPr>
        <w:pStyle w:val="ListParagraph"/>
        <w:numPr>
          <w:ilvl w:val="0"/>
          <w:numId w:val="23"/>
        </w:numPr>
        <w:spacing w:before="40" w:after="40"/>
        <w:contextualSpacing w:val="0"/>
        <w:rPr>
          <w:rFonts w:ascii="Calibri" w:eastAsia="Calibri" w:hAnsi="Calibri" w:cs="Calibri"/>
        </w:rPr>
      </w:pPr>
      <w:r w:rsidRPr="001E1B8B">
        <w:rPr>
          <w:rFonts w:ascii="Calibri" w:eastAsia="Calibri" w:hAnsi="Calibri" w:cs="Calibri"/>
        </w:rPr>
        <w:t>t</w:t>
      </w:r>
      <w:r w:rsidR="004A25E4" w:rsidRPr="001E1B8B">
        <w:rPr>
          <w:rFonts w:ascii="Calibri" w:eastAsia="Calibri" w:hAnsi="Calibri" w:cs="Calibri"/>
        </w:rPr>
        <w:t>he WTDC-17 goals and objectives;</w:t>
      </w:r>
    </w:p>
    <w:p w14:paraId="2B7D9D01" w14:textId="0BD26298" w:rsidR="004A25E4" w:rsidRPr="001E1B8B" w:rsidRDefault="008C7034" w:rsidP="002D4CEB">
      <w:pPr>
        <w:pStyle w:val="ListParagraph"/>
        <w:numPr>
          <w:ilvl w:val="0"/>
          <w:numId w:val="23"/>
        </w:numPr>
        <w:spacing w:before="40" w:after="40"/>
        <w:contextualSpacing w:val="0"/>
        <w:rPr>
          <w:rFonts w:ascii="Calibri" w:eastAsia="Calibri" w:hAnsi="Calibri" w:cs="Calibri"/>
        </w:rPr>
      </w:pPr>
      <w:r w:rsidRPr="001E1B8B">
        <w:rPr>
          <w:rFonts w:ascii="Calibri" w:eastAsia="Calibri" w:hAnsi="Calibri" w:cs="Calibri"/>
        </w:rPr>
        <w:t>t</w:t>
      </w:r>
      <w:r w:rsidR="004A25E4" w:rsidRPr="001E1B8B">
        <w:rPr>
          <w:rFonts w:ascii="Calibri" w:eastAsia="Calibri" w:hAnsi="Calibri" w:cs="Calibri"/>
        </w:rPr>
        <w:t>he Connect 2030 agenda; and</w:t>
      </w:r>
    </w:p>
    <w:p w14:paraId="0CFD0503" w14:textId="7461FA51" w:rsidR="004A25E4" w:rsidRPr="001E1B8B" w:rsidRDefault="008C7034" w:rsidP="002D4CEB">
      <w:pPr>
        <w:pStyle w:val="ListParagraph"/>
        <w:numPr>
          <w:ilvl w:val="0"/>
          <w:numId w:val="23"/>
        </w:numPr>
        <w:spacing w:before="40" w:after="40"/>
        <w:contextualSpacing w:val="0"/>
        <w:rPr>
          <w:rFonts w:ascii="Calibri" w:eastAsia="Calibri" w:hAnsi="Calibri" w:cs="Calibri"/>
        </w:rPr>
      </w:pPr>
      <w:r w:rsidRPr="001E1B8B">
        <w:rPr>
          <w:rFonts w:ascii="Calibri" w:eastAsia="Calibri" w:hAnsi="Calibri" w:cs="Calibri"/>
        </w:rPr>
        <w:t>t</w:t>
      </w:r>
      <w:r w:rsidR="004A25E4" w:rsidRPr="001E1B8B">
        <w:rPr>
          <w:rFonts w:ascii="Calibri" w:eastAsia="Calibri" w:hAnsi="Calibri" w:cs="Calibri"/>
        </w:rPr>
        <w:t>he 2030 Sustainable Development Agenda.</w:t>
      </w:r>
    </w:p>
    <w:p w14:paraId="0C8024BD" w14:textId="60A9A1D5" w:rsidR="00B95F96" w:rsidRPr="001E1B8B" w:rsidRDefault="00B95F96">
      <w:pPr>
        <w:rPr>
          <w:rFonts w:cstheme="minorHAnsi"/>
          <w:szCs w:val="24"/>
          <w:shd w:val="clear" w:color="auto" w:fill="FFFFFF"/>
        </w:rPr>
      </w:pPr>
      <w:r w:rsidRPr="001E1B8B">
        <w:rPr>
          <w:rFonts w:cstheme="minorHAnsi"/>
          <w:szCs w:val="24"/>
          <w:shd w:val="clear" w:color="auto" w:fill="FFFFFF"/>
        </w:rPr>
        <w:t>To ensure an efficient and effective implementation of the BDT work program</w:t>
      </w:r>
      <w:r w:rsidR="007B5A36" w:rsidRPr="001E1B8B">
        <w:rPr>
          <w:rFonts w:cstheme="minorHAnsi"/>
          <w:szCs w:val="24"/>
          <w:shd w:val="clear" w:color="auto" w:fill="FFFFFF"/>
        </w:rPr>
        <w:t>me</w:t>
      </w:r>
      <w:r w:rsidRPr="001E1B8B">
        <w:rPr>
          <w:rFonts w:cstheme="minorHAnsi"/>
          <w:szCs w:val="24"/>
          <w:shd w:val="clear" w:color="auto" w:fill="FFFFFF"/>
        </w:rPr>
        <w:t xml:space="preserve">, the Bureau has expanded its results-based management (RBM) approach beyond the one introduced in </w:t>
      </w:r>
      <w:r w:rsidR="004F07E7">
        <w:rPr>
          <w:rFonts w:cstheme="minorHAnsi"/>
          <w:szCs w:val="24"/>
          <w:shd w:val="clear" w:color="auto" w:fill="FFFFFF"/>
        </w:rPr>
        <w:t>2006</w:t>
      </w:r>
      <w:bookmarkStart w:id="6" w:name="_GoBack"/>
      <w:bookmarkEnd w:id="6"/>
      <w:r w:rsidRPr="001E1B8B">
        <w:rPr>
          <w:rFonts w:cstheme="minorHAnsi"/>
          <w:szCs w:val="24"/>
          <w:shd w:val="clear" w:color="auto" w:fill="FFFFFF"/>
        </w:rPr>
        <w:t xml:space="preserve"> to address both the planning and implementation</w:t>
      </w:r>
      <w:r w:rsidRPr="001E1B8B">
        <w:rPr>
          <w:rFonts w:cstheme="minorHAnsi"/>
          <w:i/>
          <w:iCs/>
          <w:szCs w:val="24"/>
          <w:shd w:val="clear" w:color="auto" w:fill="FFFFFF"/>
        </w:rPr>
        <w:t xml:space="preserve"> </w:t>
      </w:r>
      <w:r w:rsidRPr="001E1B8B">
        <w:rPr>
          <w:rFonts w:cstheme="minorHAnsi"/>
          <w:szCs w:val="24"/>
          <w:shd w:val="clear" w:color="auto" w:fill="FFFFFF"/>
        </w:rPr>
        <w:t>phases. For this purpose, complete theories of change for each BDT thematic priority have been developed, which will guide the work program</w:t>
      </w:r>
      <w:r w:rsidR="007B5A36" w:rsidRPr="001E1B8B">
        <w:rPr>
          <w:rFonts w:cstheme="minorHAnsi"/>
          <w:szCs w:val="24"/>
          <w:shd w:val="clear" w:color="auto" w:fill="FFFFFF"/>
        </w:rPr>
        <w:t>me</w:t>
      </w:r>
      <w:r w:rsidRPr="001E1B8B">
        <w:rPr>
          <w:rFonts w:cstheme="minorHAnsi"/>
          <w:szCs w:val="24"/>
          <w:shd w:val="clear" w:color="auto" w:fill="FFFFFF"/>
        </w:rPr>
        <w:t xml:space="preserve"> implementation, and serve as tools for monitoring progress towards meaningful connectivity. </w:t>
      </w:r>
    </w:p>
    <w:p w14:paraId="2B0E235B" w14:textId="77777777" w:rsidR="00B95F96" w:rsidRPr="001E1B8B" w:rsidRDefault="00B95F96">
      <w:pPr>
        <w:rPr>
          <w:rFonts w:cstheme="minorHAnsi"/>
          <w:szCs w:val="24"/>
          <w:shd w:val="clear" w:color="auto" w:fill="FFFFFF"/>
        </w:rPr>
      </w:pPr>
      <w:r w:rsidRPr="001E1B8B">
        <w:rPr>
          <w:rFonts w:cstheme="minorHAnsi"/>
          <w:szCs w:val="24"/>
          <w:shd w:val="clear" w:color="auto" w:fill="FFFFFF"/>
        </w:rPr>
        <w:t xml:space="preserve">BDT has made substantial progress with the development of a comprehensive RBM framework, including all supporting theory of change building blocks, such as: </w:t>
      </w:r>
    </w:p>
    <w:p w14:paraId="586F127A" w14:textId="2798B8D9" w:rsidR="00B95F96" w:rsidRPr="001E1B8B" w:rsidRDefault="00B95F96" w:rsidP="006E3EE7">
      <w:pPr>
        <w:pStyle w:val="ListParagraph"/>
        <w:numPr>
          <w:ilvl w:val="0"/>
          <w:numId w:val="41"/>
        </w:numPr>
        <w:ind w:left="437" w:hanging="437"/>
        <w:rPr>
          <w:rFonts w:cstheme="minorHAnsi"/>
          <w:szCs w:val="24"/>
          <w:shd w:val="clear" w:color="auto" w:fill="FFFFFF"/>
        </w:rPr>
      </w:pPr>
      <w:r w:rsidRPr="001E1B8B">
        <w:rPr>
          <w:rFonts w:cstheme="minorHAnsi"/>
          <w:szCs w:val="24"/>
          <w:shd w:val="clear" w:color="auto" w:fill="FFFFFF"/>
        </w:rPr>
        <w:t>impact pathways, which follow thematic activity workstreams to identify the delivered outputs, the reached target recipients, the changes in capacity of the recipient population, and the resulting behaviour changes, translating into wider impact,</w:t>
      </w:r>
    </w:p>
    <w:p w14:paraId="76629F39" w14:textId="5BFD238E" w:rsidR="00B95F96" w:rsidRPr="001E1B8B" w:rsidRDefault="00B95F96" w:rsidP="006E3EE7">
      <w:pPr>
        <w:pStyle w:val="ListParagraph"/>
        <w:numPr>
          <w:ilvl w:val="0"/>
          <w:numId w:val="41"/>
        </w:numPr>
        <w:ind w:left="437" w:hanging="437"/>
        <w:rPr>
          <w:rFonts w:cstheme="minorHAnsi"/>
          <w:szCs w:val="24"/>
          <w:shd w:val="clear" w:color="auto" w:fill="FFFFFF"/>
        </w:rPr>
      </w:pPr>
      <w:r w:rsidRPr="001E1B8B">
        <w:rPr>
          <w:rFonts w:cstheme="minorHAnsi"/>
          <w:szCs w:val="24"/>
          <w:shd w:val="clear" w:color="auto" w:fill="FFFFFF"/>
        </w:rPr>
        <w:t>the articulation of the underlying assumptions and operational risks, which allow to monitor where progress is stalling or blocked, and based on this feedback to quickly learn and readjust the initial planning assumptions of the work program</w:t>
      </w:r>
      <w:r w:rsidR="00EE19CD" w:rsidRPr="001E1B8B">
        <w:rPr>
          <w:rFonts w:cstheme="minorHAnsi"/>
          <w:szCs w:val="24"/>
          <w:shd w:val="clear" w:color="auto" w:fill="FFFFFF"/>
        </w:rPr>
        <w:t>me</w:t>
      </w:r>
      <w:r w:rsidRPr="001E1B8B">
        <w:rPr>
          <w:rFonts w:cstheme="minorHAnsi"/>
          <w:szCs w:val="24"/>
          <w:shd w:val="clear" w:color="auto" w:fill="FFFFFF"/>
        </w:rPr>
        <w:t xml:space="preserve"> to bring it back on track, </w:t>
      </w:r>
    </w:p>
    <w:p w14:paraId="408334A9" w14:textId="77777777" w:rsidR="00B95F96" w:rsidRPr="001E1B8B" w:rsidRDefault="00B95F96" w:rsidP="006E3EE7">
      <w:pPr>
        <w:pStyle w:val="ListParagraph"/>
        <w:numPr>
          <w:ilvl w:val="0"/>
          <w:numId w:val="41"/>
        </w:numPr>
        <w:ind w:left="437" w:hanging="437"/>
        <w:rPr>
          <w:shd w:val="clear" w:color="auto" w:fill="FFFFFF"/>
        </w:rPr>
      </w:pPr>
      <w:r w:rsidRPr="001E1B8B">
        <w:rPr>
          <w:shd w:val="clear" w:color="auto" w:fill="FFFFFF"/>
        </w:rPr>
        <w:t xml:space="preserve">SMART key performance indicators (KPIs), which provide the qualitative or quantitative tools to continuously measure and record our achievements towards the articulated medium- and longer-term thematic goals. </w:t>
      </w:r>
    </w:p>
    <w:p w14:paraId="709D1867" w14:textId="344E29E1" w:rsidR="00B95F96" w:rsidRPr="001E1B8B" w:rsidRDefault="00B95F96">
      <w:pPr>
        <w:rPr>
          <w:rFonts w:cstheme="minorHAnsi"/>
          <w:szCs w:val="24"/>
          <w:shd w:val="clear" w:color="auto" w:fill="FFFFFF"/>
        </w:rPr>
      </w:pPr>
      <w:r w:rsidRPr="001E1B8B">
        <w:rPr>
          <w:rFonts w:cstheme="minorHAnsi"/>
          <w:szCs w:val="24"/>
          <w:shd w:val="clear" w:color="auto" w:fill="FFFFFF"/>
        </w:rPr>
        <w:t>The RBM approach also re-emphasizes BDT focus on partnering with a wide range of stakeholders, including other United Nations agencies, other funding agencies, Member States and Sector Members, both to reduce the risks as well as increase scope and impact as outlined in the impact pathways. This complete RBM framework will substantially enhance the services and enable BDT to show and communicate impact and value creation in improving people’s lives.</w:t>
      </w:r>
    </w:p>
    <w:p w14:paraId="55BE0899" w14:textId="77777777" w:rsidR="00B95F96" w:rsidRPr="001E1B8B" w:rsidRDefault="00B95F96">
      <w:pPr>
        <w:rPr>
          <w:rFonts w:cstheme="minorHAnsi"/>
          <w:szCs w:val="24"/>
          <w:shd w:val="clear" w:color="auto" w:fill="FFFFFF"/>
        </w:rPr>
      </w:pPr>
      <w:r w:rsidRPr="001E1B8B">
        <w:rPr>
          <w:rFonts w:cstheme="minorHAnsi"/>
          <w:szCs w:val="24"/>
          <w:shd w:val="clear" w:color="auto" w:fill="FFFFFF"/>
        </w:rPr>
        <w:t>This report features some of the key results of 2019 for each thematic priority as progress is made towards the implementation of the Buenos Aires Action Plan.</w:t>
      </w:r>
    </w:p>
    <w:p w14:paraId="7FAEFE79" w14:textId="77777777" w:rsidR="00782328" w:rsidRPr="001E1B8B" w:rsidRDefault="00B95F96" w:rsidP="006E3EE7">
      <w:pPr>
        <w:rPr>
          <w:rFonts w:cstheme="minorHAnsi"/>
          <w:szCs w:val="24"/>
          <w:shd w:val="clear" w:color="auto" w:fill="FFFFFF"/>
        </w:rPr>
      </w:pPr>
      <w:r w:rsidRPr="001E1B8B">
        <w:rPr>
          <w:rFonts w:cstheme="minorHAnsi"/>
          <w:szCs w:val="24"/>
          <w:shd w:val="clear" w:color="auto" w:fill="FFFFFF"/>
        </w:rPr>
        <w:t>Against this backdrop, BDT will continue in 2020 to strengthen its focus on the thematic priorities of the Buenos Aires Action Plan for sustainable impact and advanc</w:t>
      </w:r>
      <w:r w:rsidR="00782328" w:rsidRPr="001E1B8B">
        <w:rPr>
          <w:rFonts w:cstheme="minorHAnsi"/>
          <w:szCs w:val="24"/>
          <w:shd w:val="clear" w:color="auto" w:fill="FFFFFF"/>
        </w:rPr>
        <w:t>e</w:t>
      </w:r>
      <w:r w:rsidRPr="001E1B8B">
        <w:rPr>
          <w:rFonts w:cstheme="minorHAnsi"/>
          <w:szCs w:val="24"/>
          <w:shd w:val="clear" w:color="auto" w:fill="FFFFFF"/>
        </w:rPr>
        <w:t xml:space="preserve"> digital transformation for all in 2020 and beyond. 2020 will also offer an opportunity to build on the adoption of new technologies and develop and expand existing methodologies and inspire others through sharing of best practices.</w:t>
      </w:r>
    </w:p>
    <w:p w14:paraId="483B4DAB" w14:textId="297C2CA2" w:rsidR="00191571" w:rsidRDefault="00191571" w:rsidP="002D4CEB">
      <w:pPr>
        <w:keepNext/>
        <w:jc w:val="center"/>
        <w:rPr>
          <w:b/>
          <w:bCs/>
        </w:rPr>
      </w:pPr>
      <w:r w:rsidRPr="001E1B8B">
        <w:rPr>
          <w:b/>
          <w:bCs/>
        </w:rPr>
        <w:lastRenderedPageBreak/>
        <w:t xml:space="preserve">2019 </w:t>
      </w:r>
      <w:r w:rsidR="00B35E72" w:rsidRPr="001E1B8B">
        <w:rPr>
          <w:b/>
          <w:bCs/>
        </w:rPr>
        <w:t>PROGRESS REPORT</w:t>
      </w:r>
    </w:p>
    <w:p w14:paraId="261F61F4" w14:textId="5772BC85" w:rsidR="009A30A6" w:rsidRPr="001E1B8B" w:rsidRDefault="00563C28" w:rsidP="00786585">
      <w:pPr>
        <w:keepNext/>
        <w:tabs>
          <w:tab w:val="clear" w:pos="794"/>
          <w:tab w:val="clear" w:pos="1191"/>
          <w:tab w:val="clear" w:pos="1588"/>
          <w:tab w:val="clear" w:pos="1985"/>
        </w:tabs>
        <w:spacing w:before="240"/>
        <w:rPr>
          <w:b/>
          <w:bCs/>
        </w:rPr>
      </w:pPr>
      <w:r w:rsidRPr="001E1B8B">
        <w:rPr>
          <w:b/>
          <w:bCs/>
        </w:rPr>
        <w:t>1</w:t>
      </w:r>
      <w:r w:rsidR="00B35E72" w:rsidRPr="001E1B8B">
        <w:rPr>
          <w:b/>
          <w:bCs/>
        </w:rPr>
        <w:t>.</w:t>
      </w:r>
      <w:r w:rsidR="00786585" w:rsidRPr="001E1B8B">
        <w:rPr>
          <w:b/>
          <w:bCs/>
        </w:rPr>
        <w:tab/>
      </w:r>
      <w:r w:rsidR="00A6503E" w:rsidRPr="001E1B8B">
        <w:rPr>
          <w:b/>
          <w:bCs/>
        </w:rPr>
        <w:t>Capacity development</w:t>
      </w:r>
      <w:r w:rsidR="00724A01" w:rsidRPr="001E1B8B">
        <w:rPr>
          <w:b/>
          <w:bCs/>
        </w:rPr>
        <w:t xml:space="preserve">: </w:t>
      </w:r>
      <w:r w:rsidR="00A6503E" w:rsidRPr="001E1B8B">
        <w:rPr>
          <w:b/>
          <w:bCs/>
        </w:rPr>
        <w:t>B</w:t>
      </w:r>
      <w:r w:rsidR="00724A01" w:rsidRPr="001E1B8B">
        <w:rPr>
          <w:b/>
          <w:bCs/>
        </w:rPr>
        <w:t>uilding a digitally competent society</w:t>
      </w:r>
    </w:p>
    <w:p w14:paraId="1CFD9666" w14:textId="4C58A633" w:rsidR="00DA1CBF" w:rsidRPr="001E1B8B" w:rsidRDefault="00563C28" w:rsidP="00B245A9">
      <w:pPr>
        <w:pStyle w:val="NormalWeb"/>
        <w:keepNext/>
        <w:shd w:val="clear" w:color="auto" w:fill="FFFFFF"/>
        <w:spacing w:before="120" w:beforeAutospacing="0" w:after="0" w:afterAutospacing="0"/>
        <w:textAlignment w:val="baseline"/>
        <w:rPr>
          <w:rFonts w:asciiTheme="minorHAnsi" w:hAnsiTheme="minorHAnsi" w:cstheme="minorHAnsi"/>
        </w:rPr>
      </w:pPr>
      <w:r w:rsidRPr="001E1B8B">
        <w:rPr>
          <w:rFonts w:asciiTheme="minorHAnsi" w:hAnsiTheme="minorHAnsi" w:cstheme="minorHAnsi"/>
        </w:rPr>
        <w:t>1.1</w:t>
      </w:r>
      <w:r w:rsidRPr="001E1B8B">
        <w:rPr>
          <w:rFonts w:asciiTheme="minorHAnsi" w:hAnsiTheme="minorHAnsi" w:cstheme="minorHAnsi"/>
        </w:rPr>
        <w:tab/>
      </w:r>
      <w:r w:rsidR="00245CEA" w:rsidRPr="001E1B8B">
        <w:rPr>
          <w:rFonts w:asciiTheme="minorHAnsi" w:hAnsiTheme="minorHAnsi" w:cstheme="minorHAnsi"/>
          <w:b/>
        </w:rPr>
        <w:t xml:space="preserve">ITU </w:t>
      </w:r>
      <w:r w:rsidR="00A6503E" w:rsidRPr="001E1B8B">
        <w:rPr>
          <w:rFonts w:asciiTheme="minorHAnsi" w:hAnsiTheme="minorHAnsi" w:cstheme="minorHAnsi"/>
          <w:b/>
        </w:rPr>
        <w:t>Academy platform redesigned</w:t>
      </w:r>
    </w:p>
    <w:p w14:paraId="477F88D7" w14:textId="3D33D8B2" w:rsidR="00724A01" w:rsidRPr="001E1B8B" w:rsidRDefault="005644E4" w:rsidP="00D31FFE">
      <w:pPr>
        <w:pStyle w:val="NormalWeb"/>
        <w:shd w:val="clear" w:color="auto" w:fill="FFFFFF"/>
        <w:spacing w:before="120" w:beforeAutospacing="0" w:after="0" w:afterAutospacing="0"/>
        <w:textAlignment w:val="baseline"/>
        <w:rPr>
          <w:rFonts w:asciiTheme="minorHAnsi" w:hAnsiTheme="minorHAnsi" w:cstheme="minorHAnsi"/>
        </w:rPr>
      </w:pPr>
      <w:r w:rsidRPr="001E1B8B">
        <w:rPr>
          <w:rFonts w:asciiTheme="minorHAnsi" w:hAnsiTheme="minorHAnsi" w:cstheme="minorHAnsi"/>
        </w:rPr>
        <w:t>The</w:t>
      </w:r>
      <w:r w:rsidR="00724A01" w:rsidRPr="001E1B8B">
        <w:rPr>
          <w:rFonts w:asciiTheme="minorHAnsi" w:hAnsiTheme="minorHAnsi" w:cstheme="minorHAnsi"/>
        </w:rPr>
        <w:t xml:space="preserve"> </w:t>
      </w:r>
      <w:hyperlink r:id="rId11" w:history="1">
        <w:r w:rsidR="00724A01" w:rsidRPr="001E1B8B">
          <w:rPr>
            <w:rStyle w:val="Hyperlink"/>
            <w:rFonts w:asciiTheme="minorHAnsi" w:hAnsiTheme="minorHAnsi" w:cstheme="minorHAnsi"/>
          </w:rPr>
          <w:t>ITU Academy portal</w:t>
        </w:r>
      </w:hyperlink>
      <w:r w:rsidR="00B245A9" w:rsidRPr="001E1B8B">
        <w:rPr>
          <w:rFonts w:asciiTheme="minorHAnsi" w:hAnsiTheme="minorHAnsi" w:cstheme="minorHAnsi"/>
        </w:rPr>
        <w:t xml:space="preserve"> </w:t>
      </w:r>
      <w:r w:rsidRPr="001E1B8B">
        <w:rPr>
          <w:rFonts w:asciiTheme="minorHAnsi" w:hAnsiTheme="minorHAnsi" w:cstheme="minorHAnsi"/>
        </w:rPr>
        <w:t xml:space="preserve">was redesigned </w:t>
      </w:r>
      <w:r w:rsidR="00724A01" w:rsidRPr="001E1B8B">
        <w:rPr>
          <w:rFonts w:asciiTheme="minorHAnsi" w:hAnsiTheme="minorHAnsi" w:cstheme="minorHAnsi"/>
        </w:rPr>
        <w:t xml:space="preserve">to facilitate a </w:t>
      </w:r>
      <w:r w:rsidR="00D31FFE" w:rsidRPr="001E1B8B">
        <w:rPr>
          <w:rFonts w:asciiTheme="minorHAnsi" w:hAnsiTheme="minorHAnsi" w:cstheme="minorHAnsi"/>
        </w:rPr>
        <w:t xml:space="preserve">more user-friendly </w:t>
      </w:r>
      <w:r w:rsidR="00724A01" w:rsidRPr="001E1B8B">
        <w:rPr>
          <w:rFonts w:asciiTheme="minorHAnsi" w:hAnsiTheme="minorHAnsi" w:cstheme="minorHAnsi"/>
        </w:rPr>
        <w:t xml:space="preserve">and secure access to ITU capacity development activities, courses and workshops in the field of information and communication technologies and digital development. The training portfolio ranges from general programmes for government policy-makers and regulators, professional business-focused curricula for senior ICT executives and managers, to specialized programmes for technical and operational staff and accredited academic programmes. The ITU Academy portal has also become a tool for digital inclusion as the training offerings have been widened to include ICT accessibility and training courses targeted at indigenous and marginalized communities. </w:t>
      </w:r>
    </w:p>
    <w:p w14:paraId="02B18C62" w14:textId="357C7C68" w:rsidR="00724A01" w:rsidRPr="001E1B8B" w:rsidRDefault="00724A01" w:rsidP="00563C28">
      <w:pPr>
        <w:pStyle w:val="NormalWeb"/>
        <w:shd w:val="clear" w:color="auto" w:fill="FFFFFF"/>
        <w:spacing w:before="120" w:beforeAutospacing="0" w:after="0" w:afterAutospacing="0"/>
        <w:textAlignment w:val="baseline"/>
        <w:rPr>
          <w:rFonts w:asciiTheme="minorHAnsi" w:hAnsiTheme="minorHAnsi" w:cstheme="minorHAnsi"/>
        </w:rPr>
      </w:pPr>
      <w:r w:rsidRPr="001E1B8B">
        <w:rPr>
          <w:rFonts w:asciiTheme="minorHAnsi" w:hAnsiTheme="minorHAnsi" w:cstheme="minorHAnsi"/>
        </w:rPr>
        <w:t>The ITU Academy registered 2000 additional users in 2019 for a total of over 10</w:t>
      </w:r>
      <w:r w:rsidR="00782328" w:rsidRPr="001E1B8B">
        <w:rPr>
          <w:rFonts w:asciiTheme="minorHAnsi" w:hAnsiTheme="minorHAnsi" w:cstheme="minorHAnsi"/>
        </w:rPr>
        <w:t> </w:t>
      </w:r>
      <w:r w:rsidRPr="001E1B8B">
        <w:rPr>
          <w:rFonts w:asciiTheme="minorHAnsi" w:hAnsiTheme="minorHAnsi" w:cstheme="minorHAnsi"/>
        </w:rPr>
        <w:t>200 users</w:t>
      </w:r>
      <w:r w:rsidR="00563C28" w:rsidRPr="001E1B8B">
        <w:rPr>
          <w:rFonts w:asciiTheme="minorHAnsi" w:hAnsiTheme="minorHAnsi" w:cstheme="minorHAnsi"/>
        </w:rPr>
        <w:t>, and 61</w:t>
      </w:r>
      <w:r w:rsidR="00D31FFE" w:rsidRPr="001E1B8B">
        <w:rPr>
          <w:rFonts w:asciiTheme="minorHAnsi" w:hAnsiTheme="minorHAnsi" w:cstheme="minorHAnsi"/>
        </w:rPr>
        <w:t> </w:t>
      </w:r>
      <w:r w:rsidRPr="001E1B8B">
        <w:rPr>
          <w:rFonts w:asciiTheme="minorHAnsi" w:hAnsiTheme="minorHAnsi" w:cstheme="minorHAnsi"/>
        </w:rPr>
        <w:t xml:space="preserve">countries around the world are </w:t>
      </w:r>
      <w:r w:rsidR="00563C28" w:rsidRPr="001E1B8B">
        <w:rPr>
          <w:rFonts w:asciiTheme="minorHAnsi" w:hAnsiTheme="minorHAnsi" w:cstheme="minorHAnsi"/>
        </w:rPr>
        <w:t xml:space="preserve">already </w:t>
      </w:r>
      <w:r w:rsidRPr="001E1B8B">
        <w:rPr>
          <w:rFonts w:asciiTheme="minorHAnsi" w:hAnsiTheme="minorHAnsi" w:cstheme="minorHAnsi"/>
        </w:rPr>
        <w:t xml:space="preserve">using the ITU Academy platform. </w:t>
      </w:r>
    </w:p>
    <w:p w14:paraId="70632AC5" w14:textId="1C59B552" w:rsidR="006A42E1" w:rsidRPr="001E1B8B" w:rsidRDefault="006A42E1" w:rsidP="00786585">
      <w:pPr>
        <w:pStyle w:val="NormalWeb"/>
        <w:keepNext/>
        <w:shd w:val="clear" w:color="auto" w:fill="FFFFFF" w:themeFill="background1"/>
        <w:spacing w:before="120" w:beforeAutospacing="0" w:after="0" w:afterAutospacing="0"/>
        <w:textAlignment w:val="baseline"/>
        <w:rPr>
          <w:rFonts w:asciiTheme="minorHAnsi" w:hAnsiTheme="minorHAnsi" w:cstheme="minorBidi"/>
        </w:rPr>
      </w:pPr>
      <w:r w:rsidRPr="001E1B8B">
        <w:rPr>
          <w:rFonts w:asciiTheme="minorHAnsi" w:hAnsiTheme="minorHAnsi" w:cstheme="minorBidi"/>
        </w:rPr>
        <w:t xml:space="preserve">1.2 </w:t>
      </w:r>
      <w:r w:rsidR="00F66DD5" w:rsidRPr="001E1B8B">
        <w:rPr>
          <w:rFonts w:asciiTheme="minorHAnsi" w:hAnsiTheme="minorHAnsi" w:cstheme="minorBidi"/>
        </w:rPr>
        <w:tab/>
      </w:r>
      <w:r w:rsidR="00A6503E" w:rsidRPr="001E1B8B">
        <w:rPr>
          <w:rFonts w:asciiTheme="minorHAnsi" w:hAnsiTheme="minorHAnsi" w:cstheme="minorBidi"/>
          <w:b/>
        </w:rPr>
        <w:t>Centres of excellence network</w:t>
      </w:r>
    </w:p>
    <w:p w14:paraId="783E0D35" w14:textId="4F17AA27" w:rsidR="00D31FFE" w:rsidRPr="001E1B8B" w:rsidRDefault="00D31FFE" w:rsidP="00D31FFE">
      <w:pPr>
        <w:pStyle w:val="NormalWeb"/>
        <w:shd w:val="clear" w:color="auto" w:fill="FFFFFF" w:themeFill="background1"/>
        <w:spacing w:before="120" w:beforeAutospacing="0" w:after="0" w:afterAutospacing="0"/>
        <w:textAlignment w:val="baseline"/>
        <w:rPr>
          <w:rFonts w:asciiTheme="minorHAnsi" w:hAnsiTheme="minorHAnsi" w:cstheme="minorBidi"/>
        </w:rPr>
      </w:pPr>
      <w:r w:rsidRPr="001E1B8B">
        <w:rPr>
          <w:rFonts w:asciiTheme="minorHAnsi" w:hAnsiTheme="minorHAnsi" w:cstheme="minorBidi"/>
        </w:rPr>
        <w:t>In January 2019, a new cycle of the ITU Centres of Excellence (Co</w:t>
      </w:r>
      <w:r w:rsidR="0090011B">
        <w:rPr>
          <w:rFonts w:asciiTheme="minorHAnsi" w:hAnsiTheme="minorHAnsi" w:cstheme="minorBidi"/>
        </w:rPr>
        <w:t>E) network programme started. A </w:t>
      </w:r>
      <w:r w:rsidRPr="001E1B8B">
        <w:rPr>
          <w:rFonts w:asciiTheme="minorHAnsi" w:hAnsiTheme="minorHAnsi" w:cstheme="minorBidi"/>
        </w:rPr>
        <w:t>total of 29 institutions across the globe were selected to operate as ITU Centres of Excellence during the new period, which will last until December 2022. Following the initial round of steering committee meetings, the CoEs delivered training in 15 priority areas, covering topics such as wireless and fixed broadband, cybersecurity, digital economy, Internet of Things (IoT), spectrum management, innovation and entrepreneurship, policy and regulation. In 2019, during the first year of operation, more than 90 certified training courses were delivered to over 2 100 participants worldwide.</w:t>
      </w:r>
    </w:p>
    <w:p w14:paraId="10B4D637" w14:textId="32D77AEB" w:rsidR="00416FE5" w:rsidRPr="001E1B8B" w:rsidRDefault="00563C28">
      <w:pPr>
        <w:pStyle w:val="NormalWeb"/>
        <w:keepNext/>
        <w:shd w:val="clear" w:color="auto" w:fill="FFFFFF"/>
        <w:spacing w:before="120" w:beforeAutospacing="0" w:after="0" w:afterAutospacing="0"/>
        <w:textAlignment w:val="baseline"/>
        <w:rPr>
          <w:rFonts w:asciiTheme="minorHAnsi" w:hAnsiTheme="minorHAnsi" w:cstheme="minorHAnsi"/>
        </w:rPr>
      </w:pPr>
      <w:r w:rsidRPr="001E1B8B">
        <w:rPr>
          <w:rFonts w:asciiTheme="minorHAnsi" w:hAnsiTheme="minorHAnsi" w:cstheme="minorHAnsi"/>
        </w:rPr>
        <w:t>1.</w:t>
      </w:r>
      <w:r w:rsidR="006A42E1" w:rsidRPr="001E1B8B">
        <w:rPr>
          <w:rFonts w:asciiTheme="minorHAnsi" w:hAnsiTheme="minorHAnsi" w:cstheme="minorHAnsi"/>
        </w:rPr>
        <w:t>3</w:t>
      </w:r>
      <w:r w:rsidRPr="001E1B8B">
        <w:rPr>
          <w:rFonts w:asciiTheme="minorHAnsi" w:hAnsiTheme="minorHAnsi" w:cstheme="minorHAnsi"/>
        </w:rPr>
        <w:tab/>
      </w:r>
      <w:r w:rsidR="006A42E1" w:rsidRPr="001E1B8B">
        <w:rPr>
          <w:rFonts w:asciiTheme="minorHAnsi" w:hAnsiTheme="minorHAnsi" w:cstheme="minorBidi"/>
          <w:b/>
        </w:rPr>
        <w:t>2</w:t>
      </w:r>
      <w:r w:rsidR="006A42E1" w:rsidRPr="00AE256A">
        <w:rPr>
          <w:rFonts w:asciiTheme="minorHAnsi" w:hAnsiTheme="minorHAnsi" w:cstheme="minorBidi"/>
          <w:b/>
        </w:rPr>
        <w:t>nd</w:t>
      </w:r>
      <w:r w:rsidR="006A42E1" w:rsidRPr="001E1B8B">
        <w:rPr>
          <w:rFonts w:asciiTheme="minorHAnsi" w:hAnsiTheme="minorHAnsi" w:cstheme="minorBidi"/>
          <w:b/>
        </w:rPr>
        <w:t xml:space="preserve"> </w:t>
      </w:r>
      <w:r w:rsidR="00416FE5" w:rsidRPr="001E1B8B">
        <w:rPr>
          <w:rFonts w:asciiTheme="minorHAnsi" w:hAnsiTheme="minorHAnsi" w:cstheme="minorHAnsi"/>
          <w:b/>
        </w:rPr>
        <w:t>ITU-</w:t>
      </w:r>
      <w:r w:rsidR="00387FCF" w:rsidRPr="001E1B8B">
        <w:rPr>
          <w:rFonts w:asciiTheme="minorHAnsi" w:hAnsiTheme="minorHAnsi" w:cstheme="minorHAnsi"/>
          <w:b/>
        </w:rPr>
        <w:t>Academia</w:t>
      </w:r>
      <w:r w:rsidR="0052689F" w:rsidRPr="001E1B8B">
        <w:rPr>
          <w:rFonts w:asciiTheme="minorHAnsi" w:hAnsiTheme="minorHAnsi" w:cstheme="minorHAnsi"/>
          <w:b/>
        </w:rPr>
        <w:t xml:space="preserve"> Partnership meeting</w:t>
      </w:r>
    </w:p>
    <w:p w14:paraId="048AA858" w14:textId="7D774EE6" w:rsidR="006A42E1" w:rsidRPr="001E1B8B" w:rsidRDefault="00D31FFE">
      <w:pPr>
        <w:pStyle w:val="NormalWeb"/>
        <w:shd w:val="clear" w:color="auto" w:fill="FFFFFF"/>
        <w:spacing w:before="120" w:beforeAutospacing="0" w:after="0" w:afterAutospacing="0"/>
        <w:rPr>
          <w:rFonts w:asciiTheme="minorHAnsi" w:hAnsiTheme="minorHAnsi" w:cstheme="minorHAnsi"/>
          <w:shd w:val="clear" w:color="auto" w:fill="FFFFFF"/>
        </w:rPr>
      </w:pPr>
      <w:r w:rsidRPr="001E1B8B">
        <w:rPr>
          <w:rFonts w:asciiTheme="minorHAnsi" w:hAnsiTheme="minorHAnsi" w:cstheme="minorHAnsi"/>
          <w:shd w:val="clear" w:color="auto" w:fill="FFFFFF"/>
        </w:rPr>
        <w:t>The 2</w:t>
      </w:r>
      <w:r w:rsidRPr="00AE256A">
        <w:rPr>
          <w:rFonts w:asciiTheme="minorHAnsi" w:hAnsiTheme="minorHAnsi" w:cstheme="minorHAnsi"/>
          <w:shd w:val="clear" w:color="auto" w:fill="FFFFFF"/>
        </w:rPr>
        <w:t>nd</w:t>
      </w:r>
      <w:r w:rsidRPr="001E1B8B">
        <w:rPr>
          <w:rFonts w:asciiTheme="minorHAnsi" w:hAnsiTheme="minorHAnsi" w:cstheme="minorHAnsi"/>
          <w:shd w:val="clear" w:color="auto" w:fill="FFFFFF"/>
        </w:rPr>
        <w:t xml:space="preserve"> ITU-Academia Partnership </w:t>
      </w:r>
      <w:hyperlink r:id="rId12" w:history="1">
        <w:r w:rsidRPr="001E1B8B">
          <w:rPr>
            <w:rStyle w:val="Hyperlink"/>
            <w:rFonts w:asciiTheme="minorHAnsi" w:hAnsiTheme="minorHAnsi" w:cstheme="minorHAnsi"/>
            <w:shd w:val="clear" w:color="auto" w:fill="FFFFFF"/>
          </w:rPr>
          <w:t>meeting</w:t>
        </w:r>
      </w:hyperlink>
      <w:r w:rsidRPr="001E1B8B">
        <w:rPr>
          <w:rFonts w:asciiTheme="minorHAnsi" w:hAnsiTheme="minorHAnsi" w:cstheme="minorHAnsi"/>
          <w:shd w:val="clear" w:color="auto" w:fill="FFFFFF"/>
        </w:rPr>
        <w:t xml:space="preserve"> took place in Atlanta, Georgia, </w:t>
      </w:r>
      <w:r w:rsidR="008561CB" w:rsidRPr="001E1B8B">
        <w:rPr>
          <w:rFonts w:asciiTheme="minorHAnsi" w:hAnsiTheme="minorHAnsi" w:cstheme="minorHAnsi"/>
          <w:shd w:val="clear" w:color="auto" w:fill="FFFFFF"/>
        </w:rPr>
        <w:t>United States of America</w:t>
      </w:r>
      <w:r w:rsidRPr="001E1B8B">
        <w:rPr>
          <w:rFonts w:asciiTheme="minorHAnsi" w:hAnsiTheme="minorHAnsi" w:cstheme="minorHAnsi"/>
          <w:shd w:val="clear" w:color="auto" w:fill="FFFFFF"/>
        </w:rPr>
        <w:t xml:space="preserve">, in December, </w:t>
      </w:r>
      <w:r w:rsidRPr="001E1B8B">
        <w:rPr>
          <w:rFonts w:asciiTheme="minorHAnsi" w:hAnsiTheme="minorHAnsi" w:cstheme="minorBidi"/>
          <w:shd w:val="clear" w:color="auto" w:fill="FFFFFF"/>
        </w:rPr>
        <w:t xml:space="preserve">under the theme </w:t>
      </w:r>
      <w:r w:rsidRPr="001E1B8B">
        <w:rPr>
          <w:rFonts w:asciiTheme="minorHAnsi" w:hAnsiTheme="minorHAnsi" w:cstheme="minorBidi"/>
          <w:i/>
          <w:iCs/>
          <w:shd w:val="clear" w:color="auto" w:fill="FFFFFF"/>
        </w:rPr>
        <w:t>Developing skills for the digital era</w:t>
      </w:r>
      <w:r w:rsidRPr="001E1B8B">
        <w:rPr>
          <w:rFonts w:asciiTheme="minorHAnsi" w:hAnsiTheme="minorHAnsi" w:cstheme="minorBidi"/>
          <w:shd w:val="clear" w:color="auto" w:fill="FFFFFF"/>
        </w:rPr>
        <w:t>.  It brought together representatives from universities and higher education institutions from all over the world with an interest in the topic of digital technologies.</w:t>
      </w:r>
    </w:p>
    <w:p w14:paraId="5668D976" w14:textId="00BB32D6" w:rsidR="00416FE5" w:rsidRPr="001E1B8B" w:rsidRDefault="00427FD0" w:rsidP="00B245A9">
      <w:pPr>
        <w:pStyle w:val="NormalWeb"/>
        <w:shd w:val="clear" w:color="auto" w:fill="FFFFFF"/>
        <w:spacing w:before="120" w:beforeAutospacing="0" w:after="0" w:afterAutospacing="0"/>
        <w:rPr>
          <w:rFonts w:asciiTheme="minorHAnsi" w:hAnsiTheme="minorHAnsi" w:cstheme="minorHAnsi"/>
        </w:rPr>
      </w:pPr>
      <w:r w:rsidRPr="001E1B8B">
        <w:rPr>
          <w:rFonts w:asciiTheme="minorHAnsi" w:hAnsiTheme="minorHAnsi" w:cstheme="minorHAnsi"/>
          <w:shd w:val="clear" w:color="auto" w:fill="FFFFFF"/>
        </w:rPr>
        <w:t xml:space="preserve">During discussions, participants highlighted the need for universities to increase new course offerings to the market by </w:t>
      </w:r>
      <w:r w:rsidR="00782328" w:rsidRPr="001E1B8B">
        <w:rPr>
          <w:rFonts w:asciiTheme="minorHAnsi" w:hAnsiTheme="minorHAnsi" w:cstheme="minorHAnsi"/>
          <w:shd w:val="clear" w:color="auto" w:fill="FFFFFF"/>
        </w:rPr>
        <w:t>speeding up</w:t>
      </w:r>
      <w:r w:rsidRPr="001E1B8B">
        <w:rPr>
          <w:rFonts w:asciiTheme="minorHAnsi" w:hAnsiTheme="minorHAnsi" w:cstheme="minorHAnsi"/>
          <w:shd w:val="clear" w:color="auto" w:fill="FFFFFF"/>
        </w:rPr>
        <w:t xml:space="preserve"> decision-making processes and </w:t>
      </w:r>
      <w:r w:rsidR="00782328" w:rsidRPr="001E1B8B">
        <w:rPr>
          <w:rFonts w:asciiTheme="minorHAnsi" w:hAnsiTheme="minorHAnsi" w:cstheme="minorHAnsi"/>
          <w:shd w:val="clear" w:color="auto" w:fill="FFFFFF"/>
        </w:rPr>
        <w:t>reducing</w:t>
      </w:r>
      <w:r w:rsidRPr="001E1B8B">
        <w:rPr>
          <w:rFonts w:asciiTheme="minorHAnsi" w:hAnsiTheme="minorHAnsi" w:cstheme="minorHAnsi"/>
          <w:shd w:val="clear" w:color="auto" w:fill="FFFFFF"/>
        </w:rPr>
        <w:t xml:space="preserve"> bureaucracy, especially in public, state-funded academic institutions. </w:t>
      </w:r>
      <w:r w:rsidRPr="001E1B8B">
        <w:rPr>
          <w:rFonts w:asciiTheme="minorHAnsi" w:hAnsiTheme="minorHAnsi" w:cstheme="minorHAnsi"/>
        </w:rPr>
        <w:t>The discussions and conclusions of this two-day meeting provided food for thought on the role of universities in the digital economy and how partnerships with organisations such as ITU can further strengthen the role of universities. The participants encouraged ITU to consider creating regional or global think tanks hosted by academic institutions and to provide more opportunities for universities to have advisory roles in specific activities of ITU.</w:t>
      </w:r>
    </w:p>
    <w:p w14:paraId="3541E647" w14:textId="56BCA888" w:rsidR="00D31FFE" w:rsidRPr="001E1B8B" w:rsidRDefault="00563C28" w:rsidP="00D31FFE">
      <w:pPr>
        <w:pStyle w:val="NormalWeb"/>
        <w:keepNext/>
        <w:shd w:val="clear" w:color="auto" w:fill="FFFFFF"/>
        <w:spacing w:before="120" w:beforeAutospacing="0" w:after="0" w:afterAutospacing="0"/>
        <w:textAlignment w:val="baseline"/>
        <w:rPr>
          <w:rFonts w:asciiTheme="minorHAnsi" w:hAnsiTheme="minorHAnsi" w:cstheme="minorHAnsi"/>
        </w:rPr>
      </w:pPr>
      <w:r w:rsidRPr="001E1B8B">
        <w:rPr>
          <w:rFonts w:asciiTheme="minorHAnsi" w:hAnsiTheme="minorHAnsi" w:cstheme="minorHAnsi"/>
        </w:rPr>
        <w:t>1.</w:t>
      </w:r>
      <w:r w:rsidR="006A42E1" w:rsidRPr="001E1B8B">
        <w:rPr>
          <w:rFonts w:asciiTheme="minorHAnsi" w:hAnsiTheme="minorHAnsi" w:cstheme="minorHAnsi"/>
        </w:rPr>
        <w:t>4</w:t>
      </w:r>
      <w:r w:rsidRPr="001E1B8B">
        <w:rPr>
          <w:rFonts w:asciiTheme="minorHAnsi" w:hAnsiTheme="minorHAnsi" w:cstheme="minorHAnsi"/>
        </w:rPr>
        <w:tab/>
      </w:r>
      <w:r w:rsidR="00D31FFE" w:rsidRPr="001E1B8B">
        <w:rPr>
          <w:rFonts w:asciiTheme="minorHAnsi" w:hAnsiTheme="minorHAnsi" w:cstheme="minorHAnsi"/>
          <w:b/>
        </w:rPr>
        <w:t>Digital Transformation Centres initiative</w:t>
      </w:r>
    </w:p>
    <w:p w14:paraId="26134DA0" w14:textId="4C96954D" w:rsidR="006210A5" w:rsidRPr="001E1B8B" w:rsidRDefault="00D31FFE" w:rsidP="00AE256A">
      <w:pPr>
        <w:pStyle w:val="NormalWeb"/>
        <w:shd w:val="clear" w:color="auto" w:fill="FFFFFF"/>
        <w:spacing w:before="120" w:beforeAutospacing="0" w:after="0" w:afterAutospacing="0"/>
        <w:textAlignment w:val="baseline"/>
        <w:rPr>
          <w:rFonts w:asciiTheme="minorHAnsi" w:hAnsiTheme="minorHAnsi" w:cstheme="minorHAnsi"/>
        </w:rPr>
      </w:pPr>
      <w:r w:rsidRPr="001E1B8B">
        <w:rPr>
          <w:rFonts w:asciiTheme="minorHAnsi" w:hAnsiTheme="minorHAnsi" w:cstheme="minorHAnsi"/>
        </w:rPr>
        <w:t>The first phase of the Digital Transformation Centres (DTC) initiative (</w:t>
      </w:r>
      <w:r w:rsidRPr="001E1B8B">
        <w:rPr>
          <w:rFonts w:asciiTheme="minorHAnsi" w:hAnsiTheme="minorHAnsi" w:cstheme="minorHAnsi"/>
          <w:i/>
          <w:iCs/>
        </w:rPr>
        <w:t>Empower communities, close the digital skills gap</w:t>
      </w:r>
      <w:r w:rsidRPr="001E1B8B">
        <w:rPr>
          <w:rFonts w:asciiTheme="minorHAnsi" w:hAnsiTheme="minorHAnsi" w:cstheme="minorHAnsi"/>
        </w:rPr>
        <w:t xml:space="preserve">) was launched in partnership with Cisco. This new global network of centres will accelerate the uptake of digital technologies among citizens and boost the capacity of young entrepreneurs and SMEs to succeed. This people-centred project will speed up digital transformation, reaching into the heart of communities to empower people with the digital </w:t>
      </w:r>
      <w:r w:rsidRPr="001E1B8B">
        <w:rPr>
          <w:rFonts w:asciiTheme="minorHAnsi" w:hAnsiTheme="minorHAnsi" w:cstheme="minorHAnsi"/>
        </w:rPr>
        <w:lastRenderedPageBreak/>
        <w:t>competencies they need to thrive. ITU and Cisco are the founding partners and invite new partners to join to help bridge the digital skills gap.</w:t>
      </w:r>
    </w:p>
    <w:p w14:paraId="4D95B42A" w14:textId="0A9435A3" w:rsidR="006A42E1" w:rsidRPr="001E1B8B" w:rsidRDefault="006A42E1" w:rsidP="00D31FFE">
      <w:pPr>
        <w:keepNext/>
        <w:overflowPunct/>
        <w:autoSpaceDE/>
        <w:autoSpaceDN/>
        <w:adjustRightInd/>
        <w:rPr>
          <w:b/>
        </w:rPr>
      </w:pPr>
      <w:r w:rsidRPr="001E1B8B">
        <w:t xml:space="preserve">1.5 </w:t>
      </w:r>
      <w:r w:rsidR="00F66DD5" w:rsidRPr="001E1B8B">
        <w:tab/>
      </w:r>
      <w:r w:rsidR="00D31FFE" w:rsidRPr="001E1B8B">
        <w:rPr>
          <w:b/>
        </w:rPr>
        <w:t>Digital Skills Insights 2019</w:t>
      </w:r>
    </w:p>
    <w:p w14:paraId="032D7C37" w14:textId="431017FD" w:rsidR="007D6532" w:rsidRPr="001E1B8B" w:rsidRDefault="006A42E1" w:rsidP="006A42E1">
      <w:pPr>
        <w:overflowPunct/>
        <w:autoSpaceDE/>
        <w:autoSpaceDN/>
        <w:adjustRightInd/>
        <w:spacing w:line="252" w:lineRule="auto"/>
        <w:textAlignment w:val="auto"/>
      </w:pPr>
      <w:r w:rsidRPr="001E1B8B">
        <w:t xml:space="preserve">The third issue of the </w:t>
      </w:r>
      <w:hyperlink r:id="rId13" w:history="1">
        <w:r w:rsidRPr="001E1B8B">
          <w:rPr>
            <w:rStyle w:val="Hyperlink"/>
          </w:rPr>
          <w:t>publication</w:t>
        </w:r>
      </w:hyperlink>
      <w:r w:rsidRPr="001E1B8B">
        <w:t xml:space="preserve"> (previously called </w:t>
      </w:r>
      <w:r w:rsidRPr="001E1B8B">
        <w:rPr>
          <w:i/>
          <w:iCs/>
        </w:rPr>
        <w:t>Capacity Building in a Changing ICT Environment</w:t>
      </w:r>
      <w:r w:rsidRPr="001E1B8B">
        <w:t xml:space="preserve">) was released in August and features eight articles from international experts, taking a critical and analytical approach towards the subject of capacity and digital skills development. The first set of articles provides a broad overview of the discussion on digital literacy frameworks, new methods of teaching and learning in view of digital developments as well as new capacity building concepts and initiatives in the digital age. This is followed by a set of articles </w:t>
      </w:r>
      <w:r w:rsidR="003B0AD6" w:rsidRPr="001E1B8B">
        <w:t>that</w:t>
      </w:r>
      <w:r w:rsidRPr="001E1B8B">
        <w:t xml:space="preserve"> showcase concrete examples of the impact of new technologies on skills gaps and skills development in selected developing countries. </w:t>
      </w:r>
    </w:p>
    <w:p w14:paraId="0302EC01" w14:textId="60758B9B" w:rsidR="006A42E1" w:rsidRPr="001E1B8B" w:rsidRDefault="006A42E1" w:rsidP="00786585">
      <w:pPr>
        <w:keepNext/>
        <w:overflowPunct/>
        <w:autoSpaceDE/>
        <w:autoSpaceDN/>
        <w:adjustRightInd/>
      </w:pPr>
      <w:r w:rsidRPr="001E1B8B">
        <w:t xml:space="preserve">1.6 </w:t>
      </w:r>
      <w:r w:rsidR="00F66DD5" w:rsidRPr="001E1B8B">
        <w:tab/>
      </w:r>
      <w:r w:rsidRPr="001E1B8B">
        <w:rPr>
          <w:b/>
        </w:rPr>
        <w:t xml:space="preserve">ITU-ILO </w:t>
      </w:r>
      <w:r w:rsidR="003B0AD6" w:rsidRPr="001E1B8B">
        <w:rPr>
          <w:b/>
        </w:rPr>
        <w:t>Digital Skills Campaign</w:t>
      </w:r>
    </w:p>
    <w:p w14:paraId="22248150" w14:textId="27CAACC1" w:rsidR="006A42E1" w:rsidRPr="001E1B8B" w:rsidRDefault="006A42E1" w:rsidP="006A42E1">
      <w:pPr>
        <w:overflowPunct/>
        <w:autoSpaceDE/>
        <w:autoSpaceDN/>
        <w:adjustRightInd/>
        <w:spacing w:line="252" w:lineRule="auto"/>
        <w:textAlignment w:val="auto"/>
      </w:pPr>
      <w:r w:rsidRPr="001E1B8B">
        <w:t>ITU continue</w:t>
      </w:r>
      <w:r w:rsidR="005644E4" w:rsidRPr="001E1B8B">
        <w:t>d</w:t>
      </w:r>
      <w:r w:rsidRPr="001E1B8B">
        <w:t xml:space="preserve"> to lead the </w:t>
      </w:r>
      <w:hyperlink r:id="rId14" w:history="1">
        <w:r w:rsidRPr="001E1B8B">
          <w:rPr>
            <w:rStyle w:val="Hyperlink"/>
          </w:rPr>
          <w:t>Digital Skills Campaign</w:t>
        </w:r>
      </w:hyperlink>
      <w:r w:rsidRPr="001E1B8B">
        <w:t xml:space="preserve">, which was launched in 2016 as one of eight thematic priorities under the ILO Global Initiative on Decent Jobs for Youth. The </w:t>
      </w:r>
      <w:r w:rsidR="003B0AD6" w:rsidRPr="001E1B8B">
        <w:t>c</w:t>
      </w:r>
      <w:r w:rsidRPr="001E1B8B">
        <w:t>ampaign seeks to equip young women and men with the skills needed for the digital</w:t>
      </w:r>
      <w:r w:rsidR="0090011B">
        <w:t xml:space="preserve"> jobs of today and tomorrow. By </w:t>
      </w:r>
      <w:r w:rsidRPr="001E1B8B">
        <w:t xml:space="preserve">2019, the </w:t>
      </w:r>
      <w:r w:rsidR="003B0AD6" w:rsidRPr="001E1B8B">
        <w:t>c</w:t>
      </w:r>
      <w:r w:rsidRPr="001E1B8B">
        <w:t xml:space="preserve">ampaign had received commitments to train more than 15 million young people with job-ready, transferable digital skills by 2030 – more than triple the initial target of 5 million people. </w:t>
      </w:r>
    </w:p>
    <w:p w14:paraId="6D81A535" w14:textId="19BFA652" w:rsidR="009C7BBE" w:rsidRPr="001E1B8B" w:rsidRDefault="006A42E1" w:rsidP="00FF1C12">
      <w:pPr>
        <w:keepNext/>
        <w:rPr>
          <w:bCs/>
          <w:caps/>
        </w:rPr>
      </w:pPr>
      <w:r w:rsidRPr="001E1B8B">
        <w:rPr>
          <w:bCs/>
          <w:caps/>
        </w:rPr>
        <w:t>1.7</w:t>
      </w:r>
      <w:r w:rsidR="009C7BBE" w:rsidRPr="001E1B8B">
        <w:rPr>
          <w:bCs/>
          <w:caps/>
        </w:rPr>
        <w:t xml:space="preserve"> </w:t>
      </w:r>
      <w:r w:rsidR="00F66DD5" w:rsidRPr="001E1B8B">
        <w:rPr>
          <w:bCs/>
          <w:caps/>
        </w:rPr>
        <w:tab/>
      </w:r>
      <w:r w:rsidR="003B0AD6" w:rsidRPr="001E1B8B">
        <w:rPr>
          <w:b/>
          <w:bCs/>
        </w:rPr>
        <w:t xml:space="preserve">National capacity </w:t>
      </w:r>
      <w:r w:rsidR="00387FCF" w:rsidRPr="001E1B8B">
        <w:rPr>
          <w:b/>
          <w:bCs/>
        </w:rPr>
        <w:t>development</w:t>
      </w:r>
    </w:p>
    <w:p w14:paraId="21ABE1EF" w14:textId="2F4FC0D2" w:rsidR="009C7BBE" w:rsidRPr="001E1B8B" w:rsidRDefault="009C7BBE" w:rsidP="009C7BBE">
      <w:r w:rsidRPr="001E1B8B">
        <w:rPr>
          <w:rFonts w:ascii="Calibri" w:eastAsia="Calibri" w:hAnsi="Calibri" w:cs="Calibri"/>
        </w:rPr>
        <w:t xml:space="preserve">Certified training </w:t>
      </w:r>
      <w:r w:rsidR="005644E4" w:rsidRPr="001E1B8B">
        <w:rPr>
          <w:rFonts w:ascii="Calibri" w:eastAsia="Calibri" w:hAnsi="Calibri" w:cs="Calibri"/>
        </w:rPr>
        <w:t xml:space="preserve">was </w:t>
      </w:r>
      <w:r w:rsidR="00EF3EDC" w:rsidRPr="001E1B8B">
        <w:rPr>
          <w:rFonts w:ascii="Calibri" w:eastAsia="Calibri" w:hAnsi="Calibri" w:cs="Calibri"/>
        </w:rPr>
        <w:t xml:space="preserve">given </w:t>
      </w:r>
      <w:r w:rsidRPr="001E1B8B">
        <w:rPr>
          <w:rFonts w:ascii="Calibri" w:eastAsia="Calibri" w:hAnsi="Calibri" w:cs="Calibri"/>
        </w:rPr>
        <w:t xml:space="preserve">to </w:t>
      </w:r>
      <w:r w:rsidR="005644E4" w:rsidRPr="001E1B8B">
        <w:rPr>
          <w:rFonts w:ascii="Calibri" w:eastAsia="Calibri" w:hAnsi="Calibri" w:cs="Calibri"/>
        </w:rPr>
        <w:t xml:space="preserve">the </w:t>
      </w:r>
      <w:r w:rsidRPr="001E1B8B">
        <w:rPr>
          <w:rFonts w:ascii="Calibri" w:eastAsia="Calibri" w:hAnsi="Calibri" w:cs="Calibri"/>
        </w:rPr>
        <w:t>Government of Eritrea on advance technologies, roaming</w:t>
      </w:r>
      <w:r w:rsidR="00A55114" w:rsidRPr="001E1B8B">
        <w:rPr>
          <w:rFonts w:ascii="Calibri" w:eastAsia="Calibri" w:hAnsi="Calibri" w:cs="Calibri"/>
        </w:rPr>
        <w:t>,</w:t>
      </w:r>
      <w:r w:rsidRPr="001E1B8B">
        <w:rPr>
          <w:rFonts w:ascii="Calibri" w:eastAsia="Calibri" w:hAnsi="Calibri" w:cs="Calibri"/>
        </w:rPr>
        <w:t xml:space="preserve"> and mobile money</w:t>
      </w:r>
      <w:r w:rsidR="005644E4" w:rsidRPr="001E1B8B">
        <w:rPr>
          <w:rFonts w:ascii="Calibri" w:eastAsia="Calibri" w:hAnsi="Calibri" w:cs="Calibri"/>
        </w:rPr>
        <w:t>.</w:t>
      </w:r>
      <w:r w:rsidRPr="001E1B8B">
        <w:rPr>
          <w:rFonts w:ascii="Calibri" w:eastAsia="Calibri" w:hAnsi="Calibri" w:cs="Calibri"/>
        </w:rPr>
        <w:t xml:space="preserve"> </w:t>
      </w:r>
    </w:p>
    <w:p w14:paraId="5A075514" w14:textId="2F377D8D" w:rsidR="009C7BBE" w:rsidRPr="001E1B8B" w:rsidRDefault="00D31FFE" w:rsidP="009C7BBE">
      <w:r w:rsidRPr="001E1B8B">
        <w:rPr>
          <w:rFonts w:ascii="Calibri" w:eastAsia="Calibri" w:hAnsi="Calibri" w:cs="Calibri"/>
          <w:szCs w:val="24"/>
        </w:rPr>
        <w:t xml:space="preserve">Concentrated assistance was provided to Burundi with two nationals trained in the </w:t>
      </w:r>
      <w:bookmarkStart w:id="7" w:name="_Hlk31803146"/>
      <w:r w:rsidRPr="001E1B8B">
        <w:rPr>
          <w:rFonts w:ascii="Calibri" w:eastAsia="Calibri" w:hAnsi="Calibri" w:cs="Calibri"/>
          <w:szCs w:val="24"/>
        </w:rPr>
        <w:t xml:space="preserve">ITU Centre of Excellence </w:t>
      </w:r>
      <w:bookmarkEnd w:id="7"/>
      <w:r w:rsidRPr="001E1B8B">
        <w:rPr>
          <w:rFonts w:ascii="Calibri" w:eastAsia="Calibri" w:hAnsi="Calibri" w:cs="Calibri"/>
          <w:szCs w:val="24"/>
        </w:rPr>
        <w:t>in Yaoundé, Cameroun, on broadband and in Kampala, Uganda on a cyber-drill exercise.</w:t>
      </w:r>
      <w:r w:rsidR="00AF24CC">
        <w:rPr>
          <w:rFonts w:ascii="Calibri" w:eastAsia="Calibri" w:hAnsi="Calibri" w:cs="Calibri"/>
          <w:szCs w:val="24"/>
        </w:rPr>
        <w:t xml:space="preserve"> Assistance was also provided to Kyrgyzstan. </w:t>
      </w:r>
    </w:p>
    <w:p w14:paraId="6657D680" w14:textId="201E6E1B" w:rsidR="00EF3E3B" w:rsidRPr="001E1B8B" w:rsidRDefault="00A24762" w:rsidP="00D52589">
      <w:pPr>
        <w:keepNext/>
        <w:rPr>
          <w:b/>
          <w:bCs/>
        </w:rPr>
      </w:pPr>
      <w:r w:rsidRPr="001E1B8B">
        <w:rPr>
          <w:bCs/>
          <w:caps/>
        </w:rPr>
        <w:t>1.</w:t>
      </w:r>
      <w:r w:rsidR="006A42E1" w:rsidRPr="001E1B8B">
        <w:rPr>
          <w:bCs/>
          <w:caps/>
        </w:rPr>
        <w:t xml:space="preserve">8 </w:t>
      </w:r>
      <w:r w:rsidR="00F66DD5" w:rsidRPr="001E1B8B">
        <w:rPr>
          <w:bCs/>
          <w:caps/>
        </w:rPr>
        <w:tab/>
      </w:r>
      <w:r w:rsidR="00D52589" w:rsidRPr="001E1B8B">
        <w:rPr>
          <w:b/>
          <w:bCs/>
        </w:rPr>
        <w:t>Regional capacity development</w:t>
      </w:r>
    </w:p>
    <w:p w14:paraId="52CCDE77" w14:textId="5DF23390" w:rsidR="001B7935" w:rsidRPr="001E1B8B" w:rsidRDefault="00EF3EDC" w:rsidP="001B7935">
      <w:pPr>
        <w:overflowPunct/>
        <w:autoSpaceDE/>
        <w:autoSpaceDN/>
        <w:adjustRightInd/>
        <w:spacing w:line="252" w:lineRule="auto"/>
        <w:textAlignment w:val="auto"/>
        <w:rPr>
          <w:rFonts w:ascii="Calibri" w:eastAsia="Calibri" w:hAnsi="Calibri" w:cs="Calibri"/>
        </w:rPr>
      </w:pPr>
      <w:r w:rsidRPr="001E1B8B">
        <w:rPr>
          <w:rFonts w:ascii="Calibri" w:eastAsia="Calibri" w:hAnsi="Calibri" w:cs="Calibri"/>
        </w:rPr>
        <w:t>Countries</w:t>
      </w:r>
      <w:r w:rsidR="00C2313C" w:rsidRPr="001E1B8B">
        <w:rPr>
          <w:rFonts w:ascii="Calibri" w:eastAsia="Calibri" w:hAnsi="Calibri" w:cs="Calibri"/>
        </w:rPr>
        <w:t xml:space="preserve"> </w:t>
      </w:r>
      <w:r w:rsidR="001B7935" w:rsidRPr="001E1B8B">
        <w:rPr>
          <w:rFonts w:ascii="Calibri" w:eastAsia="Calibri" w:hAnsi="Calibri" w:cs="Calibri"/>
        </w:rPr>
        <w:t xml:space="preserve">from </w:t>
      </w:r>
      <w:r w:rsidRPr="001E1B8B">
        <w:rPr>
          <w:rFonts w:ascii="Calibri" w:eastAsia="Calibri" w:hAnsi="Calibri" w:cs="Calibri"/>
        </w:rPr>
        <w:t xml:space="preserve">the </w:t>
      </w:r>
      <w:r w:rsidR="001B7935" w:rsidRPr="001E1B8B">
        <w:rPr>
          <w:rFonts w:ascii="Calibri" w:eastAsia="Calibri" w:hAnsi="Calibri" w:cs="Calibri"/>
        </w:rPr>
        <w:t xml:space="preserve">Arab </w:t>
      </w:r>
      <w:r w:rsidR="00A55114" w:rsidRPr="001E1B8B">
        <w:rPr>
          <w:rFonts w:ascii="Calibri" w:eastAsia="Calibri" w:hAnsi="Calibri" w:cs="Calibri"/>
        </w:rPr>
        <w:t xml:space="preserve">States </w:t>
      </w:r>
      <w:r w:rsidR="001B7935" w:rsidRPr="001E1B8B">
        <w:rPr>
          <w:rFonts w:ascii="Calibri" w:eastAsia="Calibri" w:hAnsi="Calibri" w:cs="Calibri"/>
        </w:rPr>
        <w:t>region</w:t>
      </w:r>
      <w:r w:rsidRPr="001E1B8B">
        <w:rPr>
          <w:rFonts w:ascii="Calibri" w:eastAsia="Calibri" w:hAnsi="Calibri" w:cs="Calibri"/>
        </w:rPr>
        <w:t xml:space="preserve"> were trained on</w:t>
      </w:r>
      <w:r w:rsidR="001B7935" w:rsidRPr="001E1B8B">
        <w:rPr>
          <w:rFonts w:ascii="Calibri" w:eastAsia="Calibri" w:hAnsi="Calibri" w:cs="Calibri"/>
        </w:rPr>
        <w:t xml:space="preserve"> </w:t>
      </w:r>
      <w:r w:rsidRPr="001E1B8B">
        <w:rPr>
          <w:rFonts w:ascii="Calibri" w:eastAsia="Calibri" w:hAnsi="Calibri" w:cs="Calibri"/>
        </w:rPr>
        <w:t>s</w:t>
      </w:r>
      <w:r w:rsidR="001B7935" w:rsidRPr="001E1B8B">
        <w:rPr>
          <w:rFonts w:ascii="Calibri" w:eastAsia="Calibri" w:hAnsi="Calibri" w:cs="Calibri"/>
        </w:rPr>
        <w:t xml:space="preserve">atellite </w:t>
      </w:r>
      <w:r w:rsidRPr="001E1B8B">
        <w:rPr>
          <w:rFonts w:ascii="Calibri" w:eastAsia="Calibri" w:hAnsi="Calibri" w:cs="Calibri"/>
        </w:rPr>
        <w:t>c</w:t>
      </w:r>
      <w:r w:rsidR="001B7935" w:rsidRPr="001E1B8B">
        <w:rPr>
          <w:rFonts w:ascii="Calibri" w:eastAsia="Calibri" w:hAnsi="Calibri" w:cs="Calibri"/>
        </w:rPr>
        <w:t>ommunications</w:t>
      </w:r>
      <w:r w:rsidR="00C2313C" w:rsidRPr="001E1B8B">
        <w:rPr>
          <w:rFonts w:ascii="Calibri" w:eastAsia="Calibri" w:hAnsi="Calibri" w:cs="Calibri"/>
        </w:rPr>
        <w:t xml:space="preserve"> (</w:t>
      </w:r>
      <w:r w:rsidRPr="001E1B8B">
        <w:rPr>
          <w:rFonts w:ascii="Calibri" w:eastAsia="Calibri" w:hAnsi="Calibri" w:cs="Calibri"/>
        </w:rPr>
        <w:t xml:space="preserve">co-organized </w:t>
      </w:r>
      <w:r w:rsidR="001B7935" w:rsidRPr="001E1B8B">
        <w:rPr>
          <w:rFonts w:ascii="Calibri" w:eastAsia="Calibri" w:hAnsi="Calibri" w:cs="Calibri"/>
        </w:rPr>
        <w:t>with ITSO</w:t>
      </w:r>
      <w:r w:rsidR="00387FCF" w:rsidRPr="001E1B8B">
        <w:rPr>
          <w:rFonts w:ascii="Calibri" w:eastAsia="Calibri" w:hAnsi="Calibri" w:cs="Calibri"/>
        </w:rPr>
        <w:t>), 5</w:t>
      </w:r>
      <w:r w:rsidR="001B7935" w:rsidRPr="001E1B8B">
        <w:rPr>
          <w:rFonts w:ascii="Calibri" w:eastAsia="Calibri" w:hAnsi="Calibri" w:cs="Calibri"/>
        </w:rPr>
        <w:t>G</w:t>
      </w:r>
      <w:r w:rsidR="00C2313C" w:rsidRPr="001E1B8B">
        <w:rPr>
          <w:rFonts w:ascii="Calibri" w:eastAsia="Calibri" w:hAnsi="Calibri" w:cs="Calibri"/>
        </w:rPr>
        <w:t xml:space="preserve"> (</w:t>
      </w:r>
      <w:r w:rsidRPr="001E1B8B">
        <w:rPr>
          <w:rFonts w:ascii="Calibri" w:eastAsia="Calibri" w:hAnsi="Calibri" w:cs="Calibri"/>
        </w:rPr>
        <w:t>co-</w:t>
      </w:r>
      <w:r w:rsidR="001B7935" w:rsidRPr="001E1B8B">
        <w:rPr>
          <w:rFonts w:ascii="Calibri" w:eastAsia="Calibri" w:hAnsi="Calibri" w:cs="Calibri"/>
        </w:rPr>
        <w:t>organized with GSMA</w:t>
      </w:r>
      <w:r w:rsidR="00C2313C" w:rsidRPr="001E1B8B">
        <w:rPr>
          <w:rFonts w:ascii="Calibri" w:eastAsia="Calibri" w:hAnsi="Calibri" w:cs="Calibri"/>
        </w:rPr>
        <w:t>)</w:t>
      </w:r>
      <w:r w:rsidR="00A55114" w:rsidRPr="001E1B8B">
        <w:rPr>
          <w:rFonts w:ascii="Calibri" w:eastAsia="Calibri" w:hAnsi="Calibri" w:cs="Calibri"/>
        </w:rPr>
        <w:t>,</w:t>
      </w:r>
      <w:r w:rsidR="00C2313C" w:rsidRPr="001E1B8B">
        <w:rPr>
          <w:rFonts w:ascii="Calibri" w:eastAsia="Calibri" w:hAnsi="Calibri" w:cs="Calibri"/>
        </w:rPr>
        <w:t xml:space="preserve"> </w:t>
      </w:r>
      <w:r w:rsidR="001B7935" w:rsidRPr="001E1B8B">
        <w:rPr>
          <w:rFonts w:ascii="Calibri" w:eastAsia="Calibri" w:hAnsi="Calibri" w:cs="Calibri"/>
        </w:rPr>
        <w:t xml:space="preserve">and </w:t>
      </w:r>
      <w:r w:rsidR="00A55114" w:rsidRPr="001E1B8B">
        <w:rPr>
          <w:rFonts w:ascii="Calibri" w:eastAsia="Calibri" w:hAnsi="Calibri" w:cs="Calibri"/>
        </w:rPr>
        <w:t>Internet governance</w:t>
      </w:r>
      <w:r w:rsidR="001B7935" w:rsidRPr="001E1B8B">
        <w:rPr>
          <w:rFonts w:ascii="Calibri" w:eastAsia="Calibri" w:hAnsi="Calibri" w:cs="Calibri"/>
        </w:rPr>
        <w:t xml:space="preserve"> </w:t>
      </w:r>
      <w:r w:rsidR="00C2313C" w:rsidRPr="001E1B8B">
        <w:rPr>
          <w:rFonts w:ascii="Calibri" w:eastAsia="Calibri" w:hAnsi="Calibri" w:cs="Calibri"/>
        </w:rPr>
        <w:t>(</w:t>
      </w:r>
      <w:r w:rsidRPr="001E1B8B">
        <w:rPr>
          <w:rFonts w:ascii="Calibri" w:eastAsia="Calibri" w:hAnsi="Calibri" w:cs="Calibri"/>
        </w:rPr>
        <w:t>co-</w:t>
      </w:r>
      <w:r w:rsidR="001B7935" w:rsidRPr="001E1B8B">
        <w:rPr>
          <w:rFonts w:ascii="Calibri" w:eastAsia="Calibri" w:hAnsi="Calibri" w:cs="Calibri"/>
        </w:rPr>
        <w:t>organized with ICANN, ISOC, RIPE NCC</w:t>
      </w:r>
      <w:r w:rsidR="00387FCF" w:rsidRPr="001E1B8B">
        <w:rPr>
          <w:rFonts w:ascii="Calibri" w:eastAsia="Calibri" w:hAnsi="Calibri" w:cs="Calibri"/>
        </w:rPr>
        <w:t>,</w:t>
      </w:r>
      <w:r w:rsidR="001B7935" w:rsidRPr="001E1B8B">
        <w:rPr>
          <w:rFonts w:ascii="Calibri" w:eastAsia="Calibri" w:hAnsi="Calibri" w:cs="Calibri"/>
        </w:rPr>
        <w:t xml:space="preserve"> and </w:t>
      </w:r>
      <w:r w:rsidR="00387FCF" w:rsidRPr="001E1B8B">
        <w:rPr>
          <w:rFonts w:ascii="Calibri" w:eastAsia="Calibri" w:hAnsi="Calibri" w:cs="Calibri"/>
        </w:rPr>
        <w:t xml:space="preserve">the </w:t>
      </w:r>
      <w:r w:rsidR="001B7935" w:rsidRPr="001E1B8B">
        <w:rPr>
          <w:rFonts w:ascii="Calibri" w:eastAsia="Calibri" w:hAnsi="Calibri" w:cs="Calibri"/>
        </w:rPr>
        <w:t>Diplo foundation</w:t>
      </w:r>
      <w:r w:rsidR="00C2313C" w:rsidRPr="001E1B8B">
        <w:rPr>
          <w:rFonts w:ascii="Calibri" w:eastAsia="Calibri" w:hAnsi="Calibri" w:cs="Calibri"/>
        </w:rPr>
        <w:t>).</w:t>
      </w:r>
    </w:p>
    <w:p w14:paraId="187F5FA3" w14:textId="5302A9D3" w:rsidR="00B35E72" w:rsidRPr="001E1B8B" w:rsidRDefault="00B35E72" w:rsidP="00B35E72">
      <w:pPr>
        <w:rPr>
          <w:rFonts w:ascii="Calibri" w:eastAsia="Calibri" w:hAnsi="Calibri" w:cs="Calibri"/>
        </w:rPr>
      </w:pPr>
      <w:r w:rsidRPr="001E1B8B">
        <w:rPr>
          <w:rFonts w:cstheme="minorHAnsi"/>
        </w:rPr>
        <w:t xml:space="preserve">The </w:t>
      </w:r>
      <w:r w:rsidR="00387FCF" w:rsidRPr="001E1B8B">
        <w:rPr>
          <w:rFonts w:cstheme="minorHAnsi"/>
        </w:rPr>
        <w:t>d</w:t>
      </w:r>
      <w:r w:rsidRPr="001E1B8B">
        <w:rPr>
          <w:rFonts w:cstheme="minorHAnsi"/>
        </w:rPr>
        <w:t xml:space="preserve">igital </w:t>
      </w:r>
      <w:r w:rsidR="00387FCF" w:rsidRPr="001E1B8B">
        <w:rPr>
          <w:rFonts w:cstheme="minorHAnsi"/>
        </w:rPr>
        <w:t>p</w:t>
      </w:r>
      <w:r w:rsidRPr="001E1B8B">
        <w:rPr>
          <w:rFonts w:cstheme="minorHAnsi"/>
        </w:rPr>
        <w:t xml:space="preserve">olicies </w:t>
      </w:r>
      <w:r w:rsidR="00387FCF" w:rsidRPr="001E1B8B">
        <w:rPr>
          <w:rFonts w:cstheme="minorHAnsi"/>
        </w:rPr>
        <w:t>p</w:t>
      </w:r>
      <w:r w:rsidRPr="001E1B8B">
        <w:rPr>
          <w:rFonts w:cstheme="minorHAnsi"/>
        </w:rPr>
        <w:t xml:space="preserve">rogramme to </w:t>
      </w:r>
      <w:r w:rsidR="00387FCF" w:rsidRPr="001E1B8B">
        <w:rPr>
          <w:rFonts w:cstheme="minorHAnsi"/>
        </w:rPr>
        <w:t>r</w:t>
      </w:r>
      <w:r w:rsidRPr="001E1B8B">
        <w:rPr>
          <w:rFonts w:cstheme="minorHAnsi"/>
        </w:rPr>
        <w:t>e-</w:t>
      </w:r>
      <w:r w:rsidR="00387FCF" w:rsidRPr="001E1B8B">
        <w:rPr>
          <w:rFonts w:cstheme="minorHAnsi"/>
        </w:rPr>
        <w:t>s</w:t>
      </w:r>
      <w:r w:rsidRPr="001E1B8B">
        <w:rPr>
          <w:rFonts w:cstheme="minorHAnsi"/>
        </w:rPr>
        <w:t xml:space="preserve">ensitize </w:t>
      </w:r>
      <w:r w:rsidR="00387FCF" w:rsidRPr="001E1B8B">
        <w:rPr>
          <w:rFonts w:cstheme="minorHAnsi"/>
        </w:rPr>
        <w:t>g</w:t>
      </w:r>
      <w:r w:rsidRPr="001E1B8B">
        <w:rPr>
          <w:rFonts w:cstheme="minorHAnsi"/>
        </w:rPr>
        <w:t xml:space="preserve">overnment </w:t>
      </w:r>
      <w:r w:rsidR="00387FCF" w:rsidRPr="001E1B8B">
        <w:rPr>
          <w:rFonts w:cstheme="minorHAnsi"/>
        </w:rPr>
        <w:t>o</w:t>
      </w:r>
      <w:r w:rsidRPr="001E1B8B">
        <w:rPr>
          <w:rFonts w:cstheme="minorHAnsi"/>
        </w:rPr>
        <w:t xml:space="preserve">fficials to the use of ICTs in the Caribbean provided public servants </w:t>
      </w:r>
      <w:r w:rsidR="00EF3E3B" w:rsidRPr="001E1B8B">
        <w:rPr>
          <w:rFonts w:cstheme="minorHAnsi"/>
        </w:rPr>
        <w:t>with guidance on making</w:t>
      </w:r>
      <w:r w:rsidRPr="001E1B8B">
        <w:rPr>
          <w:rFonts w:cstheme="minorHAnsi"/>
        </w:rPr>
        <w:t xml:space="preserve"> policy, legislative</w:t>
      </w:r>
      <w:r w:rsidR="00A55114" w:rsidRPr="001E1B8B">
        <w:rPr>
          <w:rFonts w:cstheme="minorHAnsi"/>
        </w:rPr>
        <w:t>,</w:t>
      </w:r>
      <w:r w:rsidRPr="001E1B8B">
        <w:rPr>
          <w:rFonts w:cstheme="minorHAnsi"/>
        </w:rPr>
        <w:t xml:space="preserve"> and regulatory decisions</w:t>
      </w:r>
      <w:r w:rsidR="00EF3E3B" w:rsidRPr="001E1B8B">
        <w:rPr>
          <w:rFonts w:cstheme="minorHAnsi"/>
        </w:rPr>
        <w:t>.</w:t>
      </w:r>
    </w:p>
    <w:p w14:paraId="22D2F498" w14:textId="77777777" w:rsidR="009C7BBE" w:rsidRPr="001E1B8B" w:rsidRDefault="009C7BBE" w:rsidP="009C7BBE">
      <w:pPr>
        <w:shd w:val="clear" w:color="auto" w:fill="FFFFFF"/>
        <w:tabs>
          <w:tab w:val="clear" w:pos="794"/>
          <w:tab w:val="clear" w:pos="1191"/>
          <w:tab w:val="clear" w:pos="1588"/>
          <w:tab w:val="clear" w:pos="1985"/>
        </w:tabs>
        <w:overflowPunct/>
        <w:autoSpaceDE/>
        <w:autoSpaceDN/>
        <w:adjustRightInd/>
        <w:rPr>
          <w:rFonts w:cstheme="minorHAnsi"/>
          <w:color w:val="444444"/>
          <w:szCs w:val="24"/>
        </w:rPr>
      </w:pPr>
    </w:p>
    <w:tbl>
      <w:tblPr>
        <w:tblStyle w:val="TableGrid1"/>
        <w:tblW w:w="0" w:type="auto"/>
        <w:tblLook w:val="04A0" w:firstRow="1" w:lastRow="0" w:firstColumn="1" w:lastColumn="0" w:noHBand="0" w:noVBand="1"/>
      </w:tblPr>
      <w:tblGrid>
        <w:gridCol w:w="9629"/>
      </w:tblGrid>
      <w:tr w:rsidR="009C7BBE" w:rsidRPr="001E1B8B" w14:paraId="6A44F40A" w14:textId="77777777" w:rsidTr="0054502F">
        <w:tc>
          <w:tcPr>
            <w:tcW w:w="9629" w:type="dxa"/>
          </w:tcPr>
          <w:p w14:paraId="11FE218B" w14:textId="77777777" w:rsidR="009C7BBE" w:rsidRPr="001E1B8B" w:rsidRDefault="009C7BBE" w:rsidP="002D4CEB">
            <w:pPr>
              <w:rPr>
                <w:b/>
              </w:rPr>
            </w:pPr>
            <w:r w:rsidRPr="001E1B8B">
              <w:rPr>
                <w:b/>
              </w:rPr>
              <w:t>REGIONAL INITIATIVES</w:t>
            </w:r>
          </w:p>
          <w:p w14:paraId="5D599F6C" w14:textId="77777777" w:rsidR="009C7BBE" w:rsidRPr="001E1B8B" w:rsidRDefault="00324DBE" w:rsidP="002D4CEB">
            <w:pPr>
              <w:rPr>
                <w:rFonts w:ascii="Calibri" w:eastAsia="Calibri" w:hAnsi="Calibri" w:cs="Calibri"/>
                <w:szCs w:val="24"/>
                <w:u w:val="single"/>
              </w:rPr>
            </w:pPr>
            <w:r w:rsidRPr="001E1B8B">
              <w:t>Africa:</w:t>
            </w:r>
            <w:r w:rsidR="00C2313C" w:rsidRPr="001E1B8B">
              <w:t xml:space="preserve"> </w:t>
            </w:r>
            <w:r w:rsidRPr="001E1B8B">
              <w:rPr>
                <w:rFonts w:ascii="Calibri" w:eastAsia="Calibri" w:hAnsi="Calibri" w:cs="Calibri"/>
                <w:szCs w:val="24"/>
                <w:u w:val="single"/>
              </w:rPr>
              <w:t>s</w:t>
            </w:r>
            <w:r w:rsidR="009C7BBE" w:rsidRPr="001E1B8B">
              <w:rPr>
                <w:rFonts w:ascii="Calibri" w:eastAsia="Calibri" w:hAnsi="Calibri" w:cs="Calibri"/>
                <w:szCs w:val="24"/>
                <w:u w:val="single"/>
              </w:rPr>
              <w:t>trengthening human and institutional capacity building</w:t>
            </w:r>
          </w:p>
          <w:p w14:paraId="5245C87A" w14:textId="77777777" w:rsidR="009C7BBE" w:rsidRPr="001E1B8B" w:rsidRDefault="00EF3EDC" w:rsidP="002D4CEB">
            <w:pPr>
              <w:pStyle w:val="ListParagraph"/>
              <w:numPr>
                <w:ilvl w:val="0"/>
                <w:numId w:val="22"/>
              </w:numPr>
              <w:rPr>
                <w:rFonts w:ascii="Calibri" w:eastAsia="Calibri" w:hAnsi="Calibri" w:cs="Calibri"/>
                <w:szCs w:val="24"/>
              </w:rPr>
            </w:pPr>
            <w:r w:rsidRPr="001E1B8B">
              <w:rPr>
                <w:rFonts w:ascii="Calibri" w:eastAsia="Calibri" w:hAnsi="Calibri" w:cs="Calibri"/>
                <w:szCs w:val="24"/>
              </w:rPr>
              <w:t xml:space="preserve">532 girls </w:t>
            </w:r>
            <w:r w:rsidR="00EF3E3B" w:rsidRPr="001E1B8B">
              <w:rPr>
                <w:rFonts w:ascii="Calibri" w:eastAsia="Calibri" w:hAnsi="Calibri" w:cs="Calibri"/>
                <w:szCs w:val="24"/>
              </w:rPr>
              <w:t>learnt coding in a series of</w:t>
            </w:r>
            <w:r w:rsidRPr="001E1B8B">
              <w:rPr>
                <w:rFonts w:ascii="Calibri" w:eastAsia="Calibri" w:hAnsi="Calibri" w:cs="Calibri"/>
                <w:szCs w:val="24"/>
              </w:rPr>
              <w:t xml:space="preserve"> workshops of the African Girls </w:t>
            </w:r>
            <w:r w:rsidR="00EF3E3B" w:rsidRPr="001E1B8B">
              <w:rPr>
                <w:rFonts w:ascii="Calibri" w:eastAsia="Calibri" w:hAnsi="Calibri" w:cs="Calibri"/>
                <w:szCs w:val="24"/>
              </w:rPr>
              <w:t xml:space="preserve">can Code Initiative </w:t>
            </w:r>
          </w:p>
          <w:p w14:paraId="5A28CCC8" w14:textId="21462D67" w:rsidR="00D434F8" w:rsidRPr="001E1B8B" w:rsidRDefault="00D52589" w:rsidP="002D4CEB">
            <w:pPr>
              <w:pStyle w:val="ListParagraph"/>
              <w:numPr>
                <w:ilvl w:val="0"/>
                <w:numId w:val="22"/>
              </w:numPr>
              <w:spacing w:after="120"/>
              <w:rPr>
                <w:rFonts w:ascii="Calibri" w:eastAsia="Calibri" w:hAnsi="Calibri" w:cs="Calibri"/>
              </w:rPr>
            </w:pPr>
            <w:r w:rsidRPr="001E1B8B">
              <w:rPr>
                <w:rFonts w:ascii="Calibri" w:eastAsia="Calibri" w:hAnsi="Calibri" w:cs="Calibri"/>
              </w:rPr>
              <w:t xml:space="preserve">The ITU-ILO programme on </w:t>
            </w:r>
            <w:r w:rsidR="003C2E74" w:rsidRPr="001E1B8B">
              <w:rPr>
                <w:rFonts w:ascii="Calibri" w:eastAsia="Calibri" w:hAnsi="Calibri" w:cs="Calibri"/>
              </w:rPr>
              <w:t>b</w:t>
            </w:r>
            <w:r w:rsidRPr="001E1B8B">
              <w:rPr>
                <w:rFonts w:ascii="Calibri" w:eastAsia="Calibri" w:hAnsi="Calibri" w:cs="Calibri"/>
              </w:rPr>
              <w:t xml:space="preserve">oosting decent jobs and enhancing digital skills for youth in Africa’s digital economy </w:t>
            </w:r>
            <w:r w:rsidRPr="001E1B8B">
              <w:rPr>
                <w:rFonts w:ascii="Calibri" w:eastAsia="Calibri" w:hAnsi="Calibri" w:cs="Calibri"/>
                <w:iCs/>
              </w:rPr>
              <w:t xml:space="preserve">was developed </w:t>
            </w:r>
            <w:r w:rsidR="001E4668" w:rsidRPr="001E1B8B">
              <w:rPr>
                <w:rFonts w:ascii="Calibri" w:eastAsia="Calibri" w:hAnsi="Calibri" w:cs="Calibri"/>
                <w:iCs/>
              </w:rPr>
              <w:t>by</w:t>
            </w:r>
            <w:r w:rsidRPr="001E1B8B">
              <w:rPr>
                <w:rFonts w:ascii="Calibri" w:eastAsia="Calibri" w:hAnsi="Calibri" w:cs="Calibri"/>
                <w:iCs/>
              </w:rPr>
              <w:t xml:space="preserve"> youth</w:t>
            </w:r>
            <w:r w:rsidR="001E4668" w:rsidRPr="001E1B8B">
              <w:rPr>
                <w:rFonts w:ascii="Calibri" w:eastAsia="Calibri" w:hAnsi="Calibri" w:cs="Calibri"/>
                <w:iCs/>
              </w:rPr>
              <w:t>,</w:t>
            </w:r>
            <w:r w:rsidRPr="001E1B8B">
              <w:rPr>
                <w:rFonts w:ascii="Calibri" w:eastAsia="Calibri" w:hAnsi="Calibri" w:cs="Calibri"/>
                <w:iCs/>
              </w:rPr>
              <w:t xml:space="preserve"> for youth</w:t>
            </w:r>
            <w:r w:rsidR="001E4668" w:rsidRPr="001E1B8B">
              <w:rPr>
                <w:rFonts w:ascii="Calibri" w:eastAsia="Calibri" w:hAnsi="Calibri" w:cs="Calibri"/>
                <w:iCs/>
              </w:rPr>
              <w:t>,</w:t>
            </w:r>
            <w:r w:rsidRPr="001E1B8B">
              <w:rPr>
                <w:rFonts w:ascii="Calibri" w:eastAsia="Calibri" w:hAnsi="Calibri" w:cs="Calibri"/>
                <w:iCs/>
              </w:rPr>
              <w:t xml:space="preserve"> in Africa</w:t>
            </w:r>
            <w:r w:rsidRPr="001E1B8B">
              <w:rPr>
                <w:rFonts w:ascii="Calibri" w:eastAsia="Calibri" w:hAnsi="Calibri" w:cs="Calibri"/>
              </w:rPr>
              <w:t>.</w:t>
            </w:r>
            <w:r w:rsidR="009C7BBE" w:rsidRPr="001E1B8B">
              <w:rPr>
                <w:rFonts w:ascii="Calibri" w:eastAsia="Calibri" w:hAnsi="Calibri" w:cs="Calibri"/>
              </w:rPr>
              <w:t xml:space="preserve"> </w:t>
            </w:r>
          </w:p>
        </w:tc>
      </w:tr>
    </w:tbl>
    <w:p w14:paraId="2A261E35" w14:textId="2F7925AE" w:rsidR="009A30A6" w:rsidRPr="001E1B8B" w:rsidRDefault="009A30A6" w:rsidP="00B245A9">
      <w:pPr>
        <w:keepNext/>
        <w:spacing w:before="240"/>
        <w:rPr>
          <w:b/>
          <w:bCs/>
        </w:rPr>
      </w:pPr>
      <w:r w:rsidRPr="001E1B8B">
        <w:rPr>
          <w:b/>
          <w:bCs/>
        </w:rPr>
        <w:lastRenderedPageBreak/>
        <w:t>2.</w:t>
      </w:r>
      <w:r w:rsidRPr="001E1B8B">
        <w:rPr>
          <w:b/>
          <w:bCs/>
        </w:rPr>
        <w:tab/>
      </w:r>
      <w:r w:rsidR="00A55114" w:rsidRPr="001E1B8B">
        <w:rPr>
          <w:b/>
          <w:bCs/>
        </w:rPr>
        <w:t>Cybersecurity</w:t>
      </w:r>
      <w:r w:rsidR="00416FE5" w:rsidRPr="001E1B8B">
        <w:rPr>
          <w:b/>
          <w:bCs/>
        </w:rPr>
        <w:t xml:space="preserve">: </w:t>
      </w:r>
      <w:r w:rsidR="00A55114" w:rsidRPr="001E1B8B">
        <w:rPr>
          <w:b/>
          <w:bCs/>
        </w:rPr>
        <w:t>C</w:t>
      </w:r>
      <w:r w:rsidR="00416FE5" w:rsidRPr="001E1B8B">
        <w:rPr>
          <w:b/>
          <w:bCs/>
        </w:rPr>
        <w:t xml:space="preserve">reating a </w:t>
      </w:r>
      <w:r w:rsidR="00EF3E3B" w:rsidRPr="001E1B8B">
        <w:rPr>
          <w:b/>
          <w:bCs/>
        </w:rPr>
        <w:t>trusted cyberspace for all</w:t>
      </w:r>
    </w:p>
    <w:p w14:paraId="1361ADC3" w14:textId="75451A9A" w:rsidR="00166C0C" w:rsidRPr="001E1B8B" w:rsidRDefault="00166C0C" w:rsidP="00166C0C">
      <w:pPr>
        <w:keepNext/>
        <w:shd w:val="clear" w:color="auto" w:fill="FFFFFF"/>
        <w:tabs>
          <w:tab w:val="clear" w:pos="794"/>
          <w:tab w:val="clear" w:pos="1191"/>
          <w:tab w:val="clear" w:pos="1588"/>
          <w:tab w:val="clear" w:pos="1985"/>
        </w:tabs>
        <w:overflowPunct/>
        <w:autoSpaceDE/>
        <w:autoSpaceDN/>
        <w:adjustRightInd/>
        <w:rPr>
          <w:rFonts w:cstheme="minorHAnsi"/>
          <w:szCs w:val="24"/>
        </w:rPr>
      </w:pPr>
      <w:r w:rsidRPr="001E1B8B">
        <w:rPr>
          <w:rFonts w:cstheme="minorHAnsi"/>
          <w:szCs w:val="24"/>
        </w:rPr>
        <w:t xml:space="preserve">2.1 </w:t>
      </w:r>
      <w:r w:rsidR="00F66DD5" w:rsidRPr="001E1B8B">
        <w:rPr>
          <w:rFonts w:cstheme="minorHAnsi"/>
          <w:szCs w:val="24"/>
        </w:rPr>
        <w:tab/>
      </w:r>
      <w:r w:rsidR="00A55114" w:rsidRPr="001E1B8B">
        <w:rPr>
          <w:rFonts w:cstheme="minorHAnsi"/>
          <w:b/>
          <w:szCs w:val="24"/>
        </w:rPr>
        <w:t>ITU Global Cybersecurity Index (GCI)</w:t>
      </w:r>
    </w:p>
    <w:p w14:paraId="2553CD26" w14:textId="553A5628" w:rsidR="00166C0C" w:rsidRPr="001E1B8B" w:rsidRDefault="00166C0C" w:rsidP="00166C0C">
      <w:pPr>
        <w:rPr>
          <w:rFonts w:cstheme="minorHAnsi"/>
          <w:szCs w:val="24"/>
          <w:shd w:val="clear" w:color="auto" w:fill="FFFFFF"/>
        </w:rPr>
      </w:pPr>
      <w:r w:rsidRPr="001E1B8B">
        <w:rPr>
          <w:rFonts w:cstheme="minorHAnsi"/>
          <w:szCs w:val="24"/>
          <w:shd w:val="clear" w:color="auto" w:fill="FFFFFF"/>
        </w:rPr>
        <w:t>The</w:t>
      </w:r>
      <w:r w:rsidR="00A55114" w:rsidRPr="001E1B8B">
        <w:rPr>
          <w:rFonts w:cstheme="minorHAnsi"/>
          <w:szCs w:val="24"/>
          <w:shd w:val="clear" w:color="auto" w:fill="FFFFFF"/>
        </w:rPr>
        <w:t xml:space="preserve"> </w:t>
      </w:r>
      <w:r w:rsidRPr="001E1B8B">
        <w:rPr>
          <w:rFonts w:cstheme="minorHAnsi"/>
          <w:szCs w:val="24"/>
          <w:shd w:val="clear" w:color="auto" w:fill="FFFFFF"/>
        </w:rPr>
        <w:t xml:space="preserve">third </w:t>
      </w:r>
      <w:bookmarkStart w:id="8" w:name="_Hlk31803356"/>
      <w:r w:rsidR="009A6EDD" w:rsidRPr="001E1B8B">
        <w:rPr>
          <w:rFonts w:cstheme="minorHAnsi"/>
          <w:szCs w:val="24"/>
          <w:shd w:val="clear" w:color="auto" w:fill="FFFFFF"/>
        </w:rPr>
        <w:fldChar w:fldCharType="begin"/>
      </w:r>
      <w:r w:rsidR="009A6EDD" w:rsidRPr="001E1B8B">
        <w:rPr>
          <w:rFonts w:cstheme="minorHAnsi"/>
          <w:szCs w:val="24"/>
          <w:shd w:val="clear" w:color="auto" w:fill="FFFFFF"/>
        </w:rPr>
        <w:instrText xml:space="preserve"> HYPERLINK "https://www.itu.int/en/ITU-D/Cybersecurity/Pages/global-cybersecurity-index.aspx" </w:instrText>
      </w:r>
      <w:r w:rsidR="009A6EDD" w:rsidRPr="001E1B8B">
        <w:rPr>
          <w:rFonts w:cstheme="minorHAnsi"/>
          <w:szCs w:val="24"/>
          <w:shd w:val="clear" w:color="auto" w:fill="FFFFFF"/>
        </w:rPr>
        <w:fldChar w:fldCharType="separate"/>
      </w:r>
      <w:r w:rsidRPr="001E1B8B">
        <w:rPr>
          <w:rStyle w:val="Hyperlink"/>
          <w:rFonts w:cstheme="minorHAnsi"/>
          <w:szCs w:val="24"/>
          <w:shd w:val="clear" w:color="auto" w:fill="FFFFFF"/>
        </w:rPr>
        <w:t>ITU Global Cybersecurity Index</w:t>
      </w:r>
      <w:r w:rsidR="009A6EDD" w:rsidRPr="001E1B8B">
        <w:rPr>
          <w:rFonts w:cstheme="minorHAnsi"/>
          <w:szCs w:val="24"/>
          <w:shd w:val="clear" w:color="auto" w:fill="FFFFFF"/>
        </w:rPr>
        <w:fldChar w:fldCharType="end"/>
      </w:r>
      <w:r w:rsidRPr="001E1B8B">
        <w:rPr>
          <w:rFonts w:cstheme="minorHAnsi"/>
          <w:szCs w:val="24"/>
          <w:shd w:val="clear" w:color="auto" w:fill="FFFFFF"/>
        </w:rPr>
        <w:t xml:space="preserve"> (GCI) </w:t>
      </w:r>
      <w:bookmarkEnd w:id="8"/>
      <w:r w:rsidRPr="001E1B8B">
        <w:rPr>
          <w:rFonts w:cstheme="minorHAnsi"/>
          <w:szCs w:val="24"/>
          <w:shd w:val="clear" w:color="auto" w:fill="FFFFFF"/>
        </w:rPr>
        <w:t xml:space="preserve">shows considerable improvement in commitment to cybersecurity worldwide. More countries have national cybersecurity strategies (NCS), national plans or policies, response teams, and specific legislation to counter the threats. At the same time, there remains a gap between regions. In addition, there is a significant gap between many countries in terms of knowledge including cybercrime legislation, national cybersecurity strategies, computer emergency response teams (CERTs), awareness and capacity development to spread out the strategies, and capabilities and programmes in the field of cybersecurity. </w:t>
      </w:r>
    </w:p>
    <w:p w14:paraId="1AF1E896" w14:textId="36A53A69" w:rsidR="00166C0C" w:rsidRPr="001E1B8B" w:rsidRDefault="00EF3E3B" w:rsidP="00166C0C">
      <w:pPr>
        <w:rPr>
          <w:rFonts w:cstheme="minorHAnsi"/>
          <w:szCs w:val="24"/>
          <w:shd w:val="clear" w:color="auto" w:fill="FFFFFF"/>
        </w:rPr>
      </w:pPr>
      <w:r w:rsidRPr="001E1B8B">
        <w:rPr>
          <w:rFonts w:cstheme="minorHAnsi"/>
          <w:szCs w:val="24"/>
          <w:shd w:val="clear" w:color="auto" w:fill="FFFFFF"/>
        </w:rPr>
        <w:t>The</w:t>
      </w:r>
      <w:r w:rsidR="00166C0C" w:rsidRPr="001E1B8B">
        <w:rPr>
          <w:rFonts w:cstheme="minorHAnsi"/>
          <w:szCs w:val="24"/>
          <w:shd w:val="clear" w:color="auto" w:fill="FFFFFF"/>
        </w:rPr>
        <w:t xml:space="preserve"> </w:t>
      </w:r>
      <w:r w:rsidR="00A55114" w:rsidRPr="001E1B8B">
        <w:rPr>
          <w:rFonts w:cstheme="minorHAnsi"/>
          <w:szCs w:val="24"/>
          <w:shd w:val="clear" w:color="auto" w:fill="FFFFFF"/>
        </w:rPr>
        <w:t>fourth</w:t>
      </w:r>
      <w:r w:rsidR="00166C0C" w:rsidRPr="001E1B8B">
        <w:rPr>
          <w:rFonts w:cstheme="minorHAnsi"/>
          <w:szCs w:val="24"/>
          <w:shd w:val="clear" w:color="auto" w:fill="FFFFFF"/>
        </w:rPr>
        <w:t xml:space="preserve"> </w:t>
      </w:r>
      <w:r w:rsidR="00A31BFD" w:rsidRPr="001E1B8B">
        <w:rPr>
          <w:rFonts w:cstheme="minorHAnsi"/>
          <w:szCs w:val="24"/>
          <w:shd w:val="clear" w:color="auto" w:fill="FFFFFF"/>
        </w:rPr>
        <w:t xml:space="preserve">version of the </w:t>
      </w:r>
      <w:r w:rsidR="00166C0C" w:rsidRPr="001E1B8B">
        <w:rPr>
          <w:rFonts w:cstheme="minorHAnsi"/>
          <w:szCs w:val="24"/>
          <w:shd w:val="clear" w:color="auto" w:fill="FFFFFF"/>
        </w:rPr>
        <w:t>Gl</w:t>
      </w:r>
      <w:r w:rsidRPr="001E1B8B">
        <w:rPr>
          <w:rFonts w:cstheme="minorHAnsi"/>
          <w:szCs w:val="24"/>
          <w:shd w:val="clear" w:color="auto" w:fill="FFFFFF"/>
        </w:rPr>
        <w:t>obal Cybersecurity Index</w:t>
      </w:r>
      <w:r w:rsidR="001E4668" w:rsidRPr="001E1B8B">
        <w:rPr>
          <w:rFonts w:cstheme="minorHAnsi"/>
          <w:szCs w:val="24"/>
          <w:shd w:val="clear" w:color="auto" w:fill="FFFFFF"/>
        </w:rPr>
        <w:t xml:space="preserve"> survey</w:t>
      </w:r>
      <w:r w:rsidRPr="001E1B8B">
        <w:rPr>
          <w:rFonts w:cstheme="minorHAnsi"/>
          <w:szCs w:val="24"/>
          <w:shd w:val="clear" w:color="auto" w:fill="FFFFFF"/>
        </w:rPr>
        <w:t>,</w:t>
      </w:r>
      <w:r w:rsidR="00166C0C" w:rsidRPr="001E1B8B">
        <w:rPr>
          <w:rFonts w:cstheme="minorHAnsi"/>
          <w:szCs w:val="24"/>
          <w:shd w:val="clear" w:color="auto" w:fill="FFFFFF"/>
        </w:rPr>
        <w:t xml:space="preserve"> with</w:t>
      </w:r>
      <w:r w:rsidR="00A31BFD" w:rsidRPr="001E1B8B">
        <w:rPr>
          <w:rFonts w:cstheme="minorHAnsi"/>
          <w:szCs w:val="24"/>
          <w:shd w:val="clear" w:color="auto" w:fill="FFFFFF"/>
        </w:rPr>
        <w:t xml:space="preserve"> an</w:t>
      </w:r>
      <w:r w:rsidR="00166C0C" w:rsidRPr="001E1B8B">
        <w:rPr>
          <w:rFonts w:cstheme="minorHAnsi"/>
          <w:szCs w:val="24"/>
          <w:shd w:val="clear" w:color="auto" w:fill="FFFFFF"/>
        </w:rPr>
        <w:t xml:space="preserve"> imp</w:t>
      </w:r>
      <w:r w:rsidRPr="001E1B8B">
        <w:rPr>
          <w:rFonts w:cstheme="minorHAnsi"/>
          <w:szCs w:val="24"/>
          <w:shd w:val="clear" w:color="auto" w:fill="FFFFFF"/>
        </w:rPr>
        <w:t>roved questionnaire and method</w:t>
      </w:r>
      <w:r w:rsidR="00A31BFD" w:rsidRPr="001E1B8B">
        <w:rPr>
          <w:rFonts w:cstheme="minorHAnsi"/>
          <w:szCs w:val="24"/>
          <w:shd w:val="clear" w:color="auto" w:fill="FFFFFF"/>
        </w:rPr>
        <w:t>ology</w:t>
      </w:r>
      <w:r w:rsidRPr="001E1B8B">
        <w:rPr>
          <w:rFonts w:cstheme="minorHAnsi"/>
          <w:szCs w:val="24"/>
          <w:shd w:val="clear" w:color="auto" w:fill="FFFFFF"/>
        </w:rPr>
        <w:t xml:space="preserve">, </w:t>
      </w:r>
      <w:r w:rsidR="00A31BFD" w:rsidRPr="001E1B8B">
        <w:rPr>
          <w:rFonts w:cstheme="minorHAnsi"/>
          <w:szCs w:val="24"/>
          <w:shd w:val="clear" w:color="auto" w:fill="FFFFFF"/>
        </w:rPr>
        <w:t>has been</w:t>
      </w:r>
      <w:r w:rsidRPr="001E1B8B">
        <w:rPr>
          <w:rFonts w:cstheme="minorHAnsi"/>
          <w:szCs w:val="24"/>
          <w:shd w:val="clear" w:color="auto" w:fill="FFFFFF"/>
        </w:rPr>
        <w:t xml:space="preserve"> launched.</w:t>
      </w:r>
    </w:p>
    <w:p w14:paraId="2311AADD" w14:textId="4A72D31B" w:rsidR="00772046" w:rsidRPr="0090011B" w:rsidRDefault="00772046" w:rsidP="00AE256A">
      <w:pPr>
        <w:keepNext/>
        <w:rPr>
          <w:b/>
        </w:rPr>
      </w:pPr>
      <w:r w:rsidRPr="001E1B8B">
        <w:rPr>
          <w:rFonts w:cstheme="minorHAnsi"/>
          <w:szCs w:val="24"/>
          <w:shd w:val="clear" w:color="auto" w:fill="FFFFFF"/>
        </w:rPr>
        <w:t>2.2</w:t>
      </w:r>
      <w:r w:rsidRPr="001E1B8B">
        <w:rPr>
          <w:rFonts w:cstheme="minorHAnsi"/>
          <w:szCs w:val="24"/>
          <w:shd w:val="clear" w:color="auto" w:fill="FFFFFF"/>
        </w:rPr>
        <w:tab/>
      </w:r>
      <w:r w:rsidRPr="001E1B8B">
        <w:rPr>
          <w:b/>
        </w:rPr>
        <w:t xml:space="preserve">Child online </w:t>
      </w:r>
      <w:r w:rsidRPr="0090011B">
        <w:rPr>
          <w:b/>
        </w:rPr>
        <w:t xml:space="preserve">protection (COP) </w:t>
      </w:r>
    </w:p>
    <w:p w14:paraId="77D49EFF" w14:textId="77777777" w:rsidR="00772046" w:rsidRPr="001E1B8B" w:rsidRDefault="00772046" w:rsidP="00772046">
      <w:r w:rsidRPr="001E1B8B">
        <w:t xml:space="preserve">A multi-stakeholder expert working group, consisting of more than 50 organisations and individual experts, started the review of the </w:t>
      </w:r>
      <w:hyperlink r:id="rId15" w:history="1">
        <w:r w:rsidRPr="001E1B8B">
          <w:rPr>
            <w:color w:val="0000FF" w:themeColor="hyperlink"/>
            <w:u w:val="single"/>
          </w:rPr>
          <w:t>Child Online Protection Guidelines</w:t>
        </w:r>
      </w:hyperlink>
      <w:r w:rsidRPr="001E1B8B">
        <w:t xml:space="preserve">, which were first issued in 2009. </w:t>
      </w:r>
    </w:p>
    <w:p w14:paraId="32E49E1D" w14:textId="7E217EA1" w:rsidR="00772046" w:rsidRPr="001E1B8B" w:rsidRDefault="00772046" w:rsidP="00772046">
      <w:pPr>
        <w:rPr>
          <w:rFonts w:ascii="Calibri" w:eastAsia="Calibri" w:hAnsi="Calibri" w:cs="Calibri"/>
        </w:rPr>
      </w:pPr>
      <w:r w:rsidRPr="001E1B8B">
        <w:t>In 2019, substantive regional efforts were undertaken to address child online safety issues. In Africa</w:t>
      </w:r>
      <w:r w:rsidR="001E4668" w:rsidRPr="001E1B8B">
        <w:t>,</w:t>
      </w:r>
      <w:r w:rsidRPr="001E1B8B">
        <w:t xml:space="preserve"> discussions started with </w:t>
      </w:r>
      <w:r w:rsidR="001E4668" w:rsidRPr="001E1B8B">
        <w:t xml:space="preserve">Chad, </w:t>
      </w:r>
      <w:r w:rsidRPr="001E1B8B">
        <w:t xml:space="preserve">Kenya, Malawi, </w:t>
      </w:r>
      <w:r w:rsidR="001E4668" w:rsidRPr="001E1B8B">
        <w:t xml:space="preserve">and </w:t>
      </w:r>
      <w:r w:rsidRPr="001E1B8B">
        <w:t xml:space="preserve">Rwanda on the implementation of national strategy frameworks. In particular, the COP Regional Forum held in Ghana discussed several issues related to child online protection in Africa and brought together a wide range of experts to analyse solutions and possible measures to be undertaken. An outcome of the </w:t>
      </w:r>
      <w:r w:rsidR="001E4668" w:rsidRPr="001E1B8B">
        <w:t>f</w:t>
      </w:r>
      <w:r w:rsidRPr="001E1B8B">
        <w:t xml:space="preserve">orum was for ITU Regional Office </w:t>
      </w:r>
      <w:r w:rsidR="001E4668" w:rsidRPr="001E1B8B">
        <w:t xml:space="preserve">for Africa </w:t>
      </w:r>
      <w:r w:rsidRPr="001E1B8B">
        <w:t xml:space="preserve">to coordinate Africa Safer Internet Day Celebrations in </w:t>
      </w:r>
      <w:r w:rsidR="004D3C65" w:rsidRPr="001E1B8B">
        <w:t xml:space="preserve">the </w:t>
      </w:r>
      <w:r w:rsidRPr="001E1B8B">
        <w:t xml:space="preserve">Africa </w:t>
      </w:r>
      <w:r w:rsidR="004D3C65" w:rsidRPr="001E1B8B">
        <w:t>r</w:t>
      </w:r>
      <w:r w:rsidRPr="001E1B8B">
        <w:t>egion.  In the Asia-Pacific region</w:t>
      </w:r>
      <w:r w:rsidR="001E4668" w:rsidRPr="001E1B8B">
        <w:t>,</w:t>
      </w:r>
      <w:r w:rsidRPr="001E1B8B">
        <w:t xml:space="preserve"> assistance was provided for the development of the ASEAN Regional Framework on Child Online Protection in coordination with other partners, including </w:t>
      </w:r>
      <w:r w:rsidRPr="001E1B8B">
        <w:rPr>
          <w:color w:val="000000"/>
        </w:rPr>
        <w:t xml:space="preserve">such as TELSOM/TELMIN. The regional framework builds upon the COP Guidelines. Other activities took place in Europe, as part of the regional initiative on </w:t>
      </w:r>
      <w:r w:rsidRPr="001E1B8B">
        <w:rPr>
          <w:rFonts w:ascii="Calibri" w:eastAsia="Calibri" w:hAnsi="Calibri" w:cs="Calibri"/>
        </w:rPr>
        <w:t>enhancing trust and confidence in the use of ICTs.</w:t>
      </w:r>
    </w:p>
    <w:p w14:paraId="33184DA9" w14:textId="66E3190D" w:rsidR="00CC63E3" w:rsidRPr="001E1B8B" w:rsidRDefault="00CC63E3" w:rsidP="00772046">
      <w:pPr>
        <w:rPr>
          <w:rFonts w:cstheme="minorHAnsi"/>
          <w:szCs w:val="24"/>
        </w:rPr>
      </w:pPr>
      <w:r w:rsidRPr="001E1B8B">
        <w:rPr>
          <w:rFonts w:cstheme="minorHAnsi"/>
          <w:szCs w:val="24"/>
        </w:rPr>
        <w:t xml:space="preserve">The </w:t>
      </w:r>
      <w:hyperlink r:id="rId16" w:history="1">
        <w:r w:rsidRPr="001E1B8B">
          <w:rPr>
            <w:rStyle w:val="Hyperlink"/>
            <w:rFonts w:cstheme="minorHAnsi"/>
            <w:szCs w:val="24"/>
          </w:rPr>
          <w:t>Council Working Group</w:t>
        </w:r>
      </w:hyperlink>
      <w:r w:rsidRPr="001E1B8B">
        <w:rPr>
          <w:rFonts w:cstheme="minorHAnsi"/>
          <w:szCs w:val="24"/>
        </w:rPr>
        <w:t xml:space="preserve"> on COP continues to meet twice every year. The group enables all concerned stakeholder groups – from governments and international and intergovernmental organizations, to the private sector and civil society – to consider, deliberate on, review, and formulate actions and policies to better protect our children online.</w:t>
      </w:r>
    </w:p>
    <w:p w14:paraId="3144EF80" w14:textId="6160A1B1" w:rsidR="00CC63E3" w:rsidRPr="001E1B8B" w:rsidRDefault="00CC63E3" w:rsidP="00772046">
      <w:r w:rsidRPr="001E1B8B">
        <w:rPr>
          <w:rFonts w:cstheme="minorHAnsi"/>
          <w:szCs w:val="24"/>
        </w:rPr>
        <w:t xml:space="preserve">Complementing and reinforcing the </w:t>
      </w:r>
      <w:r w:rsidRPr="001E1B8B">
        <w:rPr>
          <w:rFonts w:cstheme="minorHAnsi"/>
        </w:rPr>
        <w:t xml:space="preserve">work on the </w:t>
      </w:r>
      <w:r w:rsidRPr="001E1B8B">
        <w:rPr>
          <w:rFonts w:cstheme="minorHAnsi"/>
          <w:szCs w:val="24"/>
        </w:rPr>
        <w:t xml:space="preserve">COP Guidelines and ongoing work programme, ITU also serves as the Secretariat of the Broadband Commission for Sustainable Development. </w:t>
      </w:r>
      <w:r w:rsidRPr="001E1B8B">
        <w:rPr>
          <w:rFonts w:cstheme="minorHAnsi"/>
        </w:rPr>
        <w:t>The Commission was s</w:t>
      </w:r>
      <w:r w:rsidRPr="001E1B8B">
        <w:rPr>
          <w:rFonts w:cstheme="minorHAnsi"/>
          <w:szCs w:val="24"/>
        </w:rPr>
        <w:t>et up almost 10 years ago under the UN umbrella to help accelerate technology as a driver of global development</w:t>
      </w:r>
      <w:r w:rsidRPr="001E1B8B">
        <w:rPr>
          <w:rFonts w:cstheme="minorHAnsi"/>
        </w:rPr>
        <w:t xml:space="preserve">. </w:t>
      </w:r>
      <w:r w:rsidRPr="001E1B8B">
        <w:rPr>
          <w:rFonts w:cstheme="minorHAnsi"/>
          <w:szCs w:val="24"/>
        </w:rPr>
        <w:t xml:space="preserve">Specialized Working Groups focus on urgent issues. </w:t>
      </w:r>
      <w:r w:rsidRPr="001E1B8B">
        <w:rPr>
          <w:rFonts w:cstheme="minorHAnsi"/>
        </w:rPr>
        <w:t xml:space="preserve">The </w:t>
      </w:r>
      <w:r w:rsidRPr="001E1B8B">
        <w:rPr>
          <w:rFonts w:cstheme="minorHAnsi"/>
          <w:szCs w:val="24"/>
        </w:rPr>
        <w:t>W</w:t>
      </w:r>
      <w:r w:rsidRPr="001E1B8B">
        <w:rPr>
          <w:rFonts w:cstheme="minorHAnsi"/>
        </w:rPr>
        <w:t xml:space="preserve">orking </w:t>
      </w:r>
      <w:r w:rsidRPr="001E1B8B">
        <w:rPr>
          <w:rFonts w:cstheme="minorHAnsi"/>
          <w:szCs w:val="24"/>
        </w:rPr>
        <w:t>G</w:t>
      </w:r>
      <w:r w:rsidRPr="001E1B8B">
        <w:rPr>
          <w:rFonts w:cstheme="minorHAnsi"/>
        </w:rPr>
        <w:t>roup</w:t>
      </w:r>
      <w:r w:rsidRPr="001E1B8B">
        <w:rPr>
          <w:rFonts w:cstheme="minorHAnsi"/>
          <w:szCs w:val="24"/>
        </w:rPr>
        <w:t xml:space="preserve"> on Child Online Safety</w:t>
      </w:r>
      <w:r w:rsidR="004D3C65" w:rsidRPr="001E1B8B">
        <w:rPr>
          <w:rFonts w:cstheme="minorHAnsi"/>
          <w:szCs w:val="24"/>
        </w:rPr>
        <w:t>,</w:t>
      </w:r>
      <w:r w:rsidRPr="001E1B8B">
        <w:rPr>
          <w:rFonts w:cstheme="minorHAnsi"/>
          <w:szCs w:val="24"/>
        </w:rPr>
        <w:t xml:space="preserve"> led by the World Childhood Foundation and Zain</w:t>
      </w:r>
      <w:r w:rsidR="004D3C65" w:rsidRPr="001E1B8B">
        <w:rPr>
          <w:rFonts w:cstheme="minorHAnsi"/>
          <w:szCs w:val="24"/>
        </w:rPr>
        <w:t>,</w:t>
      </w:r>
      <w:r w:rsidRPr="001E1B8B">
        <w:rPr>
          <w:rFonts w:cstheme="minorHAnsi"/>
          <w:szCs w:val="24"/>
        </w:rPr>
        <w:t xml:space="preserve"> released its comprehensive </w:t>
      </w:r>
      <w:hyperlink r:id="rId17" w:history="1">
        <w:r w:rsidRPr="001E1B8B">
          <w:rPr>
            <w:rStyle w:val="Hyperlink"/>
            <w:rFonts w:cstheme="minorHAnsi"/>
            <w:szCs w:val="24"/>
          </w:rPr>
          <w:t>report</w:t>
        </w:r>
      </w:hyperlink>
      <w:r w:rsidRPr="001E1B8B">
        <w:rPr>
          <w:rFonts w:cstheme="minorHAnsi"/>
          <w:szCs w:val="24"/>
        </w:rPr>
        <w:t xml:space="preserve"> in N</w:t>
      </w:r>
      <w:r w:rsidRPr="001E1B8B">
        <w:rPr>
          <w:rFonts w:cstheme="minorHAnsi"/>
        </w:rPr>
        <w:t xml:space="preserve">ew </w:t>
      </w:r>
      <w:r w:rsidRPr="001E1B8B">
        <w:rPr>
          <w:rFonts w:cstheme="minorHAnsi"/>
          <w:szCs w:val="24"/>
        </w:rPr>
        <w:t>Y</w:t>
      </w:r>
      <w:r w:rsidRPr="001E1B8B">
        <w:rPr>
          <w:rFonts w:cstheme="minorHAnsi"/>
        </w:rPr>
        <w:t>ork</w:t>
      </w:r>
      <w:r w:rsidRPr="001E1B8B">
        <w:rPr>
          <w:rFonts w:cstheme="minorHAnsi"/>
          <w:szCs w:val="24"/>
        </w:rPr>
        <w:t xml:space="preserve"> in October</w:t>
      </w:r>
      <w:r w:rsidRPr="001E1B8B">
        <w:rPr>
          <w:rFonts w:cstheme="minorHAnsi"/>
        </w:rPr>
        <w:t xml:space="preserve"> 2019. The COP Guidelines were included as a reference and taken as the basis to implement the recommendations of the report.</w:t>
      </w:r>
    </w:p>
    <w:p w14:paraId="323647EB" w14:textId="12E3FAB1" w:rsidR="00AF72B4" w:rsidRPr="001E1B8B" w:rsidRDefault="00166C0C" w:rsidP="00AF72B4">
      <w:pPr>
        <w:keepNext/>
        <w:shd w:val="clear" w:color="auto" w:fill="FFFFFF"/>
        <w:tabs>
          <w:tab w:val="clear" w:pos="794"/>
          <w:tab w:val="clear" w:pos="1191"/>
          <w:tab w:val="clear" w:pos="1588"/>
          <w:tab w:val="clear" w:pos="1985"/>
        </w:tabs>
        <w:overflowPunct/>
        <w:autoSpaceDE/>
        <w:autoSpaceDN/>
        <w:adjustRightInd/>
        <w:rPr>
          <w:b/>
          <w:bCs/>
        </w:rPr>
      </w:pPr>
      <w:r w:rsidRPr="001E1B8B">
        <w:rPr>
          <w:rFonts w:cstheme="minorHAnsi"/>
          <w:szCs w:val="24"/>
        </w:rPr>
        <w:t>2.</w:t>
      </w:r>
      <w:r w:rsidR="00772046" w:rsidRPr="001E1B8B">
        <w:rPr>
          <w:rFonts w:cstheme="minorHAnsi"/>
          <w:szCs w:val="24"/>
        </w:rPr>
        <w:t xml:space="preserve">3 </w:t>
      </w:r>
      <w:r w:rsidR="00F66DD5" w:rsidRPr="001E1B8B">
        <w:rPr>
          <w:rFonts w:cstheme="minorHAnsi"/>
          <w:szCs w:val="24"/>
        </w:rPr>
        <w:tab/>
      </w:r>
      <w:r w:rsidR="007E7C31" w:rsidRPr="001E1B8B">
        <w:rPr>
          <w:b/>
          <w:bCs/>
        </w:rPr>
        <w:t xml:space="preserve">Incident response </w:t>
      </w:r>
    </w:p>
    <w:p w14:paraId="1DD79F58" w14:textId="469E6A90" w:rsidR="00AF72B4" w:rsidRPr="001E1B8B" w:rsidRDefault="00AF72B4" w:rsidP="00092D14">
      <w:pPr>
        <w:pStyle w:val="PlainText"/>
        <w:numPr>
          <w:ilvl w:val="0"/>
          <w:numId w:val="23"/>
        </w:numPr>
        <w:spacing w:before="120"/>
        <w:rPr>
          <w:rFonts w:asciiTheme="minorHAnsi" w:hAnsiTheme="minorHAnsi" w:cstheme="minorHAnsi"/>
          <w:sz w:val="24"/>
          <w:szCs w:val="24"/>
        </w:rPr>
      </w:pPr>
      <w:r w:rsidRPr="001E1B8B">
        <w:rPr>
          <w:rFonts w:asciiTheme="minorHAnsi" w:hAnsiTheme="minorHAnsi" w:cstheme="minorHAnsi"/>
          <w:bCs/>
          <w:sz w:val="24"/>
          <w:szCs w:val="24"/>
        </w:rPr>
        <w:t xml:space="preserve">Four </w:t>
      </w:r>
      <w:r w:rsidRPr="001E1B8B">
        <w:rPr>
          <w:rFonts w:asciiTheme="minorHAnsi" w:hAnsiTheme="minorHAnsi" w:cstheme="minorHAnsi"/>
          <w:sz w:val="24"/>
          <w:szCs w:val="24"/>
          <w:shd w:val="clear" w:color="auto" w:fill="FFFFFF"/>
        </w:rPr>
        <w:t xml:space="preserve">CIRT projects </w:t>
      </w:r>
      <w:r w:rsidRPr="001E1B8B">
        <w:rPr>
          <w:rFonts w:asciiTheme="minorHAnsi" w:hAnsiTheme="minorHAnsi" w:cstheme="minorHAnsi"/>
          <w:bCs/>
          <w:sz w:val="24"/>
          <w:szCs w:val="24"/>
        </w:rPr>
        <w:t xml:space="preserve">were initiated and implementation is still ongoing in </w:t>
      </w:r>
      <w:r w:rsidRPr="001E1B8B">
        <w:rPr>
          <w:rFonts w:asciiTheme="minorHAnsi" w:hAnsiTheme="minorHAnsi" w:cstheme="minorHAnsi"/>
          <w:sz w:val="24"/>
          <w:szCs w:val="24"/>
        </w:rPr>
        <w:t xml:space="preserve">Botswana, Burundi, </w:t>
      </w:r>
      <w:r w:rsidR="004D3C65" w:rsidRPr="001E1B8B">
        <w:rPr>
          <w:rFonts w:asciiTheme="minorHAnsi" w:hAnsiTheme="minorHAnsi" w:cstheme="minorHAnsi"/>
          <w:sz w:val="24"/>
          <w:szCs w:val="24"/>
        </w:rPr>
        <w:t xml:space="preserve">Gambia, </w:t>
      </w:r>
      <w:r w:rsidRPr="001E1B8B">
        <w:rPr>
          <w:rFonts w:asciiTheme="minorHAnsi" w:hAnsiTheme="minorHAnsi" w:cstheme="minorHAnsi"/>
          <w:sz w:val="24"/>
          <w:szCs w:val="24"/>
        </w:rPr>
        <w:t xml:space="preserve">and Malawi. In Kenya, the existing CIRT enhancement is ongoing </w:t>
      </w:r>
      <w:r w:rsidR="004D3C65" w:rsidRPr="001E1B8B">
        <w:rPr>
          <w:rFonts w:asciiTheme="minorHAnsi" w:hAnsiTheme="minorHAnsi" w:cstheme="minorHAnsi"/>
          <w:sz w:val="24"/>
          <w:szCs w:val="24"/>
        </w:rPr>
        <w:t>(to be</w:t>
      </w:r>
      <w:r w:rsidRPr="001E1B8B">
        <w:rPr>
          <w:rFonts w:asciiTheme="minorHAnsi" w:hAnsiTheme="minorHAnsi" w:cstheme="minorHAnsi"/>
          <w:sz w:val="24"/>
          <w:szCs w:val="24"/>
        </w:rPr>
        <w:t xml:space="preserve"> complete</w:t>
      </w:r>
      <w:r w:rsidR="004D3C65" w:rsidRPr="001E1B8B">
        <w:rPr>
          <w:rFonts w:asciiTheme="minorHAnsi" w:hAnsiTheme="minorHAnsi" w:cstheme="minorHAnsi"/>
          <w:sz w:val="24"/>
          <w:szCs w:val="24"/>
        </w:rPr>
        <w:t>d</w:t>
      </w:r>
      <w:r w:rsidRPr="001E1B8B">
        <w:rPr>
          <w:rFonts w:asciiTheme="minorHAnsi" w:hAnsiTheme="minorHAnsi" w:cstheme="minorHAnsi"/>
          <w:sz w:val="24"/>
          <w:szCs w:val="24"/>
        </w:rPr>
        <w:t xml:space="preserve"> in 2020</w:t>
      </w:r>
      <w:r w:rsidR="004D3C65" w:rsidRPr="001E1B8B">
        <w:rPr>
          <w:rFonts w:asciiTheme="minorHAnsi" w:hAnsiTheme="minorHAnsi" w:cstheme="minorHAnsi"/>
          <w:sz w:val="24"/>
          <w:szCs w:val="24"/>
        </w:rPr>
        <w:t>)</w:t>
      </w:r>
      <w:r w:rsidRPr="001E1B8B">
        <w:rPr>
          <w:rFonts w:asciiTheme="minorHAnsi" w:hAnsiTheme="minorHAnsi" w:cstheme="minorHAnsi"/>
          <w:sz w:val="24"/>
          <w:szCs w:val="24"/>
        </w:rPr>
        <w:t xml:space="preserve">. </w:t>
      </w:r>
    </w:p>
    <w:p w14:paraId="7408B19B" w14:textId="58F8BCA0" w:rsidR="00AF72B4" w:rsidRPr="001E1B8B" w:rsidRDefault="00AF72B4" w:rsidP="00AF72B4">
      <w:pPr>
        <w:numPr>
          <w:ilvl w:val="0"/>
          <w:numId w:val="23"/>
        </w:numPr>
        <w:tabs>
          <w:tab w:val="clear" w:pos="794"/>
          <w:tab w:val="clear" w:pos="1191"/>
          <w:tab w:val="clear" w:pos="1588"/>
          <w:tab w:val="clear" w:pos="1985"/>
          <w:tab w:val="left" w:pos="1134"/>
          <w:tab w:val="left" w:pos="1871"/>
          <w:tab w:val="left" w:pos="2268"/>
        </w:tabs>
        <w:contextualSpacing/>
        <w:rPr>
          <w:rFonts w:cstheme="minorHAnsi"/>
        </w:rPr>
      </w:pPr>
      <w:r w:rsidRPr="001E1B8B">
        <w:rPr>
          <w:rFonts w:cstheme="minorHAnsi"/>
        </w:rPr>
        <w:lastRenderedPageBreak/>
        <w:t xml:space="preserve">Through the </w:t>
      </w:r>
      <w:r w:rsidRPr="001E1B8B">
        <w:rPr>
          <w:rFonts w:cstheme="minorHAnsi"/>
          <w:i/>
          <w:iCs/>
        </w:rPr>
        <w:t>Implementation of CIRT services and related capabilities</w:t>
      </w:r>
      <w:r w:rsidRPr="001E1B8B">
        <w:rPr>
          <w:rFonts w:cstheme="minorHAnsi"/>
        </w:rPr>
        <w:t xml:space="preserve"> project, the State of Palestine was assisted in building and deploying the technical capabilities and related trainings for CIRT operations.</w:t>
      </w:r>
    </w:p>
    <w:p w14:paraId="0A15659B" w14:textId="73F66AE6" w:rsidR="00AF72B4" w:rsidRPr="0090011B" w:rsidRDefault="00AF72B4" w:rsidP="00092D14">
      <w:pPr>
        <w:pStyle w:val="ListParagraph"/>
        <w:numPr>
          <w:ilvl w:val="0"/>
          <w:numId w:val="23"/>
        </w:numPr>
        <w:rPr>
          <w:bCs/>
        </w:rPr>
      </w:pPr>
      <w:r w:rsidRPr="0090011B">
        <w:rPr>
          <w:rFonts w:ascii="Calibri" w:eastAsia="Calibri" w:hAnsi="Calibri" w:cs="Calibri"/>
        </w:rPr>
        <w:t xml:space="preserve">Kiribati and Solomon Islands received assistance to develop their national cybersecurity strategies. Capacity development on CIRT was provided to Papua New Guinea and Vanuatu through the </w:t>
      </w:r>
      <w:hyperlink r:id="rId18" w:history="1">
        <w:r w:rsidRPr="0090011B">
          <w:rPr>
            <w:rStyle w:val="Hyperlink"/>
            <w:rFonts w:ascii="Calibri" w:eastAsia="Calibri" w:hAnsi="Calibri" w:cs="Calibri"/>
          </w:rPr>
          <w:t>ITU-DoCA project</w:t>
        </w:r>
      </w:hyperlink>
      <w:r w:rsidRPr="0090011B">
        <w:rPr>
          <w:rFonts w:ascii="Calibri" w:eastAsia="Calibri" w:hAnsi="Calibri" w:cs="Calibri"/>
        </w:rPr>
        <w:t>.</w:t>
      </w:r>
    </w:p>
    <w:p w14:paraId="4D74800C" w14:textId="596935B1" w:rsidR="00166C0C" w:rsidRPr="001E1B8B" w:rsidRDefault="00AF72B4" w:rsidP="00AF72B4">
      <w:pPr>
        <w:keepNext/>
        <w:shd w:val="clear" w:color="auto" w:fill="FFFFFF"/>
        <w:tabs>
          <w:tab w:val="clear" w:pos="794"/>
          <w:tab w:val="clear" w:pos="1191"/>
          <w:tab w:val="clear" w:pos="1588"/>
          <w:tab w:val="clear" w:pos="1985"/>
        </w:tabs>
        <w:overflowPunct/>
        <w:autoSpaceDE/>
        <w:autoSpaceDN/>
        <w:adjustRightInd/>
        <w:rPr>
          <w:b/>
          <w:bCs/>
        </w:rPr>
      </w:pPr>
      <w:r w:rsidRPr="001E1B8B">
        <w:t>2.4</w:t>
      </w:r>
      <w:r w:rsidRPr="001E1B8B">
        <w:tab/>
      </w:r>
      <w:r w:rsidRPr="001E1B8B">
        <w:rPr>
          <w:b/>
          <w:bCs/>
        </w:rPr>
        <w:t xml:space="preserve">Capacity </w:t>
      </w:r>
      <w:r w:rsidR="007E7C31" w:rsidRPr="001E1B8B">
        <w:rPr>
          <w:b/>
          <w:bCs/>
        </w:rPr>
        <w:t xml:space="preserve">development </w:t>
      </w:r>
    </w:p>
    <w:p w14:paraId="0A6A0A44" w14:textId="56BEEC36" w:rsidR="00AF72B4" w:rsidRPr="001E1B8B" w:rsidRDefault="00AF72B4" w:rsidP="00092D14">
      <w:pPr>
        <w:pStyle w:val="ListParagraph"/>
        <w:numPr>
          <w:ilvl w:val="0"/>
          <w:numId w:val="23"/>
        </w:numPr>
        <w:spacing w:after="120"/>
        <w:contextualSpacing w:val="0"/>
        <w:rPr>
          <w:rFonts w:ascii="Calibri" w:eastAsia="Calibri" w:hAnsi="Calibri" w:cs="Calibri"/>
        </w:rPr>
      </w:pPr>
      <w:r w:rsidRPr="001E1B8B">
        <w:rPr>
          <w:rFonts w:ascii="Calibri" w:eastAsia="Calibri" w:hAnsi="Calibri" w:cs="Calibri"/>
        </w:rPr>
        <w:t>An inter-regional cyber drill (CIS and Asia-Pacific</w:t>
      </w:r>
      <w:r w:rsidR="004D3C65" w:rsidRPr="001E1B8B">
        <w:rPr>
          <w:rFonts w:ascii="Calibri" w:eastAsia="Calibri" w:hAnsi="Calibri" w:cs="Calibri"/>
        </w:rPr>
        <w:t xml:space="preserve"> regions</w:t>
      </w:r>
      <w:r w:rsidRPr="001E1B8B">
        <w:rPr>
          <w:rFonts w:ascii="Calibri" w:eastAsia="Calibri" w:hAnsi="Calibri" w:cs="Calibri"/>
        </w:rPr>
        <w:t>) was carried out in Malaysia.</w:t>
      </w:r>
    </w:p>
    <w:p w14:paraId="21189B9C" w14:textId="19EC6832" w:rsidR="00AF72B4" w:rsidRPr="001E1B8B" w:rsidRDefault="00AF72B4" w:rsidP="00092D14">
      <w:pPr>
        <w:pStyle w:val="PlainText"/>
        <w:numPr>
          <w:ilvl w:val="0"/>
          <w:numId w:val="23"/>
        </w:numPr>
        <w:spacing w:before="120" w:after="120"/>
        <w:rPr>
          <w:rFonts w:cstheme="minorHAnsi"/>
          <w:szCs w:val="24"/>
        </w:rPr>
      </w:pPr>
      <w:r w:rsidRPr="001E1B8B">
        <w:rPr>
          <w:rFonts w:asciiTheme="minorHAnsi" w:hAnsiTheme="minorHAnsi" w:cstheme="minorHAnsi"/>
          <w:sz w:val="24"/>
          <w:szCs w:val="24"/>
        </w:rPr>
        <w:t xml:space="preserve">A cyber drill for </w:t>
      </w:r>
      <w:r w:rsidR="004D3C65" w:rsidRPr="001E1B8B">
        <w:rPr>
          <w:rFonts w:asciiTheme="minorHAnsi" w:hAnsiTheme="minorHAnsi" w:cstheme="minorHAnsi"/>
          <w:sz w:val="24"/>
          <w:szCs w:val="24"/>
        </w:rPr>
        <w:t xml:space="preserve">the </w:t>
      </w:r>
      <w:r w:rsidRPr="001E1B8B">
        <w:rPr>
          <w:rFonts w:asciiTheme="minorHAnsi" w:hAnsiTheme="minorHAnsi" w:cstheme="minorHAnsi"/>
          <w:sz w:val="24"/>
          <w:szCs w:val="24"/>
        </w:rPr>
        <w:t xml:space="preserve">Africa </w:t>
      </w:r>
      <w:r w:rsidR="004D3C65" w:rsidRPr="001E1B8B">
        <w:rPr>
          <w:rFonts w:asciiTheme="minorHAnsi" w:hAnsiTheme="minorHAnsi" w:cstheme="minorHAnsi"/>
          <w:sz w:val="24"/>
          <w:szCs w:val="24"/>
        </w:rPr>
        <w:t>r</w:t>
      </w:r>
      <w:r w:rsidRPr="001E1B8B">
        <w:rPr>
          <w:rFonts w:asciiTheme="minorHAnsi" w:hAnsiTheme="minorHAnsi" w:cstheme="minorHAnsi"/>
          <w:sz w:val="24"/>
          <w:szCs w:val="24"/>
        </w:rPr>
        <w:t>egion was organized in Uganda.</w:t>
      </w:r>
    </w:p>
    <w:p w14:paraId="48167F65" w14:textId="5F4078C3" w:rsidR="00AF72B4" w:rsidRPr="001E1B8B" w:rsidRDefault="00AF72B4" w:rsidP="00092D14">
      <w:pPr>
        <w:numPr>
          <w:ilvl w:val="0"/>
          <w:numId w:val="23"/>
        </w:numPr>
        <w:tabs>
          <w:tab w:val="clear" w:pos="794"/>
          <w:tab w:val="clear" w:pos="1191"/>
          <w:tab w:val="clear" w:pos="1588"/>
          <w:tab w:val="clear" w:pos="1985"/>
          <w:tab w:val="left" w:pos="1134"/>
          <w:tab w:val="left" w:pos="1871"/>
          <w:tab w:val="left" w:pos="2268"/>
        </w:tabs>
        <w:spacing w:after="120"/>
        <w:rPr>
          <w:rFonts w:cstheme="minorHAnsi"/>
        </w:rPr>
      </w:pPr>
      <w:r w:rsidRPr="001E1B8B">
        <w:rPr>
          <w:rFonts w:cstheme="minorHAnsi"/>
        </w:rPr>
        <w:t xml:space="preserve">A cyber drill for </w:t>
      </w:r>
      <w:r w:rsidR="004D3C65" w:rsidRPr="001E1B8B">
        <w:rPr>
          <w:rFonts w:cstheme="minorHAnsi"/>
        </w:rPr>
        <w:t xml:space="preserve">the </w:t>
      </w:r>
      <w:r w:rsidRPr="001E1B8B">
        <w:rPr>
          <w:rFonts w:cstheme="minorHAnsi"/>
        </w:rPr>
        <w:t xml:space="preserve">Arab </w:t>
      </w:r>
      <w:r w:rsidR="004D3C65" w:rsidRPr="001E1B8B">
        <w:rPr>
          <w:rFonts w:cstheme="minorHAnsi"/>
        </w:rPr>
        <w:t>States r</w:t>
      </w:r>
      <w:r w:rsidRPr="001E1B8B">
        <w:rPr>
          <w:rFonts w:cstheme="minorHAnsi"/>
        </w:rPr>
        <w:t xml:space="preserve">egion was organized in Oman to ensure continued collective efforts in mitigating cyber threats among the national computer incident response teams. </w:t>
      </w:r>
    </w:p>
    <w:p w14:paraId="222229B9" w14:textId="387FB80D" w:rsidR="00AF72B4" w:rsidRPr="001E1B8B" w:rsidRDefault="00AF72B4" w:rsidP="00092D14">
      <w:pPr>
        <w:pStyle w:val="ListParagraph"/>
        <w:numPr>
          <w:ilvl w:val="0"/>
          <w:numId w:val="23"/>
        </w:numPr>
        <w:spacing w:after="120"/>
        <w:contextualSpacing w:val="0"/>
        <w:rPr>
          <w:rFonts w:ascii="Calibri" w:eastAsia="Calibri" w:hAnsi="Calibri" w:cs="Calibri"/>
        </w:rPr>
      </w:pPr>
      <w:r w:rsidRPr="001E1B8B">
        <w:rPr>
          <w:rFonts w:ascii="Calibri" w:eastAsia="Calibri" w:hAnsi="Calibri" w:cs="Calibri"/>
        </w:rPr>
        <w:t xml:space="preserve">A cyber drill for </w:t>
      </w:r>
      <w:r w:rsidR="004D3C65" w:rsidRPr="001E1B8B">
        <w:rPr>
          <w:rFonts w:ascii="Calibri" w:eastAsia="Calibri" w:hAnsi="Calibri" w:cs="Calibri"/>
        </w:rPr>
        <w:t xml:space="preserve">the </w:t>
      </w:r>
      <w:r w:rsidRPr="001E1B8B">
        <w:rPr>
          <w:rFonts w:ascii="Calibri" w:eastAsia="Calibri" w:hAnsi="Calibri" w:cs="Calibri"/>
        </w:rPr>
        <w:t xml:space="preserve">Europe </w:t>
      </w:r>
      <w:r w:rsidR="004D3C65" w:rsidRPr="001E1B8B">
        <w:rPr>
          <w:rFonts w:ascii="Calibri" w:eastAsia="Calibri" w:hAnsi="Calibri" w:cs="Calibri"/>
        </w:rPr>
        <w:t>r</w:t>
      </w:r>
      <w:r w:rsidRPr="001E1B8B">
        <w:rPr>
          <w:rFonts w:ascii="Calibri" w:eastAsia="Calibri" w:hAnsi="Calibri" w:cs="Calibri"/>
        </w:rPr>
        <w:t>egion was organized in Romania, as part of the 2019 presidency of Romania in EU.</w:t>
      </w:r>
    </w:p>
    <w:p w14:paraId="13A7647E" w14:textId="38483A27" w:rsidR="00AF72B4" w:rsidRPr="001E1B8B" w:rsidRDefault="00AF72B4" w:rsidP="00092D14">
      <w:pPr>
        <w:pStyle w:val="ListParagraph"/>
        <w:numPr>
          <w:ilvl w:val="0"/>
          <w:numId w:val="23"/>
        </w:numPr>
        <w:spacing w:after="120"/>
        <w:contextualSpacing w:val="0"/>
        <w:rPr>
          <w:rFonts w:ascii="Calibri" w:eastAsia="Calibri" w:hAnsi="Calibri" w:cs="Calibri"/>
        </w:rPr>
      </w:pPr>
      <w:r w:rsidRPr="001E1B8B">
        <w:t>Following an invitation from the G20 Presidency, ITU agreed to act as knowledge partner for security in the digital economy priority of the G20 Digital Economy Task Force.</w:t>
      </w:r>
    </w:p>
    <w:p w14:paraId="6D63E6EC" w14:textId="45EBAFED" w:rsidR="00166C0C" w:rsidRPr="001E1B8B" w:rsidRDefault="00CE400B" w:rsidP="00AF72B4">
      <w:pPr>
        <w:keepNext/>
        <w:rPr>
          <w:b/>
          <w:bCs/>
        </w:rPr>
      </w:pPr>
      <w:r w:rsidRPr="001E1B8B">
        <w:rPr>
          <w:bCs/>
        </w:rPr>
        <w:t>2.</w:t>
      </w:r>
      <w:r w:rsidR="00AF72B4" w:rsidRPr="001E1B8B">
        <w:rPr>
          <w:bCs/>
        </w:rPr>
        <w:t>5</w:t>
      </w:r>
      <w:r w:rsidR="00F66DD5" w:rsidRPr="001E1B8B">
        <w:rPr>
          <w:bCs/>
        </w:rPr>
        <w:tab/>
      </w:r>
      <w:r w:rsidR="006D6496" w:rsidRPr="001E1B8B">
        <w:rPr>
          <w:b/>
        </w:rPr>
        <w:t>National cybersecurity strategies</w:t>
      </w:r>
    </w:p>
    <w:p w14:paraId="0637F826" w14:textId="565D64B0" w:rsidR="00AF72B4" w:rsidRPr="001E1B8B" w:rsidRDefault="00AF72B4" w:rsidP="00202B8D">
      <w:pPr>
        <w:rPr>
          <w:bCs/>
        </w:rPr>
      </w:pPr>
      <w:r w:rsidRPr="001E1B8B">
        <w:rPr>
          <w:rFonts w:ascii="Calibri" w:eastAsia="Calibri" w:hAnsi="Calibri" w:cs="Calibri"/>
        </w:rPr>
        <w:t xml:space="preserve">The </w:t>
      </w:r>
      <w:hyperlink r:id="rId19" w:history="1">
        <w:r w:rsidRPr="001E1B8B">
          <w:rPr>
            <w:rStyle w:val="Hyperlink"/>
            <w:bCs/>
          </w:rPr>
          <w:t>ITU guide</w:t>
        </w:r>
      </w:hyperlink>
      <w:r w:rsidRPr="001E1B8B">
        <w:rPr>
          <w:bCs/>
        </w:rPr>
        <w:t xml:space="preserve"> on national cybersecurity strategies constitutes a good practi</w:t>
      </w:r>
      <w:r w:rsidR="004D3C65" w:rsidRPr="001E1B8B">
        <w:rPr>
          <w:bCs/>
        </w:rPr>
        <w:t>c</w:t>
      </w:r>
      <w:r w:rsidRPr="001E1B8B">
        <w:rPr>
          <w:bCs/>
        </w:rPr>
        <w:t xml:space="preserve">e </w:t>
      </w:r>
      <w:r w:rsidR="004D3C65" w:rsidRPr="001E1B8B">
        <w:rPr>
          <w:bCs/>
        </w:rPr>
        <w:t xml:space="preserve">guide that </w:t>
      </w:r>
      <w:r w:rsidRPr="001E1B8B">
        <w:rPr>
          <w:bCs/>
        </w:rPr>
        <w:t>has been used by countries in all regions. In particular:</w:t>
      </w:r>
    </w:p>
    <w:p w14:paraId="37793542" w14:textId="29EDD29F" w:rsidR="00AF72B4" w:rsidRPr="001E1B8B" w:rsidRDefault="00AF72B4" w:rsidP="00092D14">
      <w:pPr>
        <w:pStyle w:val="ListParagraph"/>
        <w:numPr>
          <w:ilvl w:val="0"/>
          <w:numId w:val="23"/>
        </w:numPr>
        <w:spacing w:after="120"/>
        <w:contextualSpacing w:val="0"/>
        <w:rPr>
          <w:rFonts w:ascii="Calibri" w:eastAsia="Calibri" w:hAnsi="Calibri" w:cs="Calibri"/>
        </w:rPr>
      </w:pPr>
      <w:r w:rsidRPr="001E1B8B">
        <w:rPr>
          <w:rFonts w:ascii="Calibri" w:eastAsia="Calibri" w:hAnsi="Calibri" w:cs="Calibri"/>
        </w:rPr>
        <w:t>A regional workshop, hosted by the Ministry of Informatics and Cyber Security Agency of Indonesia in Jakarta, was dedicated to cybersecurity strategies. On the last day, participants discussed general data protection regulations</w:t>
      </w:r>
      <w:r w:rsidR="004D3C65" w:rsidRPr="001E1B8B">
        <w:rPr>
          <w:rFonts w:ascii="Calibri" w:eastAsia="Calibri" w:hAnsi="Calibri" w:cs="Calibri"/>
        </w:rPr>
        <w:t>.</w:t>
      </w:r>
      <w:r w:rsidRPr="001E1B8B">
        <w:rPr>
          <w:rFonts w:ascii="Calibri" w:eastAsia="Calibri" w:hAnsi="Calibri" w:cs="Calibri"/>
        </w:rPr>
        <w:t xml:space="preserve"> </w:t>
      </w:r>
    </w:p>
    <w:p w14:paraId="3FFCEE08" w14:textId="46A62A53" w:rsidR="00AF72B4" w:rsidRPr="001E1B8B" w:rsidRDefault="00AF72B4" w:rsidP="00092D14">
      <w:pPr>
        <w:pStyle w:val="ListParagraph"/>
        <w:numPr>
          <w:ilvl w:val="0"/>
          <w:numId w:val="23"/>
        </w:numPr>
        <w:spacing w:after="120"/>
        <w:contextualSpacing w:val="0"/>
        <w:rPr>
          <w:rFonts w:ascii="Calibri" w:eastAsia="Calibri" w:hAnsi="Calibri" w:cs="Calibri"/>
        </w:rPr>
      </w:pPr>
      <w:r w:rsidRPr="001E1B8B">
        <w:rPr>
          <w:rFonts w:ascii="Calibri" w:eastAsia="Calibri" w:hAnsi="Calibri" w:cs="Calibri"/>
        </w:rPr>
        <w:t>A regional workshop, hosted by Macedonia, was dedicated to improv</w:t>
      </w:r>
      <w:r w:rsidR="006B341A" w:rsidRPr="001E1B8B">
        <w:rPr>
          <w:rFonts w:ascii="Calibri" w:eastAsia="Calibri" w:hAnsi="Calibri" w:cs="Calibri"/>
        </w:rPr>
        <w:t>ing</w:t>
      </w:r>
      <w:r w:rsidRPr="001E1B8B">
        <w:rPr>
          <w:rFonts w:ascii="Calibri" w:eastAsia="Calibri" w:hAnsi="Calibri" w:cs="Calibri"/>
        </w:rPr>
        <w:t xml:space="preserve"> </w:t>
      </w:r>
      <w:r w:rsidR="006B341A" w:rsidRPr="001E1B8B">
        <w:rPr>
          <w:rFonts w:ascii="Calibri" w:eastAsia="Calibri" w:hAnsi="Calibri" w:cs="Calibri"/>
        </w:rPr>
        <w:t>n</w:t>
      </w:r>
      <w:r w:rsidRPr="001E1B8B">
        <w:rPr>
          <w:rFonts w:ascii="Calibri" w:eastAsia="Calibri" w:hAnsi="Calibri" w:cs="Calibri"/>
        </w:rPr>
        <w:t xml:space="preserve">ational </w:t>
      </w:r>
      <w:r w:rsidR="006B341A" w:rsidRPr="001E1B8B">
        <w:rPr>
          <w:rFonts w:ascii="Calibri" w:eastAsia="Calibri" w:hAnsi="Calibri" w:cs="Calibri"/>
        </w:rPr>
        <w:t>s</w:t>
      </w:r>
      <w:r w:rsidRPr="001E1B8B">
        <w:rPr>
          <w:rFonts w:ascii="Calibri" w:eastAsia="Calibri" w:hAnsi="Calibri" w:cs="Calibri"/>
        </w:rPr>
        <w:t xml:space="preserve">trategies for </w:t>
      </w:r>
      <w:r w:rsidR="006B341A" w:rsidRPr="001E1B8B">
        <w:rPr>
          <w:rFonts w:ascii="Calibri" w:eastAsia="Calibri" w:hAnsi="Calibri" w:cs="Calibri"/>
        </w:rPr>
        <w:t>five</w:t>
      </w:r>
      <w:r w:rsidRPr="001E1B8B">
        <w:rPr>
          <w:rFonts w:ascii="Calibri" w:eastAsia="Calibri" w:hAnsi="Calibri" w:cs="Calibri"/>
        </w:rPr>
        <w:t xml:space="preserve"> Balkan states</w:t>
      </w:r>
      <w:r w:rsidR="004D3C65" w:rsidRPr="001E1B8B">
        <w:rPr>
          <w:rFonts w:ascii="Calibri" w:eastAsia="Calibri" w:hAnsi="Calibri" w:cs="Calibri"/>
        </w:rPr>
        <w:t>.</w:t>
      </w:r>
    </w:p>
    <w:p w14:paraId="65448691" w14:textId="2A0E2321" w:rsidR="00AF72B4" w:rsidRPr="001E1B8B" w:rsidRDefault="00AF72B4" w:rsidP="00092D14">
      <w:pPr>
        <w:pStyle w:val="ListParagraph"/>
        <w:numPr>
          <w:ilvl w:val="0"/>
          <w:numId w:val="23"/>
        </w:numPr>
        <w:spacing w:after="120"/>
        <w:contextualSpacing w:val="0"/>
        <w:rPr>
          <w:rFonts w:ascii="Calibri" w:eastAsia="Calibri" w:hAnsi="Calibri" w:cs="Calibri"/>
        </w:rPr>
      </w:pPr>
      <w:r w:rsidRPr="001E1B8B">
        <w:rPr>
          <w:rFonts w:ascii="Calibri" w:eastAsia="Calibri" w:hAnsi="Calibri" w:cs="Calibri"/>
        </w:rPr>
        <w:t xml:space="preserve">A regional workshop, hosted by Tunisia, was dedicated to improving </w:t>
      </w:r>
      <w:r w:rsidR="006B341A" w:rsidRPr="001E1B8B">
        <w:rPr>
          <w:rFonts w:ascii="Calibri" w:eastAsia="Calibri" w:hAnsi="Calibri" w:cs="Calibri"/>
        </w:rPr>
        <w:t>n</w:t>
      </w:r>
      <w:r w:rsidRPr="001E1B8B">
        <w:rPr>
          <w:rFonts w:ascii="Calibri" w:eastAsia="Calibri" w:hAnsi="Calibri" w:cs="Calibri"/>
        </w:rPr>
        <w:t xml:space="preserve">ational </w:t>
      </w:r>
      <w:r w:rsidR="006B341A" w:rsidRPr="001E1B8B">
        <w:rPr>
          <w:rFonts w:ascii="Calibri" w:eastAsia="Calibri" w:hAnsi="Calibri" w:cs="Calibri"/>
        </w:rPr>
        <w:t>s</w:t>
      </w:r>
      <w:r w:rsidRPr="001E1B8B">
        <w:rPr>
          <w:rFonts w:ascii="Calibri" w:eastAsia="Calibri" w:hAnsi="Calibri" w:cs="Calibri"/>
        </w:rPr>
        <w:t xml:space="preserve">trategies of </w:t>
      </w:r>
      <w:r w:rsidR="006B341A" w:rsidRPr="001E1B8B">
        <w:rPr>
          <w:rFonts w:ascii="Calibri" w:eastAsia="Calibri" w:hAnsi="Calibri" w:cs="Calibri"/>
        </w:rPr>
        <w:t xml:space="preserve">countries from the </w:t>
      </w:r>
      <w:r w:rsidRPr="001E1B8B">
        <w:rPr>
          <w:rFonts w:ascii="Calibri" w:eastAsia="Calibri" w:hAnsi="Calibri" w:cs="Calibri"/>
        </w:rPr>
        <w:t xml:space="preserve">Africa and Arab </w:t>
      </w:r>
      <w:r w:rsidR="006B341A" w:rsidRPr="001E1B8B">
        <w:rPr>
          <w:rFonts w:ascii="Calibri" w:eastAsia="Calibri" w:hAnsi="Calibri" w:cs="Calibri"/>
        </w:rPr>
        <w:t>S</w:t>
      </w:r>
      <w:r w:rsidRPr="001E1B8B">
        <w:rPr>
          <w:rFonts w:ascii="Calibri" w:eastAsia="Calibri" w:hAnsi="Calibri" w:cs="Calibri"/>
        </w:rPr>
        <w:t>tates</w:t>
      </w:r>
      <w:r w:rsidR="006B341A" w:rsidRPr="001E1B8B">
        <w:rPr>
          <w:rFonts w:ascii="Calibri" w:eastAsia="Calibri" w:hAnsi="Calibri" w:cs="Calibri"/>
        </w:rPr>
        <w:t xml:space="preserve"> regions</w:t>
      </w:r>
      <w:r w:rsidRPr="001E1B8B">
        <w:rPr>
          <w:rFonts w:ascii="Calibri" w:eastAsia="Calibri" w:hAnsi="Calibri" w:cs="Calibri"/>
        </w:rPr>
        <w:t>. Twenty countries actively participated (about 32% of attendants were female)</w:t>
      </w:r>
      <w:r w:rsidR="006B341A" w:rsidRPr="001E1B8B">
        <w:rPr>
          <w:rFonts w:ascii="Calibri" w:eastAsia="Calibri" w:hAnsi="Calibri" w:cs="Calibri"/>
        </w:rPr>
        <w:t>.</w:t>
      </w:r>
      <w:r w:rsidRPr="001E1B8B">
        <w:rPr>
          <w:rFonts w:ascii="Calibri" w:eastAsia="Calibri" w:hAnsi="Calibri" w:cs="Calibri"/>
        </w:rPr>
        <w:t xml:space="preserve"> </w:t>
      </w:r>
    </w:p>
    <w:p w14:paraId="10EB4477" w14:textId="45120B2F" w:rsidR="00AF72B4" w:rsidRPr="001E1B8B" w:rsidRDefault="00AF72B4" w:rsidP="00092D14">
      <w:pPr>
        <w:pStyle w:val="ListParagraph"/>
        <w:numPr>
          <w:ilvl w:val="0"/>
          <w:numId w:val="23"/>
        </w:numPr>
        <w:rPr>
          <w:bCs/>
        </w:rPr>
      </w:pPr>
      <w:r w:rsidRPr="001E1B8B">
        <w:rPr>
          <w:bCs/>
        </w:rPr>
        <w:t xml:space="preserve">Three countries received direct assistance to develop and revise national cybersecurity strategies using the </w:t>
      </w:r>
      <w:r w:rsidRPr="001E1B8B">
        <w:t>guide.</w:t>
      </w:r>
    </w:p>
    <w:p w14:paraId="5260A352" w14:textId="42BF29A0" w:rsidR="0038416B" w:rsidRPr="001E1B8B" w:rsidRDefault="0038416B" w:rsidP="001C1B7C">
      <w:pPr>
        <w:pStyle w:val="NormalWeb"/>
        <w:shd w:val="clear" w:color="auto" w:fill="FFFFFF"/>
        <w:spacing w:before="120" w:beforeAutospacing="0" w:after="0" w:afterAutospacing="0"/>
        <w:textAlignment w:val="baseline"/>
        <w:rPr>
          <w:rFonts w:asciiTheme="minorHAnsi" w:hAnsiTheme="minorHAnsi" w:cstheme="minorHAnsi"/>
        </w:rPr>
      </w:pPr>
    </w:p>
    <w:tbl>
      <w:tblPr>
        <w:tblStyle w:val="TableGrid"/>
        <w:tblW w:w="0" w:type="auto"/>
        <w:tblLook w:val="04A0" w:firstRow="1" w:lastRow="0" w:firstColumn="1" w:lastColumn="0" w:noHBand="0" w:noVBand="1"/>
      </w:tblPr>
      <w:tblGrid>
        <w:gridCol w:w="9629"/>
      </w:tblGrid>
      <w:tr w:rsidR="00F1178B" w:rsidRPr="001E1B8B" w14:paraId="10BD9289" w14:textId="77777777" w:rsidTr="00202B8D">
        <w:tc>
          <w:tcPr>
            <w:tcW w:w="9629" w:type="dxa"/>
            <w:shd w:val="clear" w:color="auto" w:fill="FFFFFF" w:themeFill="background1"/>
          </w:tcPr>
          <w:p w14:paraId="30212E90" w14:textId="77777777" w:rsidR="00F1178B" w:rsidRPr="001E1B8B" w:rsidRDefault="00F1178B" w:rsidP="0090011B">
            <w:pPr>
              <w:keepNext/>
              <w:rPr>
                <w:b/>
              </w:rPr>
            </w:pPr>
            <w:r w:rsidRPr="001E1B8B">
              <w:rPr>
                <w:b/>
              </w:rPr>
              <w:lastRenderedPageBreak/>
              <w:t>REGIONAL INITIATIVES</w:t>
            </w:r>
          </w:p>
          <w:p w14:paraId="040428A7" w14:textId="4528599B" w:rsidR="004D3E8D" w:rsidRPr="001E1B8B" w:rsidRDefault="004D3E8D" w:rsidP="0090011B">
            <w:pPr>
              <w:keepNext/>
              <w:rPr>
                <w:rFonts w:ascii="Calibri" w:eastAsia="Calibri" w:hAnsi="Calibri" w:cs="Calibri"/>
              </w:rPr>
            </w:pPr>
            <w:r w:rsidRPr="001E1B8B">
              <w:rPr>
                <w:rFonts w:ascii="Calibri" w:eastAsia="Calibri" w:hAnsi="Calibri" w:cs="Calibri"/>
              </w:rPr>
              <w:t xml:space="preserve">Africa: </w:t>
            </w:r>
            <w:r w:rsidR="006D6496" w:rsidRPr="001E1B8B">
              <w:rPr>
                <w:rFonts w:ascii="Calibri" w:eastAsia="Calibri" w:hAnsi="Calibri" w:cs="Calibri"/>
                <w:u w:val="single"/>
              </w:rPr>
              <w:t>B</w:t>
            </w:r>
            <w:r w:rsidRPr="001E1B8B">
              <w:rPr>
                <w:rFonts w:ascii="Calibri" w:eastAsia="Calibri" w:hAnsi="Calibri" w:cs="Calibri"/>
                <w:u w:val="single"/>
              </w:rPr>
              <w:t>uilding trust and security in the use of telecommunications/information and communication technology</w:t>
            </w:r>
          </w:p>
          <w:p w14:paraId="68790285" w14:textId="434F0A99" w:rsidR="00AF72B4" w:rsidRPr="001E1B8B" w:rsidRDefault="00AF72B4" w:rsidP="0090011B">
            <w:pPr>
              <w:numPr>
                <w:ilvl w:val="0"/>
                <w:numId w:val="23"/>
              </w:numPr>
              <w:tabs>
                <w:tab w:val="clear" w:pos="794"/>
                <w:tab w:val="clear" w:pos="1191"/>
                <w:tab w:val="clear" w:pos="1588"/>
                <w:tab w:val="clear" w:pos="1985"/>
                <w:tab w:val="left" w:pos="1134"/>
                <w:tab w:val="left" w:pos="1871"/>
                <w:tab w:val="left" w:pos="2268"/>
              </w:tabs>
              <w:ind w:left="357" w:hanging="357"/>
            </w:pPr>
            <w:r w:rsidRPr="001E1B8B">
              <w:rPr>
                <w:rFonts w:cstheme="minorHAnsi"/>
                <w:szCs w:val="24"/>
                <w:shd w:val="clear" w:color="auto" w:fill="FFFFFF"/>
              </w:rPr>
              <w:t>Computer incident response team (</w:t>
            </w:r>
            <w:r w:rsidRPr="001E1B8B">
              <w:t>CIRT) readiness assessment workshops were conducted in Chad</w:t>
            </w:r>
            <w:r w:rsidR="006B341A" w:rsidRPr="001E1B8B">
              <w:t xml:space="preserve"> and Liberia</w:t>
            </w:r>
            <w:r w:rsidRPr="001E1B8B">
              <w:t xml:space="preserve">. </w:t>
            </w:r>
          </w:p>
          <w:p w14:paraId="056288C1" w14:textId="22B0BEFD" w:rsidR="00AF72B4" w:rsidRPr="001E1B8B" w:rsidRDefault="00AF72B4" w:rsidP="0090011B">
            <w:pPr>
              <w:numPr>
                <w:ilvl w:val="0"/>
                <w:numId w:val="23"/>
              </w:numPr>
              <w:tabs>
                <w:tab w:val="clear" w:pos="794"/>
                <w:tab w:val="clear" w:pos="1191"/>
                <w:tab w:val="clear" w:pos="1588"/>
                <w:tab w:val="clear" w:pos="1985"/>
                <w:tab w:val="left" w:pos="1134"/>
                <w:tab w:val="left" w:pos="1871"/>
                <w:tab w:val="left" w:pos="2268"/>
              </w:tabs>
              <w:ind w:left="357" w:hanging="357"/>
            </w:pPr>
            <w:r w:rsidRPr="001E1B8B">
              <w:t xml:space="preserve">The </w:t>
            </w:r>
            <w:r w:rsidR="006B341A" w:rsidRPr="001E1B8B">
              <w:t>n</w:t>
            </w:r>
            <w:r w:rsidRPr="001E1B8B">
              <w:t xml:space="preserve">ational CIRT stakeholders of Gambia were trained on CIRT operations. </w:t>
            </w:r>
          </w:p>
          <w:p w14:paraId="3024FED3" w14:textId="2C94E11B" w:rsidR="00AF72B4" w:rsidRPr="001E1B8B" w:rsidRDefault="00AF72B4" w:rsidP="0090011B">
            <w:pPr>
              <w:numPr>
                <w:ilvl w:val="0"/>
                <w:numId w:val="23"/>
              </w:numPr>
              <w:tabs>
                <w:tab w:val="clear" w:pos="794"/>
                <w:tab w:val="clear" w:pos="1191"/>
                <w:tab w:val="clear" w:pos="1588"/>
                <w:tab w:val="clear" w:pos="1985"/>
                <w:tab w:val="left" w:pos="1134"/>
                <w:tab w:val="left" w:pos="1871"/>
                <w:tab w:val="left" w:pos="2268"/>
              </w:tabs>
              <w:ind w:left="357" w:hanging="357"/>
            </w:pPr>
            <w:r w:rsidRPr="001E1B8B">
              <w:t xml:space="preserve">In partnership with </w:t>
            </w:r>
            <w:r w:rsidRPr="009A6269">
              <w:t>Deloitte risk advisory</w:t>
            </w:r>
            <w:r w:rsidRPr="001E1B8B">
              <w:t>, a cybersecurity landscape review was conducted for Cote d’Ivoire, including on the ITU Global Cybersecurity Index findings. The review helped the country to identify cybersecurity priority initiatives to improve its cybersecurity posture.</w:t>
            </w:r>
          </w:p>
          <w:p w14:paraId="5F9BB4FD" w14:textId="77777777" w:rsidR="0063460F" w:rsidRPr="001E1B8B" w:rsidRDefault="005B3FA6" w:rsidP="0090011B">
            <w:pPr>
              <w:keepNext/>
              <w:rPr>
                <w:u w:val="single"/>
              </w:rPr>
            </w:pPr>
            <w:r w:rsidRPr="001E1B8B">
              <w:t>Arab States</w:t>
            </w:r>
            <w:r w:rsidR="0063460F" w:rsidRPr="001E1B8B">
              <w:t xml:space="preserve">: </w:t>
            </w:r>
            <w:r w:rsidR="0063460F" w:rsidRPr="001E1B8B">
              <w:rPr>
                <w:u w:val="single"/>
              </w:rPr>
              <w:t>Confidence and security in the use of telecommunications/ICTs</w:t>
            </w:r>
          </w:p>
          <w:p w14:paraId="430257C7" w14:textId="77777777" w:rsidR="00AF72B4" w:rsidRPr="001E1B8B" w:rsidRDefault="00AF72B4" w:rsidP="0090011B">
            <w:pPr>
              <w:numPr>
                <w:ilvl w:val="0"/>
                <w:numId w:val="4"/>
              </w:numPr>
              <w:tabs>
                <w:tab w:val="clear" w:pos="794"/>
                <w:tab w:val="clear" w:pos="1191"/>
                <w:tab w:val="clear" w:pos="1588"/>
                <w:tab w:val="clear" w:pos="1985"/>
                <w:tab w:val="left" w:pos="1134"/>
                <w:tab w:val="left" w:pos="1871"/>
                <w:tab w:val="left" w:pos="2268"/>
              </w:tabs>
              <w:ind w:left="357" w:hanging="357"/>
              <w:rPr>
                <w:rFonts w:cstheme="minorHAnsi"/>
              </w:rPr>
            </w:pPr>
            <w:r w:rsidRPr="001E1B8B">
              <w:rPr>
                <w:rFonts w:cstheme="minorHAnsi"/>
              </w:rPr>
              <w:t xml:space="preserve">During the Regional Cyber Security Week for the Arab States region the ITU Arab Regional Cyber Security Centre (ITU-ARCC) fostered information sharing and capacity building in the field of cybersecurity. The week provided a platform for senior ICT and cybersecurity officials from the region to meet with relevant stakeholders and discuss threats, evolution, opportunities and cybersecurity challenges. </w:t>
            </w:r>
          </w:p>
          <w:p w14:paraId="10A44416" w14:textId="565941FC" w:rsidR="00AF72B4" w:rsidRPr="001E1B8B" w:rsidRDefault="00AF72B4" w:rsidP="0090011B">
            <w:pPr>
              <w:numPr>
                <w:ilvl w:val="0"/>
                <w:numId w:val="4"/>
              </w:numPr>
              <w:tabs>
                <w:tab w:val="clear" w:pos="794"/>
                <w:tab w:val="clear" w:pos="1191"/>
                <w:tab w:val="clear" w:pos="1588"/>
                <w:tab w:val="clear" w:pos="1985"/>
                <w:tab w:val="left" w:pos="1134"/>
                <w:tab w:val="left" w:pos="1871"/>
                <w:tab w:val="left" w:pos="2268"/>
              </w:tabs>
              <w:ind w:left="357" w:hanging="357"/>
              <w:rPr>
                <w:rFonts w:cstheme="minorHAnsi"/>
              </w:rPr>
            </w:pPr>
            <w:r w:rsidRPr="001E1B8B">
              <w:rPr>
                <w:rFonts w:cstheme="minorHAnsi"/>
              </w:rPr>
              <w:t>Capacity development and technical assistance was provided to Sudan to improve its strategy on critical information infrastructure protection.</w:t>
            </w:r>
          </w:p>
          <w:p w14:paraId="7A003CC7" w14:textId="77777777" w:rsidR="00CE400B" w:rsidRPr="001E1B8B" w:rsidRDefault="00CE400B" w:rsidP="0090011B">
            <w:pPr>
              <w:keepNext/>
              <w:rPr>
                <w:rFonts w:ascii="Calibri" w:eastAsia="Calibri" w:hAnsi="Calibri" w:cs="Calibri"/>
                <w:u w:val="single"/>
              </w:rPr>
            </w:pPr>
            <w:r w:rsidRPr="001E1B8B">
              <w:rPr>
                <w:rFonts w:ascii="Calibri" w:eastAsia="Calibri" w:hAnsi="Calibri" w:cs="Calibri"/>
              </w:rPr>
              <w:t xml:space="preserve">Europe: </w:t>
            </w:r>
            <w:r w:rsidRPr="001E1B8B">
              <w:rPr>
                <w:rFonts w:ascii="Calibri" w:eastAsia="Calibri" w:hAnsi="Calibri" w:cs="Calibri"/>
                <w:u w:val="single"/>
              </w:rPr>
              <w:t>Enhancing trust and confidence in the use of ICTs</w:t>
            </w:r>
          </w:p>
          <w:p w14:paraId="5ED8A97D" w14:textId="3EBF3E5C" w:rsidR="00AB0DB1" w:rsidRPr="001E1B8B" w:rsidRDefault="00750E4B" w:rsidP="0090011B">
            <w:pPr>
              <w:pStyle w:val="ListParagraph"/>
              <w:numPr>
                <w:ilvl w:val="0"/>
                <w:numId w:val="24"/>
              </w:numPr>
              <w:ind w:left="357" w:hanging="357"/>
              <w:contextualSpacing w:val="0"/>
              <w:rPr>
                <w:rFonts w:eastAsia="Calibri" w:cstheme="minorHAnsi"/>
                <w:szCs w:val="24"/>
              </w:rPr>
            </w:pPr>
            <w:r w:rsidRPr="001E1B8B">
              <w:rPr>
                <w:rFonts w:ascii="Calibri" w:eastAsia="Calibri" w:hAnsi="Calibri" w:cs="Calibri"/>
              </w:rPr>
              <w:t xml:space="preserve">The </w:t>
            </w:r>
            <w:r w:rsidR="00AB0DB1" w:rsidRPr="001E1B8B">
              <w:rPr>
                <w:rFonts w:ascii="Calibri" w:eastAsia="Calibri" w:hAnsi="Calibri" w:cs="Calibri"/>
              </w:rPr>
              <w:t>Moldova Cybersecurity Week was held in Chisinau, Moldova, and supported by ITU</w:t>
            </w:r>
            <w:r w:rsidRPr="001E1B8B">
              <w:rPr>
                <w:rFonts w:ascii="Calibri" w:eastAsia="Calibri" w:hAnsi="Calibri" w:cs="Calibri"/>
              </w:rPr>
              <w:t xml:space="preserve">. </w:t>
            </w:r>
            <w:r w:rsidR="00AB0DB1" w:rsidRPr="001E1B8B">
              <w:rPr>
                <w:rFonts w:ascii="Calibri" w:eastAsia="Calibri" w:hAnsi="Calibri" w:cs="Calibri"/>
              </w:rPr>
              <w:t xml:space="preserve"> </w:t>
            </w:r>
            <w:r w:rsidRPr="001E1B8B">
              <w:rPr>
                <w:rFonts w:cstheme="minorHAnsi"/>
                <w:szCs w:val="24"/>
                <w:shd w:val="clear" w:color="auto" w:fill="FFFFFF"/>
              </w:rPr>
              <w:t>The conference offered networking opportunities a</w:t>
            </w:r>
            <w:r w:rsidR="00F03240" w:rsidRPr="001E1B8B">
              <w:rPr>
                <w:rFonts w:cstheme="minorHAnsi"/>
                <w:szCs w:val="24"/>
                <w:shd w:val="clear" w:color="auto" w:fill="FFFFFF"/>
              </w:rPr>
              <w:t>n</w:t>
            </w:r>
            <w:r w:rsidRPr="001E1B8B">
              <w:rPr>
                <w:rFonts w:cstheme="minorHAnsi"/>
                <w:szCs w:val="24"/>
                <w:shd w:val="clear" w:color="auto" w:fill="FFFFFF"/>
              </w:rPr>
              <w:t>d a platform to exchange ideas, discuss and collaborate to drive, through innovation, global cybersecurity strategies and solutions.</w:t>
            </w:r>
          </w:p>
          <w:p w14:paraId="102138E2" w14:textId="38D8BB3C" w:rsidR="00750E4B" w:rsidRPr="001E1B8B" w:rsidRDefault="00750E4B" w:rsidP="0090011B">
            <w:pPr>
              <w:pStyle w:val="NormalWeb"/>
              <w:numPr>
                <w:ilvl w:val="0"/>
                <w:numId w:val="24"/>
              </w:numPr>
              <w:shd w:val="clear" w:color="auto" w:fill="FFFFFF"/>
              <w:overflowPunct w:val="0"/>
              <w:autoSpaceDE w:val="0"/>
              <w:autoSpaceDN w:val="0"/>
              <w:adjustRightInd w:val="0"/>
              <w:spacing w:before="120" w:beforeAutospacing="0" w:after="0" w:afterAutospacing="0"/>
              <w:ind w:left="357" w:hanging="357"/>
              <w:textAlignment w:val="baseline"/>
              <w:rPr>
                <w:rFonts w:cstheme="minorHAnsi"/>
                <w:lang w:eastAsia="en-GB"/>
              </w:rPr>
            </w:pPr>
            <w:r w:rsidRPr="001E1B8B">
              <w:rPr>
                <w:rFonts w:asciiTheme="minorHAnsi" w:eastAsia="Calibri" w:hAnsiTheme="minorHAnsi" w:cstheme="minorHAnsi"/>
              </w:rPr>
              <w:t xml:space="preserve">The </w:t>
            </w:r>
            <w:r w:rsidR="00AB0DB1" w:rsidRPr="001E1B8B">
              <w:rPr>
                <w:rFonts w:asciiTheme="minorHAnsi" w:eastAsia="Calibri" w:hAnsiTheme="minorHAnsi" w:cstheme="minorHAnsi"/>
              </w:rPr>
              <w:t>Cyber Shield 2019 was held in Ankara, Turkey, and was supported by ITU</w:t>
            </w:r>
            <w:r w:rsidRPr="001E1B8B">
              <w:rPr>
                <w:rFonts w:asciiTheme="minorHAnsi" w:eastAsia="Calibri" w:hAnsiTheme="minorHAnsi" w:cstheme="minorHAnsi"/>
              </w:rPr>
              <w:t xml:space="preserve">. </w:t>
            </w:r>
            <w:r w:rsidR="00AB0DB1" w:rsidRPr="001E1B8B">
              <w:rPr>
                <w:rFonts w:asciiTheme="minorHAnsi" w:eastAsia="Calibri" w:hAnsiTheme="minorHAnsi" w:cstheme="minorHAnsi"/>
              </w:rPr>
              <w:t xml:space="preserve"> </w:t>
            </w:r>
            <w:r w:rsidRPr="001E1B8B">
              <w:rPr>
                <w:rFonts w:asciiTheme="minorHAnsi" w:hAnsiTheme="minorHAnsi" w:cstheme="minorHAnsi"/>
                <w:bdr w:val="none" w:sz="0" w:space="0" w:color="auto" w:frame="1"/>
                <w:lang w:eastAsia="en-GB"/>
              </w:rPr>
              <w:t xml:space="preserve">The event offered a unique opportunity to participate in numerous technical activities in cybersecurity. The main objectives were to increase incident response capabilities and readiness levels, to increase mutual understanding of cyber risks and associated impacts, and to ensure a continued collaborative effort among international cybersecurity stakeholders especially national </w:t>
            </w:r>
            <w:r w:rsidR="00F03240" w:rsidRPr="001E1B8B">
              <w:rPr>
                <w:rFonts w:asciiTheme="minorHAnsi" w:hAnsiTheme="minorHAnsi" w:cstheme="minorHAnsi"/>
                <w:bdr w:val="none" w:sz="0" w:space="0" w:color="auto" w:frame="1"/>
                <w:lang w:eastAsia="en-GB"/>
              </w:rPr>
              <w:t>c</w:t>
            </w:r>
            <w:r w:rsidRPr="001E1B8B">
              <w:rPr>
                <w:rFonts w:asciiTheme="minorHAnsi" w:hAnsiTheme="minorHAnsi" w:cstheme="minorHAnsi"/>
                <w:bdr w:val="none" w:sz="0" w:space="0" w:color="auto" w:frame="1"/>
                <w:lang w:eastAsia="en-GB"/>
              </w:rPr>
              <w:t xml:space="preserve">omputer </w:t>
            </w:r>
            <w:r w:rsidR="00F03240" w:rsidRPr="001E1B8B">
              <w:rPr>
                <w:rFonts w:asciiTheme="minorHAnsi" w:hAnsiTheme="minorHAnsi" w:cstheme="minorHAnsi"/>
                <w:bdr w:val="none" w:sz="0" w:space="0" w:color="auto" w:frame="1"/>
                <w:lang w:eastAsia="en-GB"/>
              </w:rPr>
              <w:t>e</w:t>
            </w:r>
            <w:r w:rsidRPr="001E1B8B">
              <w:rPr>
                <w:rFonts w:asciiTheme="minorHAnsi" w:hAnsiTheme="minorHAnsi" w:cstheme="minorHAnsi"/>
                <w:bdr w:val="none" w:sz="0" w:space="0" w:color="auto" w:frame="1"/>
                <w:lang w:eastAsia="en-GB"/>
              </w:rPr>
              <w:t xml:space="preserve">mergency </w:t>
            </w:r>
            <w:r w:rsidR="00F03240" w:rsidRPr="001E1B8B">
              <w:rPr>
                <w:rFonts w:asciiTheme="minorHAnsi" w:hAnsiTheme="minorHAnsi" w:cstheme="minorHAnsi"/>
                <w:bdr w:val="none" w:sz="0" w:space="0" w:color="auto" w:frame="1"/>
                <w:lang w:eastAsia="en-GB"/>
              </w:rPr>
              <w:t>r</w:t>
            </w:r>
            <w:r w:rsidRPr="001E1B8B">
              <w:rPr>
                <w:rFonts w:asciiTheme="minorHAnsi" w:hAnsiTheme="minorHAnsi" w:cstheme="minorHAnsi"/>
                <w:bdr w:val="none" w:sz="0" w:space="0" w:color="auto" w:frame="1"/>
                <w:lang w:eastAsia="en-GB"/>
              </w:rPr>
              <w:t xml:space="preserve">esponse </w:t>
            </w:r>
            <w:r w:rsidR="00F03240" w:rsidRPr="001E1B8B">
              <w:rPr>
                <w:rFonts w:asciiTheme="minorHAnsi" w:hAnsiTheme="minorHAnsi" w:cstheme="minorHAnsi"/>
                <w:bdr w:val="none" w:sz="0" w:space="0" w:color="auto" w:frame="1"/>
                <w:lang w:eastAsia="en-GB"/>
              </w:rPr>
              <w:t>t</w:t>
            </w:r>
            <w:r w:rsidRPr="001E1B8B">
              <w:rPr>
                <w:rFonts w:asciiTheme="minorHAnsi" w:hAnsiTheme="minorHAnsi" w:cstheme="minorHAnsi"/>
                <w:bdr w:val="none" w:sz="0" w:space="0" w:color="auto" w:frame="1"/>
                <w:lang w:eastAsia="en-GB"/>
              </w:rPr>
              <w:t xml:space="preserve">eams (CERTs) in order to mitigate cyber </w:t>
            </w:r>
            <w:r w:rsidR="00A502D7" w:rsidRPr="001E1B8B">
              <w:rPr>
                <w:rFonts w:asciiTheme="minorHAnsi" w:hAnsiTheme="minorHAnsi" w:cstheme="minorHAnsi"/>
                <w:bdr w:val="none" w:sz="0" w:space="0" w:color="auto" w:frame="1"/>
                <w:lang w:eastAsia="en-GB"/>
              </w:rPr>
              <w:t xml:space="preserve">threats. </w:t>
            </w:r>
          </w:p>
          <w:p w14:paraId="48DAE630" w14:textId="25D71E31" w:rsidR="00A24762" w:rsidRPr="001E1B8B" w:rsidRDefault="00750E4B" w:rsidP="0090011B">
            <w:pPr>
              <w:pStyle w:val="ListParagraph"/>
              <w:numPr>
                <w:ilvl w:val="0"/>
                <w:numId w:val="24"/>
              </w:numPr>
              <w:shd w:val="clear" w:color="auto" w:fill="FFFFFF"/>
              <w:spacing w:after="120"/>
              <w:ind w:left="357" w:hanging="357"/>
              <w:contextualSpacing w:val="0"/>
              <w:rPr>
                <w:rFonts w:ascii="Calibri" w:eastAsia="Calibri" w:hAnsi="Calibri" w:cs="Calibri"/>
              </w:rPr>
            </w:pPr>
            <w:r w:rsidRPr="001E1B8B">
              <w:rPr>
                <w:rFonts w:eastAsia="Calibri" w:cstheme="minorHAnsi"/>
              </w:rPr>
              <w:t>Progress was made in the field of child online protection:</w:t>
            </w:r>
            <w:r w:rsidRPr="001E1B8B">
              <w:rPr>
                <w:rFonts w:cstheme="minorHAnsi"/>
                <w:lang w:eastAsia="en-GB"/>
              </w:rPr>
              <w:t xml:space="preserve"> an i</w:t>
            </w:r>
            <w:r w:rsidRPr="001E1B8B">
              <w:rPr>
                <w:rFonts w:ascii="Calibri" w:eastAsia="Calibri" w:hAnsi="Calibri" w:cs="Calibri"/>
              </w:rPr>
              <w:t xml:space="preserve">nternational conference for Europe on keeping children and young people safe online, was co-organized in Warsaw, Poland; a regional study on national approaches for keeping young people and children safe online was drafted for review and opened for consultations with the countries; and assistance was provided to Georgia and Ukraine in the </w:t>
            </w:r>
            <w:r w:rsidR="00AB0DB1" w:rsidRPr="001E1B8B">
              <w:rPr>
                <w:rFonts w:ascii="Calibri" w:eastAsia="Calibri" w:hAnsi="Calibri" w:cs="Calibri"/>
              </w:rPr>
              <w:t xml:space="preserve">development of </w:t>
            </w:r>
            <w:r w:rsidR="00227061" w:rsidRPr="001E1B8B">
              <w:rPr>
                <w:rFonts w:ascii="Calibri" w:eastAsia="Calibri" w:hAnsi="Calibri" w:cs="Calibri"/>
              </w:rPr>
              <w:t>a</w:t>
            </w:r>
            <w:r w:rsidR="00AB0DB1" w:rsidRPr="001E1B8B">
              <w:rPr>
                <w:rFonts w:ascii="Calibri" w:eastAsia="Calibri" w:hAnsi="Calibri" w:cs="Calibri"/>
              </w:rPr>
              <w:t xml:space="preserve"> national strategy on child online protection</w:t>
            </w:r>
            <w:r w:rsidRPr="001E1B8B">
              <w:rPr>
                <w:rFonts w:ascii="Calibri" w:eastAsia="Calibri" w:hAnsi="Calibri" w:cs="Calibri"/>
              </w:rPr>
              <w:t xml:space="preserve">. </w:t>
            </w:r>
            <w:r w:rsidR="00AB0DB1" w:rsidRPr="001E1B8B">
              <w:rPr>
                <w:rFonts w:ascii="Calibri" w:eastAsia="Calibri" w:hAnsi="Calibri" w:cs="Calibri"/>
              </w:rPr>
              <w:t xml:space="preserve"> </w:t>
            </w:r>
          </w:p>
        </w:tc>
      </w:tr>
    </w:tbl>
    <w:p w14:paraId="53AB561A" w14:textId="77777777" w:rsidR="00B245A9" w:rsidRPr="001E1B8B" w:rsidRDefault="00B245A9" w:rsidP="00B245A9">
      <w:pPr>
        <w:pStyle w:val="NormalWeb"/>
        <w:shd w:val="clear" w:color="auto" w:fill="FFFFFF"/>
        <w:spacing w:before="120" w:beforeAutospacing="0" w:after="0" w:afterAutospacing="0"/>
        <w:textAlignment w:val="baseline"/>
        <w:rPr>
          <w:rFonts w:asciiTheme="minorHAnsi" w:hAnsiTheme="minorHAnsi" w:cstheme="minorHAnsi"/>
        </w:rPr>
      </w:pPr>
    </w:p>
    <w:tbl>
      <w:tblPr>
        <w:tblStyle w:val="TableGrid"/>
        <w:tblW w:w="0" w:type="auto"/>
        <w:tblLook w:val="04A0" w:firstRow="1" w:lastRow="0" w:firstColumn="1" w:lastColumn="0" w:noHBand="0" w:noVBand="1"/>
      </w:tblPr>
      <w:tblGrid>
        <w:gridCol w:w="9629"/>
      </w:tblGrid>
      <w:tr w:rsidR="00B245A9" w:rsidRPr="001E1B8B" w14:paraId="2804F610" w14:textId="77777777" w:rsidTr="0054502F">
        <w:tc>
          <w:tcPr>
            <w:tcW w:w="9629" w:type="dxa"/>
          </w:tcPr>
          <w:p w14:paraId="6F131675" w14:textId="77777777" w:rsidR="00B245A9" w:rsidRPr="001E1B8B" w:rsidRDefault="00B245A9" w:rsidP="0054502F">
            <w:pPr>
              <w:pStyle w:val="NormalWeb"/>
              <w:keepNext/>
              <w:shd w:val="clear" w:color="auto" w:fill="FFFFFF"/>
              <w:spacing w:before="120" w:beforeAutospacing="0" w:after="0" w:afterAutospacing="0"/>
              <w:textAlignment w:val="baseline"/>
              <w:rPr>
                <w:rFonts w:asciiTheme="minorHAnsi" w:hAnsiTheme="minorHAnsi" w:cstheme="minorHAnsi"/>
                <w:b/>
                <w:bCs/>
              </w:rPr>
            </w:pPr>
            <w:r w:rsidRPr="001E1B8B">
              <w:rPr>
                <w:rFonts w:asciiTheme="minorHAnsi" w:hAnsiTheme="minorHAnsi" w:cstheme="minorHAnsi"/>
                <w:b/>
                <w:bCs/>
              </w:rPr>
              <w:lastRenderedPageBreak/>
              <w:t>STUDY GROUPS</w:t>
            </w:r>
          </w:p>
          <w:p w14:paraId="4A517FBD" w14:textId="4787CDC8" w:rsidR="0063460F" w:rsidRPr="001E1B8B" w:rsidRDefault="0063460F" w:rsidP="00493BD3">
            <w:pPr>
              <w:pStyle w:val="NormalWeb"/>
              <w:keepNext/>
              <w:shd w:val="clear" w:color="auto" w:fill="FFFFFF"/>
              <w:spacing w:before="120" w:beforeAutospacing="0" w:after="0" w:afterAutospacing="0"/>
              <w:textAlignment w:val="baseline"/>
              <w:rPr>
                <w:rFonts w:asciiTheme="minorHAnsi" w:hAnsiTheme="minorHAnsi" w:cstheme="minorHAnsi"/>
              </w:rPr>
            </w:pPr>
            <w:r w:rsidRPr="001E1B8B">
              <w:rPr>
                <w:rFonts w:asciiTheme="minorHAnsi" w:hAnsiTheme="minorHAnsi" w:cstheme="minorHAnsi"/>
              </w:rPr>
              <w:t xml:space="preserve">ITU-D </w:t>
            </w:r>
            <w:r w:rsidR="00B90EE4" w:rsidRPr="001E1B8B">
              <w:rPr>
                <w:rFonts w:ascii="Calibri" w:hAnsi="Calibri" w:cs="Calibri"/>
                <w:sz w:val="22"/>
                <w:szCs w:val="22"/>
                <w:lang w:eastAsia="zh-CN"/>
              </w:rPr>
              <w:t>study group</w:t>
            </w:r>
            <w:r w:rsidR="00B90EE4" w:rsidRPr="001E1B8B">
              <w:rPr>
                <w:rFonts w:asciiTheme="minorHAnsi" w:hAnsiTheme="minorHAnsi" w:cstheme="minorHAnsi"/>
              </w:rPr>
              <w:t xml:space="preserve"> </w:t>
            </w:r>
            <w:r w:rsidR="00786585" w:rsidRPr="001E1B8B">
              <w:rPr>
                <w:rFonts w:asciiTheme="minorHAnsi" w:hAnsiTheme="minorHAnsi" w:cstheme="minorHAnsi"/>
              </w:rPr>
              <w:t xml:space="preserve">2 (2018 - </w:t>
            </w:r>
            <w:r w:rsidRPr="001E1B8B">
              <w:rPr>
                <w:rFonts w:asciiTheme="minorHAnsi" w:hAnsiTheme="minorHAnsi" w:cstheme="minorHAnsi"/>
              </w:rPr>
              <w:t>2021): Question 3/2: Securing information and communication networks: Best practices for developing a culture of cybersecurity</w:t>
            </w:r>
            <w:r w:rsidR="00870BA0" w:rsidRPr="001E1B8B">
              <w:rPr>
                <w:rFonts w:asciiTheme="minorHAnsi" w:hAnsiTheme="minorHAnsi" w:cstheme="minorHAnsi"/>
              </w:rPr>
              <w:t>.</w:t>
            </w:r>
          </w:p>
          <w:p w14:paraId="5AC739E5" w14:textId="409AFD6B" w:rsidR="00B245A9" w:rsidRPr="001E1B8B" w:rsidRDefault="0063460F" w:rsidP="00493BD3">
            <w:pPr>
              <w:keepNext/>
              <w:shd w:val="clear" w:color="auto" w:fill="FFFFFF"/>
              <w:tabs>
                <w:tab w:val="clear" w:pos="794"/>
                <w:tab w:val="clear" w:pos="1191"/>
                <w:tab w:val="clear" w:pos="1588"/>
                <w:tab w:val="clear" w:pos="1985"/>
              </w:tabs>
              <w:overflowPunct/>
              <w:autoSpaceDE/>
              <w:autoSpaceDN/>
              <w:adjustRightInd/>
              <w:spacing w:after="120"/>
              <w:rPr>
                <w:rFonts w:cstheme="minorHAnsi"/>
              </w:rPr>
            </w:pPr>
            <w:r w:rsidRPr="001E1B8B">
              <w:rPr>
                <w:rFonts w:cstheme="minorHAnsi"/>
                <w:szCs w:val="24"/>
              </w:rPr>
              <w:t xml:space="preserve">ITU-T </w:t>
            </w:r>
            <w:r w:rsidR="00B90EE4" w:rsidRPr="001E1B8B">
              <w:rPr>
                <w:rFonts w:cstheme="minorHAnsi"/>
                <w:szCs w:val="24"/>
              </w:rPr>
              <w:t>s</w:t>
            </w:r>
            <w:r w:rsidRPr="001E1B8B">
              <w:rPr>
                <w:rFonts w:cstheme="minorHAnsi"/>
                <w:szCs w:val="24"/>
              </w:rPr>
              <w:t xml:space="preserve">tudy </w:t>
            </w:r>
            <w:r w:rsidR="00B90EE4" w:rsidRPr="001E1B8B">
              <w:rPr>
                <w:rFonts w:cstheme="minorHAnsi"/>
                <w:szCs w:val="24"/>
              </w:rPr>
              <w:t>g</w:t>
            </w:r>
            <w:r w:rsidR="00493BD3" w:rsidRPr="001E1B8B">
              <w:rPr>
                <w:rFonts w:cstheme="minorHAnsi"/>
                <w:szCs w:val="24"/>
              </w:rPr>
              <w:t>roup 17: Security.</w:t>
            </w:r>
          </w:p>
        </w:tc>
      </w:tr>
    </w:tbl>
    <w:p w14:paraId="61607E8E" w14:textId="47A79A85" w:rsidR="009A30A6" w:rsidRPr="001E1B8B" w:rsidRDefault="009A30A6" w:rsidP="00B245A9">
      <w:pPr>
        <w:keepNext/>
        <w:spacing w:before="240"/>
        <w:rPr>
          <w:b/>
          <w:bCs/>
        </w:rPr>
      </w:pPr>
      <w:r w:rsidRPr="001E1B8B">
        <w:rPr>
          <w:b/>
          <w:bCs/>
        </w:rPr>
        <w:t xml:space="preserve">3. </w:t>
      </w:r>
      <w:r w:rsidRPr="001E1B8B">
        <w:rPr>
          <w:b/>
          <w:bCs/>
        </w:rPr>
        <w:tab/>
      </w:r>
      <w:r w:rsidR="00B90EE4" w:rsidRPr="001E1B8B">
        <w:rPr>
          <w:b/>
          <w:bCs/>
        </w:rPr>
        <w:t>Digital inclusion</w:t>
      </w:r>
      <w:r w:rsidR="007C7396" w:rsidRPr="001E1B8B">
        <w:rPr>
          <w:b/>
          <w:bCs/>
        </w:rPr>
        <w:t xml:space="preserve">: </w:t>
      </w:r>
      <w:r w:rsidR="00B90EE4" w:rsidRPr="001E1B8B">
        <w:rPr>
          <w:b/>
          <w:bCs/>
        </w:rPr>
        <w:t>B</w:t>
      </w:r>
      <w:r w:rsidR="009E51EE" w:rsidRPr="001E1B8B">
        <w:rPr>
          <w:b/>
          <w:bCs/>
        </w:rPr>
        <w:t>uilding inclusive policies for equal ICT access</w:t>
      </w:r>
    </w:p>
    <w:p w14:paraId="4DE3F702" w14:textId="0E9FE7FE" w:rsidR="005952F1" w:rsidRPr="001E1B8B" w:rsidRDefault="00563C28" w:rsidP="00B245A9">
      <w:pPr>
        <w:pStyle w:val="NormalWeb"/>
        <w:keepNext/>
        <w:shd w:val="clear" w:color="auto" w:fill="FFFFFF"/>
        <w:spacing w:before="120" w:beforeAutospacing="0" w:after="0" w:afterAutospacing="0"/>
        <w:textAlignment w:val="baseline"/>
        <w:rPr>
          <w:rFonts w:asciiTheme="minorHAnsi" w:hAnsiTheme="minorHAnsi" w:cstheme="minorHAnsi"/>
        </w:rPr>
      </w:pPr>
      <w:r w:rsidRPr="001E1B8B">
        <w:rPr>
          <w:rFonts w:asciiTheme="minorHAnsi" w:hAnsiTheme="minorHAnsi" w:cstheme="minorHAnsi"/>
        </w:rPr>
        <w:t>3.1</w:t>
      </w:r>
      <w:r w:rsidRPr="001E1B8B">
        <w:rPr>
          <w:rFonts w:asciiTheme="minorHAnsi" w:hAnsiTheme="minorHAnsi" w:cstheme="minorHAnsi"/>
        </w:rPr>
        <w:tab/>
      </w:r>
      <w:r w:rsidR="00756469" w:rsidRPr="001E1B8B">
        <w:rPr>
          <w:rFonts w:asciiTheme="minorHAnsi" w:hAnsiTheme="minorHAnsi" w:cstheme="minorHAnsi"/>
          <w:b/>
        </w:rPr>
        <w:t>I</w:t>
      </w:r>
      <w:r w:rsidR="00B90EE4" w:rsidRPr="001E1B8B">
        <w:rPr>
          <w:rFonts w:asciiTheme="minorHAnsi" w:hAnsiTheme="minorHAnsi" w:cstheme="minorHAnsi"/>
          <w:b/>
        </w:rPr>
        <w:t>nternet for @ll programme</w:t>
      </w:r>
    </w:p>
    <w:p w14:paraId="3D87F75F" w14:textId="22E82E87" w:rsidR="009E51EE" w:rsidRPr="001E1B8B" w:rsidRDefault="00051417" w:rsidP="009E51EE">
      <w:pPr>
        <w:rPr>
          <w:rFonts w:cstheme="minorHAnsi"/>
          <w:bCs/>
          <w:szCs w:val="24"/>
        </w:rPr>
      </w:pPr>
      <w:r w:rsidRPr="001E1B8B">
        <w:rPr>
          <w:rFonts w:cstheme="minorHAnsi"/>
          <w:bCs/>
          <w:szCs w:val="24"/>
        </w:rPr>
        <w:t xml:space="preserve">The </w:t>
      </w:r>
      <w:hyperlink r:id="rId20" w:history="1">
        <w:r w:rsidR="00B90EE4" w:rsidRPr="001E1B8B">
          <w:rPr>
            <w:rStyle w:val="Hyperlink"/>
            <w:rFonts w:cstheme="minorHAnsi"/>
            <w:bCs/>
            <w:szCs w:val="24"/>
          </w:rPr>
          <w:t>Internet for @ll</w:t>
        </w:r>
      </w:hyperlink>
      <w:r w:rsidR="00B90EE4" w:rsidRPr="001E1B8B">
        <w:rPr>
          <w:rFonts w:cstheme="minorHAnsi"/>
          <w:bCs/>
          <w:szCs w:val="24"/>
        </w:rPr>
        <w:t xml:space="preserve"> w</w:t>
      </w:r>
      <w:r w:rsidRPr="001E1B8B">
        <w:rPr>
          <w:rFonts w:cstheme="minorHAnsi"/>
          <w:bCs/>
          <w:szCs w:val="24"/>
        </w:rPr>
        <w:t xml:space="preserve">eb-accessibility </w:t>
      </w:r>
      <w:r w:rsidR="00B90EE4" w:rsidRPr="001E1B8B">
        <w:rPr>
          <w:rFonts w:cstheme="minorHAnsi"/>
          <w:bCs/>
          <w:szCs w:val="24"/>
        </w:rPr>
        <w:t>p</w:t>
      </w:r>
      <w:r w:rsidRPr="001E1B8B">
        <w:rPr>
          <w:rFonts w:cstheme="minorHAnsi"/>
          <w:bCs/>
          <w:szCs w:val="24"/>
        </w:rPr>
        <w:t xml:space="preserve">rogramme was successfully implemented in Guyana, strengthening the country’s capacity in the creation of accessible digital content, as well as the design and development and maintenance of public websites in an accessible format. </w:t>
      </w:r>
    </w:p>
    <w:p w14:paraId="2429C3B7" w14:textId="24CBF7E6" w:rsidR="00051417" w:rsidRPr="001E1B8B" w:rsidRDefault="009E51EE" w:rsidP="00493BD3">
      <w:pPr>
        <w:keepNext/>
        <w:overflowPunct/>
        <w:autoSpaceDE/>
        <w:autoSpaceDN/>
        <w:adjustRightInd/>
        <w:rPr>
          <w:rFonts w:cstheme="minorHAnsi"/>
          <w:b/>
        </w:rPr>
      </w:pPr>
      <w:r w:rsidRPr="001E1B8B">
        <w:rPr>
          <w:rFonts w:cstheme="minorHAnsi"/>
          <w:bCs/>
          <w:szCs w:val="24"/>
        </w:rPr>
        <w:t>3.2</w:t>
      </w:r>
      <w:r w:rsidR="00493BD3" w:rsidRPr="001E1B8B">
        <w:rPr>
          <w:rFonts w:cstheme="minorHAnsi"/>
          <w:bCs/>
          <w:szCs w:val="24"/>
        </w:rPr>
        <w:tab/>
      </w:r>
      <w:r w:rsidR="00051417" w:rsidRPr="001E1B8B">
        <w:rPr>
          <w:rFonts w:cstheme="minorHAnsi"/>
          <w:b/>
        </w:rPr>
        <w:t>A</w:t>
      </w:r>
      <w:r w:rsidR="00B90EE4" w:rsidRPr="001E1B8B">
        <w:rPr>
          <w:rFonts w:cstheme="minorHAnsi"/>
          <w:b/>
        </w:rPr>
        <w:t>ccessible ICT for all in the regions</w:t>
      </w:r>
    </w:p>
    <w:p w14:paraId="714612E7" w14:textId="457A634D" w:rsidR="005125ED" w:rsidRPr="001E1B8B" w:rsidRDefault="00B90EE4" w:rsidP="005125ED">
      <w:pPr>
        <w:tabs>
          <w:tab w:val="clear" w:pos="794"/>
          <w:tab w:val="clear" w:pos="1191"/>
          <w:tab w:val="clear" w:pos="1588"/>
          <w:tab w:val="clear" w:pos="1985"/>
        </w:tabs>
        <w:overflowPunct/>
        <w:autoSpaceDE/>
        <w:autoSpaceDN/>
        <w:adjustRightInd/>
        <w:rPr>
          <w:rFonts w:cstheme="minorHAnsi"/>
          <w:sz w:val="22"/>
          <w:lang w:eastAsia="en-GB"/>
        </w:rPr>
      </w:pPr>
      <w:r w:rsidRPr="001E1B8B">
        <w:rPr>
          <w:rFonts w:cstheme="minorHAnsi"/>
          <w:bCs/>
          <w:i/>
          <w:iCs/>
          <w:szCs w:val="24"/>
        </w:rPr>
        <w:t>A</w:t>
      </w:r>
      <w:r w:rsidR="00051417" w:rsidRPr="001E1B8B">
        <w:rPr>
          <w:rFonts w:cstheme="minorHAnsi"/>
          <w:bCs/>
          <w:i/>
          <w:iCs/>
          <w:szCs w:val="24"/>
        </w:rPr>
        <w:t xml:space="preserve">ccessible ICT for </w:t>
      </w:r>
      <w:r w:rsidRPr="001E1B8B">
        <w:rPr>
          <w:rFonts w:cstheme="minorHAnsi"/>
          <w:bCs/>
          <w:i/>
          <w:iCs/>
          <w:szCs w:val="24"/>
        </w:rPr>
        <w:t>a</w:t>
      </w:r>
      <w:r w:rsidR="00051417" w:rsidRPr="001E1B8B">
        <w:rPr>
          <w:rFonts w:cstheme="minorHAnsi"/>
          <w:bCs/>
          <w:i/>
          <w:iCs/>
          <w:szCs w:val="24"/>
        </w:rPr>
        <w:t>ll</w:t>
      </w:r>
      <w:r w:rsidR="00051417" w:rsidRPr="001E1B8B">
        <w:rPr>
          <w:rFonts w:cstheme="minorHAnsi"/>
          <w:bCs/>
          <w:szCs w:val="24"/>
        </w:rPr>
        <w:t xml:space="preserve"> events</w:t>
      </w:r>
      <w:r w:rsidR="005125ED" w:rsidRPr="001E1B8B">
        <w:rPr>
          <w:rFonts w:cstheme="minorHAnsi"/>
          <w:bCs/>
          <w:szCs w:val="24"/>
        </w:rPr>
        <w:t xml:space="preserve"> were held in </w:t>
      </w:r>
      <w:r w:rsidR="008561CB" w:rsidRPr="001E1B8B">
        <w:rPr>
          <w:rFonts w:cstheme="minorHAnsi"/>
          <w:bCs/>
          <w:szCs w:val="24"/>
        </w:rPr>
        <w:t xml:space="preserve">Ecuador </w:t>
      </w:r>
      <w:r w:rsidR="005125ED" w:rsidRPr="001E1B8B">
        <w:rPr>
          <w:rFonts w:cstheme="minorHAnsi"/>
          <w:bCs/>
          <w:szCs w:val="24"/>
        </w:rPr>
        <w:t>and</w:t>
      </w:r>
      <w:r w:rsidR="008561CB" w:rsidRPr="001E1B8B">
        <w:rPr>
          <w:rFonts w:cstheme="minorHAnsi"/>
          <w:bCs/>
          <w:szCs w:val="24"/>
        </w:rPr>
        <w:t xml:space="preserve"> Malta</w:t>
      </w:r>
      <w:r w:rsidR="005125ED" w:rsidRPr="001E1B8B">
        <w:rPr>
          <w:rFonts w:cstheme="minorHAnsi"/>
          <w:bCs/>
          <w:szCs w:val="24"/>
        </w:rPr>
        <w:t xml:space="preserve">. During both events knowledge-sharing sessions on </w:t>
      </w:r>
      <w:r w:rsidRPr="001E1B8B">
        <w:rPr>
          <w:rFonts w:cstheme="minorHAnsi"/>
          <w:bCs/>
          <w:szCs w:val="24"/>
        </w:rPr>
        <w:t>f</w:t>
      </w:r>
      <w:r w:rsidR="005125ED" w:rsidRPr="001E1B8B">
        <w:rPr>
          <w:rFonts w:cstheme="minorHAnsi"/>
          <w:bCs/>
          <w:szCs w:val="24"/>
        </w:rPr>
        <w:t xml:space="preserve">undamentals of ICT </w:t>
      </w:r>
      <w:r w:rsidRPr="001E1B8B">
        <w:rPr>
          <w:rFonts w:cstheme="minorHAnsi"/>
          <w:bCs/>
          <w:szCs w:val="24"/>
        </w:rPr>
        <w:t>a</w:t>
      </w:r>
      <w:r w:rsidR="005125ED" w:rsidRPr="001E1B8B">
        <w:rPr>
          <w:rFonts w:cstheme="minorHAnsi"/>
          <w:bCs/>
          <w:szCs w:val="24"/>
        </w:rPr>
        <w:t xml:space="preserve">ccessibility were conducted with the objective of developing and strengthening regional capacity in ICT accessibility topics, definitions, and trends and raising awareness on the key resources made available by ITU to support the development and implementation of ICT accessibility policies and strategies at national and regional levels. </w:t>
      </w:r>
      <w:r w:rsidR="00B12797" w:rsidRPr="001E1B8B">
        <w:rPr>
          <w:rFonts w:cstheme="minorHAnsi"/>
          <w:bCs/>
          <w:szCs w:val="24"/>
        </w:rPr>
        <w:t>Regional</w:t>
      </w:r>
      <w:r w:rsidR="005125ED" w:rsidRPr="001E1B8B">
        <w:rPr>
          <w:rFonts w:cstheme="minorHAnsi"/>
          <w:bCs/>
          <w:szCs w:val="24"/>
        </w:rPr>
        <w:t xml:space="preserve"> policy</w:t>
      </w:r>
      <w:r w:rsidR="008561CB" w:rsidRPr="001E1B8B">
        <w:rPr>
          <w:rFonts w:cstheme="minorHAnsi"/>
          <w:bCs/>
          <w:szCs w:val="24"/>
        </w:rPr>
        <w:t>-</w:t>
      </w:r>
      <w:r w:rsidR="005125ED" w:rsidRPr="001E1B8B">
        <w:rPr>
          <w:rFonts w:cstheme="minorHAnsi"/>
          <w:bCs/>
          <w:szCs w:val="24"/>
        </w:rPr>
        <w:t>makers and stakeholders validated their improved knowledge and expertise in the area of ICT accessibility and received certification on the topic.</w:t>
      </w:r>
    </w:p>
    <w:p w14:paraId="28501670" w14:textId="668C8C04" w:rsidR="00B12797" w:rsidRPr="0090011B" w:rsidRDefault="005125ED" w:rsidP="0090011B">
      <w:pPr>
        <w:pStyle w:val="NormalWeb"/>
        <w:shd w:val="clear" w:color="auto" w:fill="FFFFFF"/>
        <w:spacing w:before="120" w:beforeAutospacing="0" w:after="0" w:afterAutospacing="0"/>
        <w:textAlignment w:val="baseline"/>
        <w:rPr>
          <w:rFonts w:asciiTheme="minorHAnsi" w:hAnsiTheme="minorHAnsi" w:cstheme="minorHAnsi"/>
          <w:bCs/>
        </w:rPr>
      </w:pPr>
      <w:r w:rsidRPr="0090011B">
        <w:rPr>
          <w:rFonts w:asciiTheme="minorHAnsi" w:hAnsiTheme="minorHAnsi" w:cstheme="minorHAnsi"/>
          <w:bCs/>
        </w:rPr>
        <w:t xml:space="preserve">In preparation for both events, </w:t>
      </w:r>
      <w:r w:rsidR="00051417" w:rsidRPr="0090011B">
        <w:rPr>
          <w:rFonts w:asciiTheme="minorHAnsi" w:hAnsiTheme="minorHAnsi" w:cstheme="minorHAnsi"/>
          <w:bCs/>
        </w:rPr>
        <w:t xml:space="preserve">regional contests </w:t>
      </w:r>
      <w:r w:rsidR="007C4709" w:rsidRPr="0090011B">
        <w:rPr>
          <w:rFonts w:asciiTheme="minorHAnsi" w:hAnsiTheme="minorHAnsi" w:cstheme="minorHAnsi"/>
          <w:bCs/>
        </w:rPr>
        <w:t xml:space="preserve">were organized to create and develop </w:t>
      </w:r>
      <w:r w:rsidR="00051417" w:rsidRPr="0090011B">
        <w:rPr>
          <w:rFonts w:asciiTheme="minorHAnsi" w:hAnsiTheme="minorHAnsi" w:cstheme="minorHAnsi"/>
          <w:bCs/>
        </w:rPr>
        <w:t xml:space="preserve">mobile ICT applications </w:t>
      </w:r>
      <w:r w:rsidR="007C4709" w:rsidRPr="0090011B">
        <w:rPr>
          <w:rFonts w:asciiTheme="minorHAnsi" w:hAnsiTheme="minorHAnsi" w:cstheme="minorHAnsi"/>
          <w:bCs/>
        </w:rPr>
        <w:t xml:space="preserve">that would </w:t>
      </w:r>
      <w:r w:rsidRPr="0090011B">
        <w:rPr>
          <w:rFonts w:asciiTheme="minorHAnsi" w:hAnsiTheme="minorHAnsi" w:cstheme="minorHAnsi"/>
          <w:bCs/>
        </w:rPr>
        <w:t>help</w:t>
      </w:r>
      <w:r w:rsidR="00051417" w:rsidRPr="0090011B">
        <w:rPr>
          <w:rFonts w:asciiTheme="minorHAnsi" w:hAnsiTheme="minorHAnsi" w:cstheme="minorHAnsi"/>
          <w:bCs/>
        </w:rPr>
        <w:t xml:space="preserve"> persons with disabilities</w:t>
      </w:r>
      <w:r w:rsidRPr="0090011B">
        <w:rPr>
          <w:rFonts w:asciiTheme="minorHAnsi" w:hAnsiTheme="minorHAnsi" w:cstheme="minorHAnsi"/>
          <w:bCs/>
        </w:rPr>
        <w:t>.</w:t>
      </w:r>
      <w:r w:rsidR="0038416B" w:rsidRPr="0090011B">
        <w:rPr>
          <w:rFonts w:asciiTheme="minorHAnsi" w:hAnsiTheme="minorHAnsi" w:cstheme="minorHAnsi"/>
          <w:bCs/>
        </w:rPr>
        <w:t xml:space="preserve"> </w:t>
      </w:r>
    </w:p>
    <w:p w14:paraId="23799D88" w14:textId="2BA139D5" w:rsidR="006210A5" w:rsidRPr="001E1B8B" w:rsidRDefault="00B12797" w:rsidP="00B245A9">
      <w:pPr>
        <w:pStyle w:val="NormalWeb"/>
        <w:keepNext/>
        <w:shd w:val="clear" w:color="auto" w:fill="FFFFFF"/>
        <w:spacing w:before="120" w:beforeAutospacing="0" w:after="0" w:afterAutospacing="0"/>
        <w:textAlignment w:val="baseline"/>
        <w:rPr>
          <w:rFonts w:asciiTheme="minorHAnsi" w:hAnsiTheme="minorHAnsi" w:cstheme="minorHAnsi"/>
        </w:rPr>
      </w:pPr>
      <w:r w:rsidRPr="001E1B8B">
        <w:rPr>
          <w:rFonts w:asciiTheme="minorHAnsi" w:hAnsiTheme="minorHAnsi" w:cstheme="minorHAnsi"/>
          <w:bCs/>
        </w:rPr>
        <w:t>3.3</w:t>
      </w:r>
      <w:r w:rsidR="00563C28" w:rsidRPr="001E1B8B">
        <w:rPr>
          <w:rFonts w:asciiTheme="minorHAnsi" w:hAnsiTheme="minorHAnsi" w:cstheme="minorHAnsi"/>
        </w:rPr>
        <w:tab/>
      </w:r>
      <w:r w:rsidR="006210A5" w:rsidRPr="001E1B8B">
        <w:rPr>
          <w:rFonts w:asciiTheme="minorHAnsi" w:hAnsiTheme="minorHAnsi" w:cstheme="minorHAnsi"/>
          <w:b/>
        </w:rPr>
        <w:t>I</w:t>
      </w:r>
      <w:r w:rsidR="007C4709" w:rsidRPr="001E1B8B">
        <w:rPr>
          <w:rFonts w:asciiTheme="minorHAnsi" w:hAnsiTheme="minorHAnsi" w:cstheme="minorHAnsi"/>
          <w:b/>
        </w:rPr>
        <w:t>nternational Girls in ICT Day</w:t>
      </w:r>
    </w:p>
    <w:p w14:paraId="0B9D31E4" w14:textId="5586F228" w:rsidR="006210A5" w:rsidRPr="001E1B8B" w:rsidRDefault="00750E4B" w:rsidP="00B245A9">
      <w:pPr>
        <w:rPr>
          <w:rFonts w:cstheme="minorHAnsi"/>
          <w:bCs/>
          <w:szCs w:val="24"/>
        </w:rPr>
      </w:pPr>
      <w:r w:rsidRPr="001E1B8B">
        <w:rPr>
          <w:rFonts w:cstheme="minorHAnsi"/>
          <w:bCs/>
          <w:szCs w:val="24"/>
        </w:rPr>
        <w:t xml:space="preserve">Over 100 </w:t>
      </w:r>
      <w:r w:rsidR="002513F5" w:rsidRPr="001E1B8B">
        <w:rPr>
          <w:rFonts w:cstheme="minorHAnsi"/>
          <w:bCs/>
          <w:szCs w:val="24"/>
        </w:rPr>
        <w:t>c</w:t>
      </w:r>
      <w:r w:rsidR="006210A5" w:rsidRPr="001E1B8B">
        <w:rPr>
          <w:rFonts w:cstheme="minorHAnsi"/>
          <w:bCs/>
          <w:szCs w:val="24"/>
        </w:rPr>
        <w:t xml:space="preserve">ountries </w:t>
      </w:r>
      <w:r w:rsidR="007C4709" w:rsidRPr="001E1B8B">
        <w:rPr>
          <w:rFonts w:cstheme="minorHAnsi"/>
          <w:bCs/>
          <w:szCs w:val="24"/>
        </w:rPr>
        <w:t xml:space="preserve">around the globe </w:t>
      </w:r>
      <w:r w:rsidR="006210A5" w:rsidRPr="001E1B8B">
        <w:rPr>
          <w:rFonts w:cstheme="minorHAnsi"/>
          <w:bCs/>
          <w:szCs w:val="24"/>
        </w:rPr>
        <w:t xml:space="preserve">celebrated </w:t>
      </w:r>
      <w:hyperlink r:id="rId21" w:history="1">
        <w:r w:rsidR="006210A5" w:rsidRPr="001E1B8B">
          <w:rPr>
            <w:rStyle w:val="Hyperlink"/>
            <w:rFonts w:cstheme="minorHAnsi"/>
            <w:bCs/>
            <w:szCs w:val="24"/>
          </w:rPr>
          <w:t>Girls in ICT Day</w:t>
        </w:r>
      </w:hyperlink>
      <w:r w:rsidR="006210A5" w:rsidRPr="001E1B8B">
        <w:rPr>
          <w:rFonts w:cstheme="minorHAnsi"/>
          <w:bCs/>
          <w:szCs w:val="24"/>
        </w:rPr>
        <w:t xml:space="preserve"> in 2019. For the first time, the celebrations </w:t>
      </w:r>
      <w:r w:rsidR="00B12797" w:rsidRPr="001E1B8B">
        <w:rPr>
          <w:rFonts w:cstheme="minorHAnsi"/>
          <w:bCs/>
          <w:szCs w:val="24"/>
        </w:rPr>
        <w:t>were taken “</w:t>
      </w:r>
      <w:r w:rsidR="006210A5" w:rsidRPr="001E1B8B">
        <w:rPr>
          <w:rFonts w:cstheme="minorHAnsi"/>
          <w:bCs/>
          <w:szCs w:val="24"/>
        </w:rPr>
        <w:t>on the road</w:t>
      </w:r>
      <w:r w:rsidR="00B12797" w:rsidRPr="001E1B8B">
        <w:rPr>
          <w:rFonts w:cstheme="minorHAnsi"/>
          <w:bCs/>
          <w:szCs w:val="24"/>
        </w:rPr>
        <w:t>”</w:t>
      </w:r>
      <w:r w:rsidR="006210A5" w:rsidRPr="001E1B8B">
        <w:rPr>
          <w:rFonts w:cstheme="minorHAnsi"/>
          <w:bCs/>
          <w:szCs w:val="24"/>
        </w:rPr>
        <w:t xml:space="preserve"> to Addis Ababa, Ethiopia where ITU and the A</w:t>
      </w:r>
      <w:r w:rsidR="00AF6EB9" w:rsidRPr="001E1B8B">
        <w:rPr>
          <w:rFonts w:cstheme="minorHAnsi"/>
          <w:bCs/>
          <w:szCs w:val="24"/>
        </w:rPr>
        <w:t xml:space="preserve">frican </w:t>
      </w:r>
      <w:r w:rsidR="006210A5" w:rsidRPr="001E1B8B">
        <w:rPr>
          <w:rFonts w:cstheme="minorHAnsi"/>
          <w:bCs/>
          <w:szCs w:val="24"/>
        </w:rPr>
        <w:t>U</w:t>
      </w:r>
      <w:r w:rsidR="00AF6EB9" w:rsidRPr="001E1B8B">
        <w:rPr>
          <w:rFonts w:cstheme="minorHAnsi"/>
          <w:bCs/>
          <w:szCs w:val="24"/>
        </w:rPr>
        <w:t>nion</w:t>
      </w:r>
      <w:r w:rsidR="006210A5" w:rsidRPr="001E1B8B">
        <w:rPr>
          <w:rFonts w:cstheme="minorHAnsi"/>
          <w:bCs/>
          <w:szCs w:val="24"/>
        </w:rPr>
        <w:t xml:space="preserve"> inspired girls and young women to pursue studies and careers in ICTs. </w:t>
      </w:r>
    </w:p>
    <w:p w14:paraId="288FB63F" w14:textId="04EA9C7F" w:rsidR="006210A5" w:rsidRPr="001E1B8B" w:rsidRDefault="00563C28">
      <w:pPr>
        <w:pStyle w:val="NormalWeb"/>
        <w:keepNext/>
        <w:shd w:val="clear" w:color="auto" w:fill="FFFFFF"/>
        <w:spacing w:before="120" w:beforeAutospacing="0" w:after="0" w:afterAutospacing="0"/>
        <w:textAlignment w:val="baseline"/>
        <w:rPr>
          <w:rFonts w:asciiTheme="minorHAnsi" w:hAnsiTheme="minorHAnsi" w:cstheme="minorHAnsi"/>
        </w:rPr>
      </w:pPr>
      <w:r w:rsidRPr="001E1B8B">
        <w:rPr>
          <w:rFonts w:asciiTheme="minorHAnsi" w:hAnsiTheme="minorHAnsi" w:cstheme="minorHAnsi"/>
        </w:rPr>
        <w:t>3.4</w:t>
      </w:r>
      <w:r w:rsidRPr="001E1B8B">
        <w:rPr>
          <w:rFonts w:asciiTheme="minorHAnsi" w:hAnsiTheme="minorHAnsi" w:cstheme="minorHAnsi"/>
        </w:rPr>
        <w:tab/>
      </w:r>
      <w:r w:rsidR="00C37C12" w:rsidRPr="001E1B8B">
        <w:rPr>
          <w:rFonts w:asciiTheme="minorHAnsi" w:hAnsiTheme="minorHAnsi" w:cstheme="minorHAnsi"/>
          <w:b/>
        </w:rPr>
        <w:t>A</w:t>
      </w:r>
      <w:r w:rsidR="007C4709" w:rsidRPr="001E1B8B">
        <w:rPr>
          <w:rFonts w:asciiTheme="minorHAnsi" w:hAnsiTheme="minorHAnsi" w:cstheme="minorHAnsi"/>
          <w:b/>
        </w:rPr>
        <w:t>frica</w:t>
      </w:r>
      <w:r w:rsidR="00DE4579" w:rsidRPr="001E1B8B">
        <w:rPr>
          <w:rFonts w:asciiTheme="minorHAnsi" w:hAnsiTheme="minorHAnsi" w:cstheme="minorHAnsi"/>
          <w:b/>
        </w:rPr>
        <w:t>n</w:t>
      </w:r>
      <w:r w:rsidR="007C4709" w:rsidRPr="001E1B8B">
        <w:rPr>
          <w:rFonts w:asciiTheme="minorHAnsi" w:hAnsiTheme="minorHAnsi" w:cstheme="minorHAnsi"/>
          <w:b/>
        </w:rPr>
        <w:t xml:space="preserve"> Girls Can Code initiative</w:t>
      </w:r>
    </w:p>
    <w:p w14:paraId="2C4F4E21" w14:textId="6915817E" w:rsidR="000C60D8" w:rsidRPr="001E1B8B" w:rsidRDefault="007C4709" w:rsidP="000C60D8">
      <w:pPr>
        <w:rPr>
          <w:rFonts w:cstheme="minorHAnsi"/>
        </w:rPr>
      </w:pPr>
      <w:r w:rsidRPr="001E1B8B">
        <w:rPr>
          <w:rFonts w:cstheme="minorHAnsi"/>
          <w:bCs/>
          <w:szCs w:val="24"/>
        </w:rPr>
        <w:t xml:space="preserve">Over five hundred </w:t>
      </w:r>
      <w:r w:rsidR="006210A5" w:rsidRPr="001E1B8B">
        <w:rPr>
          <w:rFonts w:cstheme="minorHAnsi"/>
          <w:bCs/>
          <w:szCs w:val="24"/>
        </w:rPr>
        <w:t>girls</w:t>
      </w:r>
      <w:r w:rsidRPr="001E1B8B">
        <w:rPr>
          <w:rFonts w:cstheme="minorHAnsi"/>
          <w:bCs/>
          <w:szCs w:val="24"/>
        </w:rPr>
        <w:t xml:space="preserve"> (532)</w:t>
      </w:r>
      <w:r w:rsidR="006210A5" w:rsidRPr="001E1B8B">
        <w:rPr>
          <w:rFonts w:cstheme="minorHAnsi"/>
          <w:bCs/>
          <w:szCs w:val="24"/>
        </w:rPr>
        <w:t xml:space="preserve"> participated in coding workshops as part</w:t>
      </w:r>
      <w:r w:rsidR="00756469" w:rsidRPr="001E1B8B">
        <w:rPr>
          <w:rFonts w:cstheme="minorHAnsi"/>
          <w:bCs/>
          <w:szCs w:val="24"/>
        </w:rPr>
        <w:t xml:space="preserve"> of the </w:t>
      </w:r>
      <w:hyperlink r:id="rId22" w:history="1">
        <w:r w:rsidR="00756469" w:rsidRPr="001E1B8B">
          <w:rPr>
            <w:rStyle w:val="Hyperlink"/>
            <w:rFonts w:cstheme="minorHAnsi"/>
            <w:bCs/>
            <w:szCs w:val="24"/>
          </w:rPr>
          <w:t>African Girls can Code</w:t>
        </w:r>
      </w:hyperlink>
      <w:r w:rsidR="006210A5" w:rsidRPr="001E1B8B">
        <w:rPr>
          <w:rFonts w:cstheme="minorHAnsi"/>
          <w:bCs/>
          <w:szCs w:val="24"/>
        </w:rPr>
        <w:t>, an</w:t>
      </w:r>
      <w:r w:rsidR="001C1A7F" w:rsidRPr="001E1B8B">
        <w:rPr>
          <w:rFonts w:cstheme="minorHAnsi"/>
          <w:bCs/>
          <w:szCs w:val="24"/>
        </w:rPr>
        <w:t xml:space="preserve"> </w:t>
      </w:r>
      <w:r w:rsidRPr="001E1B8B">
        <w:rPr>
          <w:rFonts w:cstheme="minorHAnsi"/>
          <w:bCs/>
          <w:szCs w:val="24"/>
        </w:rPr>
        <w:t>initiative</w:t>
      </w:r>
      <w:r w:rsidR="00AF6EB9" w:rsidRPr="001E1B8B">
        <w:rPr>
          <w:rFonts w:cstheme="minorHAnsi"/>
          <w:bCs/>
          <w:szCs w:val="24"/>
        </w:rPr>
        <w:t xml:space="preserve"> by </w:t>
      </w:r>
      <w:r w:rsidR="00756469" w:rsidRPr="001E1B8B">
        <w:rPr>
          <w:rFonts w:cstheme="minorHAnsi"/>
          <w:bCs/>
          <w:szCs w:val="24"/>
        </w:rPr>
        <w:t>ITU, the A</w:t>
      </w:r>
      <w:r w:rsidR="00AF6EB9" w:rsidRPr="001E1B8B">
        <w:rPr>
          <w:rFonts w:cstheme="minorHAnsi"/>
          <w:bCs/>
          <w:szCs w:val="24"/>
        </w:rPr>
        <w:t xml:space="preserve">frican </w:t>
      </w:r>
      <w:r w:rsidR="00756469" w:rsidRPr="001E1B8B">
        <w:rPr>
          <w:rFonts w:cstheme="minorHAnsi"/>
          <w:bCs/>
          <w:szCs w:val="24"/>
        </w:rPr>
        <w:t>U</w:t>
      </w:r>
      <w:r w:rsidR="00AF6EB9" w:rsidRPr="001E1B8B">
        <w:rPr>
          <w:rFonts w:cstheme="minorHAnsi"/>
          <w:bCs/>
          <w:szCs w:val="24"/>
        </w:rPr>
        <w:t>nion</w:t>
      </w:r>
      <w:r w:rsidR="00756469" w:rsidRPr="001E1B8B">
        <w:rPr>
          <w:rFonts w:cstheme="minorHAnsi"/>
          <w:bCs/>
          <w:szCs w:val="24"/>
        </w:rPr>
        <w:t xml:space="preserve"> and UN</w:t>
      </w:r>
      <w:r w:rsidR="00870BA0" w:rsidRPr="001E1B8B">
        <w:rPr>
          <w:rFonts w:cstheme="minorHAnsi"/>
          <w:bCs/>
          <w:szCs w:val="24"/>
        </w:rPr>
        <w:t xml:space="preserve"> </w:t>
      </w:r>
      <w:r w:rsidR="006210A5" w:rsidRPr="001E1B8B">
        <w:rPr>
          <w:rFonts w:cstheme="minorHAnsi"/>
          <w:bCs/>
          <w:szCs w:val="24"/>
        </w:rPr>
        <w:t>Women</w:t>
      </w:r>
      <w:r w:rsidR="000C60D8" w:rsidRPr="001E1B8B">
        <w:rPr>
          <w:rFonts w:cstheme="minorHAnsi"/>
          <w:bCs/>
          <w:szCs w:val="24"/>
        </w:rPr>
        <w:t xml:space="preserve"> </w:t>
      </w:r>
      <w:r w:rsidR="000C60D8" w:rsidRPr="001E1B8B">
        <w:rPr>
          <w:rFonts w:cstheme="minorHAnsi"/>
        </w:rPr>
        <w:t xml:space="preserve">with financial support of ITU and the </w:t>
      </w:r>
      <w:r w:rsidR="000C60D8" w:rsidRPr="001E1B8B">
        <w:rPr>
          <w:rFonts w:eastAsia="Calibri" w:cstheme="minorHAnsi"/>
          <w:szCs w:val="24"/>
        </w:rPr>
        <w:t>Royal Danish Embassy in Ethiopia</w:t>
      </w:r>
      <w:r w:rsidRPr="001E1B8B">
        <w:rPr>
          <w:rFonts w:cstheme="minorHAnsi"/>
          <w:i/>
        </w:rPr>
        <w:t>.</w:t>
      </w:r>
    </w:p>
    <w:p w14:paraId="79750726" w14:textId="40E1323F" w:rsidR="00B96A99" w:rsidRPr="001E1B8B" w:rsidRDefault="00B12797" w:rsidP="00493BD3">
      <w:pPr>
        <w:pStyle w:val="NormalWeb"/>
        <w:keepNext/>
        <w:shd w:val="clear" w:color="auto" w:fill="FFFFFF"/>
        <w:spacing w:before="120" w:beforeAutospacing="0" w:after="0" w:afterAutospacing="0"/>
        <w:textAlignment w:val="baseline"/>
        <w:rPr>
          <w:rFonts w:asciiTheme="minorHAnsi" w:hAnsiTheme="minorHAnsi" w:cstheme="minorHAnsi"/>
        </w:rPr>
      </w:pPr>
      <w:r w:rsidRPr="001E1B8B">
        <w:rPr>
          <w:rFonts w:asciiTheme="minorHAnsi" w:hAnsiTheme="minorHAnsi" w:cstheme="minorHAnsi"/>
        </w:rPr>
        <w:t>3.5</w:t>
      </w:r>
      <w:r w:rsidR="00493BD3" w:rsidRPr="001E1B8B">
        <w:rPr>
          <w:rFonts w:asciiTheme="minorHAnsi" w:hAnsiTheme="minorHAnsi" w:cstheme="minorHAnsi"/>
        </w:rPr>
        <w:tab/>
      </w:r>
      <w:r w:rsidR="00B96A99" w:rsidRPr="001E1B8B">
        <w:rPr>
          <w:rFonts w:asciiTheme="minorHAnsi" w:hAnsiTheme="minorHAnsi" w:cstheme="minorHAnsi"/>
          <w:b/>
        </w:rPr>
        <w:t>A</w:t>
      </w:r>
      <w:r w:rsidR="007C4709" w:rsidRPr="001E1B8B">
        <w:rPr>
          <w:rFonts w:asciiTheme="minorHAnsi" w:hAnsiTheme="minorHAnsi" w:cstheme="minorHAnsi"/>
          <w:b/>
        </w:rPr>
        <w:t xml:space="preserve">mericas Girls Can Code initiative </w:t>
      </w:r>
    </w:p>
    <w:p w14:paraId="19A041BB" w14:textId="74ED31FC" w:rsidR="00B96A99" w:rsidRPr="001E1B8B" w:rsidRDefault="00DE4579" w:rsidP="00B96A99">
      <w:pPr>
        <w:rPr>
          <w:rFonts w:eastAsia="SimSun" w:cstheme="minorHAnsi"/>
          <w:szCs w:val="24"/>
        </w:rPr>
      </w:pPr>
      <w:r w:rsidRPr="001E1B8B">
        <w:rPr>
          <w:rFonts w:cstheme="minorHAnsi"/>
          <w:bCs/>
          <w:szCs w:val="24"/>
        </w:rPr>
        <w:t>T</w:t>
      </w:r>
      <w:r w:rsidR="001C1A7F" w:rsidRPr="001E1B8B">
        <w:rPr>
          <w:rFonts w:cstheme="minorHAnsi"/>
          <w:bCs/>
          <w:szCs w:val="24"/>
        </w:rPr>
        <w:t>he</w:t>
      </w:r>
      <w:r w:rsidR="00C37C12" w:rsidRPr="001E1B8B">
        <w:rPr>
          <w:rFonts w:cstheme="minorHAnsi"/>
          <w:bCs/>
          <w:szCs w:val="24"/>
        </w:rPr>
        <w:t xml:space="preserve"> </w:t>
      </w:r>
      <w:hyperlink r:id="rId23" w:history="1">
        <w:r w:rsidR="00C37C12" w:rsidRPr="001E1B8B">
          <w:rPr>
            <w:rStyle w:val="Hyperlink"/>
            <w:rFonts w:cstheme="minorHAnsi"/>
            <w:bCs/>
            <w:szCs w:val="24"/>
          </w:rPr>
          <w:t>Americas Girls Can Code</w:t>
        </w:r>
      </w:hyperlink>
      <w:r w:rsidR="00C37C12" w:rsidRPr="001E1B8B">
        <w:rPr>
          <w:rFonts w:cstheme="minorHAnsi"/>
          <w:bCs/>
          <w:szCs w:val="24"/>
        </w:rPr>
        <w:t xml:space="preserve"> Initiative </w:t>
      </w:r>
      <w:r w:rsidRPr="001E1B8B">
        <w:rPr>
          <w:rFonts w:cstheme="minorHAnsi"/>
          <w:bCs/>
          <w:szCs w:val="24"/>
        </w:rPr>
        <w:t xml:space="preserve">taught </w:t>
      </w:r>
      <w:r w:rsidR="00B96A99" w:rsidRPr="001E1B8B">
        <w:rPr>
          <w:rFonts w:cstheme="minorHAnsi"/>
          <w:bCs/>
          <w:szCs w:val="24"/>
        </w:rPr>
        <w:t>300 girls</w:t>
      </w:r>
      <w:r w:rsidRPr="001E1B8B">
        <w:rPr>
          <w:rFonts w:cstheme="minorHAnsi"/>
          <w:bCs/>
          <w:szCs w:val="24"/>
        </w:rPr>
        <w:t xml:space="preserve"> how to</w:t>
      </w:r>
      <w:r w:rsidR="00B96A99" w:rsidRPr="001E1B8B">
        <w:rPr>
          <w:rFonts w:cstheme="minorHAnsi"/>
          <w:bCs/>
          <w:szCs w:val="24"/>
        </w:rPr>
        <w:t xml:space="preserve"> </w:t>
      </w:r>
      <w:r w:rsidR="001C1A7F" w:rsidRPr="001E1B8B">
        <w:rPr>
          <w:rFonts w:cstheme="minorHAnsi"/>
          <w:bCs/>
          <w:szCs w:val="24"/>
        </w:rPr>
        <w:t>cod</w:t>
      </w:r>
      <w:r w:rsidRPr="001E1B8B">
        <w:rPr>
          <w:rFonts w:cstheme="minorHAnsi"/>
          <w:bCs/>
          <w:szCs w:val="24"/>
        </w:rPr>
        <w:t>e</w:t>
      </w:r>
      <w:r w:rsidR="001C1A7F" w:rsidRPr="001E1B8B">
        <w:rPr>
          <w:rFonts w:cstheme="minorHAnsi"/>
          <w:bCs/>
          <w:szCs w:val="24"/>
        </w:rPr>
        <w:t xml:space="preserve"> through a series of workshops organized with</w:t>
      </w:r>
      <w:r w:rsidR="00B12797" w:rsidRPr="001E1B8B">
        <w:rPr>
          <w:rFonts w:cstheme="minorHAnsi"/>
          <w:bCs/>
          <w:szCs w:val="24"/>
        </w:rPr>
        <w:t xml:space="preserve"> the support of</w:t>
      </w:r>
      <w:r w:rsidR="00B96A99" w:rsidRPr="001E1B8B">
        <w:rPr>
          <w:rFonts w:eastAsia="SimSun" w:cstheme="minorHAnsi"/>
          <w:szCs w:val="24"/>
        </w:rPr>
        <w:t xml:space="preserve"> UN Women, the Brazilian Federal Institute, ANATEL, SERPRO, the Municipality of Campinas, the University of Brasilia, UNICEPLAC, Women from Brazil Group, among others.</w:t>
      </w:r>
    </w:p>
    <w:p w14:paraId="34065F67" w14:textId="7AC398E9" w:rsidR="00B96A99" w:rsidRPr="001E1B8B" w:rsidRDefault="00B12797" w:rsidP="00493BD3">
      <w:pPr>
        <w:keepNext/>
        <w:snapToGrid w:val="0"/>
        <w:spacing w:after="120"/>
        <w:jc w:val="both"/>
        <w:rPr>
          <w:rFonts w:eastAsia="SimSun" w:cstheme="minorHAnsi"/>
          <w:b/>
          <w:szCs w:val="24"/>
        </w:rPr>
      </w:pPr>
      <w:r w:rsidRPr="001E1B8B">
        <w:rPr>
          <w:rFonts w:cstheme="minorHAnsi"/>
        </w:rPr>
        <w:t>3.6</w:t>
      </w:r>
      <w:r w:rsidR="00B96A99" w:rsidRPr="001E1B8B">
        <w:rPr>
          <w:rFonts w:cstheme="minorHAnsi"/>
        </w:rPr>
        <w:t xml:space="preserve"> </w:t>
      </w:r>
      <w:r w:rsidR="00CD7D0C" w:rsidRPr="001E1B8B">
        <w:rPr>
          <w:rFonts w:cstheme="minorHAnsi"/>
        </w:rPr>
        <w:tab/>
      </w:r>
      <w:r w:rsidR="00B96A99" w:rsidRPr="001E1B8B">
        <w:rPr>
          <w:rFonts w:cstheme="minorHAnsi"/>
          <w:b/>
        </w:rPr>
        <w:t>EQUALS Entrepreneurs at ITU Telecom World 2019</w:t>
      </w:r>
    </w:p>
    <w:p w14:paraId="7386BC4B" w14:textId="51E4D326" w:rsidR="00B96A99" w:rsidRPr="001E1B8B" w:rsidRDefault="00DE4579" w:rsidP="0090011B">
      <w:pPr>
        <w:snapToGrid w:val="0"/>
        <w:spacing w:after="120"/>
        <w:rPr>
          <w:rFonts w:eastAsia="SimSun"/>
          <w:szCs w:val="24"/>
        </w:rPr>
      </w:pPr>
      <w:r w:rsidRPr="001E1B8B">
        <w:rPr>
          <w:rFonts w:cstheme="minorHAnsi"/>
          <w:szCs w:val="24"/>
        </w:rPr>
        <w:t>Twenty-four</w:t>
      </w:r>
      <w:r w:rsidRPr="001E1B8B">
        <w:rPr>
          <w:szCs w:val="24"/>
        </w:rPr>
        <w:t xml:space="preserve"> small to medium-sized enterprises (SMEs)</w:t>
      </w:r>
      <w:r w:rsidR="00B96A99" w:rsidRPr="001E1B8B">
        <w:rPr>
          <w:szCs w:val="24"/>
        </w:rPr>
        <w:t xml:space="preserve"> led by women </w:t>
      </w:r>
      <w:r w:rsidRPr="001E1B8B">
        <w:rPr>
          <w:szCs w:val="24"/>
        </w:rPr>
        <w:t>from 14</w:t>
      </w:r>
      <w:r w:rsidR="00B96A99" w:rsidRPr="001E1B8B">
        <w:rPr>
          <w:szCs w:val="24"/>
        </w:rPr>
        <w:t xml:space="preserve"> developing countries were </w:t>
      </w:r>
      <w:r w:rsidRPr="001E1B8B">
        <w:rPr>
          <w:szCs w:val="24"/>
        </w:rPr>
        <w:t>given fellowships</w:t>
      </w:r>
      <w:r w:rsidR="00C301CA" w:rsidRPr="001E1B8B">
        <w:rPr>
          <w:szCs w:val="24"/>
        </w:rPr>
        <w:t>,</w:t>
      </w:r>
      <w:r w:rsidR="00B96A99" w:rsidRPr="001E1B8B">
        <w:rPr>
          <w:szCs w:val="24"/>
        </w:rPr>
        <w:t xml:space="preserve"> out of 140 applications</w:t>
      </w:r>
      <w:r w:rsidR="00C301CA" w:rsidRPr="001E1B8B">
        <w:rPr>
          <w:szCs w:val="24"/>
        </w:rPr>
        <w:t>,</w:t>
      </w:r>
      <w:r w:rsidR="00B96A99" w:rsidRPr="001E1B8B">
        <w:rPr>
          <w:szCs w:val="24"/>
        </w:rPr>
        <w:t xml:space="preserve"> to attend</w:t>
      </w:r>
      <w:r w:rsidRPr="001E1B8B">
        <w:rPr>
          <w:szCs w:val="24"/>
        </w:rPr>
        <w:t xml:space="preserve"> </w:t>
      </w:r>
      <w:r w:rsidR="00B96A99" w:rsidRPr="001E1B8B">
        <w:rPr>
          <w:szCs w:val="24"/>
        </w:rPr>
        <w:t>ITU Telecom Wor</w:t>
      </w:r>
      <w:r w:rsidRPr="001E1B8B">
        <w:rPr>
          <w:szCs w:val="24"/>
        </w:rPr>
        <w:t>l</w:t>
      </w:r>
      <w:r w:rsidR="00B96A99" w:rsidRPr="001E1B8B">
        <w:rPr>
          <w:szCs w:val="24"/>
        </w:rPr>
        <w:t>d</w:t>
      </w:r>
      <w:r w:rsidRPr="001E1B8B">
        <w:rPr>
          <w:szCs w:val="24"/>
        </w:rPr>
        <w:t xml:space="preserve"> 2019</w:t>
      </w:r>
      <w:r w:rsidR="00870BA0" w:rsidRPr="001E1B8B">
        <w:rPr>
          <w:szCs w:val="24"/>
        </w:rPr>
        <w:t>, Budapest, Hungary</w:t>
      </w:r>
      <w:r w:rsidR="00B96A99" w:rsidRPr="001E1B8B">
        <w:rPr>
          <w:szCs w:val="24"/>
        </w:rPr>
        <w:t xml:space="preserve">. </w:t>
      </w:r>
      <w:r w:rsidR="00B12797" w:rsidRPr="001E1B8B">
        <w:rPr>
          <w:szCs w:val="24"/>
        </w:rPr>
        <w:t>The objective was to increase gender-balanced participation and support female entrepreneurship in the industry. The</w:t>
      </w:r>
      <w:r w:rsidR="00B96A99" w:rsidRPr="001E1B8B">
        <w:rPr>
          <w:szCs w:val="24"/>
        </w:rPr>
        <w:t xml:space="preserve"> diverse and talented group of women</w:t>
      </w:r>
      <w:r w:rsidR="00C301CA" w:rsidRPr="001E1B8B">
        <w:rPr>
          <w:szCs w:val="24"/>
        </w:rPr>
        <w:t xml:space="preserve"> came </w:t>
      </w:r>
      <w:r w:rsidR="00B96A99" w:rsidRPr="001E1B8B">
        <w:rPr>
          <w:szCs w:val="24"/>
        </w:rPr>
        <w:t xml:space="preserve">from </w:t>
      </w:r>
      <w:r w:rsidRPr="001E1B8B">
        <w:rPr>
          <w:szCs w:val="24"/>
        </w:rPr>
        <w:t xml:space="preserve">sectors </w:t>
      </w:r>
      <w:r w:rsidR="00B96A99" w:rsidRPr="001E1B8B">
        <w:rPr>
          <w:szCs w:val="24"/>
        </w:rPr>
        <w:t xml:space="preserve">such as health, education, electronic commerce, cybersecurity, </w:t>
      </w:r>
      <w:r w:rsidR="00C301CA" w:rsidRPr="001E1B8B">
        <w:rPr>
          <w:szCs w:val="24"/>
        </w:rPr>
        <w:t xml:space="preserve">and </w:t>
      </w:r>
      <w:r w:rsidR="00B96A99" w:rsidRPr="001E1B8B">
        <w:rPr>
          <w:szCs w:val="24"/>
        </w:rPr>
        <w:t xml:space="preserve">IT services. </w:t>
      </w:r>
      <w:r w:rsidRPr="001E1B8B">
        <w:rPr>
          <w:szCs w:val="24"/>
        </w:rPr>
        <w:t>This experience increased</w:t>
      </w:r>
      <w:r w:rsidR="00C301CA" w:rsidRPr="001E1B8B">
        <w:rPr>
          <w:szCs w:val="24"/>
        </w:rPr>
        <w:t xml:space="preserve"> visibility </w:t>
      </w:r>
      <w:r w:rsidR="00BF3DE2" w:rsidRPr="001E1B8B">
        <w:rPr>
          <w:szCs w:val="24"/>
        </w:rPr>
        <w:t>of</w:t>
      </w:r>
      <w:r w:rsidR="00B96A99" w:rsidRPr="001E1B8B">
        <w:rPr>
          <w:szCs w:val="24"/>
        </w:rPr>
        <w:t xml:space="preserve"> the</w:t>
      </w:r>
      <w:r w:rsidRPr="001E1B8B">
        <w:rPr>
          <w:szCs w:val="24"/>
        </w:rPr>
        <w:t xml:space="preserve"> chosen SM</w:t>
      </w:r>
      <w:r w:rsidR="00BF3DE2" w:rsidRPr="001E1B8B">
        <w:rPr>
          <w:szCs w:val="24"/>
        </w:rPr>
        <w:t>Es</w:t>
      </w:r>
      <w:r w:rsidR="00B96A99" w:rsidRPr="001E1B8B">
        <w:rPr>
          <w:szCs w:val="24"/>
        </w:rPr>
        <w:t xml:space="preserve">, the </w:t>
      </w:r>
      <w:r w:rsidR="00BF3DE2" w:rsidRPr="001E1B8B">
        <w:rPr>
          <w:szCs w:val="24"/>
        </w:rPr>
        <w:t xml:space="preserve">developing </w:t>
      </w:r>
      <w:r w:rsidR="00B96A99" w:rsidRPr="001E1B8B">
        <w:rPr>
          <w:szCs w:val="24"/>
        </w:rPr>
        <w:t>countries they represent</w:t>
      </w:r>
      <w:r w:rsidRPr="001E1B8B">
        <w:rPr>
          <w:szCs w:val="24"/>
        </w:rPr>
        <w:t>ed</w:t>
      </w:r>
      <w:r w:rsidR="00B96A99" w:rsidRPr="001E1B8B">
        <w:rPr>
          <w:szCs w:val="24"/>
        </w:rPr>
        <w:t xml:space="preserve">, </w:t>
      </w:r>
      <w:r w:rsidR="00C301CA" w:rsidRPr="001E1B8B">
        <w:rPr>
          <w:szCs w:val="24"/>
        </w:rPr>
        <w:t>and</w:t>
      </w:r>
      <w:r w:rsidR="00B96A99" w:rsidRPr="001E1B8B">
        <w:rPr>
          <w:szCs w:val="24"/>
        </w:rPr>
        <w:t xml:space="preserve"> </w:t>
      </w:r>
      <w:r w:rsidR="00B96A99" w:rsidRPr="001E1B8B">
        <w:rPr>
          <w:szCs w:val="24"/>
        </w:rPr>
        <w:lastRenderedPageBreak/>
        <w:t>contribut</w:t>
      </w:r>
      <w:r w:rsidRPr="001E1B8B">
        <w:rPr>
          <w:szCs w:val="24"/>
        </w:rPr>
        <w:t>ed</w:t>
      </w:r>
      <w:r w:rsidR="00B96A99" w:rsidRPr="001E1B8B">
        <w:rPr>
          <w:szCs w:val="24"/>
        </w:rPr>
        <w:t xml:space="preserve"> to the </w:t>
      </w:r>
      <w:r w:rsidR="00C301CA" w:rsidRPr="001E1B8B">
        <w:rPr>
          <w:szCs w:val="24"/>
        </w:rPr>
        <w:t>bridging the</w:t>
      </w:r>
      <w:r w:rsidR="00B96A99" w:rsidRPr="001E1B8B">
        <w:rPr>
          <w:szCs w:val="24"/>
        </w:rPr>
        <w:t xml:space="preserve"> gender digital divide.  </w:t>
      </w:r>
      <w:r w:rsidR="00CC63E3" w:rsidRPr="001E1B8B">
        <w:rPr>
          <w:szCs w:val="24"/>
        </w:rPr>
        <w:t>This exercise was a deliverable of EQUALS: The Global partnership to bridge the gender digital divide</w:t>
      </w:r>
      <w:r w:rsidR="00CC63E3" w:rsidRPr="001E1B8B">
        <w:rPr>
          <w:rStyle w:val="FootnoteReference"/>
          <w:szCs w:val="24"/>
        </w:rPr>
        <w:footnoteReference w:id="1"/>
      </w:r>
      <w:r w:rsidR="008561CB" w:rsidRPr="001E1B8B">
        <w:rPr>
          <w:szCs w:val="24"/>
        </w:rPr>
        <w:t>.</w:t>
      </w:r>
    </w:p>
    <w:p w14:paraId="12F28D33" w14:textId="491927A7" w:rsidR="00B96A99" w:rsidRPr="001E1B8B" w:rsidRDefault="00B96A99" w:rsidP="00493BD3">
      <w:pPr>
        <w:pStyle w:val="NormalWeb"/>
        <w:keepNext/>
        <w:shd w:val="clear" w:color="auto" w:fill="FFFFFF"/>
        <w:spacing w:before="120" w:beforeAutospacing="0" w:after="0" w:afterAutospacing="0"/>
        <w:textAlignment w:val="baseline"/>
        <w:rPr>
          <w:rFonts w:asciiTheme="minorHAnsi" w:hAnsiTheme="minorHAnsi" w:cstheme="minorHAnsi"/>
        </w:rPr>
      </w:pPr>
      <w:r w:rsidRPr="001E1B8B">
        <w:rPr>
          <w:rFonts w:asciiTheme="minorHAnsi" w:hAnsiTheme="minorHAnsi" w:cstheme="minorHAnsi"/>
        </w:rPr>
        <w:t>3.</w:t>
      </w:r>
      <w:r w:rsidR="00493BD3" w:rsidRPr="001E1B8B">
        <w:rPr>
          <w:rFonts w:asciiTheme="minorHAnsi" w:hAnsiTheme="minorHAnsi" w:cstheme="minorHAnsi"/>
        </w:rPr>
        <w:t>7</w:t>
      </w:r>
      <w:r w:rsidRPr="001E1B8B">
        <w:rPr>
          <w:rFonts w:asciiTheme="minorHAnsi" w:hAnsiTheme="minorHAnsi" w:cstheme="minorHAnsi"/>
        </w:rPr>
        <w:tab/>
      </w:r>
      <w:r w:rsidRPr="001E1B8B">
        <w:rPr>
          <w:rFonts w:asciiTheme="minorHAnsi" w:hAnsiTheme="minorHAnsi" w:cstheme="minorHAnsi"/>
          <w:b/>
        </w:rPr>
        <w:t>EQUALS in Tech Awards</w:t>
      </w:r>
    </w:p>
    <w:p w14:paraId="7E1F8C0E" w14:textId="33E4A5BD" w:rsidR="00B96A99" w:rsidRPr="001E1B8B" w:rsidRDefault="00B96A99" w:rsidP="0090011B">
      <w:pPr>
        <w:shd w:val="clear" w:color="auto" w:fill="FFFFFF"/>
        <w:spacing w:after="120"/>
        <w:rPr>
          <w:color w:val="212121"/>
          <w:sz w:val="22"/>
          <w:lang w:eastAsia="zh-CN"/>
        </w:rPr>
      </w:pPr>
      <w:r w:rsidRPr="001E1B8B">
        <w:rPr>
          <w:color w:val="212121"/>
        </w:rPr>
        <w:t>The sixth annual </w:t>
      </w:r>
      <w:hyperlink r:id="rId24" w:history="1">
        <w:r w:rsidRPr="001E1B8B">
          <w:rPr>
            <w:color w:val="0000FF" w:themeColor="hyperlink"/>
            <w:u w:val="single"/>
          </w:rPr>
          <w:t>EQUALS in Tech Awards</w:t>
        </w:r>
      </w:hyperlink>
      <w:r w:rsidRPr="001E1B8B">
        <w:rPr>
          <w:color w:val="212121"/>
        </w:rPr>
        <w:t> (formerly </w:t>
      </w:r>
      <w:r w:rsidRPr="001E1B8B">
        <w:rPr>
          <w:color w:val="0000FF" w:themeColor="hyperlink"/>
          <w:spacing w:val="-4"/>
          <w:u w:val="single"/>
        </w:rPr>
        <w:t>GEM-TECH Awards</w:t>
      </w:r>
      <w:r w:rsidRPr="001E1B8B">
        <w:rPr>
          <w:color w:val="212121"/>
        </w:rPr>
        <w:t xml:space="preserve">) was held in Germany </w:t>
      </w:r>
      <w:r w:rsidR="00EF21AC" w:rsidRPr="001E1B8B">
        <w:rPr>
          <w:color w:val="212121"/>
        </w:rPr>
        <w:t xml:space="preserve">during </w:t>
      </w:r>
      <w:r w:rsidRPr="001E1B8B">
        <w:rPr>
          <w:color w:val="212121"/>
        </w:rPr>
        <w:t xml:space="preserve">the Internet Governance Forum. More than 200 nominations from 68 countries were put forward from stakeholders across the globe. Nigeria had the highest number of nominations, followed by the </w:t>
      </w:r>
      <w:r w:rsidR="008561CB" w:rsidRPr="001E1B8B">
        <w:rPr>
          <w:color w:val="212121"/>
        </w:rPr>
        <w:t>United States of America</w:t>
      </w:r>
      <w:r w:rsidRPr="001E1B8B">
        <w:rPr>
          <w:color w:val="212121"/>
        </w:rPr>
        <w:t>, Argentina, Pakistan</w:t>
      </w:r>
      <w:r w:rsidR="008561CB" w:rsidRPr="001E1B8B">
        <w:rPr>
          <w:color w:val="212121"/>
        </w:rPr>
        <w:t>,</w:t>
      </w:r>
      <w:r w:rsidRPr="001E1B8B">
        <w:rPr>
          <w:color w:val="212121"/>
        </w:rPr>
        <w:t xml:space="preserve"> and the United Kingdom. </w:t>
      </w:r>
    </w:p>
    <w:p w14:paraId="1B4CED93" w14:textId="77ED9203" w:rsidR="00B96A99" w:rsidRPr="001E1B8B" w:rsidRDefault="00B96A99" w:rsidP="0090011B">
      <w:pPr>
        <w:shd w:val="clear" w:color="auto" w:fill="FFFFFF"/>
        <w:spacing w:after="120"/>
        <w:rPr>
          <w:color w:val="212121"/>
        </w:rPr>
      </w:pPr>
      <w:r w:rsidRPr="001E1B8B">
        <w:rPr>
          <w:color w:val="212121"/>
        </w:rPr>
        <w:t xml:space="preserve">The </w:t>
      </w:r>
      <w:r w:rsidR="008561CB" w:rsidRPr="001E1B8B">
        <w:rPr>
          <w:color w:val="212121"/>
        </w:rPr>
        <w:t xml:space="preserve">EQUALS in Tech Awards </w:t>
      </w:r>
      <w:r w:rsidRPr="001E1B8B">
        <w:rPr>
          <w:color w:val="212121"/>
        </w:rPr>
        <w:t xml:space="preserve">celebrated five winners in the categories of Access, Skills, Research and Leadership I and II from a pool of 15 outstanding finalists from 12 countries. The </w:t>
      </w:r>
      <w:r w:rsidR="008561CB" w:rsidRPr="001E1B8B">
        <w:rPr>
          <w:color w:val="212121"/>
        </w:rPr>
        <w:t>awards were</w:t>
      </w:r>
      <w:r w:rsidRPr="001E1B8B">
        <w:rPr>
          <w:color w:val="212121"/>
        </w:rPr>
        <w:t xml:space="preserve"> made possible through</w:t>
      </w:r>
      <w:r w:rsidR="00C301CA" w:rsidRPr="001E1B8B">
        <w:rPr>
          <w:color w:val="212121"/>
        </w:rPr>
        <w:t xml:space="preserve"> the </w:t>
      </w:r>
      <w:r w:rsidRPr="001E1B8B">
        <w:rPr>
          <w:color w:val="212121"/>
        </w:rPr>
        <w:t>partnership with the Swiss Federal Office of Communication (OFCOM), the Internet Society</w:t>
      </w:r>
      <w:r w:rsidR="00EF21AC" w:rsidRPr="001E1B8B">
        <w:rPr>
          <w:color w:val="212121"/>
        </w:rPr>
        <w:t>,</w:t>
      </w:r>
      <w:r w:rsidRPr="001E1B8B">
        <w:rPr>
          <w:color w:val="212121"/>
        </w:rPr>
        <w:t xml:space="preserve"> and </w:t>
      </w:r>
      <w:r w:rsidR="00C301CA" w:rsidRPr="001E1B8B">
        <w:rPr>
          <w:color w:val="212121"/>
        </w:rPr>
        <w:t xml:space="preserve">with </w:t>
      </w:r>
      <w:r w:rsidRPr="001E1B8B">
        <w:rPr>
          <w:color w:val="212121"/>
        </w:rPr>
        <w:t xml:space="preserve">support from Inmarsat. </w:t>
      </w:r>
    </w:p>
    <w:p w14:paraId="7142D6DF" w14:textId="252416F9" w:rsidR="006210A5" w:rsidRPr="001E1B8B" w:rsidRDefault="00563C28" w:rsidP="00493BD3">
      <w:pPr>
        <w:pStyle w:val="NormalWeb"/>
        <w:keepNext/>
        <w:shd w:val="clear" w:color="auto" w:fill="FFFFFF"/>
        <w:spacing w:before="120" w:beforeAutospacing="0" w:after="0" w:afterAutospacing="0"/>
        <w:textAlignment w:val="baseline"/>
        <w:rPr>
          <w:rFonts w:asciiTheme="minorHAnsi" w:hAnsiTheme="minorHAnsi" w:cstheme="minorHAnsi"/>
        </w:rPr>
      </w:pPr>
      <w:r w:rsidRPr="001E1B8B">
        <w:rPr>
          <w:rFonts w:asciiTheme="minorHAnsi" w:hAnsiTheme="minorHAnsi" w:cstheme="minorHAnsi"/>
        </w:rPr>
        <w:t>3.</w:t>
      </w:r>
      <w:r w:rsidR="00493BD3" w:rsidRPr="001E1B8B">
        <w:rPr>
          <w:rFonts w:asciiTheme="minorHAnsi" w:hAnsiTheme="minorHAnsi" w:cstheme="minorHAnsi"/>
        </w:rPr>
        <w:t>8</w:t>
      </w:r>
      <w:r w:rsidRPr="001E1B8B">
        <w:rPr>
          <w:rFonts w:asciiTheme="minorHAnsi" w:hAnsiTheme="minorHAnsi" w:cstheme="minorHAnsi"/>
        </w:rPr>
        <w:tab/>
      </w:r>
      <w:r w:rsidR="00756469" w:rsidRPr="001E1B8B">
        <w:rPr>
          <w:rFonts w:asciiTheme="minorHAnsi" w:hAnsiTheme="minorHAnsi" w:cstheme="minorHAnsi"/>
          <w:b/>
        </w:rPr>
        <w:t xml:space="preserve">ITU-WHO </w:t>
      </w:r>
      <w:r w:rsidR="00FE7C0F" w:rsidRPr="001E1B8B">
        <w:rPr>
          <w:rFonts w:asciiTheme="minorHAnsi" w:hAnsiTheme="minorHAnsi" w:cstheme="minorHAnsi"/>
          <w:b/>
        </w:rPr>
        <w:t>s</w:t>
      </w:r>
      <w:r w:rsidR="00EF21AC" w:rsidRPr="001E1B8B">
        <w:rPr>
          <w:rFonts w:asciiTheme="minorHAnsi" w:hAnsiTheme="minorHAnsi" w:cstheme="minorHAnsi"/>
          <w:b/>
        </w:rPr>
        <w:t xml:space="preserve">afe listening toolkit </w:t>
      </w:r>
    </w:p>
    <w:p w14:paraId="2C3A2B3D" w14:textId="02E956F3" w:rsidR="005B5FBD" w:rsidRPr="001E1B8B" w:rsidRDefault="001C1A7F" w:rsidP="005B5FBD">
      <w:pPr>
        <w:rPr>
          <w:rFonts w:cstheme="minorHAnsi"/>
          <w:szCs w:val="24"/>
          <w:shd w:val="clear" w:color="auto" w:fill="FFFFFF"/>
        </w:rPr>
      </w:pPr>
      <w:r w:rsidRPr="001E1B8B">
        <w:rPr>
          <w:rFonts w:cstheme="minorHAnsi"/>
          <w:szCs w:val="24"/>
          <w:shd w:val="clear" w:color="auto" w:fill="FFFFFF"/>
        </w:rPr>
        <w:t>The</w:t>
      </w:r>
      <w:r w:rsidR="00073475" w:rsidRPr="001E1B8B">
        <w:rPr>
          <w:rFonts w:cstheme="minorHAnsi"/>
          <w:szCs w:val="24"/>
          <w:shd w:val="clear" w:color="auto" w:fill="FFFFFF"/>
        </w:rPr>
        <w:t xml:space="preserve"> </w:t>
      </w:r>
      <w:hyperlink r:id="rId25" w:history="1">
        <w:r w:rsidR="00BB7284" w:rsidRPr="001E1B8B">
          <w:rPr>
            <w:rStyle w:val="Hyperlink"/>
            <w:rFonts w:cstheme="minorHAnsi"/>
            <w:szCs w:val="24"/>
            <w:shd w:val="clear" w:color="auto" w:fill="FFFFFF"/>
          </w:rPr>
          <w:t>toolkit on</w:t>
        </w:r>
        <w:r w:rsidR="005B5FBD" w:rsidRPr="001E1B8B">
          <w:rPr>
            <w:rStyle w:val="Hyperlink"/>
            <w:rFonts w:cstheme="minorHAnsi"/>
            <w:szCs w:val="24"/>
            <w:shd w:val="clear" w:color="auto" w:fill="FFFFFF"/>
          </w:rPr>
          <w:t xml:space="preserve"> </w:t>
        </w:r>
        <w:r w:rsidR="00EF21AC" w:rsidRPr="001E1B8B">
          <w:rPr>
            <w:rStyle w:val="Hyperlink"/>
            <w:rFonts w:cstheme="minorHAnsi"/>
            <w:szCs w:val="24"/>
            <w:shd w:val="clear" w:color="auto" w:fill="FFFFFF"/>
          </w:rPr>
          <w:t>s</w:t>
        </w:r>
        <w:r w:rsidR="005B5FBD" w:rsidRPr="001E1B8B">
          <w:rPr>
            <w:rStyle w:val="Hyperlink"/>
            <w:rFonts w:cstheme="minorHAnsi"/>
            <w:szCs w:val="24"/>
            <w:shd w:val="clear" w:color="auto" w:fill="FFFFFF"/>
          </w:rPr>
          <w:t>afe listening devices and systems</w:t>
        </w:r>
      </w:hyperlink>
      <w:r w:rsidRPr="001E1B8B">
        <w:rPr>
          <w:rFonts w:cstheme="minorHAnsi"/>
          <w:szCs w:val="24"/>
          <w:shd w:val="clear" w:color="auto" w:fill="FFFFFF"/>
        </w:rPr>
        <w:t xml:space="preserve"> was published by ITU and WHO to </w:t>
      </w:r>
      <w:r w:rsidR="005B5FBD" w:rsidRPr="001E1B8B">
        <w:rPr>
          <w:rFonts w:cstheme="minorHAnsi"/>
          <w:szCs w:val="24"/>
          <w:shd w:val="clear" w:color="auto" w:fill="FFFFFF"/>
        </w:rPr>
        <w:t xml:space="preserve">support </w:t>
      </w:r>
      <w:r w:rsidR="00BB7284" w:rsidRPr="001E1B8B">
        <w:rPr>
          <w:rFonts w:cstheme="minorHAnsi"/>
          <w:szCs w:val="24"/>
          <w:shd w:val="clear" w:color="auto" w:fill="FFFFFF"/>
        </w:rPr>
        <w:t xml:space="preserve">the </w:t>
      </w:r>
      <w:r w:rsidR="005B5FBD" w:rsidRPr="001E1B8B">
        <w:rPr>
          <w:rFonts w:cstheme="minorHAnsi"/>
          <w:szCs w:val="24"/>
          <w:shd w:val="clear" w:color="auto" w:fill="FFFFFF"/>
        </w:rPr>
        <w:t xml:space="preserve">implementation of the </w:t>
      </w:r>
      <w:r w:rsidR="00BB7284" w:rsidRPr="001E1B8B">
        <w:rPr>
          <w:rFonts w:cstheme="minorHAnsi"/>
          <w:szCs w:val="24"/>
          <w:shd w:val="clear" w:color="auto" w:fill="FFFFFF"/>
        </w:rPr>
        <w:t>WHO-ITU-T H.870 global standard</w:t>
      </w:r>
      <w:r w:rsidR="005B5FBD" w:rsidRPr="001E1B8B">
        <w:rPr>
          <w:rFonts w:cstheme="minorHAnsi"/>
          <w:szCs w:val="24"/>
          <w:shd w:val="clear" w:color="auto" w:fill="FFFFFF"/>
        </w:rPr>
        <w:t xml:space="preserve"> in response to the gro</w:t>
      </w:r>
      <w:r w:rsidR="00EF21AC" w:rsidRPr="001E1B8B">
        <w:rPr>
          <w:rFonts w:cstheme="minorHAnsi"/>
          <w:szCs w:val="24"/>
          <w:shd w:val="clear" w:color="auto" w:fill="FFFFFF"/>
        </w:rPr>
        <w:t xml:space="preserve">wth </w:t>
      </w:r>
      <w:r w:rsidR="005B5FBD" w:rsidRPr="001E1B8B">
        <w:rPr>
          <w:rFonts w:cstheme="minorHAnsi"/>
          <w:szCs w:val="24"/>
          <w:shd w:val="clear" w:color="auto" w:fill="FFFFFF"/>
        </w:rPr>
        <w:t>of hearing loss particularly in young people as well as the threat to hearing posed by unsafe listening practices and devices</w:t>
      </w:r>
      <w:r w:rsidR="00EF21AC" w:rsidRPr="001E1B8B">
        <w:rPr>
          <w:rFonts w:cstheme="minorHAnsi"/>
          <w:szCs w:val="24"/>
          <w:shd w:val="clear" w:color="auto" w:fill="FFFFFF"/>
        </w:rPr>
        <w:t>.</w:t>
      </w:r>
      <w:r w:rsidR="00C24AF2" w:rsidRPr="001E1B8B">
        <w:rPr>
          <w:rFonts w:cstheme="minorHAnsi"/>
          <w:szCs w:val="24"/>
          <w:shd w:val="clear" w:color="auto" w:fill="FFFFFF"/>
        </w:rPr>
        <w:t xml:space="preserve"> </w:t>
      </w:r>
      <w:r w:rsidR="005B5FBD" w:rsidRPr="001E1B8B">
        <w:rPr>
          <w:rFonts w:cstheme="minorHAnsi"/>
          <w:szCs w:val="24"/>
          <w:shd w:val="clear" w:color="auto" w:fill="FFFFFF"/>
        </w:rPr>
        <w:t xml:space="preserve">This toolkit provides practical guidance to support </w:t>
      </w:r>
      <w:r w:rsidR="00BB7284" w:rsidRPr="001E1B8B">
        <w:rPr>
          <w:rFonts w:cstheme="minorHAnsi"/>
          <w:szCs w:val="24"/>
          <w:shd w:val="clear" w:color="auto" w:fill="FFFFFF"/>
        </w:rPr>
        <w:t>countries,</w:t>
      </w:r>
      <w:r w:rsidR="005B5FBD" w:rsidRPr="001E1B8B">
        <w:rPr>
          <w:rFonts w:cstheme="minorHAnsi"/>
          <w:szCs w:val="24"/>
          <w:shd w:val="clear" w:color="auto" w:fill="FFFFFF"/>
        </w:rPr>
        <w:t xml:space="preserve"> industry partners, private sector and civil society groups</w:t>
      </w:r>
      <w:r w:rsidR="00BB7284" w:rsidRPr="001E1B8B">
        <w:rPr>
          <w:rFonts w:cstheme="minorHAnsi"/>
          <w:szCs w:val="24"/>
          <w:shd w:val="clear" w:color="auto" w:fill="FFFFFF"/>
        </w:rPr>
        <w:t xml:space="preserve">. </w:t>
      </w:r>
      <w:r w:rsidR="005B5FBD" w:rsidRPr="001E1B8B">
        <w:rPr>
          <w:rFonts w:cstheme="minorHAnsi"/>
          <w:szCs w:val="24"/>
          <w:shd w:val="clear" w:color="auto" w:fill="FFFFFF"/>
        </w:rPr>
        <w:t xml:space="preserve"> </w:t>
      </w:r>
    </w:p>
    <w:p w14:paraId="4E99914F" w14:textId="23D93789" w:rsidR="005B5FBD" w:rsidRPr="001E1B8B" w:rsidRDefault="005B5FBD" w:rsidP="00493BD3">
      <w:pPr>
        <w:pStyle w:val="NormalWeb"/>
        <w:keepNext/>
        <w:shd w:val="clear" w:color="auto" w:fill="FFFFFF"/>
        <w:spacing w:before="120" w:beforeAutospacing="0" w:after="0" w:afterAutospacing="0"/>
        <w:textAlignment w:val="baseline"/>
        <w:rPr>
          <w:rFonts w:cstheme="minorHAnsi"/>
        </w:rPr>
      </w:pPr>
      <w:r w:rsidRPr="001E1B8B">
        <w:rPr>
          <w:rFonts w:asciiTheme="minorHAnsi" w:hAnsiTheme="minorHAnsi" w:cstheme="minorHAnsi"/>
        </w:rPr>
        <w:t>3.</w:t>
      </w:r>
      <w:r w:rsidR="00493BD3" w:rsidRPr="001E1B8B">
        <w:rPr>
          <w:rFonts w:asciiTheme="minorHAnsi" w:hAnsiTheme="minorHAnsi" w:cstheme="minorHAnsi"/>
        </w:rPr>
        <w:t>9</w:t>
      </w:r>
      <w:r w:rsidRPr="001E1B8B">
        <w:rPr>
          <w:rFonts w:asciiTheme="minorHAnsi" w:hAnsiTheme="minorHAnsi" w:cstheme="minorHAnsi"/>
        </w:rPr>
        <w:tab/>
      </w:r>
      <w:r w:rsidRPr="001E1B8B">
        <w:rPr>
          <w:rFonts w:asciiTheme="minorHAnsi" w:hAnsiTheme="minorHAnsi" w:cstheme="minorHAnsi"/>
          <w:b/>
        </w:rPr>
        <w:t>E</w:t>
      </w:r>
      <w:r w:rsidR="00195AE0" w:rsidRPr="001E1B8B">
        <w:rPr>
          <w:rFonts w:asciiTheme="minorHAnsi" w:hAnsiTheme="minorHAnsi" w:cstheme="minorHAnsi"/>
          <w:b/>
        </w:rPr>
        <w:t>mpowerment of indigenous people</w:t>
      </w:r>
    </w:p>
    <w:p w14:paraId="74686ED8" w14:textId="77777777" w:rsidR="005B5FBD" w:rsidRPr="001E1B8B" w:rsidRDefault="00BB7284" w:rsidP="00CD7D0C">
      <w:pPr>
        <w:pStyle w:val="NormalWeb"/>
        <w:shd w:val="clear" w:color="auto" w:fill="FFFFFF"/>
        <w:spacing w:before="120" w:beforeAutospacing="0" w:after="0" w:afterAutospacing="0"/>
        <w:textAlignment w:val="baseline"/>
        <w:rPr>
          <w:rFonts w:cstheme="minorHAnsi"/>
        </w:rPr>
      </w:pPr>
      <w:r w:rsidRPr="001E1B8B">
        <w:rPr>
          <w:rFonts w:asciiTheme="minorHAnsi" w:hAnsiTheme="minorHAnsi" w:cstheme="minorHAnsi"/>
        </w:rPr>
        <w:t>To empower i</w:t>
      </w:r>
      <w:r w:rsidR="005B5FBD" w:rsidRPr="001E1B8B">
        <w:rPr>
          <w:rFonts w:asciiTheme="minorHAnsi" w:hAnsiTheme="minorHAnsi" w:cstheme="minorHAnsi"/>
        </w:rPr>
        <w:t xml:space="preserve">ndigenous people and communities through technology, </w:t>
      </w:r>
      <w:hyperlink r:id="rId26" w:history="1">
        <w:r w:rsidR="005B5FBD" w:rsidRPr="001E1B8B">
          <w:rPr>
            <w:rStyle w:val="Hyperlink"/>
            <w:rFonts w:asciiTheme="minorHAnsi" w:hAnsiTheme="minorHAnsi" w:cstheme="minorHAnsi"/>
          </w:rPr>
          <w:t>capacity-building trainings for indigenous communities</w:t>
        </w:r>
      </w:hyperlink>
      <w:r w:rsidR="005B5FBD" w:rsidRPr="001E1B8B">
        <w:rPr>
          <w:rFonts w:asciiTheme="minorHAnsi" w:hAnsiTheme="minorHAnsi" w:cstheme="minorHAnsi"/>
        </w:rPr>
        <w:t xml:space="preserve">, tailored to </w:t>
      </w:r>
      <w:r w:rsidR="00CB29FF" w:rsidRPr="001E1B8B">
        <w:rPr>
          <w:rFonts w:asciiTheme="minorHAnsi" w:hAnsiTheme="minorHAnsi" w:cstheme="minorHAnsi"/>
        </w:rPr>
        <w:t xml:space="preserve">their </w:t>
      </w:r>
      <w:r w:rsidR="005B5FBD" w:rsidRPr="001E1B8B">
        <w:rPr>
          <w:rFonts w:asciiTheme="minorHAnsi" w:hAnsiTheme="minorHAnsi" w:cstheme="minorHAnsi"/>
        </w:rPr>
        <w:t>specif</w:t>
      </w:r>
      <w:r w:rsidRPr="001E1B8B">
        <w:rPr>
          <w:rFonts w:asciiTheme="minorHAnsi" w:hAnsiTheme="minorHAnsi" w:cstheme="minorHAnsi"/>
        </w:rPr>
        <w:t>ic needs and topics of interest, were organized. These trainings take into</w:t>
      </w:r>
      <w:r w:rsidR="005B5FBD" w:rsidRPr="001E1B8B">
        <w:rPr>
          <w:rFonts w:asciiTheme="minorHAnsi" w:hAnsiTheme="minorHAnsi" w:cstheme="minorHAnsi"/>
        </w:rPr>
        <w:t xml:space="preserve"> account self-sustainability aspects and cultural legacy. </w:t>
      </w:r>
    </w:p>
    <w:p w14:paraId="65714AEE" w14:textId="16196ABB" w:rsidR="000E527B" w:rsidRPr="001E1B8B" w:rsidRDefault="000E527B" w:rsidP="00493BD3">
      <w:pPr>
        <w:keepNext/>
        <w:rPr>
          <w:bCs/>
        </w:rPr>
      </w:pPr>
      <w:r w:rsidRPr="001E1B8B">
        <w:rPr>
          <w:bCs/>
        </w:rPr>
        <w:t>3.</w:t>
      </w:r>
      <w:r w:rsidR="00493BD3" w:rsidRPr="001E1B8B">
        <w:rPr>
          <w:bCs/>
        </w:rPr>
        <w:t>10</w:t>
      </w:r>
      <w:r w:rsidR="001B7935" w:rsidRPr="001E1B8B">
        <w:rPr>
          <w:bCs/>
        </w:rPr>
        <w:tab/>
      </w:r>
      <w:r w:rsidRPr="001E1B8B">
        <w:rPr>
          <w:b/>
          <w:bCs/>
        </w:rPr>
        <w:t xml:space="preserve">ITU-ILO-AU </w:t>
      </w:r>
      <w:r w:rsidR="00356B1A" w:rsidRPr="001E1B8B">
        <w:rPr>
          <w:b/>
          <w:bCs/>
        </w:rPr>
        <w:t>youth consultation</w:t>
      </w:r>
    </w:p>
    <w:p w14:paraId="46546D0B" w14:textId="7F1AB1B2" w:rsidR="00BB7284" w:rsidRPr="001E1B8B" w:rsidRDefault="000E527B" w:rsidP="00BB7284">
      <w:pPr>
        <w:rPr>
          <w:rFonts w:ascii="Calibri" w:eastAsia="Calibri" w:hAnsi="Calibri" w:cs="Calibri"/>
        </w:rPr>
      </w:pPr>
      <w:r w:rsidRPr="001E1B8B">
        <w:rPr>
          <w:rFonts w:ascii="Calibri" w:eastAsia="Calibri" w:hAnsi="Calibri" w:cs="Calibri"/>
        </w:rPr>
        <w:t>Consultation with youth on how to enhance digital skills for youth were held during the AfriLabs gathering</w:t>
      </w:r>
      <w:r w:rsidR="00BB7284" w:rsidRPr="001E1B8B">
        <w:rPr>
          <w:rFonts w:ascii="Calibri" w:eastAsia="Calibri" w:hAnsi="Calibri" w:cs="Calibri"/>
        </w:rPr>
        <w:t xml:space="preserve"> in Addis Ababa, Ethiopia, </w:t>
      </w:r>
      <w:r w:rsidRPr="001E1B8B">
        <w:rPr>
          <w:rFonts w:ascii="Calibri" w:eastAsia="Calibri" w:hAnsi="Calibri" w:cs="Calibri"/>
        </w:rPr>
        <w:t>in November</w:t>
      </w:r>
      <w:r w:rsidR="00BB7284" w:rsidRPr="001E1B8B">
        <w:rPr>
          <w:rFonts w:ascii="Calibri" w:eastAsia="Calibri" w:hAnsi="Calibri" w:cs="Calibri"/>
        </w:rPr>
        <w:t>.</w:t>
      </w:r>
      <w:r w:rsidRPr="001E1B8B">
        <w:rPr>
          <w:rFonts w:ascii="Calibri" w:eastAsia="Calibri" w:hAnsi="Calibri" w:cs="Calibri"/>
        </w:rPr>
        <w:t xml:space="preserve"> The event was </w:t>
      </w:r>
      <w:r w:rsidR="00BB7284" w:rsidRPr="001E1B8B">
        <w:rPr>
          <w:rFonts w:ascii="Calibri" w:eastAsia="Calibri" w:hAnsi="Calibri" w:cs="Calibri"/>
        </w:rPr>
        <w:t xml:space="preserve">organized under the ITU-ILO </w:t>
      </w:r>
      <w:r w:rsidR="00356B1A" w:rsidRPr="001E1B8B">
        <w:rPr>
          <w:rFonts w:ascii="Calibri" w:eastAsia="Calibri" w:hAnsi="Calibri" w:cs="Calibri"/>
        </w:rPr>
        <w:t>b</w:t>
      </w:r>
      <w:r w:rsidR="00BB7284" w:rsidRPr="001E1B8B">
        <w:rPr>
          <w:rFonts w:ascii="Calibri" w:eastAsia="Calibri" w:hAnsi="Calibri" w:cs="Calibri"/>
        </w:rPr>
        <w:t xml:space="preserve">oosting </w:t>
      </w:r>
      <w:r w:rsidR="00356B1A" w:rsidRPr="001E1B8B">
        <w:rPr>
          <w:rFonts w:ascii="Calibri" w:eastAsia="Calibri" w:hAnsi="Calibri" w:cs="Calibri"/>
        </w:rPr>
        <w:t>d</w:t>
      </w:r>
      <w:r w:rsidR="00BB7284" w:rsidRPr="001E1B8B">
        <w:rPr>
          <w:rFonts w:ascii="Calibri" w:eastAsia="Calibri" w:hAnsi="Calibri" w:cs="Calibri"/>
        </w:rPr>
        <w:t xml:space="preserve">ecent </w:t>
      </w:r>
      <w:r w:rsidR="00356B1A" w:rsidRPr="001E1B8B">
        <w:rPr>
          <w:rFonts w:ascii="Calibri" w:eastAsia="Calibri" w:hAnsi="Calibri" w:cs="Calibri"/>
        </w:rPr>
        <w:t>j</w:t>
      </w:r>
      <w:r w:rsidR="00BB7284" w:rsidRPr="001E1B8B">
        <w:rPr>
          <w:rFonts w:ascii="Calibri" w:eastAsia="Calibri" w:hAnsi="Calibri" w:cs="Calibri"/>
        </w:rPr>
        <w:t xml:space="preserve">obs and </w:t>
      </w:r>
      <w:r w:rsidR="00356B1A" w:rsidRPr="001E1B8B">
        <w:rPr>
          <w:rFonts w:ascii="Calibri" w:eastAsia="Calibri" w:hAnsi="Calibri" w:cs="Calibri"/>
        </w:rPr>
        <w:t>e</w:t>
      </w:r>
      <w:r w:rsidR="00BB7284" w:rsidRPr="001E1B8B">
        <w:rPr>
          <w:rFonts w:ascii="Calibri" w:eastAsia="Calibri" w:hAnsi="Calibri" w:cs="Calibri"/>
        </w:rPr>
        <w:t xml:space="preserve">nhancing </w:t>
      </w:r>
      <w:r w:rsidR="00356B1A" w:rsidRPr="001E1B8B">
        <w:rPr>
          <w:rFonts w:ascii="Calibri" w:eastAsia="Calibri" w:hAnsi="Calibri" w:cs="Calibri"/>
        </w:rPr>
        <w:t>d</w:t>
      </w:r>
      <w:r w:rsidR="00BB7284" w:rsidRPr="001E1B8B">
        <w:rPr>
          <w:rFonts w:ascii="Calibri" w:eastAsia="Calibri" w:hAnsi="Calibri" w:cs="Calibri"/>
        </w:rPr>
        <w:t xml:space="preserve">igital </w:t>
      </w:r>
      <w:r w:rsidR="00356B1A" w:rsidRPr="001E1B8B">
        <w:rPr>
          <w:rFonts w:ascii="Calibri" w:eastAsia="Calibri" w:hAnsi="Calibri" w:cs="Calibri"/>
        </w:rPr>
        <w:t>s</w:t>
      </w:r>
      <w:r w:rsidR="00BB7284" w:rsidRPr="001E1B8B">
        <w:rPr>
          <w:rFonts w:ascii="Calibri" w:eastAsia="Calibri" w:hAnsi="Calibri" w:cs="Calibri"/>
        </w:rPr>
        <w:t xml:space="preserve">kills for </w:t>
      </w:r>
      <w:r w:rsidR="00356B1A" w:rsidRPr="001E1B8B">
        <w:rPr>
          <w:rFonts w:ascii="Calibri" w:eastAsia="Calibri" w:hAnsi="Calibri" w:cs="Calibri"/>
        </w:rPr>
        <w:t>y</w:t>
      </w:r>
      <w:r w:rsidR="00BB7284" w:rsidRPr="001E1B8B">
        <w:rPr>
          <w:rFonts w:ascii="Calibri" w:eastAsia="Calibri" w:hAnsi="Calibri" w:cs="Calibri"/>
        </w:rPr>
        <w:t>outh in Africa’s digital economy</w:t>
      </w:r>
      <w:r w:rsidR="00356B1A" w:rsidRPr="001E1B8B">
        <w:rPr>
          <w:rFonts w:ascii="Calibri" w:eastAsia="Calibri" w:hAnsi="Calibri" w:cs="Calibri"/>
        </w:rPr>
        <w:t xml:space="preserve"> programme</w:t>
      </w:r>
      <w:r w:rsidR="00BB7284" w:rsidRPr="001E1B8B">
        <w:rPr>
          <w:rFonts w:ascii="Calibri" w:eastAsia="Calibri" w:hAnsi="Calibri" w:cs="Calibri"/>
        </w:rPr>
        <w:t>, with the support of the African Union.</w:t>
      </w:r>
    </w:p>
    <w:p w14:paraId="2FE81E02" w14:textId="3B820F8E" w:rsidR="00C109D3" w:rsidRPr="001E1B8B" w:rsidRDefault="00C109D3" w:rsidP="00493BD3">
      <w:pPr>
        <w:keepNext/>
        <w:rPr>
          <w:b/>
          <w:bCs/>
          <w:caps/>
        </w:rPr>
      </w:pPr>
      <w:r w:rsidRPr="001E1B8B">
        <w:rPr>
          <w:bCs/>
          <w:caps/>
        </w:rPr>
        <w:t>3.</w:t>
      </w:r>
      <w:r w:rsidR="00BB7284" w:rsidRPr="001E1B8B">
        <w:rPr>
          <w:bCs/>
          <w:caps/>
        </w:rPr>
        <w:t>1</w:t>
      </w:r>
      <w:r w:rsidR="00493BD3" w:rsidRPr="001E1B8B">
        <w:rPr>
          <w:bCs/>
          <w:caps/>
        </w:rPr>
        <w:t>1</w:t>
      </w:r>
      <w:r w:rsidR="001B7935" w:rsidRPr="001E1B8B">
        <w:rPr>
          <w:bCs/>
          <w:caps/>
        </w:rPr>
        <w:tab/>
      </w:r>
      <w:r w:rsidRPr="001E1B8B">
        <w:rPr>
          <w:b/>
          <w:bCs/>
          <w:caps/>
        </w:rPr>
        <w:t xml:space="preserve">ITU-UNESCO </w:t>
      </w:r>
      <w:r w:rsidRPr="001E1B8B">
        <w:rPr>
          <w:b/>
          <w:bCs/>
        </w:rPr>
        <w:t xml:space="preserve">Digital Inclusion Week for the Arab </w:t>
      </w:r>
      <w:r w:rsidR="00356B1A" w:rsidRPr="001E1B8B">
        <w:rPr>
          <w:b/>
          <w:bCs/>
        </w:rPr>
        <w:t>States r</w:t>
      </w:r>
      <w:r w:rsidRPr="001E1B8B">
        <w:rPr>
          <w:b/>
          <w:bCs/>
        </w:rPr>
        <w:t>egion</w:t>
      </w:r>
    </w:p>
    <w:p w14:paraId="76D3F27D" w14:textId="33AD2C5D" w:rsidR="00C109D3" w:rsidRPr="001E1B8B" w:rsidRDefault="00BB7284" w:rsidP="00FF1C12">
      <w:pPr>
        <w:overflowPunct/>
        <w:autoSpaceDE/>
        <w:autoSpaceDN/>
        <w:adjustRightInd/>
        <w:spacing w:line="256" w:lineRule="auto"/>
        <w:textAlignment w:val="auto"/>
        <w:rPr>
          <w:rFonts w:cstheme="minorHAnsi"/>
          <w:szCs w:val="24"/>
          <w:shd w:val="clear" w:color="auto" w:fill="FFFFFF"/>
        </w:rPr>
      </w:pPr>
      <w:r w:rsidRPr="001E1B8B">
        <w:rPr>
          <w:rFonts w:cstheme="minorHAnsi"/>
          <w:szCs w:val="24"/>
          <w:shd w:val="clear" w:color="auto" w:fill="FFFFFF"/>
        </w:rPr>
        <w:t xml:space="preserve">During the </w:t>
      </w:r>
      <w:r w:rsidR="00C109D3" w:rsidRPr="001E1B8B">
        <w:rPr>
          <w:rFonts w:cstheme="minorHAnsi"/>
          <w:szCs w:val="24"/>
          <w:shd w:val="clear" w:color="auto" w:fill="FFFFFF"/>
        </w:rPr>
        <w:t xml:space="preserve">fourth annual ITU-UNESCO </w:t>
      </w:r>
      <w:hyperlink r:id="rId27" w:history="1">
        <w:r w:rsidR="00C109D3" w:rsidRPr="001E1B8B">
          <w:rPr>
            <w:rStyle w:val="Hyperlink"/>
            <w:rFonts w:cstheme="minorHAnsi"/>
            <w:szCs w:val="24"/>
            <w:shd w:val="clear" w:color="auto" w:fill="FFFFFF"/>
          </w:rPr>
          <w:t>Digital Inclusion Week</w:t>
        </w:r>
      </w:hyperlink>
      <w:r w:rsidR="00C109D3" w:rsidRPr="001E1B8B">
        <w:rPr>
          <w:rFonts w:cstheme="minorHAnsi"/>
          <w:szCs w:val="24"/>
          <w:shd w:val="clear" w:color="auto" w:fill="FFFFFF"/>
        </w:rPr>
        <w:t xml:space="preserve"> for the Arab</w:t>
      </w:r>
      <w:r w:rsidR="00356B1A" w:rsidRPr="001E1B8B">
        <w:rPr>
          <w:rFonts w:cstheme="minorHAnsi"/>
          <w:szCs w:val="24"/>
          <w:shd w:val="clear" w:color="auto" w:fill="FFFFFF"/>
        </w:rPr>
        <w:t xml:space="preserve"> States</w:t>
      </w:r>
      <w:r w:rsidR="00C109D3" w:rsidRPr="001E1B8B">
        <w:rPr>
          <w:rFonts w:cstheme="minorHAnsi"/>
          <w:szCs w:val="24"/>
          <w:shd w:val="clear" w:color="auto" w:fill="FFFFFF"/>
        </w:rPr>
        <w:t xml:space="preserve"> region </w:t>
      </w:r>
      <w:r w:rsidRPr="001E1B8B">
        <w:rPr>
          <w:rFonts w:cstheme="minorHAnsi"/>
          <w:szCs w:val="24"/>
          <w:shd w:val="clear" w:color="auto" w:fill="FFFFFF"/>
        </w:rPr>
        <w:t>several activities were organized to enhance digital inclusion.</w:t>
      </w:r>
      <w:r w:rsidR="00C109D3" w:rsidRPr="001E1B8B">
        <w:rPr>
          <w:rFonts w:cstheme="minorHAnsi"/>
          <w:szCs w:val="24"/>
          <w:shd w:val="clear" w:color="auto" w:fill="FFFFFF"/>
        </w:rPr>
        <w:t xml:space="preserve"> Activities </w:t>
      </w:r>
      <w:r w:rsidRPr="001E1B8B">
        <w:rPr>
          <w:rFonts w:cstheme="minorHAnsi"/>
          <w:szCs w:val="24"/>
          <w:shd w:val="clear" w:color="auto" w:fill="FFFFFF"/>
        </w:rPr>
        <w:t>included</w:t>
      </w:r>
      <w:r w:rsidR="00C109D3" w:rsidRPr="001E1B8B">
        <w:rPr>
          <w:rFonts w:cstheme="minorHAnsi"/>
          <w:szCs w:val="24"/>
          <w:shd w:val="clear" w:color="auto" w:fill="FFFFFF"/>
        </w:rPr>
        <w:t xml:space="preserve"> assistance to countries to develop ICT </w:t>
      </w:r>
      <w:r w:rsidR="00356B1A" w:rsidRPr="001E1B8B">
        <w:rPr>
          <w:rFonts w:cstheme="minorHAnsi"/>
          <w:szCs w:val="24"/>
          <w:shd w:val="clear" w:color="auto" w:fill="FFFFFF"/>
        </w:rPr>
        <w:t>a</w:t>
      </w:r>
      <w:r w:rsidR="00C109D3" w:rsidRPr="001E1B8B">
        <w:rPr>
          <w:rFonts w:cstheme="minorHAnsi"/>
          <w:szCs w:val="24"/>
          <w:shd w:val="clear" w:color="auto" w:fill="FFFFFF"/>
        </w:rPr>
        <w:t xml:space="preserve">ccessibility </w:t>
      </w:r>
      <w:r w:rsidR="00356B1A" w:rsidRPr="001E1B8B">
        <w:rPr>
          <w:rFonts w:cstheme="minorHAnsi"/>
          <w:szCs w:val="24"/>
          <w:shd w:val="clear" w:color="auto" w:fill="FFFFFF"/>
        </w:rPr>
        <w:t>p</w:t>
      </w:r>
      <w:r w:rsidR="00C109D3" w:rsidRPr="001E1B8B">
        <w:rPr>
          <w:rFonts w:cstheme="minorHAnsi"/>
          <w:szCs w:val="24"/>
          <w:shd w:val="clear" w:color="auto" w:fill="FFFFFF"/>
        </w:rPr>
        <w:t xml:space="preserve">olicies, empowering innovators in </w:t>
      </w:r>
      <w:r w:rsidR="00356B1A" w:rsidRPr="001E1B8B">
        <w:rPr>
          <w:rFonts w:cstheme="minorHAnsi"/>
          <w:szCs w:val="24"/>
          <w:shd w:val="clear" w:color="auto" w:fill="FFFFFF"/>
        </w:rPr>
        <w:t>b</w:t>
      </w:r>
      <w:r w:rsidR="00C109D3" w:rsidRPr="001E1B8B">
        <w:rPr>
          <w:rFonts w:cstheme="minorHAnsi"/>
          <w:szCs w:val="24"/>
          <w:shd w:val="clear" w:color="auto" w:fill="FFFFFF"/>
        </w:rPr>
        <w:t xml:space="preserve">ig </w:t>
      </w:r>
      <w:r w:rsidR="00356B1A" w:rsidRPr="001E1B8B">
        <w:rPr>
          <w:rFonts w:cstheme="minorHAnsi"/>
          <w:szCs w:val="24"/>
          <w:shd w:val="clear" w:color="auto" w:fill="FFFFFF"/>
        </w:rPr>
        <w:t>d</w:t>
      </w:r>
      <w:r w:rsidR="00C109D3" w:rsidRPr="001E1B8B">
        <w:rPr>
          <w:rFonts w:cstheme="minorHAnsi"/>
          <w:szCs w:val="24"/>
          <w:shd w:val="clear" w:color="auto" w:fill="FFFFFF"/>
        </w:rPr>
        <w:t xml:space="preserve">ata applications for digital inclusion, equipping children with digital financial inclusion literacy, showcasing persons with </w:t>
      </w:r>
      <w:r w:rsidR="00C109D3" w:rsidRPr="001E1B8B">
        <w:rPr>
          <w:rFonts w:cstheme="minorHAnsi"/>
          <w:szCs w:val="24"/>
          <w:shd w:val="clear" w:color="auto" w:fill="FFFFFF"/>
        </w:rPr>
        <w:lastRenderedPageBreak/>
        <w:t xml:space="preserve">disabilities with inspiring achievements, </w:t>
      </w:r>
      <w:r w:rsidRPr="001E1B8B">
        <w:rPr>
          <w:rFonts w:cstheme="minorHAnsi"/>
          <w:szCs w:val="24"/>
          <w:shd w:val="clear" w:color="auto" w:fill="FFFFFF"/>
        </w:rPr>
        <w:t xml:space="preserve">and </w:t>
      </w:r>
      <w:r w:rsidR="00C109D3" w:rsidRPr="001E1B8B">
        <w:rPr>
          <w:rFonts w:cstheme="minorHAnsi"/>
          <w:szCs w:val="24"/>
          <w:shd w:val="clear" w:color="auto" w:fill="FFFFFF"/>
        </w:rPr>
        <w:t xml:space="preserve">promoting innovations in </w:t>
      </w:r>
      <w:r w:rsidR="00356B1A" w:rsidRPr="001E1B8B">
        <w:rPr>
          <w:rFonts w:cstheme="minorHAnsi"/>
          <w:szCs w:val="24"/>
          <w:shd w:val="clear" w:color="auto" w:fill="FFFFFF"/>
        </w:rPr>
        <w:t>b</w:t>
      </w:r>
      <w:r w:rsidR="00C109D3" w:rsidRPr="001E1B8B">
        <w:rPr>
          <w:rFonts w:cstheme="minorHAnsi"/>
          <w:szCs w:val="24"/>
          <w:shd w:val="clear" w:color="auto" w:fill="FFFFFF"/>
        </w:rPr>
        <w:t xml:space="preserve">ig </w:t>
      </w:r>
      <w:r w:rsidR="00356B1A" w:rsidRPr="001E1B8B">
        <w:rPr>
          <w:rFonts w:cstheme="minorHAnsi"/>
          <w:szCs w:val="24"/>
          <w:shd w:val="clear" w:color="auto" w:fill="FFFFFF"/>
        </w:rPr>
        <w:t>d</w:t>
      </w:r>
      <w:r w:rsidR="00C109D3" w:rsidRPr="001E1B8B">
        <w:rPr>
          <w:rFonts w:cstheme="minorHAnsi"/>
          <w:szCs w:val="24"/>
          <w:shd w:val="clear" w:color="auto" w:fill="FFFFFF"/>
        </w:rPr>
        <w:t>ata for non-communicable diseases</w:t>
      </w:r>
      <w:r w:rsidRPr="001E1B8B">
        <w:rPr>
          <w:rFonts w:cstheme="minorHAnsi"/>
          <w:szCs w:val="24"/>
          <w:shd w:val="clear" w:color="auto" w:fill="FFFFFF"/>
        </w:rPr>
        <w:t xml:space="preserve">. </w:t>
      </w:r>
      <w:r w:rsidR="00C109D3" w:rsidRPr="001E1B8B">
        <w:rPr>
          <w:rFonts w:cstheme="minorHAnsi"/>
          <w:szCs w:val="24"/>
          <w:shd w:val="clear" w:color="auto" w:fill="FFFFFF"/>
        </w:rPr>
        <w:t xml:space="preserve"> </w:t>
      </w:r>
    </w:p>
    <w:p w14:paraId="4108F799" w14:textId="77777777" w:rsidR="00C109D3" w:rsidRPr="001E1B8B" w:rsidRDefault="00C109D3" w:rsidP="000E527B">
      <w:pPr>
        <w:rPr>
          <w:rFonts w:cstheme="minorHAnsi"/>
          <w:color w:val="444444"/>
        </w:rPr>
      </w:pPr>
    </w:p>
    <w:tbl>
      <w:tblPr>
        <w:tblStyle w:val="TableGrid2"/>
        <w:tblW w:w="0" w:type="auto"/>
        <w:tblLook w:val="04A0" w:firstRow="1" w:lastRow="0" w:firstColumn="1" w:lastColumn="0" w:noHBand="0" w:noVBand="1"/>
      </w:tblPr>
      <w:tblGrid>
        <w:gridCol w:w="9629"/>
      </w:tblGrid>
      <w:tr w:rsidR="000E527B" w:rsidRPr="001E1B8B" w14:paraId="12FE1EBF" w14:textId="77777777" w:rsidTr="0054502F">
        <w:tc>
          <w:tcPr>
            <w:tcW w:w="9629" w:type="dxa"/>
          </w:tcPr>
          <w:p w14:paraId="100F8007" w14:textId="77777777" w:rsidR="000E527B" w:rsidRPr="001E1B8B" w:rsidRDefault="000E527B" w:rsidP="0090011B">
            <w:pPr>
              <w:keepNext/>
              <w:rPr>
                <w:b/>
              </w:rPr>
            </w:pPr>
            <w:r w:rsidRPr="001E1B8B">
              <w:rPr>
                <w:b/>
              </w:rPr>
              <w:t>REGIONAL INITIATIVES</w:t>
            </w:r>
          </w:p>
          <w:p w14:paraId="3DAF3F0C" w14:textId="77777777" w:rsidR="00070197" w:rsidRPr="001E1B8B" w:rsidRDefault="0015429F" w:rsidP="0090011B">
            <w:pPr>
              <w:keepNext/>
              <w:tabs>
                <w:tab w:val="clear" w:pos="794"/>
                <w:tab w:val="clear" w:pos="1191"/>
                <w:tab w:val="clear" w:pos="1588"/>
                <w:tab w:val="clear" w:pos="1985"/>
              </w:tabs>
              <w:rPr>
                <w:rFonts w:ascii="Calibri" w:eastAsia="Calibri" w:hAnsi="Calibri" w:cs="Calibri"/>
              </w:rPr>
            </w:pPr>
            <w:r w:rsidRPr="001E1B8B">
              <w:rPr>
                <w:rFonts w:ascii="Calibri" w:eastAsia="Calibri" w:hAnsi="Calibri" w:cs="Calibri"/>
              </w:rPr>
              <w:t>Asia-Pacific</w:t>
            </w:r>
            <w:r w:rsidR="00070197" w:rsidRPr="001E1B8B">
              <w:rPr>
                <w:rFonts w:ascii="Calibri" w:eastAsia="Calibri" w:hAnsi="Calibri" w:cs="Calibri"/>
              </w:rPr>
              <w:t xml:space="preserve">: </w:t>
            </w:r>
            <w:r w:rsidR="00070197" w:rsidRPr="001E1B8B">
              <w:rPr>
                <w:rFonts w:ascii="Calibri" w:eastAsia="Calibri" w:hAnsi="Calibri" w:cs="Calibri"/>
                <w:u w:val="single"/>
              </w:rPr>
              <w:t>Harnessing information and communication technologies to support the digital economy and an inclusive digital society</w:t>
            </w:r>
          </w:p>
          <w:p w14:paraId="0712732C" w14:textId="1F36C6BA" w:rsidR="00070197" w:rsidRPr="001E1B8B" w:rsidRDefault="00070197" w:rsidP="001B7935">
            <w:pPr>
              <w:tabs>
                <w:tab w:val="clear" w:pos="794"/>
                <w:tab w:val="clear" w:pos="1191"/>
                <w:tab w:val="clear" w:pos="1588"/>
                <w:tab w:val="clear" w:pos="1985"/>
              </w:tabs>
              <w:overflowPunct/>
              <w:textAlignment w:val="auto"/>
              <w:rPr>
                <w:rFonts w:ascii="Calibri" w:eastAsia="Calibri" w:hAnsi="Calibri" w:cs="Calibri"/>
              </w:rPr>
            </w:pPr>
            <w:r w:rsidRPr="001E1B8B">
              <w:rPr>
                <w:rFonts w:ascii="Calibri" w:eastAsia="Calibri" w:hAnsi="Calibri" w:cs="Calibri"/>
              </w:rPr>
              <w:t xml:space="preserve">More than 80 </w:t>
            </w:r>
            <w:r w:rsidR="0015429F" w:rsidRPr="001E1B8B">
              <w:rPr>
                <w:rFonts w:ascii="Calibri" w:eastAsia="Calibri" w:hAnsi="Calibri" w:cs="Calibri"/>
              </w:rPr>
              <w:t>event</w:t>
            </w:r>
            <w:r w:rsidR="00FE7C0F" w:rsidRPr="001E1B8B">
              <w:rPr>
                <w:rFonts w:ascii="Calibri" w:eastAsia="Calibri" w:hAnsi="Calibri" w:cs="Calibri"/>
              </w:rPr>
              <w:t>s</w:t>
            </w:r>
            <w:r w:rsidRPr="001E1B8B">
              <w:rPr>
                <w:rFonts w:ascii="Calibri" w:eastAsia="Calibri" w:hAnsi="Calibri" w:cs="Calibri"/>
              </w:rPr>
              <w:t xml:space="preserve"> were held in the region</w:t>
            </w:r>
            <w:r w:rsidR="00B10AA5" w:rsidRPr="001E1B8B">
              <w:rPr>
                <w:rFonts w:ascii="Calibri" w:eastAsia="Calibri" w:hAnsi="Calibri" w:cs="Calibri"/>
              </w:rPr>
              <w:t xml:space="preserve"> to celebrate Girls in ICT Day</w:t>
            </w:r>
            <w:r w:rsidRPr="001E1B8B">
              <w:rPr>
                <w:rFonts w:ascii="Calibri" w:eastAsia="Calibri" w:hAnsi="Calibri" w:cs="Calibri"/>
              </w:rPr>
              <w:t xml:space="preserve">. </w:t>
            </w:r>
            <w:r w:rsidR="0015429F" w:rsidRPr="001E1B8B">
              <w:rPr>
                <w:rFonts w:ascii="Calibri" w:eastAsia="Calibri" w:hAnsi="Calibri" w:cs="Calibri"/>
              </w:rPr>
              <w:t xml:space="preserve">In </w:t>
            </w:r>
            <w:r w:rsidRPr="001E1B8B">
              <w:rPr>
                <w:rFonts w:ascii="Calibri" w:eastAsia="Calibri" w:hAnsi="Calibri" w:cs="Calibri"/>
              </w:rPr>
              <w:t xml:space="preserve">Thailand, </w:t>
            </w:r>
            <w:r w:rsidR="0015429F" w:rsidRPr="001E1B8B">
              <w:rPr>
                <w:rFonts w:ascii="Calibri" w:eastAsia="Calibri" w:hAnsi="Calibri" w:cs="Calibri"/>
              </w:rPr>
              <w:t xml:space="preserve">for example, </w:t>
            </w:r>
            <w:r w:rsidRPr="001E1B8B">
              <w:rPr>
                <w:rFonts w:ascii="Calibri" w:eastAsia="Calibri" w:hAnsi="Calibri" w:cs="Calibri"/>
              </w:rPr>
              <w:t>girls and young women were trained on Agritech in partnership with government, UN Agencies, Academia</w:t>
            </w:r>
            <w:r w:rsidR="00073475" w:rsidRPr="001E1B8B">
              <w:rPr>
                <w:rFonts w:ascii="Calibri" w:eastAsia="Calibri" w:hAnsi="Calibri" w:cs="Calibri"/>
              </w:rPr>
              <w:t>,</w:t>
            </w:r>
            <w:r w:rsidRPr="001E1B8B">
              <w:rPr>
                <w:rFonts w:ascii="Calibri" w:eastAsia="Calibri" w:hAnsi="Calibri" w:cs="Calibri"/>
              </w:rPr>
              <w:t xml:space="preserve"> and industry. This was part of an ongoing program</w:t>
            </w:r>
            <w:r w:rsidR="00116300" w:rsidRPr="001E1B8B">
              <w:rPr>
                <w:rFonts w:ascii="Calibri" w:eastAsia="Calibri" w:hAnsi="Calibri" w:cs="Calibri"/>
              </w:rPr>
              <w:t>me</w:t>
            </w:r>
            <w:r w:rsidRPr="001E1B8B">
              <w:rPr>
                <w:rFonts w:ascii="Calibri" w:eastAsia="Calibri" w:hAnsi="Calibri" w:cs="Calibri"/>
              </w:rPr>
              <w:t xml:space="preserve"> launched in 2017 to enhance employment opportunities for girls and young women in Thailand.</w:t>
            </w:r>
          </w:p>
          <w:p w14:paraId="69D92138" w14:textId="1D74F8D1" w:rsidR="009C6923" w:rsidRPr="001E1B8B" w:rsidRDefault="0015429F" w:rsidP="00092D14">
            <w:pPr>
              <w:keepNext/>
              <w:rPr>
                <w:rFonts w:ascii="Calibri" w:eastAsia="Calibri" w:hAnsi="Calibri" w:cs="Calibri"/>
              </w:rPr>
            </w:pPr>
            <w:r w:rsidRPr="001E1B8B">
              <w:rPr>
                <w:rFonts w:ascii="Calibri" w:eastAsia="Calibri" w:hAnsi="Calibri" w:cs="Calibri"/>
              </w:rPr>
              <w:t>Americas:</w:t>
            </w:r>
            <w:r w:rsidR="009C6923" w:rsidRPr="001E1B8B">
              <w:rPr>
                <w:rFonts w:ascii="Calibri" w:eastAsia="Calibri" w:hAnsi="Calibri" w:cs="Calibri"/>
              </w:rPr>
              <w:t xml:space="preserve"> </w:t>
            </w:r>
            <w:r w:rsidR="00116300" w:rsidRPr="001E1B8B">
              <w:rPr>
                <w:rFonts w:ascii="Calibri" w:eastAsia="Calibri" w:hAnsi="Calibri" w:cs="Calibri"/>
                <w:u w:val="single"/>
              </w:rPr>
              <w:t>A</w:t>
            </w:r>
            <w:r w:rsidR="009C6923" w:rsidRPr="001E1B8B">
              <w:rPr>
                <w:rFonts w:ascii="Calibri" w:eastAsia="Calibri" w:hAnsi="Calibri" w:cs="Calibri"/>
                <w:u w:val="single"/>
              </w:rPr>
              <w:t xml:space="preserve">ccessibility and affordability for an inclusive </w:t>
            </w:r>
            <w:r w:rsidRPr="001E1B8B">
              <w:rPr>
                <w:rFonts w:ascii="Calibri" w:eastAsia="Calibri" w:hAnsi="Calibri" w:cs="Calibri"/>
                <w:u w:val="single"/>
              </w:rPr>
              <w:t>and sustainable Americas region</w:t>
            </w:r>
          </w:p>
          <w:p w14:paraId="799FF2CA" w14:textId="50298C3D" w:rsidR="00073475" w:rsidRPr="001E1B8B" w:rsidRDefault="009C6923" w:rsidP="00392BF3">
            <w:r w:rsidRPr="001E1B8B">
              <w:rPr>
                <w:rFonts w:cstheme="minorHAnsi"/>
                <w:szCs w:val="24"/>
              </w:rPr>
              <w:t xml:space="preserve">ITU </w:t>
            </w:r>
            <w:r w:rsidR="00362C28" w:rsidRPr="001E1B8B">
              <w:rPr>
                <w:rFonts w:cstheme="minorHAnsi"/>
                <w:szCs w:val="24"/>
              </w:rPr>
              <w:t xml:space="preserve">delivered </w:t>
            </w:r>
            <w:r w:rsidRPr="001E1B8B">
              <w:rPr>
                <w:rFonts w:cstheme="minorHAnsi"/>
                <w:szCs w:val="24"/>
              </w:rPr>
              <w:t xml:space="preserve">equipment </w:t>
            </w:r>
            <w:r w:rsidR="0015429F" w:rsidRPr="001E1B8B">
              <w:rPr>
                <w:rFonts w:cstheme="minorHAnsi"/>
                <w:szCs w:val="24"/>
              </w:rPr>
              <w:t>to</w:t>
            </w:r>
            <w:r w:rsidRPr="001E1B8B">
              <w:rPr>
                <w:rFonts w:cstheme="minorHAnsi"/>
                <w:szCs w:val="24"/>
              </w:rPr>
              <w:t xml:space="preserve"> </w:t>
            </w:r>
            <w:r w:rsidR="00116300" w:rsidRPr="001E1B8B">
              <w:rPr>
                <w:rFonts w:cstheme="minorHAnsi"/>
                <w:szCs w:val="24"/>
              </w:rPr>
              <w:t xml:space="preserve">assist </w:t>
            </w:r>
            <w:r w:rsidRPr="001E1B8B">
              <w:rPr>
                <w:rFonts w:cstheme="minorHAnsi"/>
                <w:szCs w:val="24"/>
              </w:rPr>
              <w:t xml:space="preserve">visually impaired persons </w:t>
            </w:r>
            <w:r w:rsidR="00362C28" w:rsidRPr="001E1B8B">
              <w:rPr>
                <w:rFonts w:cstheme="minorHAnsi"/>
                <w:szCs w:val="24"/>
              </w:rPr>
              <w:t xml:space="preserve">in </w:t>
            </w:r>
            <w:r w:rsidRPr="001E1B8B">
              <w:rPr>
                <w:rFonts w:cstheme="minorHAnsi"/>
                <w:szCs w:val="24"/>
              </w:rPr>
              <w:t xml:space="preserve">Dominica </w:t>
            </w:r>
            <w:r w:rsidR="00116300" w:rsidRPr="001E1B8B">
              <w:rPr>
                <w:rFonts w:cstheme="minorHAnsi"/>
                <w:szCs w:val="24"/>
              </w:rPr>
              <w:t>through the</w:t>
            </w:r>
            <w:r w:rsidRPr="001E1B8B">
              <w:rPr>
                <w:rFonts w:cstheme="minorHAnsi"/>
                <w:szCs w:val="24"/>
              </w:rPr>
              <w:t xml:space="preserve"> </w:t>
            </w:r>
            <w:r w:rsidR="00116300" w:rsidRPr="001E1B8B">
              <w:rPr>
                <w:rFonts w:cstheme="minorHAnsi"/>
                <w:szCs w:val="24"/>
              </w:rPr>
              <w:t xml:space="preserve">Dominica </w:t>
            </w:r>
            <w:r w:rsidR="00362C28" w:rsidRPr="001E1B8B">
              <w:rPr>
                <w:rFonts w:cstheme="minorHAnsi"/>
                <w:szCs w:val="24"/>
              </w:rPr>
              <w:t>U</w:t>
            </w:r>
            <w:r w:rsidRPr="001E1B8B">
              <w:rPr>
                <w:rFonts w:cstheme="minorHAnsi"/>
                <w:szCs w:val="24"/>
              </w:rPr>
              <w:t xml:space="preserve">niversal </w:t>
            </w:r>
            <w:r w:rsidR="00362C28" w:rsidRPr="001E1B8B">
              <w:rPr>
                <w:rFonts w:cstheme="minorHAnsi"/>
                <w:szCs w:val="24"/>
              </w:rPr>
              <w:t>A</w:t>
            </w:r>
            <w:r w:rsidRPr="001E1B8B">
              <w:rPr>
                <w:rFonts w:cstheme="minorHAnsi"/>
                <w:szCs w:val="24"/>
              </w:rPr>
              <w:t xml:space="preserve">ccess </w:t>
            </w:r>
            <w:r w:rsidR="00362C28" w:rsidRPr="001E1B8B">
              <w:rPr>
                <w:rFonts w:cstheme="minorHAnsi"/>
                <w:szCs w:val="24"/>
              </w:rPr>
              <w:t>P</w:t>
            </w:r>
            <w:r w:rsidRPr="001E1B8B">
              <w:rPr>
                <w:rFonts w:cstheme="minorHAnsi"/>
                <w:szCs w:val="24"/>
              </w:rPr>
              <w:t xml:space="preserve">olicy for </w:t>
            </w:r>
            <w:r w:rsidR="00FE7C0F" w:rsidRPr="001E1B8B">
              <w:rPr>
                <w:rFonts w:cstheme="minorHAnsi"/>
                <w:szCs w:val="24"/>
              </w:rPr>
              <w:t>p</w:t>
            </w:r>
            <w:r w:rsidRPr="001E1B8B">
              <w:rPr>
                <w:rFonts w:cstheme="minorHAnsi"/>
                <w:szCs w:val="24"/>
              </w:rPr>
              <w:t xml:space="preserve">ersons with </w:t>
            </w:r>
            <w:r w:rsidR="00FE7C0F" w:rsidRPr="001E1B8B">
              <w:rPr>
                <w:rFonts w:cstheme="minorHAnsi"/>
                <w:szCs w:val="24"/>
              </w:rPr>
              <w:t>d</w:t>
            </w:r>
            <w:r w:rsidRPr="001E1B8B">
              <w:rPr>
                <w:rFonts w:cstheme="minorHAnsi"/>
                <w:szCs w:val="24"/>
              </w:rPr>
              <w:t>isabilities</w:t>
            </w:r>
            <w:r w:rsidR="00362C28" w:rsidRPr="001E1B8B">
              <w:rPr>
                <w:rFonts w:cstheme="minorHAnsi"/>
                <w:szCs w:val="24"/>
              </w:rPr>
              <w:t>. Equipment include</w:t>
            </w:r>
            <w:r w:rsidR="003C2E74" w:rsidRPr="001E1B8B">
              <w:rPr>
                <w:rFonts w:cstheme="minorHAnsi"/>
                <w:szCs w:val="24"/>
              </w:rPr>
              <w:t>d:</w:t>
            </w:r>
            <w:r w:rsidR="00362C28" w:rsidRPr="001E1B8B">
              <w:rPr>
                <w:rFonts w:cstheme="minorHAnsi"/>
                <w:szCs w:val="24"/>
              </w:rPr>
              <w:t xml:space="preserve"> Apple iPad Air Tablet, HumanW</w:t>
            </w:r>
            <w:r w:rsidR="003C2E74" w:rsidRPr="001E1B8B">
              <w:rPr>
                <w:rFonts w:cstheme="minorHAnsi"/>
                <w:szCs w:val="24"/>
              </w:rPr>
              <w:t>a</w:t>
            </w:r>
            <w:r w:rsidR="00362C28" w:rsidRPr="001E1B8B">
              <w:rPr>
                <w:rFonts w:cstheme="minorHAnsi"/>
                <w:szCs w:val="24"/>
              </w:rPr>
              <w:t xml:space="preserve">re </w:t>
            </w:r>
            <w:r w:rsidR="003C2E74" w:rsidRPr="001E1B8B">
              <w:rPr>
                <w:rFonts w:cstheme="minorHAnsi"/>
                <w:szCs w:val="24"/>
              </w:rPr>
              <w:t>Victor Reader Stream (New Generation),</w:t>
            </w:r>
            <w:r w:rsidR="00362C28" w:rsidRPr="001E1B8B">
              <w:rPr>
                <w:rFonts w:cstheme="minorHAnsi"/>
                <w:szCs w:val="24"/>
              </w:rPr>
              <w:t xml:space="preserve"> and custom-built HP EliteOne 800 G5 </w:t>
            </w:r>
            <w:r w:rsidR="003C2E74" w:rsidRPr="001E1B8B">
              <w:rPr>
                <w:rFonts w:cstheme="minorHAnsi"/>
                <w:szCs w:val="24"/>
              </w:rPr>
              <w:t>All-in-One</w:t>
            </w:r>
            <w:r w:rsidR="00362C28" w:rsidRPr="001E1B8B">
              <w:rPr>
                <w:rFonts w:cstheme="minorHAnsi"/>
                <w:szCs w:val="24"/>
              </w:rPr>
              <w:t xml:space="preserve"> </w:t>
            </w:r>
            <w:r w:rsidR="003C2E74" w:rsidRPr="001E1B8B">
              <w:rPr>
                <w:rFonts w:cstheme="minorHAnsi"/>
                <w:szCs w:val="24"/>
              </w:rPr>
              <w:t>d</w:t>
            </w:r>
            <w:r w:rsidR="00362C28" w:rsidRPr="001E1B8B">
              <w:rPr>
                <w:rFonts w:cstheme="minorHAnsi"/>
                <w:szCs w:val="24"/>
              </w:rPr>
              <w:t>esktops.</w:t>
            </w:r>
            <w:r w:rsidR="00073475" w:rsidRPr="001E1B8B">
              <w:rPr>
                <w:rFonts w:cstheme="minorHAnsi"/>
                <w:szCs w:val="24"/>
              </w:rPr>
              <w:t xml:space="preserve"> </w:t>
            </w:r>
            <w:r w:rsidRPr="001E1B8B">
              <w:rPr>
                <w:rFonts w:cstheme="minorHAnsi"/>
                <w:szCs w:val="24"/>
              </w:rPr>
              <w:t>The</w:t>
            </w:r>
            <w:r w:rsidRPr="001E1B8B">
              <w:rPr>
                <w:rFonts w:cstheme="minorHAnsi"/>
              </w:rPr>
              <w:t xml:space="preserve"> collaborative assistance empower</w:t>
            </w:r>
            <w:r w:rsidR="00116300" w:rsidRPr="001E1B8B">
              <w:rPr>
                <w:rFonts w:cstheme="minorHAnsi"/>
              </w:rPr>
              <w:t>s</w:t>
            </w:r>
            <w:r w:rsidRPr="001E1B8B">
              <w:rPr>
                <w:rFonts w:cstheme="minorHAnsi"/>
              </w:rPr>
              <w:t xml:space="preserve"> persons with disabilities and provide</w:t>
            </w:r>
            <w:r w:rsidR="00116300" w:rsidRPr="001E1B8B">
              <w:rPr>
                <w:rFonts w:cstheme="minorHAnsi"/>
              </w:rPr>
              <w:t>s</w:t>
            </w:r>
            <w:r w:rsidRPr="001E1B8B">
              <w:rPr>
                <w:rFonts w:cstheme="minorHAnsi"/>
              </w:rPr>
              <w:t xml:space="preserve"> </w:t>
            </w:r>
            <w:r w:rsidR="00116300" w:rsidRPr="001E1B8B">
              <w:rPr>
                <w:rFonts w:cstheme="minorHAnsi"/>
              </w:rPr>
              <w:t>a means of increased</w:t>
            </w:r>
            <w:r w:rsidRPr="001E1B8B">
              <w:rPr>
                <w:rFonts w:cstheme="minorHAnsi"/>
              </w:rPr>
              <w:t xml:space="preserve"> inclusiveness and equality</w:t>
            </w:r>
            <w:r w:rsidR="00116300" w:rsidRPr="001E1B8B">
              <w:rPr>
                <w:rFonts w:cstheme="minorHAnsi"/>
              </w:rPr>
              <w:t>.</w:t>
            </w:r>
            <w:r w:rsidR="00073475" w:rsidRPr="001E1B8B">
              <w:rPr>
                <w:rFonts w:cstheme="minorHAnsi"/>
              </w:rPr>
              <w:t xml:space="preserve"> </w:t>
            </w:r>
          </w:p>
          <w:p w14:paraId="241EA5FC" w14:textId="64F5F113" w:rsidR="00070197" w:rsidRPr="001E1B8B" w:rsidRDefault="00392BF3" w:rsidP="00092D14">
            <w:pPr>
              <w:keepNext/>
              <w:rPr>
                <w:rFonts w:cstheme="minorHAnsi"/>
                <w:u w:val="single"/>
              </w:rPr>
            </w:pPr>
            <w:r w:rsidRPr="001E1B8B">
              <w:rPr>
                <w:rFonts w:cstheme="minorHAnsi"/>
                <w:bCs/>
              </w:rPr>
              <w:t>Europe</w:t>
            </w:r>
            <w:r w:rsidRPr="001E1B8B">
              <w:rPr>
                <w:rFonts w:cstheme="minorHAnsi"/>
              </w:rPr>
              <w:t xml:space="preserve">: </w:t>
            </w:r>
            <w:r w:rsidRPr="001E1B8B">
              <w:rPr>
                <w:rFonts w:cstheme="minorHAnsi"/>
                <w:u w:val="single"/>
              </w:rPr>
              <w:t>Accessibility, affordability</w:t>
            </w:r>
            <w:r w:rsidR="003C2E74" w:rsidRPr="001E1B8B">
              <w:rPr>
                <w:rFonts w:cstheme="minorHAnsi"/>
                <w:u w:val="single"/>
              </w:rPr>
              <w:t>,</w:t>
            </w:r>
            <w:r w:rsidRPr="001E1B8B">
              <w:rPr>
                <w:rFonts w:cstheme="minorHAnsi"/>
                <w:u w:val="single"/>
              </w:rPr>
              <w:t xml:space="preserve"> and skills development for all to ensure digital inclusion and sustainable development</w:t>
            </w:r>
          </w:p>
          <w:p w14:paraId="147F96BB" w14:textId="6119CC0E" w:rsidR="00392BF3" w:rsidRPr="001E1B8B" w:rsidRDefault="00362C28" w:rsidP="00E528E2">
            <w:pPr>
              <w:rPr>
                <w:rFonts w:cstheme="minorHAnsi"/>
              </w:rPr>
            </w:pPr>
            <w:r w:rsidRPr="001E1B8B">
              <w:rPr>
                <w:rFonts w:cstheme="minorHAnsi"/>
              </w:rPr>
              <w:t>A s</w:t>
            </w:r>
            <w:r w:rsidR="00392BF3" w:rsidRPr="001E1B8B">
              <w:rPr>
                <w:rFonts w:cstheme="minorHAnsi"/>
              </w:rPr>
              <w:t xml:space="preserve">elf-paced </w:t>
            </w:r>
            <w:r w:rsidR="00116300" w:rsidRPr="001E1B8B">
              <w:rPr>
                <w:rFonts w:cstheme="minorHAnsi"/>
              </w:rPr>
              <w:t>o</w:t>
            </w:r>
            <w:r w:rsidR="00392BF3" w:rsidRPr="001E1B8B">
              <w:rPr>
                <w:rFonts w:cstheme="minorHAnsi"/>
              </w:rPr>
              <w:t xml:space="preserve">nline </w:t>
            </w:r>
            <w:r w:rsidR="00116300" w:rsidRPr="001E1B8B">
              <w:rPr>
                <w:rFonts w:cstheme="minorHAnsi"/>
              </w:rPr>
              <w:t>t</w:t>
            </w:r>
            <w:r w:rsidR="00392BF3" w:rsidRPr="001E1B8B">
              <w:rPr>
                <w:rFonts w:cstheme="minorHAnsi"/>
              </w:rPr>
              <w:t xml:space="preserve">raining on ICT </w:t>
            </w:r>
            <w:r w:rsidR="00116300" w:rsidRPr="001E1B8B">
              <w:rPr>
                <w:rFonts w:cstheme="minorHAnsi"/>
              </w:rPr>
              <w:t>a</w:t>
            </w:r>
            <w:r w:rsidR="00392BF3" w:rsidRPr="001E1B8B">
              <w:rPr>
                <w:rFonts w:cstheme="minorHAnsi"/>
              </w:rPr>
              <w:t xml:space="preserve">ccessibility was promoted across the region with </w:t>
            </w:r>
            <w:r w:rsidRPr="001E1B8B">
              <w:rPr>
                <w:rFonts w:cstheme="minorHAnsi"/>
              </w:rPr>
              <w:t xml:space="preserve">the engagement of </w:t>
            </w:r>
            <w:r w:rsidR="00392BF3" w:rsidRPr="001E1B8B">
              <w:rPr>
                <w:rFonts w:cstheme="minorHAnsi"/>
              </w:rPr>
              <w:t>over 200 stakeholders</w:t>
            </w:r>
            <w:r w:rsidRPr="001E1B8B">
              <w:rPr>
                <w:rFonts w:cstheme="minorHAnsi"/>
              </w:rPr>
              <w:t>.</w:t>
            </w:r>
          </w:p>
          <w:p w14:paraId="69812D16" w14:textId="284AFCEB" w:rsidR="00392BF3" w:rsidRPr="001E1B8B" w:rsidRDefault="00362C28" w:rsidP="00836AC4">
            <w:pPr>
              <w:pStyle w:val="ListParagraph"/>
              <w:numPr>
                <w:ilvl w:val="0"/>
                <w:numId w:val="24"/>
              </w:numPr>
              <w:overflowPunct/>
              <w:autoSpaceDE/>
              <w:autoSpaceDN/>
              <w:adjustRightInd/>
              <w:spacing w:line="252" w:lineRule="auto"/>
              <w:ind w:left="357" w:hanging="357"/>
              <w:textAlignment w:val="auto"/>
            </w:pPr>
            <w:r w:rsidRPr="001E1B8B">
              <w:t>A r</w:t>
            </w:r>
            <w:r w:rsidR="00392BF3" w:rsidRPr="001E1B8B">
              <w:t xml:space="preserve">egional competition on </w:t>
            </w:r>
            <w:hyperlink r:id="rId28" w:history="1">
              <w:r w:rsidR="00392BF3" w:rsidRPr="001E1B8B">
                <w:rPr>
                  <w:rStyle w:val="Hyperlink"/>
                </w:rPr>
                <w:t>Digital Innovative Solutions for Accessible Europe</w:t>
              </w:r>
            </w:hyperlink>
            <w:r w:rsidR="00392BF3" w:rsidRPr="001E1B8B">
              <w:t xml:space="preserve"> was organized </w:t>
            </w:r>
            <w:r w:rsidRPr="001E1B8B">
              <w:t xml:space="preserve">and involved </w:t>
            </w:r>
            <w:r w:rsidR="00392BF3" w:rsidRPr="001E1B8B">
              <w:t>over 80 start</w:t>
            </w:r>
            <w:r w:rsidR="00061C93" w:rsidRPr="001E1B8B">
              <w:t>-</w:t>
            </w:r>
            <w:r w:rsidR="00392BF3" w:rsidRPr="001E1B8B">
              <w:t>ups</w:t>
            </w:r>
            <w:r w:rsidRPr="001E1B8B">
              <w:t>.</w:t>
            </w:r>
          </w:p>
          <w:p w14:paraId="1BAB868D" w14:textId="36198B69" w:rsidR="00392BF3" w:rsidRPr="00836AC4" w:rsidRDefault="00362C28" w:rsidP="00836AC4">
            <w:pPr>
              <w:pStyle w:val="ListParagraph"/>
              <w:numPr>
                <w:ilvl w:val="0"/>
                <w:numId w:val="24"/>
              </w:numPr>
              <w:overflowPunct/>
              <w:autoSpaceDE/>
              <w:autoSpaceDN/>
              <w:adjustRightInd/>
              <w:spacing w:line="252" w:lineRule="auto"/>
              <w:ind w:left="357" w:hanging="357"/>
              <w:textAlignment w:val="auto"/>
              <w:rPr>
                <w:szCs w:val="24"/>
              </w:rPr>
            </w:pPr>
            <w:r w:rsidRPr="00836AC4">
              <w:rPr>
                <w:szCs w:val="24"/>
              </w:rPr>
              <w:t>P</w:t>
            </w:r>
            <w:r w:rsidR="00392BF3" w:rsidRPr="00836AC4">
              <w:rPr>
                <w:szCs w:val="24"/>
              </w:rPr>
              <w:t xml:space="preserve">apers on ICT accessibility were </w:t>
            </w:r>
            <w:r w:rsidRPr="00836AC4">
              <w:rPr>
                <w:szCs w:val="24"/>
              </w:rPr>
              <w:t>presented to advance the</w:t>
            </w:r>
            <w:r w:rsidR="00392BF3" w:rsidRPr="00836AC4">
              <w:rPr>
                <w:szCs w:val="24"/>
              </w:rPr>
              <w:t xml:space="preserve"> implementation </w:t>
            </w:r>
            <w:r w:rsidRPr="00836AC4">
              <w:rPr>
                <w:szCs w:val="24"/>
              </w:rPr>
              <w:t xml:space="preserve">of the </w:t>
            </w:r>
            <w:r w:rsidR="00392BF3" w:rsidRPr="00836AC4">
              <w:rPr>
                <w:szCs w:val="24"/>
              </w:rPr>
              <w:t xml:space="preserve">work in field of </w:t>
            </w:r>
            <w:r w:rsidR="00061C93" w:rsidRPr="00836AC4">
              <w:rPr>
                <w:szCs w:val="24"/>
              </w:rPr>
              <w:t>a</w:t>
            </w:r>
            <w:r w:rsidR="00392BF3" w:rsidRPr="00836AC4">
              <w:rPr>
                <w:szCs w:val="24"/>
              </w:rPr>
              <w:t xml:space="preserve">rtificial </w:t>
            </w:r>
            <w:r w:rsidR="00061C93" w:rsidRPr="00836AC4">
              <w:rPr>
                <w:szCs w:val="24"/>
              </w:rPr>
              <w:t>i</w:t>
            </w:r>
            <w:r w:rsidR="00392BF3" w:rsidRPr="00836AC4">
              <w:rPr>
                <w:szCs w:val="24"/>
              </w:rPr>
              <w:t xml:space="preserve">ntelligence, </w:t>
            </w:r>
            <w:r w:rsidR="00061C93" w:rsidRPr="00836AC4">
              <w:rPr>
                <w:szCs w:val="24"/>
              </w:rPr>
              <w:t>b</w:t>
            </w:r>
            <w:r w:rsidR="00392BF3" w:rsidRPr="00836AC4">
              <w:rPr>
                <w:szCs w:val="24"/>
              </w:rPr>
              <w:t xml:space="preserve">roadcasting, </w:t>
            </w:r>
            <w:r w:rsidR="00061C93" w:rsidRPr="00836AC4">
              <w:rPr>
                <w:szCs w:val="24"/>
              </w:rPr>
              <w:t>s</w:t>
            </w:r>
            <w:r w:rsidR="00392BF3" w:rsidRPr="00836AC4">
              <w:rPr>
                <w:szCs w:val="24"/>
              </w:rPr>
              <w:t xml:space="preserve">tandards and </w:t>
            </w:r>
            <w:r w:rsidR="00061C93" w:rsidRPr="00836AC4">
              <w:rPr>
                <w:szCs w:val="24"/>
              </w:rPr>
              <w:t>p</w:t>
            </w:r>
            <w:r w:rsidR="00392BF3" w:rsidRPr="00836AC4">
              <w:rPr>
                <w:szCs w:val="24"/>
              </w:rPr>
              <w:t>rocurement</w:t>
            </w:r>
            <w:r w:rsidR="00061C93" w:rsidRPr="00836AC4">
              <w:rPr>
                <w:szCs w:val="24"/>
              </w:rPr>
              <w:t>.</w:t>
            </w:r>
          </w:p>
          <w:p w14:paraId="1E5595BC" w14:textId="0D0617FC" w:rsidR="00392BF3" w:rsidRPr="00836AC4" w:rsidRDefault="00362C28" w:rsidP="00836AC4">
            <w:pPr>
              <w:pStyle w:val="ListParagraph"/>
              <w:numPr>
                <w:ilvl w:val="0"/>
                <w:numId w:val="24"/>
              </w:numPr>
              <w:overflowPunct/>
              <w:autoSpaceDE/>
              <w:autoSpaceDN/>
              <w:adjustRightInd/>
              <w:spacing w:line="252" w:lineRule="auto"/>
              <w:ind w:left="357" w:hanging="357"/>
              <w:textAlignment w:val="auto"/>
              <w:rPr>
                <w:szCs w:val="24"/>
              </w:rPr>
            </w:pPr>
            <w:r w:rsidRPr="00836AC4">
              <w:rPr>
                <w:szCs w:val="24"/>
              </w:rPr>
              <w:t>The</w:t>
            </w:r>
            <w:r w:rsidR="00392BF3" w:rsidRPr="00836AC4">
              <w:rPr>
                <w:szCs w:val="24"/>
              </w:rPr>
              <w:t xml:space="preserve"> GARI database </w:t>
            </w:r>
            <w:r w:rsidRPr="00836AC4">
              <w:rPr>
                <w:szCs w:val="24"/>
              </w:rPr>
              <w:t xml:space="preserve">was promoted </w:t>
            </w:r>
            <w:r w:rsidR="00392BF3" w:rsidRPr="00836AC4">
              <w:rPr>
                <w:szCs w:val="24"/>
              </w:rPr>
              <w:t>across Europe to enhance knowledge on accessibility features of mobile devices</w:t>
            </w:r>
            <w:r w:rsidR="00061C93" w:rsidRPr="00836AC4">
              <w:rPr>
                <w:szCs w:val="24"/>
              </w:rPr>
              <w:t>.</w:t>
            </w:r>
            <w:r w:rsidR="00392BF3" w:rsidRPr="00836AC4">
              <w:rPr>
                <w:szCs w:val="24"/>
              </w:rPr>
              <w:t xml:space="preserve"> </w:t>
            </w:r>
          </w:p>
          <w:p w14:paraId="38AAFECF" w14:textId="1D717978" w:rsidR="00392BF3" w:rsidRPr="001E1B8B" w:rsidRDefault="00362C28" w:rsidP="0090011B">
            <w:pPr>
              <w:pStyle w:val="ListParagraph"/>
              <w:numPr>
                <w:ilvl w:val="0"/>
                <w:numId w:val="24"/>
              </w:numPr>
              <w:overflowPunct/>
              <w:autoSpaceDE/>
              <w:autoSpaceDN/>
              <w:adjustRightInd/>
              <w:spacing w:after="120" w:line="252" w:lineRule="auto"/>
              <w:ind w:left="357" w:hanging="357"/>
              <w:textAlignment w:val="auto"/>
              <w:rPr>
                <w:rFonts w:cstheme="minorBidi"/>
                <w:color w:val="444444"/>
              </w:rPr>
            </w:pPr>
            <w:r w:rsidRPr="00836AC4">
              <w:rPr>
                <w:szCs w:val="24"/>
              </w:rPr>
              <w:t>A r</w:t>
            </w:r>
            <w:r w:rsidR="00392BF3" w:rsidRPr="00836AC4">
              <w:rPr>
                <w:szCs w:val="24"/>
              </w:rPr>
              <w:t xml:space="preserve">egional </w:t>
            </w:r>
            <w:r w:rsidRPr="00836AC4">
              <w:rPr>
                <w:szCs w:val="24"/>
              </w:rPr>
              <w:t>s</w:t>
            </w:r>
            <w:r w:rsidR="00392BF3" w:rsidRPr="00836AC4">
              <w:rPr>
                <w:szCs w:val="24"/>
              </w:rPr>
              <w:t xml:space="preserve">tudy on ICT Empowered Generation Equality was </w:t>
            </w:r>
            <w:r w:rsidRPr="00836AC4">
              <w:rPr>
                <w:szCs w:val="24"/>
              </w:rPr>
              <w:t xml:space="preserve">drafted </w:t>
            </w:r>
            <w:r w:rsidR="00392BF3" w:rsidRPr="00836AC4">
              <w:rPr>
                <w:szCs w:val="24"/>
              </w:rPr>
              <w:t xml:space="preserve">for review and </w:t>
            </w:r>
            <w:r w:rsidRPr="00836AC4">
              <w:rPr>
                <w:szCs w:val="24"/>
              </w:rPr>
              <w:t xml:space="preserve">opened for </w:t>
            </w:r>
            <w:r w:rsidR="00392BF3" w:rsidRPr="00836AC4">
              <w:rPr>
                <w:szCs w:val="24"/>
              </w:rPr>
              <w:t>consultations with UN partners.</w:t>
            </w:r>
            <w:r w:rsidR="00392BF3" w:rsidRPr="001E1B8B">
              <w:t xml:space="preserve"> </w:t>
            </w:r>
          </w:p>
        </w:tc>
      </w:tr>
    </w:tbl>
    <w:p w14:paraId="2C4773C4" w14:textId="77777777" w:rsidR="000E527B" w:rsidRPr="001E1B8B" w:rsidRDefault="000E527B" w:rsidP="000E527B">
      <w:pPr>
        <w:shd w:val="clear" w:color="auto" w:fill="FFFFFF"/>
        <w:tabs>
          <w:tab w:val="clear" w:pos="794"/>
          <w:tab w:val="clear" w:pos="1191"/>
          <w:tab w:val="clear" w:pos="1588"/>
          <w:tab w:val="clear" w:pos="1985"/>
        </w:tabs>
        <w:overflowPunct/>
        <w:autoSpaceDE/>
        <w:autoSpaceDN/>
        <w:adjustRightInd/>
        <w:rPr>
          <w:rFonts w:cstheme="minorHAnsi"/>
          <w:szCs w:val="24"/>
        </w:rPr>
      </w:pPr>
    </w:p>
    <w:tbl>
      <w:tblPr>
        <w:tblStyle w:val="TableGrid2"/>
        <w:tblW w:w="0" w:type="auto"/>
        <w:tblLook w:val="04A0" w:firstRow="1" w:lastRow="0" w:firstColumn="1" w:lastColumn="0" w:noHBand="0" w:noVBand="1"/>
      </w:tblPr>
      <w:tblGrid>
        <w:gridCol w:w="9629"/>
      </w:tblGrid>
      <w:tr w:rsidR="000E527B" w:rsidRPr="001E1B8B" w14:paraId="671F18B2" w14:textId="77777777" w:rsidTr="0054502F">
        <w:tc>
          <w:tcPr>
            <w:tcW w:w="9629" w:type="dxa"/>
          </w:tcPr>
          <w:p w14:paraId="4C30E6DE" w14:textId="77777777" w:rsidR="000E527B" w:rsidRPr="001E1B8B" w:rsidRDefault="000E527B" w:rsidP="000E527B">
            <w:pPr>
              <w:keepNext/>
              <w:shd w:val="clear" w:color="auto" w:fill="FFFFFF" w:themeFill="background1"/>
              <w:tabs>
                <w:tab w:val="clear" w:pos="794"/>
                <w:tab w:val="clear" w:pos="1191"/>
                <w:tab w:val="clear" w:pos="1588"/>
                <w:tab w:val="clear" w:pos="1985"/>
              </w:tabs>
              <w:overflowPunct/>
              <w:autoSpaceDE/>
              <w:autoSpaceDN/>
              <w:adjustRightInd/>
              <w:rPr>
                <w:rFonts w:cstheme="minorBidi"/>
                <w:b/>
                <w:bCs/>
                <w:szCs w:val="24"/>
              </w:rPr>
            </w:pPr>
            <w:r w:rsidRPr="001E1B8B">
              <w:rPr>
                <w:rFonts w:cstheme="minorBidi"/>
                <w:b/>
                <w:bCs/>
                <w:szCs w:val="24"/>
              </w:rPr>
              <w:lastRenderedPageBreak/>
              <w:t>STUDY GROUPS</w:t>
            </w:r>
          </w:p>
          <w:p w14:paraId="0B15A320" w14:textId="0BC0600A" w:rsidR="000E527B" w:rsidRPr="001E1B8B" w:rsidRDefault="00A67E5F" w:rsidP="0090011B">
            <w:pPr>
              <w:shd w:val="clear" w:color="auto" w:fill="FFFFFF" w:themeFill="background1"/>
              <w:tabs>
                <w:tab w:val="clear" w:pos="794"/>
                <w:tab w:val="clear" w:pos="1191"/>
                <w:tab w:val="clear" w:pos="1588"/>
                <w:tab w:val="clear" w:pos="1985"/>
              </w:tabs>
              <w:overflowPunct/>
              <w:autoSpaceDE/>
              <w:autoSpaceDN/>
              <w:adjustRightInd/>
              <w:rPr>
                <w:rFonts w:cstheme="minorHAnsi"/>
              </w:rPr>
            </w:pPr>
            <w:r w:rsidRPr="001E1B8B">
              <w:rPr>
                <w:rFonts w:cstheme="minorHAnsi"/>
              </w:rPr>
              <w:t>Study group 1 on Question 7/1:</w:t>
            </w:r>
            <w:r w:rsidR="00454F31" w:rsidRPr="001E1B8B">
              <w:rPr>
                <w:rFonts w:cstheme="minorHAnsi"/>
              </w:rPr>
              <w:t xml:space="preserve"> </w:t>
            </w:r>
            <w:hyperlink r:id="rId29" w:history="1">
              <w:r w:rsidR="00454F31" w:rsidRPr="001E1B8B">
                <w:rPr>
                  <w:rStyle w:val="Hyperlink"/>
                  <w:rFonts w:cstheme="minorHAnsi"/>
                </w:rPr>
                <w:t xml:space="preserve"> </w:t>
              </w:r>
              <w:r w:rsidR="00454F31" w:rsidRPr="001E1B8B">
                <w:rPr>
                  <w:rStyle w:val="Hyperlink"/>
                  <w:rFonts w:cstheme="minorHAnsi"/>
                  <w:i/>
                  <w:iCs/>
                </w:rPr>
                <w:t>Access to telecommunication/ICT services by persons with disabilities and other persons with specific needs</w:t>
              </w:r>
            </w:hyperlink>
            <w:r w:rsidR="00454F31" w:rsidRPr="001E1B8B">
              <w:rPr>
                <w:rFonts w:cstheme="minorHAnsi"/>
              </w:rPr>
              <w:t xml:space="preserve"> defined and agreed </w:t>
            </w:r>
            <w:r w:rsidRPr="001E1B8B">
              <w:rPr>
                <w:rFonts w:cstheme="minorHAnsi"/>
              </w:rPr>
              <w:t>to</w:t>
            </w:r>
            <w:r w:rsidR="00454F31" w:rsidRPr="001E1B8B">
              <w:rPr>
                <w:rFonts w:cstheme="minorHAnsi"/>
              </w:rPr>
              <w:t xml:space="preserve"> </w:t>
            </w:r>
            <w:r w:rsidRPr="001E1B8B">
              <w:rPr>
                <w:rFonts w:cstheme="minorHAnsi"/>
              </w:rPr>
              <w:t>a</w:t>
            </w:r>
            <w:r w:rsidR="00454F31" w:rsidRPr="001E1B8B">
              <w:rPr>
                <w:rFonts w:cstheme="minorHAnsi"/>
              </w:rPr>
              <w:t xml:space="preserve"> work plan, which will further focus on the implementation of ITU policies and practices on ICT accessibility</w:t>
            </w:r>
            <w:r w:rsidRPr="001E1B8B">
              <w:rPr>
                <w:rFonts w:cstheme="minorHAnsi"/>
              </w:rPr>
              <w:t>,</w:t>
            </w:r>
            <w:r w:rsidR="00454F31" w:rsidRPr="001E1B8B">
              <w:rPr>
                <w:rFonts w:cstheme="minorHAnsi"/>
              </w:rPr>
              <w:t xml:space="preserve"> including</w:t>
            </w:r>
            <w:r w:rsidRPr="001E1B8B">
              <w:rPr>
                <w:rFonts w:cstheme="minorHAnsi"/>
              </w:rPr>
              <w:t xml:space="preserve"> </w:t>
            </w:r>
            <w:r w:rsidR="00454F31" w:rsidRPr="001E1B8B">
              <w:rPr>
                <w:rFonts w:cstheme="minorHAnsi"/>
              </w:rPr>
              <w:t xml:space="preserve">inclusive education and web accessibility. </w:t>
            </w:r>
          </w:p>
          <w:p w14:paraId="54128FAF" w14:textId="572CBB6E" w:rsidR="00495118" w:rsidRPr="001E1B8B" w:rsidRDefault="00495118" w:rsidP="0090011B">
            <w:pPr>
              <w:spacing w:after="120"/>
              <w:rPr>
                <w:rFonts w:cstheme="minorBidi"/>
                <w:szCs w:val="24"/>
              </w:rPr>
            </w:pPr>
            <w:r w:rsidRPr="001E1B8B">
              <w:rPr>
                <w:szCs w:val="24"/>
              </w:rPr>
              <w:t xml:space="preserve">A knowledge development session on ICT accessibility fundamentals </w:t>
            </w:r>
            <w:r w:rsidR="00BE21F4" w:rsidRPr="001E1B8B">
              <w:rPr>
                <w:szCs w:val="24"/>
              </w:rPr>
              <w:t>was held for</w:t>
            </w:r>
            <w:r w:rsidRPr="001E1B8B">
              <w:rPr>
                <w:szCs w:val="24"/>
              </w:rPr>
              <w:t xml:space="preserve"> a group of ITU-D SG1 Rapporteur Group participants on 3 October 2019. </w:t>
            </w:r>
            <w:r w:rsidR="00A67E5F" w:rsidRPr="001E1B8B">
              <w:rPr>
                <w:rFonts w:cstheme="minorHAnsi"/>
              </w:rPr>
              <w:t xml:space="preserve">This helped ITU Member States to: understand key definitions and trends related to ICT accessibility policies and strategies; identify digital accessibility requirements; and envision ICT accessibility as a business opportunity, and the benefits for all involved stakeholders. </w:t>
            </w:r>
            <w:r w:rsidRPr="001E1B8B">
              <w:rPr>
                <w:szCs w:val="24"/>
              </w:rPr>
              <w:t xml:space="preserve">Participants were also encouraged to sign up for two courses on </w:t>
            </w:r>
            <w:hyperlink r:id="rId30" w:history="1">
              <w:r w:rsidRPr="001E1B8B">
                <w:rPr>
                  <w:color w:val="0000FF" w:themeColor="hyperlink"/>
                  <w:szCs w:val="24"/>
                  <w:u w:val="single"/>
                </w:rPr>
                <w:t>ICT accessibility</w:t>
              </w:r>
            </w:hyperlink>
            <w:r w:rsidRPr="001E1B8B">
              <w:rPr>
                <w:szCs w:val="24"/>
              </w:rPr>
              <w:t xml:space="preserve"> and </w:t>
            </w:r>
            <w:hyperlink r:id="rId31" w:history="1">
              <w:r w:rsidRPr="001E1B8B">
                <w:rPr>
                  <w:color w:val="0000FF" w:themeColor="hyperlink"/>
                  <w:szCs w:val="24"/>
                  <w:u w:val="single"/>
                </w:rPr>
                <w:t>web accessibility</w:t>
              </w:r>
            </w:hyperlink>
            <w:r w:rsidRPr="001E1B8B">
              <w:rPr>
                <w:szCs w:val="24"/>
              </w:rPr>
              <w:t xml:space="preserve"> respectively that are available in the </w:t>
            </w:r>
            <w:hyperlink r:id="rId32" w:history="1">
              <w:r w:rsidRPr="001E1B8B">
                <w:rPr>
                  <w:color w:val="0000FF" w:themeColor="hyperlink"/>
                  <w:szCs w:val="24"/>
                  <w:u w:val="single"/>
                </w:rPr>
                <w:t>ITU Academy</w:t>
              </w:r>
            </w:hyperlink>
            <w:r w:rsidRPr="001E1B8B">
              <w:rPr>
                <w:szCs w:val="24"/>
              </w:rPr>
              <w:t>. A hands-on demo of the revised ITU Academy was also provided.</w:t>
            </w:r>
          </w:p>
        </w:tc>
      </w:tr>
    </w:tbl>
    <w:p w14:paraId="2B1FC56C" w14:textId="16A812BF" w:rsidR="009A30A6" w:rsidRPr="001E1B8B" w:rsidRDefault="009A30A6" w:rsidP="00B245A9">
      <w:pPr>
        <w:keepNext/>
        <w:spacing w:before="240"/>
        <w:rPr>
          <w:b/>
          <w:bCs/>
        </w:rPr>
      </w:pPr>
      <w:r w:rsidRPr="001E1B8B">
        <w:rPr>
          <w:b/>
          <w:bCs/>
        </w:rPr>
        <w:t xml:space="preserve">4. </w:t>
      </w:r>
      <w:r w:rsidRPr="001E1B8B">
        <w:rPr>
          <w:b/>
          <w:bCs/>
        </w:rPr>
        <w:tab/>
      </w:r>
      <w:r w:rsidR="00BE21F4" w:rsidRPr="001E1B8B">
        <w:rPr>
          <w:b/>
          <w:bCs/>
        </w:rPr>
        <w:t>Digital innovation ecosystems:</w:t>
      </w:r>
      <w:r w:rsidRPr="001E1B8B">
        <w:rPr>
          <w:b/>
          <w:bCs/>
        </w:rPr>
        <w:t xml:space="preserve"> </w:t>
      </w:r>
      <w:r w:rsidR="00BE21F4" w:rsidRPr="001E1B8B">
        <w:rPr>
          <w:b/>
          <w:bCs/>
        </w:rPr>
        <w:t>A</w:t>
      </w:r>
      <w:r w:rsidR="00756469" w:rsidRPr="001E1B8B">
        <w:rPr>
          <w:b/>
          <w:bCs/>
        </w:rPr>
        <w:t xml:space="preserve">ccelerating </w:t>
      </w:r>
      <w:r w:rsidR="007C5719" w:rsidRPr="001E1B8B">
        <w:rPr>
          <w:b/>
          <w:bCs/>
        </w:rPr>
        <w:t xml:space="preserve">innovations ecosystems for </w:t>
      </w:r>
      <w:r w:rsidR="00756469" w:rsidRPr="001E1B8B">
        <w:rPr>
          <w:b/>
          <w:bCs/>
        </w:rPr>
        <w:t xml:space="preserve">digital transformation </w:t>
      </w:r>
    </w:p>
    <w:p w14:paraId="7CE59D24" w14:textId="7895DE4B" w:rsidR="000F4DEE" w:rsidRPr="001E1B8B" w:rsidRDefault="000F4DEE" w:rsidP="000F4DEE">
      <w:pPr>
        <w:keepNext/>
        <w:rPr>
          <w:bCs/>
        </w:rPr>
      </w:pPr>
      <w:r w:rsidRPr="001E1B8B">
        <w:rPr>
          <w:bCs/>
        </w:rPr>
        <w:t>4.1</w:t>
      </w:r>
      <w:r w:rsidRPr="001E1B8B">
        <w:rPr>
          <w:bCs/>
        </w:rPr>
        <w:tab/>
      </w:r>
      <w:r w:rsidRPr="001E1B8B">
        <w:rPr>
          <w:b/>
          <w:bCs/>
        </w:rPr>
        <w:t>I</w:t>
      </w:r>
      <w:r w:rsidR="00BE21F4" w:rsidRPr="001E1B8B">
        <w:rPr>
          <w:b/>
          <w:bCs/>
        </w:rPr>
        <w:t>nnovation challenges</w:t>
      </w:r>
    </w:p>
    <w:p w14:paraId="0FCA7746" w14:textId="7CA17196" w:rsidR="000F4DEE" w:rsidRPr="001E1B8B" w:rsidRDefault="000F4DEE" w:rsidP="000F4DEE">
      <w:pPr>
        <w:overflowPunct/>
        <w:autoSpaceDE/>
        <w:autoSpaceDN/>
        <w:adjustRightInd/>
        <w:spacing w:line="252" w:lineRule="auto"/>
        <w:textAlignment w:val="auto"/>
        <w:rPr>
          <w:szCs w:val="24"/>
        </w:rPr>
      </w:pPr>
      <w:r w:rsidRPr="001E1B8B">
        <w:rPr>
          <w:szCs w:val="24"/>
        </w:rPr>
        <w:t xml:space="preserve">The </w:t>
      </w:r>
      <w:hyperlink r:id="rId33" w:history="1">
        <w:r w:rsidR="00870BA0" w:rsidRPr="001E1B8B">
          <w:rPr>
            <w:rStyle w:val="Hyperlink"/>
            <w:szCs w:val="24"/>
          </w:rPr>
          <w:t>i</w:t>
        </w:r>
        <w:r w:rsidRPr="001E1B8B">
          <w:rPr>
            <w:rStyle w:val="Hyperlink"/>
            <w:szCs w:val="24"/>
          </w:rPr>
          <w:t xml:space="preserve">nnovation </w:t>
        </w:r>
        <w:r w:rsidR="00870BA0" w:rsidRPr="001E1B8B">
          <w:rPr>
            <w:rStyle w:val="Hyperlink"/>
            <w:szCs w:val="24"/>
          </w:rPr>
          <w:t>c</w:t>
        </w:r>
        <w:r w:rsidRPr="001E1B8B">
          <w:rPr>
            <w:rStyle w:val="Hyperlink"/>
            <w:szCs w:val="24"/>
          </w:rPr>
          <w:t>hallenges</w:t>
        </w:r>
      </w:hyperlink>
      <w:r w:rsidRPr="001E1B8B">
        <w:rPr>
          <w:szCs w:val="24"/>
        </w:rPr>
        <w:t xml:space="preserve"> served as an open platform for people to present their ideas and projects, which can contribute to the digital transformation of individuals, communities and society through innovation. In 2019, one of the winners</w:t>
      </w:r>
      <w:r w:rsidR="008E3010" w:rsidRPr="001E1B8B">
        <w:rPr>
          <w:szCs w:val="24"/>
        </w:rPr>
        <w:t xml:space="preserve"> from South Africa</w:t>
      </w:r>
      <w:r w:rsidRPr="001E1B8B">
        <w:rPr>
          <w:szCs w:val="24"/>
        </w:rPr>
        <w:t>, a Durban-based entrepreneurial technology company</w:t>
      </w:r>
      <w:r w:rsidR="008E3010" w:rsidRPr="001E1B8B">
        <w:rPr>
          <w:szCs w:val="24"/>
        </w:rPr>
        <w:t>,</w:t>
      </w:r>
      <w:r w:rsidRPr="001E1B8B">
        <w:rPr>
          <w:szCs w:val="24"/>
        </w:rPr>
        <w:t xml:space="preserve"> was recognized for excellence at ITU Telecom World</w:t>
      </w:r>
      <w:r w:rsidR="00870BA0" w:rsidRPr="001E1B8B">
        <w:rPr>
          <w:szCs w:val="24"/>
        </w:rPr>
        <w:t xml:space="preserve"> 2019, Budapest, Hungary</w:t>
      </w:r>
      <w:r w:rsidRPr="001E1B8B">
        <w:rPr>
          <w:szCs w:val="24"/>
        </w:rPr>
        <w:t>. The company received USD</w:t>
      </w:r>
      <w:r w:rsidR="00073475" w:rsidRPr="001E1B8B">
        <w:rPr>
          <w:szCs w:val="24"/>
        </w:rPr>
        <w:t> </w:t>
      </w:r>
      <w:r w:rsidRPr="001E1B8B">
        <w:rPr>
          <w:szCs w:val="24"/>
        </w:rPr>
        <w:t>1.5</w:t>
      </w:r>
      <w:r w:rsidR="00073475" w:rsidRPr="001E1B8B">
        <w:rPr>
          <w:szCs w:val="24"/>
        </w:rPr>
        <w:t xml:space="preserve"> million</w:t>
      </w:r>
      <w:r w:rsidRPr="001E1B8B">
        <w:rPr>
          <w:szCs w:val="24"/>
        </w:rPr>
        <w:t xml:space="preserve"> to replicate its work in other towns </w:t>
      </w:r>
      <w:r w:rsidR="008E3010" w:rsidRPr="001E1B8B">
        <w:rPr>
          <w:szCs w:val="24"/>
        </w:rPr>
        <w:t>in</w:t>
      </w:r>
      <w:r w:rsidRPr="001E1B8B">
        <w:rPr>
          <w:szCs w:val="24"/>
        </w:rPr>
        <w:t xml:space="preserve"> the Durban area and received commitment of almost USD</w:t>
      </w:r>
      <w:r w:rsidR="00073475" w:rsidRPr="001E1B8B">
        <w:rPr>
          <w:szCs w:val="24"/>
        </w:rPr>
        <w:t> </w:t>
      </w:r>
      <w:r w:rsidRPr="001E1B8B">
        <w:rPr>
          <w:szCs w:val="24"/>
        </w:rPr>
        <w:t>10</w:t>
      </w:r>
      <w:r w:rsidR="00073475" w:rsidRPr="001E1B8B">
        <w:rPr>
          <w:szCs w:val="24"/>
        </w:rPr>
        <w:t xml:space="preserve"> million </w:t>
      </w:r>
      <w:r w:rsidRPr="001E1B8B">
        <w:rPr>
          <w:szCs w:val="24"/>
        </w:rPr>
        <w:t>for “Wholesale Financing” to commercialize its innovations.</w:t>
      </w:r>
    </w:p>
    <w:p w14:paraId="654E8262" w14:textId="15F44F8C" w:rsidR="000F4DEE" w:rsidRPr="001E1B8B" w:rsidRDefault="000F4DEE" w:rsidP="00776763">
      <w:pPr>
        <w:keepNext/>
        <w:overflowPunct/>
        <w:autoSpaceDE/>
        <w:autoSpaceDN/>
        <w:adjustRightInd/>
      </w:pPr>
      <w:r w:rsidRPr="001E1B8B">
        <w:t xml:space="preserve">4.2 </w:t>
      </w:r>
      <w:r w:rsidRPr="001E1B8B">
        <w:tab/>
      </w:r>
      <w:r w:rsidR="00E53A9E" w:rsidRPr="001E1B8B">
        <w:rPr>
          <w:b/>
        </w:rPr>
        <w:t xml:space="preserve">Innovation </w:t>
      </w:r>
      <w:r w:rsidR="00362C28" w:rsidRPr="001E1B8B">
        <w:rPr>
          <w:b/>
        </w:rPr>
        <w:t>forums</w:t>
      </w:r>
      <w:r w:rsidR="00362C28" w:rsidRPr="001E1B8B">
        <w:t xml:space="preserve"> </w:t>
      </w:r>
    </w:p>
    <w:p w14:paraId="0FECCE29" w14:textId="72E727A9" w:rsidR="000F4DEE" w:rsidRPr="001E1B8B" w:rsidRDefault="000F4DEE" w:rsidP="000F4DEE">
      <w:pPr>
        <w:overflowPunct/>
        <w:autoSpaceDE/>
        <w:autoSpaceDN/>
        <w:adjustRightInd/>
        <w:spacing w:line="252" w:lineRule="auto"/>
        <w:textAlignment w:val="auto"/>
        <w:rPr>
          <w:szCs w:val="24"/>
        </w:rPr>
      </w:pPr>
      <w:r w:rsidRPr="001E1B8B">
        <w:rPr>
          <w:szCs w:val="24"/>
        </w:rPr>
        <w:t>Through the Regional Innovation</w:t>
      </w:r>
      <w:r w:rsidR="007C5719" w:rsidRPr="001E1B8B">
        <w:rPr>
          <w:szCs w:val="24"/>
        </w:rPr>
        <w:t xml:space="preserve"> Forum</w:t>
      </w:r>
      <w:r w:rsidRPr="001E1B8B">
        <w:rPr>
          <w:szCs w:val="24"/>
        </w:rPr>
        <w:t xml:space="preserve"> for the Arab </w:t>
      </w:r>
      <w:r w:rsidR="00E53A9E" w:rsidRPr="001E1B8B">
        <w:rPr>
          <w:szCs w:val="24"/>
        </w:rPr>
        <w:t xml:space="preserve">States </w:t>
      </w:r>
      <w:r w:rsidRPr="001E1B8B">
        <w:rPr>
          <w:szCs w:val="24"/>
        </w:rPr>
        <w:t>and Africa region</w:t>
      </w:r>
      <w:r w:rsidR="00E53A9E" w:rsidRPr="001E1B8B">
        <w:rPr>
          <w:szCs w:val="24"/>
        </w:rPr>
        <w:t>s</w:t>
      </w:r>
      <w:r w:rsidRPr="001E1B8B">
        <w:rPr>
          <w:szCs w:val="24"/>
        </w:rPr>
        <w:t xml:space="preserve"> </w:t>
      </w:r>
      <w:r w:rsidR="00D34EA0" w:rsidRPr="001E1B8B">
        <w:rPr>
          <w:szCs w:val="24"/>
        </w:rPr>
        <w:t>(</w:t>
      </w:r>
      <w:r w:rsidRPr="001E1B8B">
        <w:rPr>
          <w:szCs w:val="24"/>
        </w:rPr>
        <w:t>held in Brazzaville</w:t>
      </w:r>
      <w:r w:rsidR="00D34EA0" w:rsidRPr="001E1B8B">
        <w:rPr>
          <w:szCs w:val="24"/>
        </w:rPr>
        <w:t xml:space="preserve"> and Cairo)</w:t>
      </w:r>
      <w:r w:rsidRPr="001E1B8B">
        <w:rPr>
          <w:szCs w:val="24"/>
        </w:rPr>
        <w:t xml:space="preserve">, </w:t>
      </w:r>
      <w:r w:rsidR="006C7A71" w:rsidRPr="001E1B8B">
        <w:rPr>
          <w:szCs w:val="24"/>
        </w:rPr>
        <w:t>policy-makers</w:t>
      </w:r>
      <w:r w:rsidRPr="001E1B8B">
        <w:rPr>
          <w:szCs w:val="24"/>
        </w:rPr>
        <w:t>, academics, innovators,</w:t>
      </w:r>
      <w:r w:rsidR="000E32AA" w:rsidRPr="001E1B8B">
        <w:rPr>
          <w:szCs w:val="24"/>
        </w:rPr>
        <w:t xml:space="preserve"> and ecosystem builders from 16 </w:t>
      </w:r>
      <w:r w:rsidRPr="001E1B8B">
        <w:rPr>
          <w:szCs w:val="24"/>
        </w:rPr>
        <w:t xml:space="preserve">countries </w:t>
      </w:r>
      <w:r w:rsidR="00E53A9E" w:rsidRPr="001E1B8B">
        <w:rPr>
          <w:szCs w:val="24"/>
        </w:rPr>
        <w:t xml:space="preserve">discussed how </w:t>
      </w:r>
      <w:r w:rsidRPr="001E1B8B">
        <w:rPr>
          <w:szCs w:val="24"/>
        </w:rPr>
        <w:t xml:space="preserve">to develop agile and collaborative ecosystems conducive to digital innovation. Participants of the innovation forum </w:t>
      </w:r>
      <w:r w:rsidR="00E53A9E" w:rsidRPr="001E1B8B">
        <w:rPr>
          <w:szCs w:val="24"/>
        </w:rPr>
        <w:t>now have the</w:t>
      </w:r>
      <w:r w:rsidRPr="001E1B8B">
        <w:rPr>
          <w:szCs w:val="24"/>
        </w:rPr>
        <w:t xml:space="preserve"> tools and know-how to </w:t>
      </w:r>
      <w:r w:rsidR="00E53A9E" w:rsidRPr="001E1B8B">
        <w:rPr>
          <w:szCs w:val="24"/>
        </w:rPr>
        <w:t>critically consider</w:t>
      </w:r>
      <w:r w:rsidRPr="001E1B8B">
        <w:rPr>
          <w:szCs w:val="24"/>
        </w:rPr>
        <w:t xml:space="preserve"> ICT policies and program</w:t>
      </w:r>
      <w:r w:rsidR="00E53A9E" w:rsidRPr="001E1B8B">
        <w:rPr>
          <w:szCs w:val="24"/>
        </w:rPr>
        <w:t>me</w:t>
      </w:r>
      <w:r w:rsidRPr="001E1B8B">
        <w:rPr>
          <w:szCs w:val="24"/>
        </w:rPr>
        <w:t xml:space="preserve">s </w:t>
      </w:r>
      <w:r w:rsidR="00E53A9E" w:rsidRPr="001E1B8B">
        <w:rPr>
          <w:szCs w:val="24"/>
        </w:rPr>
        <w:t xml:space="preserve">in light of innovation </w:t>
      </w:r>
      <w:r w:rsidRPr="001E1B8B">
        <w:rPr>
          <w:szCs w:val="24"/>
        </w:rPr>
        <w:t xml:space="preserve">pillars conducive to entrepreneurship and digital </w:t>
      </w:r>
      <w:r w:rsidR="00CC2DE7" w:rsidRPr="001E1B8B">
        <w:rPr>
          <w:szCs w:val="24"/>
        </w:rPr>
        <w:t>i</w:t>
      </w:r>
      <w:r w:rsidRPr="001E1B8B">
        <w:rPr>
          <w:szCs w:val="24"/>
        </w:rPr>
        <w:t>nnovation.</w:t>
      </w:r>
    </w:p>
    <w:p w14:paraId="0AADA53C" w14:textId="4C75E72A" w:rsidR="000F4DEE" w:rsidRPr="001E1B8B" w:rsidRDefault="007C5719" w:rsidP="00776763">
      <w:pPr>
        <w:keepNext/>
        <w:overflowPunct/>
        <w:autoSpaceDE/>
        <w:autoSpaceDN/>
        <w:adjustRightInd/>
      </w:pPr>
      <w:r w:rsidRPr="001E1B8B">
        <w:t>4.3</w:t>
      </w:r>
      <w:r w:rsidR="000F4DEE" w:rsidRPr="001E1B8B">
        <w:t xml:space="preserve"> </w:t>
      </w:r>
      <w:r w:rsidR="000F4DEE" w:rsidRPr="001E1B8B">
        <w:tab/>
      </w:r>
      <w:r w:rsidR="000F4DEE" w:rsidRPr="001E1B8B">
        <w:rPr>
          <w:b/>
        </w:rPr>
        <w:t>I</w:t>
      </w:r>
      <w:r w:rsidR="00CC2DE7" w:rsidRPr="001E1B8B">
        <w:rPr>
          <w:b/>
        </w:rPr>
        <w:t>nnovation knowledge sharing</w:t>
      </w:r>
    </w:p>
    <w:p w14:paraId="42A893F6" w14:textId="37929A05" w:rsidR="000F4DEE" w:rsidRPr="001E1B8B" w:rsidRDefault="00E52048" w:rsidP="000F4DEE">
      <w:pPr>
        <w:overflowPunct/>
        <w:autoSpaceDE/>
        <w:autoSpaceDN/>
        <w:adjustRightInd/>
        <w:spacing w:line="252" w:lineRule="auto"/>
        <w:textAlignment w:val="auto"/>
        <w:rPr>
          <w:szCs w:val="24"/>
        </w:rPr>
      </w:pPr>
      <w:r w:rsidRPr="001E1B8B">
        <w:rPr>
          <w:szCs w:val="24"/>
        </w:rPr>
        <w:t xml:space="preserve">Selected winners of the ITU </w:t>
      </w:r>
      <w:r w:rsidR="00CC2DE7" w:rsidRPr="001E1B8B">
        <w:rPr>
          <w:szCs w:val="24"/>
        </w:rPr>
        <w:t>i</w:t>
      </w:r>
      <w:r w:rsidRPr="001E1B8B">
        <w:rPr>
          <w:szCs w:val="24"/>
        </w:rPr>
        <w:t xml:space="preserve">nnovation challenges </w:t>
      </w:r>
      <w:r w:rsidR="00CC2DE7" w:rsidRPr="001E1B8B">
        <w:rPr>
          <w:szCs w:val="24"/>
        </w:rPr>
        <w:t>discussed their proposals at</w:t>
      </w:r>
      <w:r w:rsidRPr="001E1B8B">
        <w:rPr>
          <w:szCs w:val="24"/>
        </w:rPr>
        <w:t xml:space="preserve"> </w:t>
      </w:r>
      <w:r w:rsidR="00CC2DE7" w:rsidRPr="001E1B8B">
        <w:rPr>
          <w:szCs w:val="24"/>
        </w:rPr>
        <w:t>the Young ICT Leaders Forum</w:t>
      </w:r>
      <w:r w:rsidRPr="001E1B8B">
        <w:rPr>
          <w:szCs w:val="24"/>
        </w:rPr>
        <w:t xml:space="preserve"> held in Busan, Republic of Korea, and attended a boot-camp to develop their ideas further. </w:t>
      </w:r>
      <w:r w:rsidR="000F4DEE" w:rsidRPr="001E1B8B">
        <w:rPr>
          <w:szCs w:val="24"/>
        </w:rPr>
        <w:t xml:space="preserve">The </w:t>
      </w:r>
      <w:r w:rsidR="00CC2DE7" w:rsidRPr="001E1B8B">
        <w:rPr>
          <w:szCs w:val="24"/>
        </w:rPr>
        <w:t>f</w:t>
      </w:r>
      <w:r w:rsidR="000F4DEE" w:rsidRPr="001E1B8B">
        <w:rPr>
          <w:szCs w:val="24"/>
        </w:rPr>
        <w:t>orum offered a space where youth change-makers in ICTs can network, connect</w:t>
      </w:r>
      <w:r w:rsidR="005E70D0" w:rsidRPr="001E1B8B">
        <w:rPr>
          <w:szCs w:val="24"/>
        </w:rPr>
        <w:t>,</w:t>
      </w:r>
      <w:r w:rsidR="000F4DEE" w:rsidRPr="001E1B8B">
        <w:rPr>
          <w:szCs w:val="24"/>
        </w:rPr>
        <w:t xml:space="preserve"> and enhance their innovative ideas to </w:t>
      </w:r>
      <w:r w:rsidR="00CC2DE7" w:rsidRPr="001E1B8B">
        <w:rPr>
          <w:szCs w:val="24"/>
        </w:rPr>
        <w:t>create</w:t>
      </w:r>
      <w:r w:rsidR="000F4DEE" w:rsidRPr="001E1B8B">
        <w:rPr>
          <w:szCs w:val="24"/>
        </w:rPr>
        <w:t xml:space="preserve"> smart communities. </w:t>
      </w:r>
    </w:p>
    <w:p w14:paraId="4F70E29A" w14:textId="1ABC70CB" w:rsidR="00362C28" w:rsidRPr="001E1B8B" w:rsidRDefault="000E32AA" w:rsidP="000F4DEE">
      <w:pPr>
        <w:overflowPunct/>
        <w:autoSpaceDE/>
        <w:autoSpaceDN/>
        <w:adjustRightInd/>
        <w:spacing w:line="252" w:lineRule="auto"/>
        <w:textAlignment w:val="auto"/>
        <w:rPr>
          <w:szCs w:val="24"/>
        </w:rPr>
      </w:pPr>
      <w:r w:rsidRPr="001E1B8B">
        <w:rPr>
          <w:szCs w:val="24"/>
        </w:rPr>
        <w:t>A partnership with the Startup program</w:t>
      </w:r>
      <w:r w:rsidR="005E70D0" w:rsidRPr="001E1B8B">
        <w:rPr>
          <w:szCs w:val="24"/>
        </w:rPr>
        <w:t>me</w:t>
      </w:r>
      <w:r w:rsidRPr="001E1B8B">
        <w:rPr>
          <w:szCs w:val="24"/>
        </w:rPr>
        <w:t xml:space="preserve"> of the Government of Hungary (</w:t>
      </w:r>
      <w:hyperlink r:id="rId34" w:history="1">
        <w:r w:rsidRPr="001E1B8B">
          <w:rPr>
            <w:rStyle w:val="Hyperlink"/>
            <w:szCs w:val="24"/>
          </w:rPr>
          <w:t>INPUT</w:t>
        </w:r>
      </w:hyperlink>
      <w:r w:rsidRPr="001E1B8B">
        <w:rPr>
          <w:szCs w:val="24"/>
        </w:rPr>
        <w:t xml:space="preserve">) gave winners of the ITU innovation challenges the opportunity to network and connect with other </w:t>
      </w:r>
      <w:r w:rsidR="00482967" w:rsidRPr="001E1B8B">
        <w:rPr>
          <w:szCs w:val="24"/>
        </w:rPr>
        <w:t>Member State</w:t>
      </w:r>
      <w:r w:rsidRPr="001E1B8B">
        <w:rPr>
          <w:szCs w:val="24"/>
        </w:rPr>
        <w:t xml:space="preserve"> ecosystems at ITU Telecom World 2019, Budapest, Hungary. </w:t>
      </w:r>
      <w:r w:rsidR="00604667" w:rsidRPr="001E1B8B">
        <w:rPr>
          <w:szCs w:val="24"/>
        </w:rPr>
        <w:t xml:space="preserve"> </w:t>
      </w:r>
    </w:p>
    <w:p w14:paraId="584121CD" w14:textId="59095520" w:rsidR="000F4DEE" w:rsidRPr="001E1B8B" w:rsidRDefault="00604667" w:rsidP="000F4DEE">
      <w:pPr>
        <w:overflowPunct/>
        <w:autoSpaceDE/>
        <w:autoSpaceDN/>
        <w:adjustRightInd/>
        <w:spacing w:line="252" w:lineRule="auto"/>
        <w:textAlignment w:val="auto"/>
        <w:rPr>
          <w:szCs w:val="24"/>
        </w:rPr>
      </w:pPr>
      <w:r w:rsidRPr="001E1B8B">
        <w:rPr>
          <w:szCs w:val="24"/>
        </w:rPr>
        <w:t>As part of the</w:t>
      </w:r>
      <w:r w:rsidR="000F4DEE" w:rsidRPr="001E1B8B">
        <w:rPr>
          <w:szCs w:val="24"/>
        </w:rPr>
        <w:t xml:space="preserve"> </w:t>
      </w:r>
      <w:hyperlink r:id="rId35" w:anchor="agenda" w:history="1">
        <w:r w:rsidR="000F4DEE" w:rsidRPr="001E1B8B">
          <w:rPr>
            <w:rStyle w:val="Hyperlink"/>
            <w:szCs w:val="24"/>
          </w:rPr>
          <w:t>WSIS innovation track</w:t>
        </w:r>
      </w:hyperlink>
      <w:r w:rsidRPr="001E1B8B">
        <w:rPr>
          <w:szCs w:val="24"/>
        </w:rPr>
        <w:t>, three</w:t>
      </w:r>
      <w:r w:rsidR="000F4DEE" w:rsidRPr="001E1B8B">
        <w:rPr>
          <w:szCs w:val="24"/>
        </w:rPr>
        <w:t xml:space="preserve"> sessions </w:t>
      </w:r>
      <w:r w:rsidRPr="001E1B8B">
        <w:rPr>
          <w:szCs w:val="24"/>
        </w:rPr>
        <w:t>were organized to discuss</w:t>
      </w:r>
      <w:r w:rsidR="000F4DEE" w:rsidRPr="001E1B8B">
        <w:rPr>
          <w:szCs w:val="24"/>
        </w:rPr>
        <w:t xml:space="preserve"> technology trends accelerating digital transformation, national experience sharing, and an innovation culture to accelerate achievements of the SDGs.  </w:t>
      </w:r>
    </w:p>
    <w:p w14:paraId="7B938958" w14:textId="5E8841CE" w:rsidR="000E32AA" w:rsidRPr="001E1B8B" w:rsidRDefault="00493BD3">
      <w:pPr>
        <w:keepNext/>
        <w:overflowPunct/>
        <w:autoSpaceDE/>
        <w:autoSpaceDN/>
        <w:adjustRightInd/>
      </w:pPr>
      <w:r w:rsidRPr="001E1B8B">
        <w:lastRenderedPageBreak/>
        <w:t>4.</w:t>
      </w:r>
      <w:r w:rsidR="000E32AA" w:rsidRPr="001E1B8B">
        <w:t>4</w:t>
      </w:r>
      <w:r w:rsidR="000F4DEE" w:rsidRPr="001E1B8B">
        <w:tab/>
      </w:r>
      <w:r w:rsidR="000E32AA" w:rsidRPr="001E1B8B">
        <w:rPr>
          <w:b/>
          <w:bCs/>
        </w:rPr>
        <w:t>Innovation assessment and profiles, innovation project advisory assistance</w:t>
      </w:r>
    </w:p>
    <w:p w14:paraId="6F0A445E" w14:textId="2FA4A1EC" w:rsidR="000F4DEE" w:rsidRPr="001E1B8B" w:rsidRDefault="000E32AA" w:rsidP="00AE256A">
      <w:pPr>
        <w:overflowPunct/>
        <w:autoSpaceDE/>
        <w:autoSpaceDN/>
        <w:adjustRightInd/>
        <w:rPr>
          <w:szCs w:val="24"/>
        </w:rPr>
      </w:pPr>
      <w:r w:rsidRPr="001E1B8B">
        <w:rPr>
          <w:szCs w:val="24"/>
        </w:rPr>
        <w:t>Technical assistance was provided to Mali, Montenegro</w:t>
      </w:r>
      <w:r w:rsidR="00482967" w:rsidRPr="001E1B8B">
        <w:rPr>
          <w:szCs w:val="24"/>
        </w:rPr>
        <w:t>,</w:t>
      </w:r>
      <w:r w:rsidRPr="001E1B8B">
        <w:rPr>
          <w:szCs w:val="24"/>
        </w:rPr>
        <w:t xml:space="preserve"> </w:t>
      </w:r>
      <w:r w:rsidR="00482967" w:rsidRPr="001E1B8B">
        <w:rPr>
          <w:szCs w:val="24"/>
        </w:rPr>
        <w:t xml:space="preserve">Niger, and the Philippines </w:t>
      </w:r>
      <w:r w:rsidRPr="001E1B8B">
        <w:rPr>
          <w:szCs w:val="24"/>
        </w:rPr>
        <w:t xml:space="preserve">to develop national digital innovation profile assessments with </w:t>
      </w:r>
      <w:r w:rsidR="00482967" w:rsidRPr="001E1B8B">
        <w:rPr>
          <w:szCs w:val="24"/>
        </w:rPr>
        <w:t xml:space="preserve">an </w:t>
      </w:r>
      <w:r w:rsidRPr="001E1B8B">
        <w:rPr>
          <w:szCs w:val="24"/>
        </w:rPr>
        <w:t>aim to a</w:t>
      </w:r>
      <w:r w:rsidRPr="001E1B8B">
        <w:t>ssess the opportunities and challenges facing the</w:t>
      </w:r>
      <w:r w:rsidR="00482967" w:rsidRPr="001E1B8B">
        <w:t xml:space="preserve">ir </w:t>
      </w:r>
      <w:r w:rsidRPr="001E1B8B">
        <w:t>digital innovation ecosystems</w:t>
      </w:r>
      <w:r w:rsidRPr="001E1B8B">
        <w:rPr>
          <w:szCs w:val="24"/>
        </w:rPr>
        <w:t xml:space="preserve">. </w:t>
      </w:r>
      <w:r w:rsidR="0038416B" w:rsidRPr="001E1B8B">
        <w:rPr>
          <w:szCs w:val="24"/>
        </w:rPr>
        <w:t xml:space="preserve"> </w:t>
      </w:r>
    </w:p>
    <w:p w14:paraId="071BE07C" w14:textId="762843FF" w:rsidR="000E32AA" w:rsidRPr="001E1B8B" w:rsidRDefault="000E32AA" w:rsidP="00AE256A">
      <w:pPr>
        <w:overflowPunct/>
        <w:autoSpaceDE/>
        <w:autoSpaceDN/>
        <w:adjustRightInd/>
        <w:rPr>
          <w:szCs w:val="24"/>
        </w:rPr>
      </w:pPr>
      <w:r w:rsidRPr="001E1B8B">
        <w:t>BDT continues to support the Republic of South Africa in the development of novel ecosystem projects with aim to accelerate digital transformation across keys sectors in the economy. A critical milestone was achieved with the signature of a cooperation agreement between the Republic of South Africa and ITU.</w:t>
      </w:r>
    </w:p>
    <w:p w14:paraId="77EDACAD" w14:textId="77777777" w:rsidR="00B245A9" w:rsidRPr="001E1B8B" w:rsidRDefault="00B245A9" w:rsidP="001C1B7C">
      <w:pPr>
        <w:pStyle w:val="NormalWeb"/>
        <w:shd w:val="clear" w:color="auto" w:fill="FFFFFF"/>
        <w:spacing w:before="120" w:beforeAutospacing="0" w:after="0" w:afterAutospacing="0"/>
        <w:textAlignment w:val="baseline"/>
        <w:rPr>
          <w:rFonts w:asciiTheme="minorHAnsi" w:hAnsiTheme="minorHAnsi" w:cstheme="minorHAnsi"/>
          <w:color w:val="444444"/>
        </w:rPr>
      </w:pPr>
    </w:p>
    <w:tbl>
      <w:tblPr>
        <w:tblStyle w:val="TableGrid"/>
        <w:tblW w:w="0" w:type="auto"/>
        <w:tblLook w:val="04A0" w:firstRow="1" w:lastRow="0" w:firstColumn="1" w:lastColumn="0" w:noHBand="0" w:noVBand="1"/>
      </w:tblPr>
      <w:tblGrid>
        <w:gridCol w:w="9629"/>
      </w:tblGrid>
      <w:tr w:rsidR="00B245A9" w:rsidRPr="001E1B8B" w14:paraId="697B61FF" w14:textId="77777777" w:rsidTr="0054502F">
        <w:tc>
          <w:tcPr>
            <w:tcW w:w="9629" w:type="dxa"/>
          </w:tcPr>
          <w:p w14:paraId="740663A7" w14:textId="77777777" w:rsidR="00B245A9" w:rsidRPr="001E1B8B" w:rsidRDefault="00B245A9" w:rsidP="0090011B">
            <w:pPr>
              <w:keepNext/>
              <w:rPr>
                <w:b/>
              </w:rPr>
            </w:pPr>
            <w:r w:rsidRPr="001E1B8B">
              <w:rPr>
                <w:b/>
              </w:rPr>
              <w:t>REGIONAL INITIATIVES</w:t>
            </w:r>
          </w:p>
          <w:p w14:paraId="3429F2C8" w14:textId="77777777" w:rsidR="00445936" w:rsidRPr="001E1B8B" w:rsidRDefault="00445936" w:rsidP="0090011B">
            <w:pPr>
              <w:keepNext/>
            </w:pPr>
            <w:r w:rsidRPr="001E1B8B">
              <w:rPr>
                <w:rFonts w:ascii="Calibri" w:eastAsia="Calibri" w:hAnsi="Calibri" w:cs="Calibri"/>
              </w:rPr>
              <w:t>A</w:t>
            </w:r>
            <w:r w:rsidR="007C5719" w:rsidRPr="001E1B8B">
              <w:rPr>
                <w:rFonts w:ascii="Calibri" w:eastAsia="Calibri" w:hAnsi="Calibri" w:cs="Calibri"/>
              </w:rPr>
              <w:t>frica</w:t>
            </w:r>
            <w:r w:rsidRPr="001E1B8B">
              <w:rPr>
                <w:rFonts w:ascii="Calibri" w:eastAsia="Calibri" w:hAnsi="Calibri" w:cs="Calibri"/>
              </w:rPr>
              <w:t xml:space="preserve">: </w:t>
            </w:r>
            <w:r w:rsidRPr="001E1B8B">
              <w:rPr>
                <w:rFonts w:ascii="Calibri" w:eastAsia="Calibri" w:hAnsi="Calibri" w:cs="Calibri"/>
                <w:u w:val="single"/>
              </w:rPr>
              <w:t>Building digital economies and fostering innovation in Africa</w:t>
            </w:r>
          </w:p>
          <w:p w14:paraId="4853B8E6" w14:textId="05335B48" w:rsidR="007C5719" w:rsidRPr="001E1B8B" w:rsidRDefault="00604667" w:rsidP="00000112">
            <w:pPr>
              <w:pStyle w:val="ListParagraph"/>
              <w:numPr>
                <w:ilvl w:val="0"/>
                <w:numId w:val="24"/>
              </w:numPr>
              <w:overflowPunct/>
              <w:autoSpaceDE/>
              <w:autoSpaceDN/>
              <w:adjustRightInd/>
              <w:spacing w:line="252" w:lineRule="auto"/>
              <w:ind w:left="357" w:hanging="357"/>
              <w:textAlignment w:val="auto"/>
              <w:rPr>
                <w:szCs w:val="24"/>
              </w:rPr>
            </w:pPr>
            <w:r w:rsidRPr="001E1B8B">
              <w:rPr>
                <w:szCs w:val="24"/>
              </w:rPr>
              <w:t xml:space="preserve">Funding was secured to establish the </w:t>
            </w:r>
            <w:r w:rsidR="007C5719" w:rsidRPr="001E1B8B">
              <w:rPr>
                <w:szCs w:val="24"/>
              </w:rPr>
              <w:t xml:space="preserve">first ecosystem development hub, also known as the African Digital Transformation </w:t>
            </w:r>
            <w:r w:rsidR="00B654AC" w:rsidRPr="001E1B8B">
              <w:rPr>
                <w:szCs w:val="24"/>
              </w:rPr>
              <w:t>Centre</w:t>
            </w:r>
            <w:r w:rsidR="007C5719" w:rsidRPr="001E1B8B">
              <w:rPr>
                <w:szCs w:val="24"/>
              </w:rPr>
              <w:t xml:space="preserve"> for South Africa</w:t>
            </w:r>
            <w:r w:rsidRPr="001E1B8B">
              <w:rPr>
                <w:szCs w:val="24"/>
              </w:rPr>
              <w:t>.</w:t>
            </w:r>
          </w:p>
          <w:p w14:paraId="7F8D0E6A" w14:textId="79186A23" w:rsidR="000E32AA" w:rsidRPr="001E1B8B" w:rsidRDefault="000E32AA" w:rsidP="00000112">
            <w:pPr>
              <w:pStyle w:val="ListParagraph"/>
              <w:numPr>
                <w:ilvl w:val="0"/>
                <w:numId w:val="24"/>
              </w:numPr>
              <w:overflowPunct/>
              <w:autoSpaceDE/>
              <w:autoSpaceDN/>
              <w:adjustRightInd/>
              <w:spacing w:line="252" w:lineRule="auto"/>
              <w:ind w:left="357" w:hanging="357"/>
              <w:textAlignment w:val="auto"/>
              <w:rPr>
                <w:szCs w:val="24"/>
              </w:rPr>
            </w:pPr>
            <w:r w:rsidRPr="001E1B8B">
              <w:rPr>
                <w:szCs w:val="24"/>
              </w:rPr>
              <w:t xml:space="preserve">Through extensive consultative processes with multi-stakeholders from academics, entrepreneurs, entrepreneurial support networks, financiers, public and private sectors, BDT provided technical assistance for the development of </w:t>
            </w:r>
            <w:r w:rsidR="00AE6B0D" w:rsidRPr="001E1B8B">
              <w:rPr>
                <w:szCs w:val="24"/>
              </w:rPr>
              <w:t>d</w:t>
            </w:r>
            <w:r w:rsidRPr="001E1B8B">
              <w:rPr>
                <w:szCs w:val="24"/>
              </w:rPr>
              <w:t xml:space="preserve">igital </w:t>
            </w:r>
            <w:r w:rsidR="00AE6B0D" w:rsidRPr="001E1B8B">
              <w:rPr>
                <w:szCs w:val="24"/>
              </w:rPr>
              <w:t>i</w:t>
            </w:r>
            <w:r w:rsidRPr="001E1B8B">
              <w:rPr>
                <w:szCs w:val="24"/>
              </w:rPr>
              <w:t xml:space="preserve">nnovation </w:t>
            </w:r>
            <w:r w:rsidR="00AE6B0D" w:rsidRPr="001E1B8B">
              <w:rPr>
                <w:szCs w:val="24"/>
              </w:rPr>
              <w:t>p</w:t>
            </w:r>
            <w:r w:rsidRPr="001E1B8B">
              <w:rPr>
                <w:szCs w:val="24"/>
              </w:rPr>
              <w:t>rofiles for Mali and Niger</w:t>
            </w:r>
            <w:r w:rsidRPr="001E1B8B">
              <w:t>.</w:t>
            </w:r>
            <w:r w:rsidRPr="001E1B8B">
              <w:rPr>
                <w:szCs w:val="24"/>
              </w:rPr>
              <w:t xml:space="preserve"> </w:t>
            </w:r>
          </w:p>
          <w:p w14:paraId="616EEE12" w14:textId="3A1C5FA2" w:rsidR="000E32AA" w:rsidRPr="001E1B8B" w:rsidRDefault="00AE6B0D" w:rsidP="00000112">
            <w:pPr>
              <w:pStyle w:val="ListParagraph"/>
              <w:numPr>
                <w:ilvl w:val="0"/>
                <w:numId w:val="24"/>
              </w:numPr>
              <w:overflowPunct/>
              <w:autoSpaceDE/>
              <w:autoSpaceDN/>
              <w:adjustRightInd/>
              <w:spacing w:line="252" w:lineRule="auto"/>
              <w:ind w:left="357" w:hanging="357"/>
              <w:textAlignment w:val="auto"/>
              <w:rPr>
                <w:szCs w:val="24"/>
              </w:rPr>
            </w:pPr>
            <w:r w:rsidRPr="001E1B8B">
              <w:rPr>
                <w:szCs w:val="24"/>
              </w:rPr>
              <w:t>T</w:t>
            </w:r>
            <w:r w:rsidR="000E32AA" w:rsidRPr="001E1B8B">
              <w:rPr>
                <w:szCs w:val="24"/>
              </w:rPr>
              <w:t xml:space="preserve">he </w:t>
            </w:r>
            <w:hyperlink r:id="rId36" w:history="1">
              <w:r w:rsidR="000E32AA" w:rsidRPr="001E1B8B">
                <w:rPr>
                  <w:rStyle w:val="Hyperlink"/>
                  <w:szCs w:val="24"/>
                </w:rPr>
                <w:t>ICT-centric innovation ecosystem country review for Kenya</w:t>
              </w:r>
            </w:hyperlink>
            <w:r w:rsidRPr="001E1B8B">
              <w:rPr>
                <w:szCs w:val="24"/>
              </w:rPr>
              <w:t xml:space="preserve"> o</w:t>
            </w:r>
            <w:r w:rsidR="000E32AA" w:rsidRPr="001E1B8B">
              <w:rPr>
                <w:szCs w:val="24"/>
              </w:rPr>
              <w:t>ffered a comprehensive analysis and recommendations on how future ICT policies can include innovation and digital entrepreneurship policies and programmes.</w:t>
            </w:r>
          </w:p>
          <w:p w14:paraId="77B0023A" w14:textId="5458B4BF" w:rsidR="000E32AA" w:rsidRPr="001E1B8B" w:rsidRDefault="000E32AA" w:rsidP="006E3EE7">
            <w:pPr>
              <w:pStyle w:val="ListParagraph"/>
              <w:numPr>
                <w:ilvl w:val="0"/>
                <w:numId w:val="24"/>
              </w:numPr>
              <w:ind w:left="357" w:hanging="357"/>
              <w:rPr>
                <w:rFonts w:cstheme="minorHAnsi"/>
              </w:rPr>
            </w:pPr>
            <w:r w:rsidRPr="001E1B8B">
              <w:rPr>
                <w:szCs w:val="24"/>
              </w:rPr>
              <w:t xml:space="preserve">Capacity building on </w:t>
            </w:r>
            <w:r w:rsidRPr="001E1B8B">
              <w:rPr>
                <w:rFonts w:cstheme="minorHAnsi"/>
              </w:rPr>
              <w:t xml:space="preserve">sessions on building innovation and entrepreneurship ecosystems were provided to a number of public and private organizations, universities, and research institutions in </w:t>
            </w:r>
            <w:r w:rsidR="00AE6B0D" w:rsidRPr="001E1B8B">
              <w:rPr>
                <w:rFonts w:cstheme="minorHAnsi"/>
              </w:rPr>
              <w:t>the Republic of the Congo</w:t>
            </w:r>
            <w:r w:rsidRPr="001E1B8B">
              <w:rPr>
                <w:rFonts w:cstheme="minorHAnsi"/>
              </w:rPr>
              <w:t xml:space="preserve">.  </w:t>
            </w:r>
          </w:p>
          <w:p w14:paraId="4EE92C04" w14:textId="77777777" w:rsidR="00C109D3" w:rsidRPr="001E1B8B" w:rsidRDefault="00E52048" w:rsidP="0090011B">
            <w:pPr>
              <w:keepNext/>
            </w:pPr>
            <w:r w:rsidRPr="001E1B8B">
              <w:t>Arab States</w:t>
            </w:r>
            <w:r w:rsidR="00C109D3" w:rsidRPr="001E1B8B">
              <w:t xml:space="preserve">: </w:t>
            </w:r>
            <w:r w:rsidR="00C109D3" w:rsidRPr="001E1B8B">
              <w:rPr>
                <w:u w:val="single"/>
              </w:rPr>
              <w:t>Innovation and Entrepreneurship:</w:t>
            </w:r>
          </w:p>
          <w:p w14:paraId="624A74D6" w14:textId="19284971" w:rsidR="00C109D3" w:rsidRPr="001E1B8B" w:rsidRDefault="00E52048" w:rsidP="00000112">
            <w:pPr>
              <w:pStyle w:val="ListParagraph"/>
              <w:numPr>
                <w:ilvl w:val="0"/>
                <w:numId w:val="24"/>
              </w:numPr>
              <w:ind w:left="357" w:hanging="357"/>
              <w:rPr>
                <w:rFonts w:cstheme="minorHAnsi"/>
              </w:rPr>
            </w:pPr>
            <w:r w:rsidRPr="001E1B8B">
              <w:rPr>
                <w:rFonts w:cstheme="minorHAnsi"/>
              </w:rPr>
              <w:t>Incubators m</w:t>
            </w:r>
            <w:r w:rsidR="00C109D3" w:rsidRPr="001E1B8B">
              <w:rPr>
                <w:rFonts w:cstheme="minorHAnsi"/>
              </w:rPr>
              <w:t xml:space="preserve">anagers and other ecosystem stakeholders in Djibouti </w:t>
            </w:r>
            <w:r w:rsidR="00AE6B0D" w:rsidRPr="001E1B8B">
              <w:rPr>
                <w:rFonts w:cstheme="minorHAnsi"/>
              </w:rPr>
              <w:t xml:space="preserve">and Mauritania </w:t>
            </w:r>
            <w:r w:rsidRPr="001E1B8B">
              <w:rPr>
                <w:rFonts w:cstheme="minorHAnsi"/>
              </w:rPr>
              <w:t xml:space="preserve">were </w:t>
            </w:r>
            <w:r w:rsidR="00C109D3" w:rsidRPr="001E1B8B">
              <w:rPr>
                <w:rFonts w:cstheme="minorHAnsi"/>
              </w:rPr>
              <w:t xml:space="preserve">equipped with methodology and tools </w:t>
            </w:r>
            <w:r w:rsidRPr="001E1B8B">
              <w:rPr>
                <w:rFonts w:cstheme="minorHAnsi"/>
              </w:rPr>
              <w:t>to</w:t>
            </w:r>
            <w:r w:rsidR="00C109D3" w:rsidRPr="001E1B8B">
              <w:rPr>
                <w:rFonts w:cstheme="minorHAnsi"/>
              </w:rPr>
              <w:t xml:space="preserve"> support </w:t>
            </w:r>
            <w:r w:rsidRPr="001E1B8B">
              <w:rPr>
                <w:rFonts w:cstheme="minorHAnsi"/>
              </w:rPr>
              <w:t xml:space="preserve">growth and </w:t>
            </w:r>
            <w:r w:rsidR="00C109D3" w:rsidRPr="001E1B8B">
              <w:rPr>
                <w:rFonts w:cstheme="minorHAnsi"/>
              </w:rPr>
              <w:t>entrepreneurs</w:t>
            </w:r>
            <w:r w:rsidRPr="001E1B8B">
              <w:rPr>
                <w:rFonts w:cstheme="minorHAnsi"/>
              </w:rPr>
              <w:t>hip</w:t>
            </w:r>
            <w:r w:rsidR="00C109D3" w:rsidRPr="001E1B8B">
              <w:rPr>
                <w:rFonts w:cstheme="minorHAnsi"/>
              </w:rPr>
              <w:t xml:space="preserve">. The main principles and good practices of business incubation </w:t>
            </w:r>
            <w:r w:rsidRPr="001E1B8B">
              <w:rPr>
                <w:rFonts w:cstheme="minorHAnsi"/>
              </w:rPr>
              <w:t xml:space="preserve">were </w:t>
            </w:r>
            <w:r w:rsidR="00C109D3" w:rsidRPr="001E1B8B">
              <w:rPr>
                <w:rFonts w:cstheme="minorHAnsi"/>
              </w:rPr>
              <w:t>shared and discussed.</w:t>
            </w:r>
          </w:p>
          <w:p w14:paraId="5D711859" w14:textId="49B85CB7" w:rsidR="00C109D3" w:rsidRPr="001E1B8B" w:rsidRDefault="00C109D3" w:rsidP="00000112">
            <w:pPr>
              <w:pStyle w:val="ListParagraph"/>
              <w:numPr>
                <w:ilvl w:val="0"/>
                <w:numId w:val="24"/>
              </w:numPr>
              <w:ind w:left="357" w:hanging="357"/>
              <w:rPr>
                <w:rFonts w:cstheme="minorHAnsi"/>
              </w:rPr>
            </w:pPr>
            <w:r w:rsidRPr="001E1B8B">
              <w:rPr>
                <w:rFonts w:cstheme="minorHAnsi"/>
              </w:rPr>
              <w:t xml:space="preserve">Capacity building </w:t>
            </w:r>
            <w:r w:rsidR="00E52048" w:rsidRPr="001E1B8B">
              <w:rPr>
                <w:rFonts w:cstheme="minorHAnsi"/>
              </w:rPr>
              <w:t>sessions on building</w:t>
            </w:r>
            <w:r w:rsidRPr="001E1B8B">
              <w:rPr>
                <w:rFonts w:cstheme="minorHAnsi"/>
              </w:rPr>
              <w:t xml:space="preserve"> </w:t>
            </w:r>
            <w:r w:rsidR="00B654AC" w:rsidRPr="001E1B8B">
              <w:rPr>
                <w:rFonts w:cstheme="minorHAnsi"/>
              </w:rPr>
              <w:t>i</w:t>
            </w:r>
            <w:r w:rsidRPr="001E1B8B">
              <w:rPr>
                <w:rFonts w:cstheme="minorHAnsi"/>
              </w:rPr>
              <w:t xml:space="preserve">nnovation </w:t>
            </w:r>
            <w:r w:rsidR="00E52048" w:rsidRPr="001E1B8B">
              <w:rPr>
                <w:rFonts w:cstheme="minorHAnsi"/>
              </w:rPr>
              <w:t xml:space="preserve">and </w:t>
            </w:r>
            <w:r w:rsidR="00B654AC" w:rsidRPr="001E1B8B">
              <w:rPr>
                <w:rFonts w:cstheme="minorHAnsi"/>
              </w:rPr>
              <w:t>e</w:t>
            </w:r>
            <w:r w:rsidR="00E52048" w:rsidRPr="001E1B8B">
              <w:rPr>
                <w:rFonts w:cstheme="minorHAnsi"/>
              </w:rPr>
              <w:t xml:space="preserve">ntrepreneurship </w:t>
            </w:r>
            <w:r w:rsidR="00B654AC" w:rsidRPr="001E1B8B">
              <w:rPr>
                <w:rFonts w:cstheme="minorHAnsi"/>
              </w:rPr>
              <w:t>e</w:t>
            </w:r>
            <w:r w:rsidR="00E52048" w:rsidRPr="001E1B8B">
              <w:rPr>
                <w:rFonts w:cstheme="minorHAnsi"/>
              </w:rPr>
              <w:t>cosystems were</w:t>
            </w:r>
            <w:r w:rsidRPr="001E1B8B">
              <w:rPr>
                <w:rFonts w:cstheme="minorHAnsi"/>
              </w:rPr>
              <w:t xml:space="preserve"> provided to </w:t>
            </w:r>
            <w:r w:rsidR="00E52048" w:rsidRPr="001E1B8B">
              <w:rPr>
                <w:rFonts w:cstheme="minorHAnsi"/>
              </w:rPr>
              <w:t xml:space="preserve">a </w:t>
            </w:r>
            <w:r w:rsidRPr="001E1B8B">
              <w:rPr>
                <w:rFonts w:cstheme="minorHAnsi"/>
              </w:rPr>
              <w:t>number of public and private organizations, universities</w:t>
            </w:r>
            <w:r w:rsidR="00B654AC" w:rsidRPr="001E1B8B">
              <w:rPr>
                <w:rFonts w:cstheme="minorHAnsi"/>
              </w:rPr>
              <w:t>,</w:t>
            </w:r>
            <w:r w:rsidRPr="001E1B8B">
              <w:rPr>
                <w:rFonts w:cstheme="minorHAnsi"/>
              </w:rPr>
              <w:t xml:space="preserve"> and research institutions </w:t>
            </w:r>
            <w:r w:rsidR="00B654AC" w:rsidRPr="001E1B8B">
              <w:rPr>
                <w:rFonts w:cstheme="minorHAnsi"/>
              </w:rPr>
              <w:t>in</w:t>
            </w:r>
            <w:r w:rsidRPr="001E1B8B">
              <w:rPr>
                <w:rFonts w:cstheme="minorHAnsi"/>
              </w:rPr>
              <w:t xml:space="preserve"> Egypt.  </w:t>
            </w:r>
          </w:p>
          <w:p w14:paraId="56BFE9AB" w14:textId="2DF47B79" w:rsidR="000F4DEE" w:rsidRPr="001E1B8B" w:rsidRDefault="00E52048" w:rsidP="0090011B">
            <w:pPr>
              <w:keepNext/>
              <w:rPr>
                <w:rFonts w:cstheme="minorHAnsi"/>
                <w:u w:val="single"/>
              </w:rPr>
            </w:pPr>
            <w:r w:rsidRPr="001E1B8B">
              <w:rPr>
                <w:rFonts w:cstheme="minorHAnsi"/>
              </w:rPr>
              <w:t>Americas</w:t>
            </w:r>
            <w:r w:rsidR="000F4DEE" w:rsidRPr="001E1B8B">
              <w:rPr>
                <w:rFonts w:cstheme="minorHAnsi"/>
              </w:rPr>
              <w:t xml:space="preserve">: </w:t>
            </w:r>
            <w:r w:rsidR="00D5010C" w:rsidRPr="001E1B8B">
              <w:rPr>
                <w:rFonts w:cstheme="minorHAnsi"/>
                <w:u w:val="single"/>
              </w:rPr>
              <w:t xml:space="preserve">Development of the digital economy, smart cities and </w:t>
            </w:r>
            <w:r w:rsidR="000F4DEE" w:rsidRPr="001E1B8B">
              <w:rPr>
                <w:rFonts w:cstheme="minorHAnsi"/>
                <w:u w:val="single"/>
              </w:rPr>
              <w:t>communities and the Internet of Things, promoting innovation</w:t>
            </w:r>
          </w:p>
          <w:p w14:paraId="180547E9" w14:textId="77777777" w:rsidR="00392BF3" w:rsidRPr="001E1B8B" w:rsidRDefault="00E52048" w:rsidP="00000112">
            <w:pPr>
              <w:pStyle w:val="ListParagraph"/>
              <w:numPr>
                <w:ilvl w:val="0"/>
                <w:numId w:val="26"/>
              </w:numPr>
              <w:ind w:left="357" w:hanging="357"/>
              <w:rPr>
                <w:rFonts w:cstheme="minorHAnsi"/>
                <w:color w:val="444444"/>
              </w:rPr>
            </w:pPr>
            <w:r w:rsidRPr="001E1B8B">
              <w:rPr>
                <w:rFonts w:cstheme="minorHAnsi"/>
              </w:rPr>
              <w:t>The</w:t>
            </w:r>
            <w:r w:rsidR="000F4DEE" w:rsidRPr="001E1B8B">
              <w:rPr>
                <w:rFonts w:cstheme="minorHAnsi"/>
              </w:rPr>
              <w:t xml:space="preserve"> </w:t>
            </w:r>
            <w:hyperlink r:id="rId37" w:history="1">
              <w:r w:rsidR="00D1280B" w:rsidRPr="001E1B8B">
                <w:rPr>
                  <w:rStyle w:val="Hyperlink"/>
                  <w:rFonts w:cstheme="minorHAnsi"/>
                  <w:i/>
                  <w:iCs/>
                </w:rPr>
                <w:t>Americas</w:t>
              </w:r>
              <w:r w:rsidR="00D1280B" w:rsidRPr="001E1B8B">
                <w:rPr>
                  <w:rStyle w:val="Hyperlink"/>
                  <w:rFonts w:cstheme="minorHAnsi"/>
                </w:rPr>
                <w:t xml:space="preserve"> </w:t>
              </w:r>
              <w:r w:rsidR="000F4DEE" w:rsidRPr="001E1B8B">
                <w:rPr>
                  <w:rStyle w:val="Hyperlink"/>
                  <w:rFonts w:cstheme="minorHAnsi"/>
                  <w:i/>
                  <w:iCs/>
                </w:rPr>
                <w:t>ICT Innovation Week</w:t>
              </w:r>
            </w:hyperlink>
            <w:r w:rsidRPr="001E1B8B">
              <w:rPr>
                <w:rFonts w:cstheme="minorHAnsi"/>
              </w:rPr>
              <w:t>, under</w:t>
            </w:r>
            <w:r w:rsidR="000F4DEE" w:rsidRPr="001E1B8B">
              <w:rPr>
                <w:rFonts w:cstheme="minorHAnsi"/>
              </w:rPr>
              <w:t xml:space="preserve"> the theme </w:t>
            </w:r>
            <w:r w:rsidR="00870BA0" w:rsidRPr="001E1B8B">
              <w:rPr>
                <w:rFonts w:cstheme="minorHAnsi"/>
                <w:i/>
                <w:iCs/>
              </w:rPr>
              <w:t>s</w:t>
            </w:r>
            <w:r w:rsidR="000F4DEE" w:rsidRPr="001E1B8B">
              <w:rPr>
                <w:rFonts w:cstheme="minorHAnsi"/>
                <w:i/>
                <w:iCs/>
              </w:rPr>
              <w:t xml:space="preserve">mart </w:t>
            </w:r>
            <w:r w:rsidR="00870BA0" w:rsidRPr="001E1B8B">
              <w:rPr>
                <w:rFonts w:cstheme="minorHAnsi"/>
                <w:i/>
                <w:iCs/>
              </w:rPr>
              <w:t>r</w:t>
            </w:r>
            <w:r w:rsidR="000F4DEE" w:rsidRPr="001E1B8B">
              <w:rPr>
                <w:rFonts w:cstheme="minorHAnsi"/>
                <w:i/>
                <w:iCs/>
              </w:rPr>
              <w:t xml:space="preserve">ural </w:t>
            </w:r>
            <w:r w:rsidR="00870BA0" w:rsidRPr="001E1B8B">
              <w:rPr>
                <w:rFonts w:cstheme="minorHAnsi"/>
                <w:i/>
                <w:iCs/>
              </w:rPr>
              <w:t>c</w:t>
            </w:r>
            <w:r w:rsidR="000F4DEE" w:rsidRPr="001E1B8B">
              <w:rPr>
                <w:rFonts w:cstheme="minorHAnsi"/>
                <w:i/>
                <w:iCs/>
              </w:rPr>
              <w:t xml:space="preserve">ommunities </w:t>
            </w:r>
            <w:r w:rsidR="000F4DEE" w:rsidRPr="001E1B8B">
              <w:rPr>
                <w:rFonts w:cstheme="minorHAnsi"/>
              </w:rPr>
              <w:t>was organized in Uruguay</w:t>
            </w:r>
            <w:r w:rsidRPr="001E1B8B">
              <w:rPr>
                <w:rFonts w:cstheme="minorHAnsi"/>
              </w:rPr>
              <w:t>.</w:t>
            </w:r>
            <w:r w:rsidR="000F4DEE" w:rsidRPr="001E1B8B">
              <w:rPr>
                <w:rFonts w:cstheme="minorHAnsi"/>
              </w:rPr>
              <w:t xml:space="preserve"> The adoption </w:t>
            </w:r>
            <w:r w:rsidR="00580C16" w:rsidRPr="001E1B8B">
              <w:rPr>
                <w:rFonts w:cstheme="minorHAnsi"/>
              </w:rPr>
              <w:t xml:space="preserve">and use </w:t>
            </w:r>
            <w:r w:rsidR="000F4DEE" w:rsidRPr="001E1B8B">
              <w:rPr>
                <w:rFonts w:cstheme="minorHAnsi"/>
              </w:rPr>
              <w:t xml:space="preserve">of new technologies to </w:t>
            </w:r>
            <w:r w:rsidR="00580C16" w:rsidRPr="001E1B8B">
              <w:rPr>
                <w:rFonts w:cstheme="minorHAnsi"/>
              </w:rPr>
              <w:t xml:space="preserve">create </w:t>
            </w:r>
            <w:r w:rsidR="000F4DEE" w:rsidRPr="001E1B8B">
              <w:rPr>
                <w:rFonts w:cstheme="minorHAnsi"/>
              </w:rPr>
              <w:t xml:space="preserve">a sound and responsible agriculture </w:t>
            </w:r>
            <w:r w:rsidR="00580C16" w:rsidRPr="001E1B8B">
              <w:rPr>
                <w:rFonts w:cstheme="minorHAnsi"/>
              </w:rPr>
              <w:t>sector to enable future</w:t>
            </w:r>
            <w:r w:rsidRPr="001E1B8B">
              <w:rPr>
                <w:rFonts w:cstheme="minorHAnsi"/>
              </w:rPr>
              <w:t xml:space="preserve"> smart rural communities was analysed and discussed</w:t>
            </w:r>
            <w:r w:rsidR="000F4DEE" w:rsidRPr="001E1B8B">
              <w:rPr>
                <w:rFonts w:cstheme="minorHAnsi"/>
              </w:rPr>
              <w:t xml:space="preserve">. </w:t>
            </w:r>
          </w:p>
          <w:p w14:paraId="37649311" w14:textId="77777777" w:rsidR="00EA08EA" w:rsidRPr="001E1B8B" w:rsidRDefault="00EA08EA" w:rsidP="0090011B">
            <w:pPr>
              <w:pStyle w:val="NormalWeb"/>
              <w:keepNext/>
              <w:shd w:val="clear" w:color="auto" w:fill="FFFFFF"/>
              <w:overflowPunct w:val="0"/>
              <w:autoSpaceDE w:val="0"/>
              <w:autoSpaceDN w:val="0"/>
              <w:adjustRightInd w:val="0"/>
              <w:spacing w:before="120" w:beforeAutospacing="0" w:after="0" w:afterAutospacing="0"/>
              <w:textAlignment w:val="baseline"/>
              <w:rPr>
                <w:rFonts w:ascii="Calibri-Bold" w:hAnsi="Calibri-Bold" w:cs="Calibri-Bold"/>
                <w:b/>
                <w:bCs/>
                <w:sz w:val="28"/>
                <w:szCs w:val="28"/>
                <w:lang w:eastAsia="zh-CN"/>
              </w:rPr>
            </w:pPr>
            <w:r w:rsidRPr="001E1B8B">
              <w:rPr>
                <w:rFonts w:asciiTheme="minorHAnsi" w:hAnsiTheme="minorHAnsi" w:cstheme="minorHAnsi"/>
              </w:rPr>
              <w:t xml:space="preserve">Europe: </w:t>
            </w:r>
            <w:r w:rsidRPr="001E1B8B">
              <w:rPr>
                <w:rFonts w:asciiTheme="minorHAnsi" w:hAnsiTheme="minorHAnsi" w:cstheme="minorHAnsi"/>
                <w:u w:val="single"/>
              </w:rPr>
              <w:t>ICT-centric innovation ecosystems</w:t>
            </w:r>
          </w:p>
          <w:p w14:paraId="23896884" w14:textId="251C9A8F" w:rsidR="00EA08EA" w:rsidRPr="001E1B8B" w:rsidRDefault="00EA08EA" w:rsidP="00CA7686">
            <w:pPr>
              <w:pStyle w:val="ListParagraph"/>
              <w:numPr>
                <w:ilvl w:val="0"/>
                <w:numId w:val="26"/>
              </w:numPr>
              <w:spacing w:after="120"/>
              <w:ind w:left="357" w:hanging="357"/>
              <w:rPr>
                <w:rFonts w:cstheme="minorHAnsi"/>
                <w:color w:val="444444"/>
              </w:rPr>
            </w:pPr>
            <w:r w:rsidRPr="001E1B8B">
              <w:rPr>
                <w:rFonts w:cstheme="minorHAnsi"/>
              </w:rPr>
              <w:t xml:space="preserve">The Digital Innovation Profile for Montenegro was finalized in preparation of a national project. </w:t>
            </w:r>
          </w:p>
        </w:tc>
      </w:tr>
    </w:tbl>
    <w:p w14:paraId="3D6B6FDE" w14:textId="77777777" w:rsidR="00B245A9" w:rsidRPr="001E1B8B" w:rsidRDefault="00B245A9" w:rsidP="00B245A9">
      <w:pPr>
        <w:pStyle w:val="NormalWeb"/>
        <w:shd w:val="clear" w:color="auto" w:fill="FFFFFF"/>
        <w:spacing w:before="120" w:beforeAutospacing="0" w:after="0" w:afterAutospacing="0"/>
        <w:textAlignment w:val="baseline"/>
        <w:rPr>
          <w:rFonts w:asciiTheme="minorHAnsi" w:hAnsiTheme="minorHAnsi" w:cstheme="minorHAnsi"/>
        </w:rPr>
      </w:pPr>
    </w:p>
    <w:tbl>
      <w:tblPr>
        <w:tblStyle w:val="TableGrid"/>
        <w:tblW w:w="0" w:type="auto"/>
        <w:tblLook w:val="04A0" w:firstRow="1" w:lastRow="0" w:firstColumn="1" w:lastColumn="0" w:noHBand="0" w:noVBand="1"/>
      </w:tblPr>
      <w:tblGrid>
        <w:gridCol w:w="9629"/>
      </w:tblGrid>
      <w:tr w:rsidR="00B245A9" w:rsidRPr="001E1B8B" w14:paraId="6336003C" w14:textId="77777777" w:rsidTr="00EA08EA">
        <w:trPr>
          <w:cantSplit/>
        </w:trPr>
        <w:tc>
          <w:tcPr>
            <w:tcW w:w="9629" w:type="dxa"/>
          </w:tcPr>
          <w:p w14:paraId="7BDF735A" w14:textId="77777777" w:rsidR="00B245A9" w:rsidRPr="001E1B8B" w:rsidRDefault="00B245A9" w:rsidP="0054502F">
            <w:pPr>
              <w:pStyle w:val="NormalWeb"/>
              <w:keepNext/>
              <w:shd w:val="clear" w:color="auto" w:fill="FFFFFF"/>
              <w:spacing w:before="120" w:beforeAutospacing="0" w:after="0" w:afterAutospacing="0"/>
              <w:textAlignment w:val="baseline"/>
              <w:rPr>
                <w:rFonts w:asciiTheme="minorHAnsi" w:hAnsiTheme="minorHAnsi" w:cstheme="minorHAnsi"/>
                <w:b/>
                <w:bCs/>
              </w:rPr>
            </w:pPr>
            <w:r w:rsidRPr="001E1B8B">
              <w:rPr>
                <w:rFonts w:asciiTheme="minorHAnsi" w:hAnsiTheme="minorHAnsi" w:cstheme="minorHAnsi"/>
                <w:b/>
                <w:bCs/>
              </w:rPr>
              <w:lastRenderedPageBreak/>
              <w:t>STUDY GROUPS</w:t>
            </w:r>
          </w:p>
          <w:p w14:paraId="061809A0" w14:textId="7E6AECAD" w:rsidR="00E52048" w:rsidRPr="001E1B8B" w:rsidRDefault="00A36571" w:rsidP="00CA7686">
            <w:pPr>
              <w:spacing w:after="120"/>
              <w:rPr>
                <w:rFonts w:cstheme="minorHAnsi"/>
              </w:rPr>
            </w:pPr>
            <w:r w:rsidRPr="001E1B8B">
              <w:rPr>
                <w:rFonts w:cstheme="minorHAnsi"/>
              </w:rPr>
              <w:t xml:space="preserve">The </w:t>
            </w:r>
            <w:r w:rsidRPr="001E1B8B">
              <w:rPr>
                <w:rFonts w:cstheme="minorHAnsi"/>
                <w:i/>
                <w:iCs/>
              </w:rPr>
              <w:t>ICT Innovation Week</w:t>
            </w:r>
            <w:r w:rsidRPr="001E1B8B">
              <w:rPr>
                <w:rFonts w:cstheme="minorHAnsi"/>
              </w:rPr>
              <w:t xml:space="preserve"> event report contributed to the work of the ITU-D Study Group 2 </w:t>
            </w:r>
            <w:r w:rsidR="00A47ED5">
              <w:rPr>
                <w:rFonts w:cstheme="minorHAnsi"/>
              </w:rPr>
              <w:t>(</w:t>
            </w:r>
            <w:hyperlink r:id="rId38" w:history="1">
              <w:r w:rsidRPr="001E1B8B">
                <w:rPr>
                  <w:rStyle w:val="Hyperlink"/>
                  <w:rFonts w:cstheme="minorHAnsi"/>
                  <w:color w:val="auto"/>
                </w:rPr>
                <w:t>Question 1/2</w:t>
              </w:r>
            </w:hyperlink>
            <w:r w:rsidRPr="001E1B8B">
              <w:rPr>
                <w:rFonts w:cstheme="minorHAnsi"/>
              </w:rPr>
              <w:t xml:space="preserve"> </w:t>
            </w:r>
            <w:r w:rsidRPr="00A47ED5">
              <w:rPr>
                <w:rFonts w:cstheme="minorHAnsi"/>
                <w:i/>
                <w:iCs/>
              </w:rPr>
              <w:t>Creating smart cities and society: Employing information and communication technologies for sustainable social and economic development</w:t>
            </w:r>
            <w:r w:rsidR="00A47ED5" w:rsidRPr="00A47ED5">
              <w:rPr>
                <w:rFonts w:cstheme="minorHAnsi"/>
              </w:rPr>
              <w:t>)</w:t>
            </w:r>
            <w:r w:rsidRPr="001E1B8B">
              <w:rPr>
                <w:rFonts w:cstheme="minorHAnsi"/>
              </w:rPr>
              <w:t xml:space="preserve"> rapporteur group meeting.</w:t>
            </w:r>
          </w:p>
        </w:tc>
      </w:tr>
    </w:tbl>
    <w:p w14:paraId="29B3F815" w14:textId="4C457DEF" w:rsidR="009A30A6" w:rsidRPr="001E1B8B" w:rsidRDefault="009A30A6" w:rsidP="00563C28">
      <w:pPr>
        <w:keepNext/>
        <w:spacing w:before="240"/>
        <w:rPr>
          <w:b/>
          <w:bCs/>
        </w:rPr>
      </w:pPr>
      <w:r w:rsidRPr="001E1B8B">
        <w:rPr>
          <w:b/>
          <w:bCs/>
        </w:rPr>
        <w:t xml:space="preserve">5. </w:t>
      </w:r>
      <w:r w:rsidRPr="001E1B8B">
        <w:rPr>
          <w:b/>
          <w:bCs/>
        </w:rPr>
        <w:tab/>
      </w:r>
      <w:r w:rsidR="00995C85" w:rsidRPr="001E1B8B">
        <w:rPr>
          <w:b/>
          <w:bCs/>
        </w:rPr>
        <w:t>D</w:t>
      </w:r>
      <w:r w:rsidR="00E06A10" w:rsidRPr="001E1B8B">
        <w:rPr>
          <w:b/>
          <w:bCs/>
        </w:rPr>
        <w:t>igital services and applications: C</w:t>
      </w:r>
      <w:r w:rsidR="00A27AE9" w:rsidRPr="001E1B8B">
        <w:rPr>
          <w:b/>
          <w:bCs/>
        </w:rPr>
        <w:t>reating transformative digital strategies and application services</w:t>
      </w:r>
    </w:p>
    <w:p w14:paraId="784101E3" w14:textId="387E1D7A" w:rsidR="00995C85" w:rsidRPr="001E1B8B" w:rsidRDefault="00563C28" w:rsidP="00CD7D0C">
      <w:pPr>
        <w:keepNext/>
        <w:rPr>
          <w:b/>
          <w:bCs/>
        </w:rPr>
      </w:pPr>
      <w:r w:rsidRPr="001E1B8B">
        <w:rPr>
          <w:bCs/>
        </w:rPr>
        <w:t>5.1</w:t>
      </w:r>
      <w:r w:rsidRPr="001E1B8B">
        <w:rPr>
          <w:bCs/>
        </w:rPr>
        <w:tab/>
      </w:r>
      <w:r w:rsidR="00995C85" w:rsidRPr="001E1B8B">
        <w:rPr>
          <w:b/>
          <w:bCs/>
        </w:rPr>
        <w:t>S</w:t>
      </w:r>
      <w:r w:rsidR="00E06A10" w:rsidRPr="001E1B8B">
        <w:rPr>
          <w:b/>
          <w:bCs/>
        </w:rPr>
        <w:t>caling up digital health</w:t>
      </w:r>
    </w:p>
    <w:p w14:paraId="7953F972" w14:textId="4AB4D4B2" w:rsidR="00A17565" w:rsidRDefault="00995C85" w:rsidP="00A17565">
      <w:pPr>
        <w:rPr>
          <w:rFonts w:ascii="Calibri" w:eastAsia="Calibri" w:hAnsi="Calibri" w:cs="Calibri"/>
        </w:rPr>
      </w:pPr>
      <w:r w:rsidRPr="001E1B8B">
        <w:rPr>
          <w:bCs/>
        </w:rPr>
        <w:t xml:space="preserve">The </w:t>
      </w:r>
      <w:r w:rsidR="0057058E" w:rsidRPr="001E1B8B">
        <w:rPr>
          <w:bCs/>
        </w:rPr>
        <w:t xml:space="preserve">impact of the </w:t>
      </w:r>
      <w:r w:rsidRPr="001E1B8B">
        <w:rPr>
          <w:bCs/>
        </w:rPr>
        <w:t xml:space="preserve">ITU-WHO </w:t>
      </w:r>
      <w:hyperlink r:id="rId39" w:history="1">
        <w:r w:rsidRPr="001E1B8B">
          <w:rPr>
            <w:rStyle w:val="Hyperlink"/>
            <w:bCs/>
          </w:rPr>
          <w:t>Be He@lthy, Be Mobile Initiative</w:t>
        </w:r>
      </w:hyperlink>
      <w:r w:rsidRPr="001E1B8B">
        <w:rPr>
          <w:bCs/>
        </w:rPr>
        <w:t xml:space="preserve"> continues to grow. It no</w:t>
      </w:r>
      <w:r w:rsidR="00563C28" w:rsidRPr="001E1B8B">
        <w:rPr>
          <w:bCs/>
        </w:rPr>
        <w:t>w works with 11 </w:t>
      </w:r>
      <w:r w:rsidRPr="001E1B8B">
        <w:rPr>
          <w:bCs/>
        </w:rPr>
        <w:t>co</w:t>
      </w:r>
      <w:r w:rsidR="00563C28" w:rsidRPr="001E1B8B">
        <w:rPr>
          <w:bCs/>
        </w:rPr>
        <w:t>u</w:t>
      </w:r>
      <w:r w:rsidRPr="001E1B8B">
        <w:rPr>
          <w:bCs/>
        </w:rPr>
        <w:t>ntries to tackle issues as diverse as cervical cancer, diabetes</w:t>
      </w:r>
      <w:r w:rsidR="0057058E" w:rsidRPr="001E1B8B">
        <w:rPr>
          <w:bCs/>
        </w:rPr>
        <w:t>,</w:t>
      </w:r>
      <w:r w:rsidRPr="001E1B8B">
        <w:rPr>
          <w:bCs/>
        </w:rPr>
        <w:t xml:space="preserve"> and tobacco use. In total, more than 3.5 million people have benefited from this programme.</w:t>
      </w:r>
      <w:r w:rsidR="00B96A99" w:rsidRPr="001E1B8B">
        <w:rPr>
          <w:bCs/>
        </w:rPr>
        <w:t xml:space="preserve"> </w:t>
      </w:r>
      <w:r w:rsidR="00A27AE9" w:rsidRPr="001E1B8B">
        <w:t>Deliverables</w:t>
      </w:r>
      <w:r w:rsidR="00401183" w:rsidRPr="001E1B8B">
        <w:t xml:space="preserve"> of the </w:t>
      </w:r>
      <w:r w:rsidR="00401183" w:rsidRPr="001E1B8B">
        <w:rPr>
          <w:bCs/>
        </w:rPr>
        <w:t>Be He@lthy, Be Mobile initiative</w:t>
      </w:r>
      <w:r w:rsidR="00A27AE9" w:rsidRPr="001E1B8B">
        <w:t xml:space="preserve"> include</w:t>
      </w:r>
      <w:r w:rsidR="00C83DF1">
        <w:t xml:space="preserve"> </w:t>
      </w:r>
      <w:r w:rsidR="0057058E" w:rsidRPr="00B66173">
        <w:rPr>
          <w:rFonts w:ascii="Calibri" w:eastAsia="Calibri" w:hAnsi="Calibri" w:cs="Calibri"/>
        </w:rPr>
        <w:t xml:space="preserve">USD </w:t>
      </w:r>
      <w:r w:rsidR="000E07D2" w:rsidRPr="00B66173">
        <w:rPr>
          <w:rFonts w:ascii="Calibri" w:eastAsia="Calibri" w:hAnsi="Calibri" w:cs="Calibri"/>
        </w:rPr>
        <w:t>1.8</w:t>
      </w:r>
      <w:r w:rsidR="0057058E" w:rsidRPr="00B66173">
        <w:rPr>
          <w:rFonts w:ascii="Calibri" w:eastAsia="Calibri" w:hAnsi="Calibri" w:cs="Calibri"/>
        </w:rPr>
        <w:t xml:space="preserve"> million</w:t>
      </w:r>
      <w:r w:rsidR="00C83DF1">
        <w:rPr>
          <w:rFonts w:ascii="Calibri" w:eastAsia="Calibri" w:hAnsi="Calibri" w:cs="Calibri"/>
        </w:rPr>
        <w:t xml:space="preserve"> raised</w:t>
      </w:r>
      <w:r w:rsidR="000E07D2" w:rsidRPr="00B66173">
        <w:rPr>
          <w:rFonts w:ascii="Calibri" w:eastAsia="Calibri" w:hAnsi="Calibri" w:cs="Calibri"/>
        </w:rPr>
        <w:t xml:space="preserve"> from </w:t>
      </w:r>
      <w:r w:rsidR="0057058E" w:rsidRPr="00B66173">
        <w:rPr>
          <w:rFonts w:ascii="Calibri" w:eastAsia="Calibri" w:hAnsi="Calibri" w:cs="Calibri"/>
        </w:rPr>
        <w:t>three</w:t>
      </w:r>
      <w:r w:rsidR="000E07D2" w:rsidRPr="00B66173">
        <w:rPr>
          <w:rFonts w:ascii="Calibri" w:eastAsia="Calibri" w:hAnsi="Calibri" w:cs="Calibri"/>
        </w:rPr>
        <w:t xml:space="preserve"> new partners (Roche, Discovery/Vitality, Santen)</w:t>
      </w:r>
      <w:r w:rsidR="00C83DF1">
        <w:rPr>
          <w:rFonts w:ascii="Calibri" w:eastAsia="Calibri" w:hAnsi="Calibri" w:cs="Calibri"/>
        </w:rPr>
        <w:t>; c</w:t>
      </w:r>
      <w:r w:rsidR="000E07D2" w:rsidRPr="00B66173">
        <w:rPr>
          <w:rFonts w:ascii="Calibri" w:eastAsia="Calibri" w:hAnsi="Calibri" w:cs="Calibri"/>
        </w:rPr>
        <w:t xml:space="preserve">ontinued </w:t>
      </w:r>
      <w:r w:rsidR="00401183" w:rsidRPr="00B66173">
        <w:rPr>
          <w:rFonts w:ascii="Calibri" w:eastAsia="Calibri" w:hAnsi="Calibri" w:cs="Calibri"/>
        </w:rPr>
        <w:t xml:space="preserve">support to </w:t>
      </w:r>
      <w:r w:rsidR="001E1B8B" w:rsidRPr="00B66173">
        <w:rPr>
          <w:rFonts w:ascii="Calibri" w:eastAsia="Calibri" w:hAnsi="Calibri" w:cs="Calibri"/>
        </w:rPr>
        <w:t xml:space="preserve">Egypt, India, Philippines, Senegal, </w:t>
      </w:r>
      <w:r w:rsidR="000E07D2" w:rsidRPr="00B66173">
        <w:rPr>
          <w:rFonts w:ascii="Calibri" w:eastAsia="Calibri" w:hAnsi="Calibri" w:cs="Calibri"/>
        </w:rPr>
        <w:t>Tunisia</w:t>
      </w:r>
      <w:r w:rsidR="00C83DF1">
        <w:rPr>
          <w:rFonts w:ascii="Calibri" w:eastAsia="Calibri" w:hAnsi="Calibri" w:cs="Calibri"/>
        </w:rPr>
        <w:t xml:space="preserve">; </w:t>
      </w:r>
      <w:r w:rsidR="000E07D2" w:rsidRPr="00B66173">
        <w:rPr>
          <w:rFonts w:ascii="Calibri" w:eastAsia="Calibri" w:hAnsi="Calibri" w:cs="Calibri"/>
        </w:rPr>
        <w:t xml:space="preserve">implementation </w:t>
      </w:r>
      <w:r w:rsidR="00C83DF1">
        <w:rPr>
          <w:rFonts w:ascii="Calibri" w:eastAsia="Calibri" w:hAnsi="Calibri" w:cs="Calibri"/>
        </w:rPr>
        <w:t xml:space="preserve">started </w:t>
      </w:r>
      <w:r w:rsidR="000E07D2" w:rsidRPr="00B66173">
        <w:rPr>
          <w:rFonts w:ascii="Calibri" w:eastAsia="Calibri" w:hAnsi="Calibri" w:cs="Calibri"/>
        </w:rPr>
        <w:t>in Burkina Faso and Sudan</w:t>
      </w:r>
      <w:r w:rsidR="00C83DF1">
        <w:rPr>
          <w:rFonts w:ascii="Calibri" w:eastAsia="Calibri" w:hAnsi="Calibri" w:cs="Calibri"/>
        </w:rPr>
        <w:t xml:space="preserve">; </w:t>
      </w:r>
      <w:r w:rsidR="000E07D2" w:rsidRPr="00B66173">
        <w:rPr>
          <w:rFonts w:ascii="Calibri" w:eastAsia="Calibri" w:hAnsi="Calibri" w:cs="Calibri"/>
        </w:rPr>
        <w:t xml:space="preserve">a new project in Senegal </w:t>
      </w:r>
      <w:r w:rsidR="00A47ED5">
        <w:rPr>
          <w:rFonts w:ascii="Calibri" w:eastAsia="Calibri" w:hAnsi="Calibri" w:cs="Calibri"/>
        </w:rPr>
        <w:t>to detect</w:t>
      </w:r>
      <w:r w:rsidR="000E07D2" w:rsidRPr="00B66173">
        <w:rPr>
          <w:rFonts w:ascii="Calibri" w:eastAsia="Calibri" w:hAnsi="Calibri" w:cs="Calibri"/>
        </w:rPr>
        <w:t xml:space="preserve"> Diabetic R</w:t>
      </w:r>
      <w:r w:rsidR="00A27AE9" w:rsidRPr="00B66173">
        <w:rPr>
          <w:rFonts w:ascii="Calibri" w:eastAsia="Calibri" w:hAnsi="Calibri" w:cs="Calibri"/>
        </w:rPr>
        <w:t>etinopathy using AI</w:t>
      </w:r>
      <w:r w:rsidR="00A17565">
        <w:rPr>
          <w:rFonts w:ascii="Calibri" w:eastAsia="Calibri" w:hAnsi="Calibri" w:cs="Calibri"/>
        </w:rPr>
        <w:t>.</w:t>
      </w:r>
    </w:p>
    <w:p w14:paraId="4C41F8DF" w14:textId="5D002A1F" w:rsidR="00401183" w:rsidRPr="00B66173" w:rsidRDefault="00A17565" w:rsidP="00A17565">
      <w:pPr>
        <w:rPr>
          <w:rFonts w:ascii="Calibri" w:eastAsia="Calibri" w:hAnsi="Calibri" w:cs="Calibri"/>
        </w:rPr>
      </w:pPr>
      <w:r w:rsidRPr="00A17565">
        <w:t xml:space="preserve">A </w:t>
      </w:r>
      <w:r w:rsidR="001E1B8B" w:rsidRPr="00A17565">
        <w:t xml:space="preserve"> </w:t>
      </w:r>
      <w:hyperlink r:id="rId40" w:history="1">
        <w:r w:rsidR="001E1B8B" w:rsidRPr="00A17565">
          <w:rPr>
            <w:rStyle w:val="Hyperlink"/>
          </w:rPr>
          <w:t>handbook</w:t>
        </w:r>
      </w:hyperlink>
      <w:r w:rsidR="001E1B8B" w:rsidRPr="00A17565">
        <w:t xml:space="preserve"> </w:t>
      </w:r>
      <w:r w:rsidR="001E1B8B" w:rsidRPr="001E1B8B">
        <w:rPr>
          <w:i/>
          <w:iCs/>
        </w:rPr>
        <w:t>on how to implement mTB-Tobacco</w:t>
      </w:r>
      <w:r w:rsidR="001E1B8B" w:rsidRPr="001E1B8B">
        <w:t xml:space="preserve"> </w:t>
      </w:r>
      <w:r>
        <w:t xml:space="preserve">has been </w:t>
      </w:r>
      <w:r w:rsidR="001E1B8B">
        <w:t>p</w:t>
      </w:r>
      <w:r w:rsidR="001E1B8B" w:rsidRPr="001E1B8B">
        <w:t xml:space="preserve">ublished </w:t>
      </w:r>
      <w:r w:rsidR="00A27AE9" w:rsidRPr="001E1B8B">
        <w:t>and a</w:t>
      </w:r>
      <w:r w:rsidR="000E07D2" w:rsidRPr="001E1B8B">
        <w:t xml:space="preserve"> </w:t>
      </w:r>
      <w:r w:rsidR="000E07D2" w:rsidRPr="00B66173">
        <w:rPr>
          <w:rFonts w:ascii="Calibri" w:eastAsia="Calibri" w:hAnsi="Calibri" w:cs="Calibri"/>
        </w:rPr>
        <w:t>toolkit</w:t>
      </w:r>
      <w:r w:rsidR="00836AC4">
        <w:t xml:space="preserve"> developed</w:t>
      </w:r>
      <w:r>
        <w:t>, and a</w:t>
      </w:r>
      <w:r w:rsidR="00401183" w:rsidRPr="001E1B8B">
        <w:rPr>
          <w:bCs/>
        </w:rPr>
        <w:t xml:space="preserve">n </w:t>
      </w:r>
      <w:hyperlink r:id="rId41" w:history="1">
        <w:r w:rsidR="00401183" w:rsidRPr="001E1B8B">
          <w:rPr>
            <w:rStyle w:val="Hyperlink"/>
          </w:rPr>
          <w:t>mHealth Innovation Hub</w:t>
        </w:r>
      </w:hyperlink>
      <w:r w:rsidR="00401183" w:rsidRPr="001E1B8B">
        <w:t xml:space="preserve"> for the Europe region was established with the European Union and WHO to serve as a platform to share best </w:t>
      </w:r>
      <w:r w:rsidR="00401183" w:rsidRPr="00B66173">
        <w:rPr>
          <w:rFonts w:ascii="Calibri" w:eastAsia="Calibri" w:hAnsi="Calibri" w:cs="Calibri"/>
        </w:rPr>
        <w:t>practices</w:t>
      </w:r>
      <w:r w:rsidR="00401183" w:rsidRPr="001E1B8B">
        <w:t xml:space="preserve"> and provide a one-stop place to access guidance on mobile health implementation and </w:t>
      </w:r>
      <w:r w:rsidR="00401183" w:rsidRPr="00B66173">
        <w:rPr>
          <w:rFonts w:ascii="Calibri" w:eastAsia="Calibri" w:hAnsi="Calibri" w:cs="Calibri"/>
        </w:rPr>
        <w:t>scaling up.</w:t>
      </w:r>
    </w:p>
    <w:p w14:paraId="674FF593" w14:textId="3696302F" w:rsidR="00995C85" w:rsidRPr="001E1B8B" w:rsidRDefault="00563C28" w:rsidP="00DC03AE">
      <w:pPr>
        <w:keepNext/>
        <w:rPr>
          <w:bCs/>
        </w:rPr>
      </w:pPr>
      <w:r w:rsidRPr="001E1B8B">
        <w:rPr>
          <w:bCs/>
        </w:rPr>
        <w:t>5.2</w:t>
      </w:r>
      <w:r w:rsidRPr="001E1B8B">
        <w:rPr>
          <w:bCs/>
        </w:rPr>
        <w:tab/>
      </w:r>
      <w:r w:rsidR="00995C85" w:rsidRPr="001E1B8B">
        <w:rPr>
          <w:b/>
          <w:bCs/>
        </w:rPr>
        <w:t>B</w:t>
      </w:r>
      <w:r w:rsidR="0057058E" w:rsidRPr="001E1B8B">
        <w:rPr>
          <w:b/>
          <w:bCs/>
        </w:rPr>
        <w:t>uilding smart villages</w:t>
      </w:r>
    </w:p>
    <w:p w14:paraId="018D0456" w14:textId="48D70AC1" w:rsidR="00995C85" w:rsidRPr="001E1B8B" w:rsidRDefault="00A27AE9" w:rsidP="00563C28">
      <w:pPr>
        <w:rPr>
          <w:bCs/>
        </w:rPr>
      </w:pPr>
      <w:r w:rsidRPr="001E1B8B">
        <w:rPr>
          <w:bCs/>
        </w:rPr>
        <w:t xml:space="preserve">The </w:t>
      </w:r>
      <w:hyperlink r:id="rId42" w:history="1">
        <w:r w:rsidRPr="001E1B8B">
          <w:rPr>
            <w:rStyle w:val="Hyperlink"/>
            <w:bCs/>
          </w:rPr>
          <w:t>Smart Village project</w:t>
        </w:r>
      </w:hyperlink>
      <w:r w:rsidR="00131DC9" w:rsidRPr="001E1B8B">
        <w:rPr>
          <w:bCs/>
        </w:rPr>
        <w:t xml:space="preserve"> to connect remote areas of Niger to the Internet</w:t>
      </w:r>
      <w:r w:rsidRPr="001E1B8B">
        <w:rPr>
          <w:bCs/>
        </w:rPr>
        <w:t xml:space="preserve">, </w:t>
      </w:r>
      <w:r w:rsidR="00131DC9" w:rsidRPr="001E1B8B">
        <w:rPr>
          <w:bCs/>
        </w:rPr>
        <w:t xml:space="preserve">created </w:t>
      </w:r>
      <w:r w:rsidRPr="001E1B8B">
        <w:rPr>
          <w:bCs/>
        </w:rPr>
        <w:t xml:space="preserve">a collaboration between </w:t>
      </w:r>
      <w:r w:rsidR="00131DC9" w:rsidRPr="001E1B8B">
        <w:rPr>
          <w:bCs/>
        </w:rPr>
        <w:t xml:space="preserve">ITU and </w:t>
      </w:r>
      <w:r w:rsidRPr="001E1B8B">
        <w:rPr>
          <w:bCs/>
        </w:rPr>
        <w:t xml:space="preserve">the </w:t>
      </w:r>
      <w:hyperlink r:id="rId43" w:history="1">
        <w:r w:rsidRPr="001E1B8B">
          <w:rPr>
            <w:rStyle w:val="Hyperlink"/>
            <w:bCs/>
          </w:rPr>
          <w:t>National Agency for Information Society (ANSI)</w:t>
        </w:r>
      </w:hyperlink>
      <w:r w:rsidRPr="001E1B8B">
        <w:rPr>
          <w:bCs/>
        </w:rPr>
        <w:t xml:space="preserve"> and several other organizations. </w:t>
      </w:r>
      <w:r w:rsidR="00337F8B">
        <w:rPr>
          <w:bCs/>
        </w:rPr>
        <w:t xml:space="preserve">In addition, </w:t>
      </w:r>
      <w:r w:rsidR="00995C85" w:rsidRPr="001E1B8B">
        <w:rPr>
          <w:bCs/>
        </w:rPr>
        <w:t>ITU and the Digital Impact Alliance (DIAL) developed a methodology for the Niger Smart Village project to guide a common cross- sector digital infrastructure through a whole</w:t>
      </w:r>
      <w:r w:rsidR="00131DC9" w:rsidRPr="001E1B8B">
        <w:rPr>
          <w:bCs/>
        </w:rPr>
        <w:t>-</w:t>
      </w:r>
      <w:r w:rsidR="00995C85" w:rsidRPr="001E1B8B">
        <w:rPr>
          <w:bCs/>
        </w:rPr>
        <w:t>of</w:t>
      </w:r>
      <w:r w:rsidR="00131DC9" w:rsidRPr="001E1B8B">
        <w:rPr>
          <w:bCs/>
        </w:rPr>
        <w:t>-</w:t>
      </w:r>
      <w:r w:rsidR="00995C85" w:rsidRPr="001E1B8B">
        <w:rPr>
          <w:bCs/>
        </w:rPr>
        <w:t>government approach</w:t>
      </w:r>
      <w:r w:rsidR="00131DC9" w:rsidRPr="001E1B8B">
        <w:rPr>
          <w:bCs/>
        </w:rPr>
        <w:t>.</w:t>
      </w:r>
      <w:r w:rsidR="00995C85" w:rsidRPr="001E1B8B">
        <w:rPr>
          <w:bCs/>
        </w:rPr>
        <w:t xml:space="preserve"> </w:t>
      </w:r>
      <w:r w:rsidR="00131DC9" w:rsidRPr="001E1B8B">
        <w:rPr>
          <w:bCs/>
        </w:rPr>
        <w:t xml:space="preserve">This approach generates a more integrated and coordinated services </w:t>
      </w:r>
      <w:r w:rsidR="00995C85" w:rsidRPr="001E1B8B">
        <w:rPr>
          <w:bCs/>
        </w:rPr>
        <w:t>deliver</w:t>
      </w:r>
      <w:r w:rsidR="00131DC9" w:rsidRPr="001E1B8B">
        <w:rPr>
          <w:bCs/>
        </w:rPr>
        <w:t>y</w:t>
      </w:r>
      <w:r w:rsidR="00995C85" w:rsidRPr="001E1B8B">
        <w:rPr>
          <w:bCs/>
        </w:rPr>
        <w:t>.</w:t>
      </w:r>
    </w:p>
    <w:p w14:paraId="19EC1B5B" w14:textId="218377C2" w:rsidR="000E07D2" w:rsidRPr="001E1B8B" w:rsidRDefault="000E07D2" w:rsidP="00776763">
      <w:pPr>
        <w:keepNext/>
        <w:shd w:val="clear" w:color="auto" w:fill="FFFFFF"/>
        <w:tabs>
          <w:tab w:val="clear" w:pos="794"/>
          <w:tab w:val="clear" w:pos="1191"/>
          <w:tab w:val="clear" w:pos="1588"/>
          <w:tab w:val="clear" w:pos="1985"/>
        </w:tabs>
        <w:overflowPunct/>
        <w:autoSpaceDE/>
        <w:autoSpaceDN/>
        <w:adjustRightInd/>
        <w:rPr>
          <w:rFonts w:cstheme="minorHAnsi"/>
          <w:szCs w:val="24"/>
        </w:rPr>
      </w:pPr>
      <w:r w:rsidRPr="001E1B8B">
        <w:rPr>
          <w:rFonts w:cstheme="minorHAnsi"/>
          <w:szCs w:val="24"/>
        </w:rPr>
        <w:t xml:space="preserve">5.3 </w:t>
      </w:r>
      <w:r w:rsidR="00CD7D0C" w:rsidRPr="001E1B8B">
        <w:rPr>
          <w:rFonts w:cstheme="minorHAnsi"/>
          <w:szCs w:val="24"/>
        </w:rPr>
        <w:tab/>
      </w:r>
      <w:r w:rsidR="00131DC9" w:rsidRPr="001E1B8B">
        <w:rPr>
          <w:rFonts w:cstheme="minorHAnsi"/>
          <w:b/>
          <w:szCs w:val="24"/>
        </w:rPr>
        <w:t>Developing national digital sectoral strategies</w:t>
      </w:r>
    </w:p>
    <w:p w14:paraId="11E229CF" w14:textId="5534A7F1" w:rsidR="000E07D2" w:rsidRPr="001E1B8B" w:rsidRDefault="000E07D2" w:rsidP="000E07D2">
      <w:pPr>
        <w:overflowPunct/>
        <w:autoSpaceDE/>
        <w:autoSpaceDN/>
        <w:adjustRightInd/>
        <w:spacing w:line="252" w:lineRule="auto"/>
        <w:textAlignment w:val="auto"/>
        <w:rPr>
          <w:szCs w:val="24"/>
        </w:rPr>
      </w:pPr>
      <w:r w:rsidRPr="001E1B8B">
        <w:rPr>
          <w:szCs w:val="24"/>
        </w:rPr>
        <w:t>Several countries developed national digital strategies and roadmaps for agriculture and government services through multi-stakeholder processes and engaging public and private sector.</w:t>
      </w:r>
    </w:p>
    <w:p w14:paraId="2C6AAE93" w14:textId="3CD15A0B" w:rsidR="000E07D2" w:rsidRPr="001E1B8B" w:rsidRDefault="000E07D2" w:rsidP="00776763">
      <w:pPr>
        <w:keepNext/>
        <w:shd w:val="clear" w:color="auto" w:fill="FFFFFF"/>
        <w:tabs>
          <w:tab w:val="clear" w:pos="794"/>
          <w:tab w:val="clear" w:pos="1191"/>
          <w:tab w:val="clear" w:pos="1588"/>
          <w:tab w:val="clear" w:pos="1985"/>
        </w:tabs>
        <w:overflowPunct/>
        <w:autoSpaceDE/>
        <w:autoSpaceDN/>
        <w:adjustRightInd/>
        <w:rPr>
          <w:rFonts w:cstheme="minorHAnsi"/>
          <w:szCs w:val="24"/>
        </w:rPr>
      </w:pPr>
      <w:r w:rsidRPr="001E1B8B">
        <w:rPr>
          <w:rFonts w:cstheme="minorHAnsi"/>
          <w:szCs w:val="24"/>
        </w:rPr>
        <w:t xml:space="preserve">5.4 </w:t>
      </w:r>
      <w:r w:rsidR="00CD7D0C" w:rsidRPr="001E1B8B">
        <w:rPr>
          <w:rFonts w:cstheme="minorHAnsi"/>
          <w:szCs w:val="24"/>
        </w:rPr>
        <w:tab/>
      </w:r>
      <w:r w:rsidRPr="001E1B8B">
        <w:rPr>
          <w:rFonts w:cstheme="minorHAnsi"/>
          <w:b/>
          <w:szCs w:val="24"/>
        </w:rPr>
        <w:t>B</w:t>
      </w:r>
      <w:r w:rsidR="00131DC9" w:rsidRPr="001E1B8B">
        <w:rPr>
          <w:rFonts w:cstheme="minorHAnsi"/>
          <w:b/>
          <w:szCs w:val="24"/>
        </w:rPr>
        <w:t>uilding capacity on digital services</w:t>
      </w:r>
    </w:p>
    <w:p w14:paraId="13B7FA5C" w14:textId="2AFB183D" w:rsidR="000E07D2" w:rsidRPr="001E1B8B" w:rsidRDefault="00C760DC" w:rsidP="000E07D2">
      <w:pPr>
        <w:overflowPunct/>
        <w:autoSpaceDE/>
        <w:autoSpaceDN/>
        <w:adjustRightInd/>
        <w:spacing w:line="252" w:lineRule="auto"/>
        <w:textAlignment w:val="auto"/>
        <w:rPr>
          <w:szCs w:val="24"/>
        </w:rPr>
      </w:pPr>
      <w:r w:rsidRPr="001E1B8B">
        <w:rPr>
          <w:szCs w:val="24"/>
        </w:rPr>
        <w:t xml:space="preserve">Training </w:t>
      </w:r>
      <w:r w:rsidR="00A27AE9" w:rsidRPr="001E1B8B">
        <w:rPr>
          <w:szCs w:val="24"/>
        </w:rPr>
        <w:t>on digital health</w:t>
      </w:r>
      <w:r w:rsidR="000E07D2" w:rsidRPr="001E1B8B">
        <w:rPr>
          <w:szCs w:val="24"/>
        </w:rPr>
        <w:t xml:space="preserve"> was</w:t>
      </w:r>
      <w:r w:rsidRPr="001E1B8B">
        <w:rPr>
          <w:szCs w:val="24"/>
        </w:rPr>
        <w:t xml:space="preserve"> given following a digital curriculum developed by ITU </w:t>
      </w:r>
      <w:r w:rsidR="000E07D2" w:rsidRPr="001E1B8B">
        <w:rPr>
          <w:szCs w:val="24"/>
        </w:rPr>
        <w:t>in collaboration with</w:t>
      </w:r>
      <w:r w:rsidR="00A27AE9" w:rsidRPr="001E1B8B">
        <w:rPr>
          <w:szCs w:val="24"/>
        </w:rPr>
        <w:t xml:space="preserve"> the</w:t>
      </w:r>
      <w:r w:rsidR="000E07D2" w:rsidRPr="001E1B8B">
        <w:rPr>
          <w:szCs w:val="24"/>
        </w:rPr>
        <w:t xml:space="preserve"> WHO Africa regional office to scale up digital health in countries</w:t>
      </w:r>
      <w:r w:rsidRPr="001E1B8B">
        <w:rPr>
          <w:szCs w:val="24"/>
        </w:rPr>
        <w:t xml:space="preserve"> in the region, which also gave the opportunity for r</w:t>
      </w:r>
      <w:r w:rsidR="000E07D2" w:rsidRPr="001E1B8B">
        <w:rPr>
          <w:szCs w:val="24"/>
        </w:rPr>
        <w:t>epresentatives from ministries of health and ICT</w:t>
      </w:r>
      <w:r w:rsidRPr="001E1B8B">
        <w:rPr>
          <w:szCs w:val="24"/>
        </w:rPr>
        <w:t xml:space="preserve"> to</w:t>
      </w:r>
      <w:r w:rsidR="000E07D2" w:rsidRPr="001E1B8B">
        <w:rPr>
          <w:szCs w:val="24"/>
        </w:rPr>
        <w:t xml:space="preserve"> shar</w:t>
      </w:r>
      <w:r w:rsidRPr="001E1B8B">
        <w:rPr>
          <w:szCs w:val="24"/>
        </w:rPr>
        <w:t>e</w:t>
      </w:r>
      <w:r w:rsidR="000E07D2" w:rsidRPr="001E1B8B">
        <w:rPr>
          <w:szCs w:val="24"/>
        </w:rPr>
        <w:t xml:space="preserve"> experience</w:t>
      </w:r>
      <w:r w:rsidRPr="001E1B8B">
        <w:rPr>
          <w:szCs w:val="24"/>
        </w:rPr>
        <w:t>s</w:t>
      </w:r>
      <w:r w:rsidR="000E07D2" w:rsidRPr="001E1B8B">
        <w:rPr>
          <w:szCs w:val="24"/>
        </w:rPr>
        <w:t xml:space="preserve"> and lessons learned from their country implementation</w:t>
      </w:r>
      <w:r w:rsidRPr="001E1B8B">
        <w:rPr>
          <w:szCs w:val="24"/>
        </w:rPr>
        <w:t xml:space="preserve"> of digital services</w:t>
      </w:r>
      <w:r w:rsidR="000E07D2" w:rsidRPr="001E1B8B">
        <w:rPr>
          <w:szCs w:val="24"/>
        </w:rPr>
        <w:t xml:space="preserve">. </w:t>
      </w:r>
    </w:p>
    <w:p w14:paraId="140C590E" w14:textId="0B513928" w:rsidR="00445936" w:rsidRPr="001E1B8B" w:rsidRDefault="00445936" w:rsidP="00776763">
      <w:pPr>
        <w:keepNext/>
        <w:overflowPunct/>
        <w:autoSpaceDE/>
        <w:autoSpaceDN/>
        <w:adjustRightInd/>
      </w:pPr>
      <w:r w:rsidRPr="001E1B8B">
        <w:t>5.</w:t>
      </w:r>
      <w:r w:rsidR="0090468E" w:rsidRPr="001E1B8B">
        <w:t>5</w:t>
      </w:r>
      <w:r w:rsidR="001B7935" w:rsidRPr="001E1B8B">
        <w:tab/>
      </w:r>
      <w:r w:rsidRPr="001E1B8B">
        <w:rPr>
          <w:b/>
          <w:bCs/>
        </w:rPr>
        <w:t>S</w:t>
      </w:r>
      <w:r w:rsidR="00C760DC" w:rsidRPr="001E1B8B">
        <w:rPr>
          <w:b/>
          <w:bCs/>
        </w:rPr>
        <w:t>ustainable cities and human settlements</w:t>
      </w:r>
    </w:p>
    <w:p w14:paraId="38C11DB4" w14:textId="69A12BE8" w:rsidR="00445936" w:rsidRPr="001E1B8B" w:rsidRDefault="00C760DC" w:rsidP="00445936">
      <w:pPr>
        <w:spacing w:line="252" w:lineRule="auto"/>
        <w:rPr>
          <w:rFonts w:ascii="Calibri" w:eastAsia="Calibri" w:hAnsi="Calibri" w:cs="Calibri"/>
        </w:rPr>
      </w:pPr>
      <w:r w:rsidRPr="001E1B8B">
        <w:rPr>
          <w:rFonts w:ascii="Calibri" w:eastAsia="Calibri" w:hAnsi="Calibri" w:cs="Calibri"/>
        </w:rPr>
        <w:t>T</w:t>
      </w:r>
      <w:r w:rsidR="00445936" w:rsidRPr="001E1B8B">
        <w:rPr>
          <w:rFonts w:ascii="Calibri" w:eastAsia="Calibri" w:hAnsi="Calibri" w:cs="Calibri"/>
        </w:rPr>
        <w:t xml:space="preserve">he </w:t>
      </w:r>
      <w:r w:rsidR="001327B2">
        <w:rPr>
          <w:rFonts w:ascii="Calibri" w:eastAsia="Calibri" w:hAnsi="Calibri" w:cs="Calibri"/>
        </w:rPr>
        <w:t xml:space="preserve">ITU </w:t>
      </w:r>
      <w:r w:rsidR="00445936" w:rsidRPr="001E1B8B">
        <w:rPr>
          <w:rFonts w:ascii="Calibri" w:eastAsia="Calibri" w:hAnsi="Calibri" w:cs="Calibri"/>
        </w:rPr>
        <w:t xml:space="preserve">Regional Office for Africa facilitated a workshop on </w:t>
      </w:r>
      <w:r w:rsidR="00911EC9" w:rsidRPr="001E1B8B">
        <w:rPr>
          <w:rFonts w:ascii="Calibri" w:eastAsia="Calibri" w:hAnsi="Calibri" w:cs="Calibri"/>
        </w:rPr>
        <w:t>Smart</w:t>
      </w:r>
      <w:r w:rsidR="00445936" w:rsidRPr="001E1B8B">
        <w:rPr>
          <w:rFonts w:ascii="Calibri" w:eastAsia="Calibri" w:hAnsi="Calibri" w:cs="Calibri"/>
        </w:rPr>
        <w:t xml:space="preserve"> Society for Southern Africa</w:t>
      </w:r>
      <w:r w:rsidR="001327B2">
        <w:rPr>
          <w:rFonts w:ascii="Calibri" w:eastAsia="Calibri" w:hAnsi="Calibri" w:cs="Calibri"/>
        </w:rPr>
        <w:t>,</w:t>
      </w:r>
      <w:r w:rsidR="00445936" w:rsidRPr="001E1B8B">
        <w:rPr>
          <w:rFonts w:ascii="Calibri" w:eastAsia="Calibri" w:hAnsi="Calibri" w:cs="Calibri"/>
        </w:rPr>
        <w:t xml:space="preserve"> held in Dar es Salaam</w:t>
      </w:r>
      <w:r w:rsidR="001327B2">
        <w:rPr>
          <w:rFonts w:ascii="Calibri" w:eastAsia="Calibri" w:hAnsi="Calibri" w:cs="Calibri"/>
        </w:rPr>
        <w:t>,</w:t>
      </w:r>
      <w:r w:rsidR="00445936" w:rsidRPr="001E1B8B">
        <w:rPr>
          <w:rFonts w:ascii="Calibri" w:eastAsia="Calibri" w:hAnsi="Calibri" w:cs="Calibri"/>
        </w:rPr>
        <w:t xml:space="preserve"> </w:t>
      </w:r>
      <w:r w:rsidR="009B55A3">
        <w:rPr>
          <w:rFonts w:ascii="Calibri" w:eastAsia="Calibri" w:hAnsi="Calibri" w:cs="Calibri"/>
        </w:rPr>
        <w:t xml:space="preserve">Tanzania, </w:t>
      </w:r>
      <w:r w:rsidR="00445936" w:rsidRPr="001E1B8B">
        <w:rPr>
          <w:rFonts w:ascii="Calibri" w:eastAsia="Calibri" w:hAnsi="Calibri" w:cs="Calibri"/>
        </w:rPr>
        <w:t xml:space="preserve">to broaden understanding of concepts, requirements </w:t>
      </w:r>
      <w:r w:rsidRPr="001E1B8B">
        <w:rPr>
          <w:rFonts w:ascii="Calibri" w:eastAsia="Calibri" w:hAnsi="Calibri" w:cs="Calibri"/>
        </w:rPr>
        <w:t>and</w:t>
      </w:r>
      <w:r w:rsidR="00445936" w:rsidRPr="001E1B8B">
        <w:rPr>
          <w:rFonts w:ascii="Calibri" w:eastAsia="Calibri" w:hAnsi="Calibri" w:cs="Calibri"/>
        </w:rPr>
        <w:t xml:space="preserve"> opportunities to leverage new technologies such as IoTs, </w:t>
      </w:r>
      <w:r w:rsidRPr="001E1B8B">
        <w:rPr>
          <w:rFonts w:ascii="Calibri" w:eastAsia="Calibri" w:hAnsi="Calibri" w:cs="Calibri"/>
        </w:rPr>
        <w:t>AI</w:t>
      </w:r>
      <w:r w:rsidR="00445936" w:rsidRPr="001E1B8B">
        <w:rPr>
          <w:rFonts w:ascii="Calibri" w:eastAsia="Calibri" w:hAnsi="Calibri" w:cs="Calibri"/>
        </w:rPr>
        <w:t xml:space="preserve">, </w:t>
      </w:r>
      <w:r w:rsidRPr="001E1B8B">
        <w:rPr>
          <w:rFonts w:ascii="Calibri" w:eastAsia="Calibri" w:hAnsi="Calibri" w:cs="Calibri"/>
        </w:rPr>
        <w:t>b</w:t>
      </w:r>
      <w:r w:rsidR="00445936" w:rsidRPr="001E1B8B">
        <w:rPr>
          <w:rFonts w:ascii="Calibri" w:eastAsia="Calibri" w:hAnsi="Calibri" w:cs="Calibri"/>
        </w:rPr>
        <w:t xml:space="preserve">ig </w:t>
      </w:r>
      <w:r w:rsidRPr="001E1B8B">
        <w:rPr>
          <w:rFonts w:ascii="Calibri" w:eastAsia="Calibri" w:hAnsi="Calibri" w:cs="Calibri"/>
        </w:rPr>
        <w:t>d</w:t>
      </w:r>
      <w:r w:rsidR="00445936" w:rsidRPr="001E1B8B">
        <w:rPr>
          <w:rFonts w:ascii="Calibri" w:eastAsia="Calibri" w:hAnsi="Calibri" w:cs="Calibri"/>
        </w:rPr>
        <w:t>ata, for a</w:t>
      </w:r>
      <w:r w:rsidR="009B55A3">
        <w:rPr>
          <w:rFonts w:ascii="Calibri" w:eastAsia="Calibri" w:hAnsi="Calibri" w:cs="Calibri"/>
        </w:rPr>
        <w:t xml:space="preserve"> s</w:t>
      </w:r>
      <w:r w:rsidR="00911EC9" w:rsidRPr="001E1B8B">
        <w:rPr>
          <w:rFonts w:ascii="Calibri" w:eastAsia="Calibri" w:hAnsi="Calibri" w:cs="Calibri"/>
        </w:rPr>
        <w:t xml:space="preserve">mart </w:t>
      </w:r>
      <w:r w:rsidR="009B55A3">
        <w:rPr>
          <w:rFonts w:ascii="Calibri" w:eastAsia="Calibri" w:hAnsi="Calibri" w:cs="Calibri"/>
        </w:rPr>
        <w:t>c</w:t>
      </w:r>
      <w:r w:rsidR="00445936" w:rsidRPr="001E1B8B">
        <w:rPr>
          <w:rFonts w:ascii="Calibri" w:eastAsia="Calibri" w:hAnsi="Calibri" w:cs="Calibri"/>
        </w:rPr>
        <w:t>ommunity</w:t>
      </w:r>
      <w:r w:rsidRPr="001E1B8B">
        <w:rPr>
          <w:rFonts w:ascii="Calibri" w:eastAsia="Calibri" w:hAnsi="Calibri" w:cs="Calibri"/>
        </w:rPr>
        <w:t xml:space="preserve"> in </w:t>
      </w:r>
      <w:r w:rsidR="00911EC9" w:rsidRPr="001E1B8B">
        <w:rPr>
          <w:rFonts w:ascii="Calibri" w:eastAsia="Calibri" w:hAnsi="Calibri" w:cs="Calibri"/>
        </w:rPr>
        <w:t xml:space="preserve">countries in </w:t>
      </w:r>
      <w:r w:rsidRPr="001E1B8B">
        <w:rPr>
          <w:rFonts w:ascii="Calibri" w:eastAsia="Calibri" w:hAnsi="Calibri" w:cs="Calibri"/>
        </w:rPr>
        <w:t>the Southern African Development Community (SADC)</w:t>
      </w:r>
      <w:r w:rsidR="00445936" w:rsidRPr="001E1B8B">
        <w:rPr>
          <w:rFonts w:ascii="Calibri" w:eastAsia="Calibri" w:hAnsi="Calibri" w:cs="Calibri"/>
        </w:rPr>
        <w:t>.</w:t>
      </w:r>
    </w:p>
    <w:p w14:paraId="1CB258A6" w14:textId="6130D5BC" w:rsidR="006F7A4D" w:rsidRPr="001E1B8B" w:rsidRDefault="006F7A4D" w:rsidP="0090011B">
      <w:pPr>
        <w:keepNext/>
        <w:spacing w:line="252" w:lineRule="auto"/>
        <w:rPr>
          <w:rFonts w:ascii="Calibri" w:eastAsia="Calibri" w:hAnsi="Calibri" w:cs="Calibri"/>
        </w:rPr>
      </w:pPr>
      <w:r w:rsidRPr="001E1B8B">
        <w:rPr>
          <w:rFonts w:ascii="Calibri" w:eastAsia="Calibri" w:hAnsi="Calibri" w:cs="Calibri"/>
        </w:rPr>
        <w:lastRenderedPageBreak/>
        <w:t>5.6</w:t>
      </w:r>
      <w:r w:rsidRPr="001E1B8B">
        <w:rPr>
          <w:rFonts w:ascii="Calibri" w:eastAsia="Calibri" w:hAnsi="Calibri" w:cs="Calibri"/>
        </w:rPr>
        <w:tab/>
      </w:r>
      <w:r w:rsidRPr="001E1B8B">
        <w:rPr>
          <w:rFonts w:ascii="Calibri" w:eastAsia="Calibri" w:hAnsi="Calibri" w:cs="Calibri"/>
          <w:b/>
          <w:bCs/>
        </w:rPr>
        <w:t>Collaboration with FAO</w:t>
      </w:r>
    </w:p>
    <w:p w14:paraId="298468C9" w14:textId="5ED2613B" w:rsidR="006F7A4D" w:rsidRPr="001E1B8B" w:rsidRDefault="006F7A4D" w:rsidP="00445936">
      <w:pPr>
        <w:spacing w:line="252" w:lineRule="auto"/>
        <w:rPr>
          <w:szCs w:val="24"/>
        </w:rPr>
      </w:pPr>
      <w:r w:rsidRPr="001E1B8B">
        <w:rPr>
          <w:color w:val="333333"/>
          <w:szCs w:val="24"/>
        </w:rPr>
        <w:t xml:space="preserve">ITU is scaling up its collaboration with FAO following the signature of a </w:t>
      </w:r>
      <w:r w:rsidR="00B66173">
        <w:rPr>
          <w:color w:val="333333"/>
          <w:szCs w:val="24"/>
        </w:rPr>
        <w:t>c</w:t>
      </w:r>
      <w:r w:rsidRPr="001E1B8B">
        <w:rPr>
          <w:color w:val="333333"/>
          <w:szCs w:val="24"/>
        </w:rPr>
        <w:t xml:space="preserve">ooperation </w:t>
      </w:r>
      <w:r w:rsidR="00B66173">
        <w:rPr>
          <w:color w:val="333333"/>
          <w:szCs w:val="24"/>
        </w:rPr>
        <w:t>a</w:t>
      </w:r>
      <w:r w:rsidRPr="001E1B8B">
        <w:rPr>
          <w:color w:val="333333"/>
          <w:szCs w:val="24"/>
        </w:rPr>
        <w:t xml:space="preserve">greement in 2019. ITU and FAO are working together to assist several countries in developing and implementing digital </w:t>
      </w:r>
      <w:r w:rsidR="00B66173">
        <w:rPr>
          <w:color w:val="333333"/>
          <w:szCs w:val="24"/>
        </w:rPr>
        <w:t>a</w:t>
      </w:r>
      <w:r w:rsidRPr="001E1B8B">
        <w:rPr>
          <w:color w:val="333333"/>
          <w:szCs w:val="24"/>
        </w:rPr>
        <w:t>griculture strategies and roadmaps to</w:t>
      </w:r>
      <w:r w:rsidRPr="001E1B8B">
        <w:t xml:space="preserve"> </w:t>
      </w:r>
      <w:r w:rsidRPr="001E1B8B">
        <w:rPr>
          <w:color w:val="333333"/>
          <w:szCs w:val="24"/>
        </w:rPr>
        <w:t xml:space="preserve">create capacities and identify priorities for digital investments to achieve agriculture sector objectives. </w:t>
      </w:r>
      <w:r w:rsidRPr="001E1B8B">
        <w:rPr>
          <w:szCs w:val="24"/>
        </w:rPr>
        <w:t xml:space="preserve">ITU is also collaborating with FAO to support </w:t>
      </w:r>
      <w:r w:rsidR="00B66173">
        <w:rPr>
          <w:rFonts w:ascii="Calibri" w:hAnsi="Calibri" w:cs="Calibri"/>
        </w:rPr>
        <w:t>r</w:t>
      </w:r>
      <w:r w:rsidRPr="001E1B8B">
        <w:rPr>
          <w:rFonts w:ascii="Calibri" w:hAnsi="Calibri" w:cs="Calibri"/>
        </w:rPr>
        <w:t xml:space="preserve">ural </w:t>
      </w:r>
      <w:r w:rsidR="00B66173">
        <w:rPr>
          <w:rFonts w:ascii="Calibri" w:hAnsi="Calibri" w:cs="Calibri"/>
        </w:rPr>
        <w:t>e</w:t>
      </w:r>
      <w:r w:rsidRPr="001E1B8B">
        <w:rPr>
          <w:rFonts w:ascii="Calibri" w:hAnsi="Calibri" w:cs="Calibri"/>
        </w:rPr>
        <w:t xml:space="preserve">ntrepreneurship, </w:t>
      </w:r>
      <w:r w:rsidR="00B66173">
        <w:rPr>
          <w:rFonts w:ascii="Calibri" w:hAnsi="Calibri" w:cs="Calibri"/>
        </w:rPr>
        <w:t>i</w:t>
      </w:r>
      <w:r w:rsidRPr="001E1B8B">
        <w:rPr>
          <w:rFonts w:ascii="Calibri" w:hAnsi="Calibri" w:cs="Calibri"/>
        </w:rPr>
        <w:t xml:space="preserve">nvestment and </w:t>
      </w:r>
      <w:r w:rsidR="00B66173">
        <w:rPr>
          <w:rFonts w:ascii="Calibri" w:hAnsi="Calibri" w:cs="Calibri"/>
        </w:rPr>
        <w:t>t</w:t>
      </w:r>
      <w:r w:rsidRPr="001E1B8B">
        <w:rPr>
          <w:rFonts w:ascii="Calibri" w:hAnsi="Calibri" w:cs="Calibri"/>
        </w:rPr>
        <w:t xml:space="preserve">rade in Papua New Guinea and Smart Villages initiative in Niger. Several reports were co-published on digital agriculture with FAO on the use of digital and frontier technologies e.g., </w:t>
      </w:r>
      <w:r w:rsidR="00E23E2E">
        <w:rPr>
          <w:rFonts w:ascii="Calibri" w:hAnsi="Calibri" w:cs="Calibri"/>
        </w:rPr>
        <w:t>b</w:t>
      </w:r>
      <w:r w:rsidRPr="001E1B8B">
        <w:rPr>
          <w:rFonts w:ascii="Calibri" w:hAnsi="Calibri" w:cs="Calibri"/>
        </w:rPr>
        <w:t xml:space="preserve">lockchain, </w:t>
      </w:r>
      <w:r w:rsidR="00E23E2E">
        <w:rPr>
          <w:rFonts w:ascii="Calibri" w:hAnsi="Calibri" w:cs="Calibri"/>
        </w:rPr>
        <w:t>b</w:t>
      </w:r>
      <w:r w:rsidRPr="001E1B8B">
        <w:rPr>
          <w:rFonts w:ascii="Calibri" w:hAnsi="Calibri" w:cs="Calibri"/>
        </w:rPr>
        <w:t>ig data, etc. for agriculture. Additionally,</w:t>
      </w:r>
      <w:r w:rsidRPr="001E1B8B">
        <w:rPr>
          <w:color w:val="333333"/>
          <w:szCs w:val="24"/>
        </w:rPr>
        <w:t xml:space="preserve"> ITU is invited to be a member of the </w:t>
      </w:r>
      <w:r w:rsidR="00E23E2E">
        <w:rPr>
          <w:color w:val="333333"/>
          <w:szCs w:val="24"/>
        </w:rPr>
        <w:t>a</w:t>
      </w:r>
      <w:r w:rsidRPr="001E1B8B">
        <w:rPr>
          <w:color w:val="333333"/>
          <w:szCs w:val="24"/>
        </w:rPr>
        <w:t xml:space="preserve">dvisory </w:t>
      </w:r>
      <w:r w:rsidR="00E23E2E">
        <w:rPr>
          <w:color w:val="333333"/>
          <w:szCs w:val="24"/>
        </w:rPr>
        <w:t>c</w:t>
      </w:r>
      <w:r w:rsidRPr="001E1B8B">
        <w:rPr>
          <w:color w:val="333333"/>
          <w:szCs w:val="24"/>
        </w:rPr>
        <w:t>ommittee of the</w:t>
      </w:r>
      <w:r w:rsidRPr="001E1B8B">
        <w:rPr>
          <w:szCs w:val="24"/>
        </w:rPr>
        <w:t xml:space="preserve"> </w:t>
      </w:r>
      <w:r w:rsidR="00AA55BF">
        <w:rPr>
          <w:szCs w:val="24"/>
        </w:rPr>
        <w:t>D</w:t>
      </w:r>
      <w:r w:rsidRPr="001E1B8B">
        <w:rPr>
          <w:szCs w:val="24"/>
        </w:rPr>
        <w:t xml:space="preserve">igital </w:t>
      </w:r>
      <w:r w:rsidR="00AA55BF">
        <w:rPr>
          <w:szCs w:val="24"/>
        </w:rPr>
        <w:t>C</w:t>
      </w:r>
      <w:r w:rsidRPr="001E1B8B">
        <w:rPr>
          <w:szCs w:val="24"/>
        </w:rPr>
        <w:t xml:space="preserve">ouncil for </w:t>
      </w:r>
      <w:r w:rsidR="00AA55BF">
        <w:rPr>
          <w:szCs w:val="24"/>
        </w:rPr>
        <w:t>F</w:t>
      </w:r>
      <w:r w:rsidRPr="001E1B8B">
        <w:rPr>
          <w:szCs w:val="24"/>
        </w:rPr>
        <w:t xml:space="preserve">ood and </w:t>
      </w:r>
      <w:r w:rsidR="00AA55BF">
        <w:rPr>
          <w:szCs w:val="24"/>
        </w:rPr>
        <w:t>A</w:t>
      </w:r>
      <w:r w:rsidRPr="001E1B8B">
        <w:rPr>
          <w:szCs w:val="24"/>
        </w:rPr>
        <w:t>griculture that will help governments to identify and maximize the potential of digitalization and establish, expand and protect farmers’ access to digital technologies.</w:t>
      </w:r>
    </w:p>
    <w:p w14:paraId="506F4124" w14:textId="12203A5D" w:rsidR="006F7A4D" w:rsidRPr="001E1B8B" w:rsidRDefault="006F7A4D" w:rsidP="0090011B">
      <w:pPr>
        <w:keepNext/>
        <w:spacing w:line="252" w:lineRule="auto"/>
        <w:rPr>
          <w:b/>
          <w:bCs/>
          <w:color w:val="333333"/>
          <w:szCs w:val="24"/>
        </w:rPr>
      </w:pPr>
      <w:r w:rsidRPr="001E1B8B">
        <w:rPr>
          <w:color w:val="333333"/>
          <w:szCs w:val="24"/>
        </w:rPr>
        <w:t>5.7</w:t>
      </w:r>
      <w:r w:rsidRPr="001E1B8B">
        <w:rPr>
          <w:color w:val="333333"/>
          <w:szCs w:val="24"/>
        </w:rPr>
        <w:tab/>
      </w:r>
      <w:r w:rsidRPr="001E1B8B">
        <w:rPr>
          <w:b/>
          <w:bCs/>
          <w:color w:val="333333"/>
          <w:szCs w:val="24"/>
        </w:rPr>
        <w:t>Digital Public Goods (DPG)</w:t>
      </w:r>
    </w:p>
    <w:p w14:paraId="7F468D00" w14:textId="0BD90C42" w:rsidR="006F7A4D" w:rsidRPr="001E1B8B" w:rsidRDefault="006F7A4D">
      <w:pPr>
        <w:overflowPunct/>
        <w:autoSpaceDE/>
        <w:autoSpaceDN/>
        <w:adjustRightInd/>
        <w:textAlignment w:val="auto"/>
        <w:rPr>
          <w:rFonts w:ascii="Calibri" w:eastAsia="Calibri" w:hAnsi="Calibri" w:cs="Calibri"/>
        </w:rPr>
      </w:pPr>
      <w:r w:rsidRPr="001E1B8B">
        <w:rPr>
          <w:color w:val="333333"/>
          <w:szCs w:val="24"/>
        </w:rPr>
        <w:t>ITU is also providing guidance on adopting whole-of-government approaches for investing in shared digital infrastructure that can lead to more rapid scale-up of digital services at less cost and greater return on investment</w:t>
      </w:r>
      <w:r w:rsidR="00DF5641">
        <w:rPr>
          <w:color w:val="333333"/>
          <w:szCs w:val="24"/>
        </w:rPr>
        <w:t>,</w:t>
      </w:r>
      <w:r w:rsidRPr="001E1B8B">
        <w:rPr>
          <w:color w:val="333333"/>
          <w:szCs w:val="24"/>
        </w:rPr>
        <w:t xml:space="preserve"> and how to coordinate investment to make </w:t>
      </w:r>
      <w:r w:rsidR="00404015">
        <w:rPr>
          <w:color w:val="333333"/>
          <w:szCs w:val="24"/>
        </w:rPr>
        <w:t>d</w:t>
      </w:r>
      <w:r w:rsidRPr="001E1B8B">
        <w:rPr>
          <w:color w:val="333333"/>
          <w:szCs w:val="24"/>
        </w:rPr>
        <w:t xml:space="preserve">igital </w:t>
      </w:r>
      <w:r w:rsidR="00404015">
        <w:rPr>
          <w:color w:val="333333"/>
          <w:szCs w:val="24"/>
        </w:rPr>
        <w:t>p</w:t>
      </w:r>
      <w:r w:rsidRPr="001E1B8B">
        <w:rPr>
          <w:color w:val="333333"/>
          <w:szCs w:val="24"/>
        </w:rPr>
        <w:t xml:space="preserve">ublic </w:t>
      </w:r>
      <w:r w:rsidR="00404015">
        <w:rPr>
          <w:color w:val="333333"/>
          <w:szCs w:val="24"/>
        </w:rPr>
        <w:t>g</w:t>
      </w:r>
      <w:r w:rsidRPr="001E1B8B">
        <w:rPr>
          <w:color w:val="333333"/>
          <w:szCs w:val="24"/>
        </w:rPr>
        <w:t xml:space="preserve">oods </w:t>
      </w:r>
      <w:r w:rsidR="00404015" w:rsidRPr="001E1B8B">
        <w:rPr>
          <w:color w:val="333333"/>
          <w:szCs w:val="24"/>
        </w:rPr>
        <w:t xml:space="preserve">available </w:t>
      </w:r>
      <w:r w:rsidRPr="001E1B8B">
        <w:rPr>
          <w:color w:val="333333"/>
          <w:szCs w:val="24"/>
        </w:rPr>
        <w:t xml:space="preserve">that can enable digital transformation for SDGs. </w:t>
      </w:r>
      <w:r w:rsidR="00DF5641">
        <w:rPr>
          <w:color w:val="333333"/>
          <w:szCs w:val="24"/>
        </w:rPr>
        <w:t>A</w:t>
      </w:r>
      <w:r w:rsidR="00AA55BF">
        <w:rPr>
          <w:color w:val="333333"/>
          <w:szCs w:val="24"/>
        </w:rPr>
        <w:t xml:space="preserve"> </w:t>
      </w:r>
      <w:r w:rsidR="00AA55BF" w:rsidRPr="00AA55BF">
        <w:rPr>
          <w:color w:val="333333"/>
          <w:szCs w:val="24"/>
        </w:rPr>
        <w:t>whole-of-government</w:t>
      </w:r>
      <w:r w:rsidR="00DF5641">
        <w:rPr>
          <w:color w:val="333333"/>
          <w:szCs w:val="24"/>
        </w:rPr>
        <w:t xml:space="preserve"> approach</w:t>
      </w:r>
      <w:r w:rsidRPr="001E1B8B">
        <w:rPr>
          <w:color w:val="333333"/>
          <w:szCs w:val="24"/>
        </w:rPr>
        <w:t xml:space="preserve"> </w:t>
      </w:r>
      <w:r w:rsidR="00AA55BF">
        <w:rPr>
          <w:color w:val="333333"/>
          <w:szCs w:val="24"/>
        </w:rPr>
        <w:t xml:space="preserve">is </w:t>
      </w:r>
      <w:r w:rsidRPr="001E1B8B">
        <w:rPr>
          <w:color w:val="333333"/>
          <w:szCs w:val="24"/>
        </w:rPr>
        <w:t xml:space="preserve">outlined in the </w:t>
      </w:r>
      <w:hyperlink r:id="rId44" w:history="1">
        <w:r w:rsidRPr="00DF5641">
          <w:rPr>
            <w:rStyle w:val="Hyperlink"/>
            <w:i/>
            <w:iCs/>
            <w:szCs w:val="24"/>
          </w:rPr>
          <w:t>SDG Digital Investment Framework</w:t>
        </w:r>
      </w:hyperlink>
      <w:r w:rsidRPr="001E1B8B">
        <w:rPr>
          <w:color w:val="333333"/>
          <w:szCs w:val="24"/>
        </w:rPr>
        <w:t xml:space="preserve"> published by ITU and Digital Impact Alliance DIAL.</w:t>
      </w:r>
    </w:p>
    <w:p w14:paraId="1FB6AD9A" w14:textId="77777777" w:rsidR="0038416B" w:rsidRPr="001E1B8B" w:rsidRDefault="0038416B" w:rsidP="00445936">
      <w:pPr>
        <w:spacing w:line="252" w:lineRule="auto"/>
        <w:rPr>
          <w:highlight w:val="yellow"/>
        </w:rPr>
      </w:pPr>
    </w:p>
    <w:tbl>
      <w:tblPr>
        <w:tblStyle w:val="TableGrid3"/>
        <w:tblW w:w="0" w:type="auto"/>
        <w:tblLook w:val="04A0" w:firstRow="1" w:lastRow="0" w:firstColumn="1" w:lastColumn="0" w:noHBand="0" w:noVBand="1"/>
      </w:tblPr>
      <w:tblGrid>
        <w:gridCol w:w="9629"/>
      </w:tblGrid>
      <w:tr w:rsidR="00445936" w:rsidRPr="001E1B8B" w14:paraId="7147DF86" w14:textId="77777777" w:rsidTr="0054502F">
        <w:tc>
          <w:tcPr>
            <w:tcW w:w="9639" w:type="dxa"/>
          </w:tcPr>
          <w:p w14:paraId="2684E99B" w14:textId="71CB6706" w:rsidR="00445936" w:rsidRPr="001E1B8B" w:rsidRDefault="00445936" w:rsidP="0090011B">
            <w:pPr>
              <w:keepNext/>
              <w:rPr>
                <w:b/>
              </w:rPr>
            </w:pPr>
            <w:r w:rsidRPr="001E1B8B">
              <w:rPr>
                <w:b/>
              </w:rPr>
              <w:lastRenderedPageBreak/>
              <w:t>REGIONAL INITIATIVES</w:t>
            </w:r>
          </w:p>
          <w:p w14:paraId="5402B0E8" w14:textId="4AD88843" w:rsidR="00445936" w:rsidRPr="001E1B8B" w:rsidRDefault="0090468E" w:rsidP="0090011B">
            <w:pPr>
              <w:keepNext/>
              <w:overflowPunct/>
              <w:textAlignment w:val="auto"/>
              <w:rPr>
                <w:szCs w:val="24"/>
              </w:rPr>
            </w:pPr>
            <w:r w:rsidRPr="001E1B8B">
              <w:rPr>
                <w:rFonts w:ascii="Calibri" w:eastAsia="Calibri" w:hAnsi="Calibri" w:cs="Calibri"/>
                <w:szCs w:val="24"/>
              </w:rPr>
              <w:t>Africa</w:t>
            </w:r>
            <w:r w:rsidR="00445936" w:rsidRPr="001E1B8B">
              <w:rPr>
                <w:rFonts w:ascii="Calibri" w:eastAsia="Calibri" w:hAnsi="Calibri" w:cs="Calibri"/>
                <w:szCs w:val="24"/>
              </w:rPr>
              <w:t>:</w:t>
            </w:r>
            <w:r w:rsidR="00AA55BF">
              <w:rPr>
                <w:rFonts w:ascii="Calibri" w:eastAsia="Calibri" w:hAnsi="Calibri" w:cs="Calibri"/>
                <w:szCs w:val="24"/>
              </w:rPr>
              <w:t xml:space="preserve"> </w:t>
            </w:r>
            <w:r w:rsidR="00445936" w:rsidRPr="001E1B8B">
              <w:rPr>
                <w:rFonts w:ascii="Calibri" w:eastAsia="Calibri" w:hAnsi="Calibri" w:cs="Calibri"/>
                <w:szCs w:val="24"/>
                <w:u w:val="single"/>
              </w:rPr>
              <w:t>Building digital economies and fostering innovation in Africa</w:t>
            </w:r>
          </w:p>
          <w:p w14:paraId="064986B5" w14:textId="792EF9EB" w:rsidR="0090468E" w:rsidRPr="001E1B8B" w:rsidRDefault="0090468E" w:rsidP="00000112">
            <w:pPr>
              <w:pStyle w:val="ListParagraph"/>
              <w:numPr>
                <w:ilvl w:val="0"/>
                <w:numId w:val="25"/>
              </w:numPr>
              <w:overflowPunct/>
              <w:autoSpaceDE/>
              <w:autoSpaceDN/>
              <w:adjustRightInd/>
              <w:spacing w:line="252" w:lineRule="auto"/>
              <w:ind w:left="357" w:hanging="357"/>
              <w:textAlignment w:val="auto"/>
              <w:rPr>
                <w:szCs w:val="24"/>
              </w:rPr>
            </w:pPr>
            <w:r w:rsidRPr="001E1B8B">
              <w:rPr>
                <w:rFonts w:ascii="Calibri" w:eastAsia="Calibri" w:hAnsi="Calibri" w:cs="Calibri"/>
                <w:szCs w:val="24"/>
              </w:rPr>
              <w:t>T</w:t>
            </w:r>
            <w:r w:rsidRPr="001E1B8B">
              <w:rPr>
                <w:szCs w:val="24"/>
              </w:rPr>
              <w:t xml:space="preserve">he ITU-WHO joint project </w:t>
            </w:r>
            <w:r w:rsidRPr="001E1B8B">
              <w:rPr>
                <w:rFonts w:eastAsiaTheme="minorEastAsia" w:cstheme="minorHAnsi"/>
                <w:bCs/>
                <w:i/>
                <w:iCs/>
                <w:szCs w:val="24"/>
                <w:lang w:eastAsia="zh-CN"/>
              </w:rPr>
              <w:t xml:space="preserve">Using </w:t>
            </w:r>
            <w:r w:rsidR="00DF5641">
              <w:rPr>
                <w:rFonts w:eastAsiaTheme="minorEastAsia" w:cstheme="minorHAnsi"/>
                <w:bCs/>
                <w:i/>
                <w:iCs/>
                <w:szCs w:val="24"/>
                <w:lang w:eastAsia="zh-CN"/>
              </w:rPr>
              <w:t>d</w:t>
            </w:r>
            <w:r w:rsidRPr="001E1B8B">
              <w:rPr>
                <w:rFonts w:eastAsiaTheme="minorEastAsia" w:cstheme="minorHAnsi"/>
                <w:bCs/>
                <w:i/>
                <w:iCs/>
                <w:szCs w:val="24"/>
                <w:lang w:eastAsia="zh-CN"/>
              </w:rPr>
              <w:t xml:space="preserve">igital </w:t>
            </w:r>
            <w:r w:rsidR="00DF5641">
              <w:rPr>
                <w:rFonts w:eastAsiaTheme="minorEastAsia" w:cstheme="minorHAnsi"/>
                <w:bCs/>
                <w:i/>
                <w:iCs/>
                <w:szCs w:val="24"/>
                <w:lang w:eastAsia="zh-CN"/>
              </w:rPr>
              <w:t>h</w:t>
            </w:r>
            <w:r w:rsidRPr="001E1B8B">
              <w:rPr>
                <w:rFonts w:eastAsiaTheme="minorEastAsia" w:cstheme="minorHAnsi"/>
                <w:bCs/>
                <w:i/>
                <w:iCs/>
                <w:szCs w:val="24"/>
                <w:lang w:eastAsia="zh-CN"/>
              </w:rPr>
              <w:t xml:space="preserve">ealth </w:t>
            </w:r>
            <w:r w:rsidR="00DF5641">
              <w:rPr>
                <w:rFonts w:eastAsiaTheme="minorEastAsia" w:cstheme="minorHAnsi"/>
                <w:bCs/>
                <w:i/>
                <w:iCs/>
                <w:szCs w:val="24"/>
                <w:lang w:eastAsia="zh-CN"/>
              </w:rPr>
              <w:t>s</w:t>
            </w:r>
            <w:r w:rsidRPr="001E1B8B">
              <w:rPr>
                <w:rFonts w:eastAsiaTheme="minorEastAsia" w:cstheme="minorHAnsi"/>
                <w:bCs/>
                <w:i/>
                <w:iCs/>
                <w:szCs w:val="24"/>
                <w:lang w:eastAsia="zh-CN"/>
              </w:rPr>
              <w:t>ervices to accelerate SDG</w:t>
            </w:r>
            <w:r w:rsidR="00911EC9" w:rsidRPr="001E1B8B">
              <w:rPr>
                <w:rFonts w:eastAsiaTheme="minorEastAsia" w:cstheme="minorHAnsi"/>
                <w:bCs/>
                <w:i/>
                <w:iCs/>
                <w:szCs w:val="24"/>
                <w:lang w:eastAsia="zh-CN"/>
              </w:rPr>
              <w:t>s</w:t>
            </w:r>
            <w:r w:rsidRPr="001E1B8B">
              <w:rPr>
                <w:rFonts w:eastAsiaTheme="minorEastAsia" w:cstheme="minorHAnsi"/>
                <w:bCs/>
                <w:i/>
                <w:iCs/>
                <w:szCs w:val="24"/>
                <w:lang w:eastAsia="zh-CN"/>
              </w:rPr>
              <w:t xml:space="preserve"> in the Africa </w:t>
            </w:r>
            <w:r w:rsidR="00DF5641">
              <w:rPr>
                <w:rFonts w:eastAsiaTheme="minorEastAsia" w:cstheme="minorHAnsi"/>
                <w:bCs/>
                <w:i/>
                <w:iCs/>
                <w:szCs w:val="24"/>
                <w:lang w:eastAsia="zh-CN"/>
              </w:rPr>
              <w:t>r</w:t>
            </w:r>
            <w:r w:rsidRPr="001E1B8B">
              <w:rPr>
                <w:rFonts w:eastAsiaTheme="minorEastAsia" w:cstheme="minorHAnsi"/>
                <w:bCs/>
                <w:i/>
                <w:iCs/>
                <w:szCs w:val="24"/>
                <w:lang w:eastAsia="zh-CN"/>
              </w:rPr>
              <w:t>egion</w:t>
            </w:r>
            <w:r w:rsidR="00911EC9" w:rsidRPr="001E1B8B">
              <w:rPr>
                <w:rFonts w:eastAsiaTheme="minorEastAsia" w:cstheme="minorHAnsi"/>
                <w:bCs/>
                <w:szCs w:val="24"/>
                <w:lang w:eastAsia="zh-CN"/>
              </w:rPr>
              <w:t xml:space="preserve"> </w:t>
            </w:r>
            <w:r w:rsidRPr="001E1B8B">
              <w:rPr>
                <w:szCs w:val="24"/>
              </w:rPr>
              <w:t xml:space="preserve">was launched to support countries in making full and sustainable use of ICTs in health service delivery </w:t>
            </w:r>
            <w:r w:rsidR="00911EC9" w:rsidRPr="001E1B8B">
              <w:rPr>
                <w:szCs w:val="24"/>
              </w:rPr>
              <w:t>that will</w:t>
            </w:r>
            <w:r w:rsidRPr="001E1B8B">
              <w:rPr>
                <w:szCs w:val="24"/>
              </w:rPr>
              <w:t xml:space="preserve"> improve population and individual health and ensure healthy lives and wellbeing for all in the Africa region.</w:t>
            </w:r>
          </w:p>
          <w:p w14:paraId="4DC179BC" w14:textId="375CA610" w:rsidR="000868A8" w:rsidRPr="001E1B8B" w:rsidRDefault="0090468E" w:rsidP="006E3EE7">
            <w:pPr>
              <w:keepNext/>
              <w:tabs>
                <w:tab w:val="clear" w:pos="794"/>
                <w:tab w:val="clear" w:pos="1191"/>
                <w:tab w:val="clear" w:pos="1588"/>
                <w:tab w:val="clear" w:pos="1985"/>
              </w:tabs>
              <w:overflowPunct/>
              <w:textAlignment w:val="auto"/>
              <w:rPr>
                <w:rFonts w:ascii="Calibri" w:eastAsia="Calibri" w:hAnsi="Calibri" w:cs="Calibri"/>
                <w:szCs w:val="24"/>
              </w:rPr>
            </w:pPr>
            <w:r w:rsidRPr="001E1B8B">
              <w:rPr>
                <w:rFonts w:ascii="Calibri" w:eastAsia="Calibri" w:hAnsi="Calibri" w:cs="Calibri"/>
                <w:szCs w:val="24"/>
              </w:rPr>
              <w:t xml:space="preserve">Asia-Pacific: </w:t>
            </w:r>
            <w:r w:rsidR="000868A8" w:rsidRPr="001E1B8B">
              <w:rPr>
                <w:rFonts w:ascii="Calibri" w:eastAsia="Calibri" w:hAnsi="Calibri" w:cs="Calibri"/>
                <w:szCs w:val="24"/>
                <w:u w:val="single"/>
              </w:rPr>
              <w:t xml:space="preserve">Harnessing </w:t>
            </w:r>
            <w:r w:rsidR="00911EC9" w:rsidRPr="001E1B8B">
              <w:rPr>
                <w:rFonts w:ascii="Calibri" w:eastAsia="Calibri" w:hAnsi="Calibri" w:cs="Calibri"/>
                <w:szCs w:val="24"/>
                <w:u w:val="single"/>
              </w:rPr>
              <w:t>ICTs</w:t>
            </w:r>
            <w:r w:rsidR="000868A8" w:rsidRPr="001E1B8B">
              <w:rPr>
                <w:rFonts w:ascii="Calibri" w:eastAsia="Calibri" w:hAnsi="Calibri" w:cs="Calibri"/>
                <w:szCs w:val="24"/>
                <w:u w:val="single"/>
              </w:rPr>
              <w:t xml:space="preserve"> to support the digital economy and an inclusive digital society</w:t>
            </w:r>
          </w:p>
          <w:p w14:paraId="1268130B" w14:textId="06E59003" w:rsidR="000868A8" w:rsidRPr="001E1B8B" w:rsidRDefault="0090468E" w:rsidP="00000112">
            <w:pPr>
              <w:pStyle w:val="ListParagraph"/>
              <w:numPr>
                <w:ilvl w:val="0"/>
                <w:numId w:val="25"/>
              </w:numPr>
              <w:overflowPunct/>
              <w:ind w:left="357" w:hanging="357"/>
              <w:textAlignment w:val="auto"/>
              <w:rPr>
                <w:rFonts w:ascii="Calibri" w:eastAsia="Calibri" w:hAnsi="Calibri" w:cs="Calibri"/>
                <w:szCs w:val="24"/>
              </w:rPr>
            </w:pPr>
            <w:r w:rsidRPr="001E1B8B">
              <w:rPr>
                <w:rFonts w:ascii="Calibri" w:eastAsia="Calibri" w:hAnsi="Calibri" w:cs="Calibri"/>
                <w:szCs w:val="24"/>
              </w:rPr>
              <w:t xml:space="preserve">E-agriculture: </w:t>
            </w:r>
            <w:r w:rsidR="00911EC9" w:rsidRPr="001E1B8B">
              <w:rPr>
                <w:rFonts w:ascii="Calibri" w:eastAsia="Calibri" w:hAnsi="Calibri" w:cs="Calibri"/>
                <w:szCs w:val="24"/>
              </w:rPr>
              <w:t>I</w:t>
            </w:r>
            <w:r w:rsidR="000868A8" w:rsidRPr="001E1B8B">
              <w:rPr>
                <w:rFonts w:ascii="Calibri" w:eastAsia="Calibri" w:hAnsi="Calibri" w:cs="Calibri"/>
                <w:szCs w:val="24"/>
              </w:rPr>
              <w:t xml:space="preserve">n partnership with FAO, ITU supported </w:t>
            </w:r>
            <w:r w:rsidRPr="001E1B8B">
              <w:rPr>
                <w:rFonts w:ascii="Calibri" w:eastAsia="Calibri" w:hAnsi="Calibri" w:cs="Calibri"/>
                <w:szCs w:val="24"/>
              </w:rPr>
              <w:t xml:space="preserve">the </w:t>
            </w:r>
            <w:r w:rsidR="000868A8" w:rsidRPr="001E1B8B">
              <w:rPr>
                <w:rFonts w:ascii="Calibri" w:eastAsia="Calibri" w:hAnsi="Calibri" w:cs="Calibri"/>
                <w:szCs w:val="24"/>
              </w:rPr>
              <w:t xml:space="preserve">development of </w:t>
            </w:r>
            <w:r w:rsidRPr="001E1B8B">
              <w:rPr>
                <w:rFonts w:ascii="Calibri" w:eastAsia="Calibri" w:hAnsi="Calibri" w:cs="Calibri"/>
                <w:szCs w:val="24"/>
              </w:rPr>
              <w:t xml:space="preserve">the </w:t>
            </w:r>
            <w:r w:rsidR="000868A8" w:rsidRPr="001E1B8B">
              <w:rPr>
                <w:rFonts w:ascii="Calibri" w:eastAsia="Calibri" w:hAnsi="Calibri" w:cs="Calibri"/>
                <w:szCs w:val="24"/>
              </w:rPr>
              <w:t xml:space="preserve">e-agriculture strategy </w:t>
            </w:r>
            <w:r w:rsidRPr="001E1B8B">
              <w:rPr>
                <w:rFonts w:ascii="Calibri" w:eastAsia="Calibri" w:hAnsi="Calibri" w:cs="Calibri"/>
                <w:szCs w:val="24"/>
              </w:rPr>
              <w:t xml:space="preserve">in Mongolia; the </w:t>
            </w:r>
            <w:r w:rsidR="000868A8" w:rsidRPr="001E1B8B">
              <w:rPr>
                <w:rFonts w:ascii="Calibri" w:eastAsia="Calibri" w:hAnsi="Calibri" w:cs="Calibri"/>
                <w:szCs w:val="24"/>
              </w:rPr>
              <w:t>implementation of mobile application</w:t>
            </w:r>
            <w:r w:rsidRPr="001E1B8B">
              <w:rPr>
                <w:rFonts w:ascii="Calibri" w:eastAsia="Calibri" w:hAnsi="Calibri" w:cs="Calibri"/>
                <w:szCs w:val="24"/>
              </w:rPr>
              <w:t>s in Papua New Guinea;</w:t>
            </w:r>
            <w:r w:rsidR="000868A8" w:rsidRPr="001E1B8B">
              <w:rPr>
                <w:rFonts w:ascii="Calibri" w:eastAsia="Calibri" w:hAnsi="Calibri" w:cs="Calibri"/>
                <w:szCs w:val="24"/>
              </w:rPr>
              <w:t xml:space="preserve"> </w:t>
            </w:r>
            <w:r w:rsidRPr="001E1B8B">
              <w:rPr>
                <w:rFonts w:ascii="Calibri" w:eastAsia="Calibri" w:hAnsi="Calibri" w:cs="Calibri"/>
                <w:szCs w:val="24"/>
              </w:rPr>
              <w:t>the development of two</w:t>
            </w:r>
            <w:r w:rsidR="000868A8" w:rsidRPr="001E1B8B">
              <w:rPr>
                <w:rFonts w:ascii="Calibri" w:eastAsia="Calibri" w:hAnsi="Calibri" w:cs="Calibri"/>
                <w:szCs w:val="24"/>
              </w:rPr>
              <w:t xml:space="preserve"> case studies</w:t>
            </w:r>
            <w:r w:rsidRPr="001E1B8B">
              <w:rPr>
                <w:rFonts w:ascii="Calibri" w:eastAsia="Calibri" w:hAnsi="Calibri" w:cs="Calibri"/>
                <w:szCs w:val="24"/>
              </w:rPr>
              <w:t xml:space="preserve"> on </w:t>
            </w:r>
            <w:r w:rsidR="00911EC9" w:rsidRPr="001E1B8B">
              <w:rPr>
                <w:rFonts w:ascii="Calibri" w:eastAsia="Calibri" w:hAnsi="Calibri" w:cs="Calibri"/>
                <w:szCs w:val="24"/>
              </w:rPr>
              <w:t>b</w:t>
            </w:r>
            <w:r w:rsidRPr="001E1B8B">
              <w:rPr>
                <w:rFonts w:ascii="Calibri" w:eastAsia="Calibri" w:hAnsi="Calibri" w:cs="Calibri"/>
                <w:szCs w:val="24"/>
              </w:rPr>
              <w:t xml:space="preserve">lockchain and </w:t>
            </w:r>
            <w:r w:rsidR="00911EC9" w:rsidRPr="001E1B8B">
              <w:rPr>
                <w:rFonts w:ascii="Calibri" w:eastAsia="Calibri" w:hAnsi="Calibri" w:cs="Calibri"/>
                <w:szCs w:val="24"/>
              </w:rPr>
              <w:t>b</w:t>
            </w:r>
            <w:r w:rsidRPr="001E1B8B">
              <w:rPr>
                <w:rFonts w:ascii="Calibri" w:eastAsia="Calibri" w:hAnsi="Calibri" w:cs="Calibri"/>
                <w:szCs w:val="24"/>
              </w:rPr>
              <w:t xml:space="preserve">ig </w:t>
            </w:r>
            <w:r w:rsidR="00911EC9" w:rsidRPr="001E1B8B">
              <w:rPr>
                <w:rFonts w:ascii="Calibri" w:eastAsia="Calibri" w:hAnsi="Calibri" w:cs="Calibri"/>
                <w:szCs w:val="24"/>
              </w:rPr>
              <w:t>d</w:t>
            </w:r>
            <w:r w:rsidRPr="001E1B8B">
              <w:rPr>
                <w:rFonts w:ascii="Calibri" w:eastAsia="Calibri" w:hAnsi="Calibri" w:cs="Calibri"/>
                <w:szCs w:val="24"/>
              </w:rPr>
              <w:t>ata;</w:t>
            </w:r>
            <w:r w:rsidR="000868A8" w:rsidRPr="001E1B8B">
              <w:rPr>
                <w:rFonts w:ascii="Calibri" w:eastAsia="Calibri" w:hAnsi="Calibri" w:cs="Calibri"/>
                <w:szCs w:val="24"/>
              </w:rPr>
              <w:t xml:space="preserve"> and </w:t>
            </w:r>
            <w:r w:rsidRPr="001E1B8B">
              <w:rPr>
                <w:rFonts w:ascii="Calibri" w:eastAsia="Calibri" w:hAnsi="Calibri" w:cs="Calibri"/>
                <w:szCs w:val="24"/>
              </w:rPr>
              <w:t>human capacity building activities in Papua New Guinea and Mongolia.  A joint UN project, l</w:t>
            </w:r>
            <w:r w:rsidR="000868A8" w:rsidRPr="001E1B8B">
              <w:rPr>
                <w:rFonts w:ascii="Calibri" w:eastAsia="Calibri" w:hAnsi="Calibri" w:cs="Calibri"/>
                <w:szCs w:val="24"/>
              </w:rPr>
              <w:t>ed by FAO</w:t>
            </w:r>
            <w:r w:rsidRPr="001E1B8B">
              <w:rPr>
                <w:rFonts w:ascii="Calibri" w:eastAsia="Calibri" w:hAnsi="Calibri" w:cs="Calibri"/>
                <w:szCs w:val="24"/>
              </w:rPr>
              <w:t>, on su</w:t>
            </w:r>
            <w:r w:rsidR="000868A8" w:rsidRPr="001E1B8B">
              <w:rPr>
                <w:rFonts w:ascii="Calibri" w:eastAsia="Calibri" w:hAnsi="Calibri" w:cs="Calibri"/>
                <w:szCs w:val="24"/>
              </w:rPr>
              <w:t>pporting agriculture in areas of Papua New Guinea was also finalised.</w:t>
            </w:r>
          </w:p>
          <w:p w14:paraId="3DAF3622" w14:textId="77777777" w:rsidR="000868A8" w:rsidRPr="001E1B8B" w:rsidRDefault="000868A8" w:rsidP="00000112">
            <w:pPr>
              <w:pStyle w:val="ListParagraph"/>
              <w:numPr>
                <w:ilvl w:val="0"/>
                <w:numId w:val="25"/>
              </w:numPr>
              <w:overflowPunct/>
              <w:ind w:left="357" w:hanging="357"/>
              <w:textAlignment w:val="auto"/>
              <w:rPr>
                <w:rFonts w:ascii="Calibri" w:eastAsia="Calibri" w:hAnsi="Calibri" w:cs="Calibri"/>
                <w:szCs w:val="24"/>
              </w:rPr>
            </w:pPr>
            <w:r w:rsidRPr="001E1B8B">
              <w:rPr>
                <w:rFonts w:ascii="Calibri" w:eastAsia="Calibri" w:hAnsi="Calibri" w:cs="Calibri"/>
                <w:szCs w:val="24"/>
              </w:rPr>
              <w:t>E-Government: Papua New Guinea and Vanuatu were assisted in strengthening their digital government frameworks.</w:t>
            </w:r>
          </w:p>
          <w:p w14:paraId="05BC857B" w14:textId="4C6E189F" w:rsidR="000868A8" w:rsidRPr="001E1B8B" w:rsidRDefault="00AA55BF" w:rsidP="00000112">
            <w:pPr>
              <w:pStyle w:val="ListParagraph"/>
              <w:numPr>
                <w:ilvl w:val="0"/>
                <w:numId w:val="25"/>
              </w:numPr>
              <w:overflowPunct/>
              <w:ind w:left="357" w:hanging="357"/>
              <w:textAlignment w:val="auto"/>
              <w:rPr>
                <w:rFonts w:ascii="Calibri" w:eastAsia="Calibri" w:hAnsi="Calibri" w:cs="Calibri"/>
                <w:szCs w:val="24"/>
              </w:rPr>
            </w:pPr>
            <w:r>
              <w:rPr>
                <w:rFonts w:ascii="Calibri" w:eastAsia="Calibri" w:hAnsi="Calibri" w:cs="Calibri"/>
                <w:szCs w:val="24"/>
              </w:rPr>
              <w:t>T</w:t>
            </w:r>
            <w:r w:rsidR="000868A8" w:rsidRPr="001E1B8B">
              <w:rPr>
                <w:rFonts w:ascii="Calibri" w:eastAsia="Calibri" w:hAnsi="Calibri" w:cs="Calibri"/>
                <w:szCs w:val="24"/>
              </w:rPr>
              <w:t xml:space="preserve">rainings and workshops </w:t>
            </w:r>
            <w:r>
              <w:rPr>
                <w:rFonts w:ascii="Calibri" w:eastAsia="Calibri" w:hAnsi="Calibri" w:cs="Calibri"/>
                <w:szCs w:val="24"/>
              </w:rPr>
              <w:t>raise</w:t>
            </w:r>
            <w:r w:rsidR="009E6F82">
              <w:rPr>
                <w:rFonts w:ascii="Calibri" w:eastAsia="Calibri" w:hAnsi="Calibri" w:cs="Calibri"/>
                <w:szCs w:val="24"/>
              </w:rPr>
              <w:t>d</w:t>
            </w:r>
            <w:r w:rsidR="000868A8" w:rsidRPr="001E1B8B">
              <w:rPr>
                <w:rFonts w:ascii="Calibri" w:eastAsia="Calibri" w:hAnsi="Calibri" w:cs="Calibri"/>
                <w:szCs w:val="24"/>
              </w:rPr>
              <w:t xml:space="preserve"> awareness </w:t>
            </w:r>
            <w:r w:rsidR="009E6F82">
              <w:rPr>
                <w:rFonts w:ascii="Calibri" w:eastAsia="Calibri" w:hAnsi="Calibri" w:cs="Calibri"/>
                <w:szCs w:val="24"/>
              </w:rPr>
              <w:t>of</w:t>
            </w:r>
            <w:r w:rsidR="000868A8" w:rsidRPr="001E1B8B">
              <w:rPr>
                <w:rFonts w:ascii="Calibri" w:eastAsia="Calibri" w:hAnsi="Calibri" w:cs="Calibri"/>
                <w:szCs w:val="24"/>
              </w:rPr>
              <w:t xml:space="preserve"> applications in areas such as </w:t>
            </w:r>
            <w:r w:rsidR="00911EC9" w:rsidRPr="001E1B8B">
              <w:rPr>
                <w:rFonts w:ascii="Calibri" w:eastAsia="Calibri" w:hAnsi="Calibri" w:cs="Calibri"/>
                <w:szCs w:val="24"/>
              </w:rPr>
              <w:t>s</w:t>
            </w:r>
            <w:r w:rsidR="000868A8" w:rsidRPr="001E1B8B">
              <w:rPr>
                <w:rFonts w:ascii="Calibri" w:eastAsia="Calibri" w:hAnsi="Calibri" w:cs="Calibri"/>
                <w:szCs w:val="24"/>
              </w:rPr>
              <w:t>mart cities, digital government, and IOT applications.</w:t>
            </w:r>
          </w:p>
          <w:p w14:paraId="7D8FC9FA" w14:textId="77777777" w:rsidR="000E34A8" w:rsidRPr="001E1B8B" w:rsidRDefault="000E34A8" w:rsidP="006E3EE7">
            <w:pPr>
              <w:keepNext/>
              <w:tabs>
                <w:tab w:val="clear" w:pos="794"/>
                <w:tab w:val="clear" w:pos="1191"/>
                <w:tab w:val="clear" w:pos="1588"/>
                <w:tab w:val="clear" w:pos="1985"/>
              </w:tabs>
              <w:overflowPunct/>
              <w:textAlignment w:val="auto"/>
              <w:rPr>
                <w:rFonts w:ascii="Calibri" w:eastAsia="Calibri" w:hAnsi="Calibri" w:cs="Calibri"/>
                <w:szCs w:val="24"/>
              </w:rPr>
            </w:pPr>
            <w:r w:rsidRPr="001E1B8B">
              <w:rPr>
                <w:rFonts w:ascii="Calibri" w:eastAsia="Calibri" w:hAnsi="Calibri" w:cs="Calibri"/>
                <w:szCs w:val="24"/>
              </w:rPr>
              <w:t xml:space="preserve">Europe: </w:t>
            </w:r>
            <w:r w:rsidRPr="001E1B8B">
              <w:rPr>
                <w:rFonts w:ascii="Calibri" w:eastAsia="Calibri" w:hAnsi="Calibri" w:cs="Calibri"/>
                <w:szCs w:val="24"/>
                <w:u w:val="single"/>
              </w:rPr>
              <w:t>A citizen-centric approach to building services for national administrations</w:t>
            </w:r>
            <w:r w:rsidRPr="001E1B8B">
              <w:rPr>
                <w:rFonts w:ascii="Calibri" w:eastAsia="Calibri" w:hAnsi="Calibri" w:cs="Calibri"/>
                <w:szCs w:val="24"/>
              </w:rPr>
              <w:t xml:space="preserve"> </w:t>
            </w:r>
          </w:p>
          <w:p w14:paraId="10448791" w14:textId="4D5546E8" w:rsidR="000E34A8" w:rsidRPr="001E1B8B" w:rsidRDefault="00604667" w:rsidP="00000112">
            <w:pPr>
              <w:pStyle w:val="ListParagraph"/>
              <w:numPr>
                <w:ilvl w:val="0"/>
                <w:numId w:val="25"/>
              </w:numPr>
              <w:overflowPunct/>
              <w:autoSpaceDE/>
              <w:autoSpaceDN/>
              <w:adjustRightInd/>
              <w:spacing w:line="252" w:lineRule="auto"/>
              <w:ind w:left="357" w:hanging="357"/>
              <w:textAlignment w:val="auto"/>
              <w:rPr>
                <w:rFonts w:ascii="Calibri" w:eastAsia="Calibri" w:hAnsi="Calibri" w:cs="Calibri"/>
                <w:szCs w:val="24"/>
              </w:rPr>
            </w:pPr>
            <w:r w:rsidRPr="001E1B8B">
              <w:rPr>
                <w:rFonts w:ascii="Calibri" w:eastAsia="Calibri" w:hAnsi="Calibri" w:cs="Calibri"/>
                <w:szCs w:val="24"/>
              </w:rPr>
              <w:t>A w</w:t>
            </w:r>
            <w:r w:rsidR="000E34A8" w:rsidRPr="001E1B8B">
              <w:rPr>
                <w:rFonts w:ascii="Calibri" w:eastAsia="Calibri" w:hAnsi="Calibri" w:cs="Calibri"/>
                <w:szCs w:val="24"/>
              </w:rPr>
              <w:t xml:space="preserve">orkshop on </w:t>
            </w:r>
            <w:r w:rsidR="00783EAB" w:rsidRPr="001E1B8B">
              <w:rPr>
                <w:rFonts w:ascii="Calibri" w:eastAsia="Calibri" w:hAnsi="Calibri" w:cs="Calibri"/>
                <w:szCs w:val="24"/>
              </w:rPr>
              <w:t>e</w:t>
            </w:r>
            <w:r w:rsidR="000E34A8" w:rsidRPr="001E1B8B">
              <w:rPr>
                <w:rFonts w:ascii="Calibri" w:eastAsia="Calibri" w:hAnsi="Calibri" w:cs="Calibri"/>
                <w:szCs w:val="24"/>
              </w:rPr>
              <w:t xml:space="preserve">nhancing </w:t>
            </w:r>
            <w:r w:rsidR="00783EAB" w:rsidRPr="001E1B8B">
              <w:rPr>
                <w:rFonts w:ascii="Calibri" w:eastAsia="Calibri" w:hAnsi="Calibri" w:cs="Calibri"/>
                <w:szCs w:val="24"/>
              </w:rPr>
              <w:t>h</w:t>
            </w:r>
            <w:r w:rsidR="000E34A8" w:rsidRPr="001E1B8B">
              <w:rPr>
                <w:rFonts w:ascii="Calibri" w:eastAsia="Calibri" w:hAnsi="Calibri" w:cs="Calibri"/>
                <w:szCs w:val="24"/>
              </w:rPr>
              <w:t xml:space="preserve">uman </w:t>
            </w:r>
            <w:r w:rsidR="00783EAB" w:rsidRPr="001E1B8B">
              <w:rPr>
                <w:rFonts w:ascii="Calibri" w:eastAsia="Calibri" w:hAnsi="Calibri" w:cs="Calibri"/>
                <w:szCs w:val="24"/>
              </w:rPr>
              <w:t>l</w:t>
            </w:r>
            <w:r w:rsidR="000E34A8" w:rsidRPr="001E1B8B">
              <w:rPr>
                <w:rFonts w:ascii="Calibri" w:eastAsia="Calibri" w:hAnsi="Calibri" w:cs="Calibri"/>
                <w:szCs w:val="24"/>
              </w:rPr>
              <w:t xml:space="preserve">ife </w:t>
            </w:r>
            <w:r w:rsidR="00783EAB" w:rsidRPr="001E1B8B">
              <w:rPr>
                <w:rFonts w:ascii="Calibri" w:eastAsia="Calibri" w:hAnsi="Calibri" w:cs="Calibri"/>
                <w:szCs w:val="24"/>
              </w:rPr>
              <w:t>u</w:t>
            </w:r>
            <w:r w:rsidR="000E34A8" w:rsidRPr="001E1B8B">
              <w:rPr>
                <w:rFonts w:ascii="Calibri" w:eastAsia="Calibri" w:hAnsi="Calibri" w:cs="Calibri"/>
                <w:szCs w:val="24"/>
              </w:rPr>
              <w:t>sing e-</w:t>
            </w:r>
            <w:r w:rsidR="00783EAB" w:rsidRPr="001E1B8B">
              <w:rPr>
                <w:rFonts w:ascii="Calibri" w:eastAsia="Calibri" w:hAnsi="Calibri" w:cs="Calibri"/>
                <w:szCs w:val="24"/>
              </w:rPr>
              <w:t>s</w:t>
            </w:r>
            <w:r w:rsidR="000E34A8" w:rsidRPr="001E1B8B">
              <w:rPr>
                <w:rFonts w:ascii="Calibri" w:eastAsia="Calibri" w:hAnsi="Calibri" w:cs="Calibri"/>
                <w:szCs w:val="24"/>
              </w:rPr>
              <w:t xml:space="preserve">ervices was held in Geneva, </w:t>
            </w:r>
            <w:r w:rsidRPr="001E1B8B">
              <w:rPr>
                <w:rFonts w:ascii="Calibri" w:eastAsia="Calibri" w:hAnsi="Calibri" w:cs="Calibri"/>
                <w:szCs w:val="24"/>
              </w:rPr>
              <w:t xml:space="preserve">to discuss </w:t>
            </w:r>
            <w:r w:rsidR="00783EAB" w:rsidRPr="001E1B8B">
              <w:rPr>
                <w:rFonts w:ascii="Calibri" w:eastAsia="Calibri" w:hAnsi="Calibri" w:cs="Calibri"/>
                <w:szCs w:val="24"/>
              </w:rPr>
              <w:t>e</w:t>
            </w:r>
            <w:r w:rsidR="000E34A8" w:rsidRPr="001E1B8B">
              <w:rPr>
                <w:rFonts w:ascii="Calibri" w:eastAsia="Calibri" w:hAnsi="Calibri" w:cs="Calibri"/>
                <w:szCs w:val="24"/>
              </w:rPr>
              <w:t xml:space="preserve">merging </w:t>
            </w:r>
            <w:r w:rsidR="00783EAB" w:rsidRPr="001E1B8B">
              <w:rPr>
                <w:rFonts w:ascii="Calibri" w:eastAsia="Calibri" w:hAnsi="Calibri" w:cs="Calibri"/>
                <w:szCs w:val="24"/>
              </w:rPr>
              <w:t>t</w:t>
            </w:r>
            <w:r w:rsidR="000E34A8" w:rsidRPr="001E1B8B">
              <w:rPr>
                <w:rFonts w:ascii="Calibri" w:eastAsia="Calibri" w:hAnsi="Calibri" w:cs="Calibri"/>
                <w:szCs w:val="24"/>
              </w:rPr>
              <w:t xml:space="preserve">echnologies and </w:t>
            </w:r>
            <w:r w:rsidR="00783EAB" w:rsidRPr="001E1B8B">
              <w:rPr>
                <w:rFonts w:ascii="Calibri" w:eastAsia="Calibri" w:hAnsi="Calibri" w:cs="Calibri"/>
                <w:szCs w:val="24"/>
              </w:rPr>
              <w:t>s</w:t>
            </w:r>
            <w:r w:rsidR="000E34A8" w:rsidRPr="001E1B8B">
              <w:rPr>
                <w:rFonts w:ascii="Calibri" w:eastAsia="Calibri" w:hAnsi="Calibri" w:cs="Calibri"/>
                <w:szCs w:val="24"/>
              </w:rPr>
              <w:t xml:space="preserve">ervices, including </w:t>
            </w:r>
            <w:r w:rsidR="00783EAB" w:rsidRPr="001E1B8B">
              <w:rPr>
                <w:rFonts w:ascii="Calibri" w:eastAsia="Calibri" w:hAnsi="Calibri" w:cs="Calibri"/>
                <w:szCs w:val="24"/>
              </w:rPr>
              <w:t>AI</w:t>
            </w:r>
            <w:r w:rsidR="000E34A8" w:rsidRPr="001E1B8B">
              <w:rPr>
                <w:rFonts w:ascii="Calibri" w:eastAsia="Calibri" w:hAnsi="Calibri" w:cs="Calibri"/>
                <w:szCs w:val="24"/>
              </w:rPr>
              <w:t xml:space="preserve"> and ICT </w:t>
            </w:r>
            <w:r w:rsidR="00783EAB" w:rsidRPr="001E1B8B">
              <w:rPr>
                <w:rFonts w:ascii="Calibri" w:eastAsia="Calibri" w:hAnsi="Calibri" w:cs="Calibri"/>
                <w:szCs w:val="24"/>
              </w:rPr>
              <w:t>a</w:t>
            </w:r>
            <w:r w:rsidR="000E34A8" w:rsidRPr="001E1B8B">
              <w:rPr>
                <w:rFonts w:ascii="Calibri" w:eastAsia="Calibri" w:hAnsi="Calibri" w:cs="Calibri"/>
                <w:szCs w:val="24"/>
              </w:rPr>
              <w:t xml:space="preserve">ccessibility. </w:t>
            </w:r>
          </w:p>
          <w:p w14:paraId="30117003" w14:textId="04A36B32" w:rsidR="000E34A8" w:rsidRPr="001E1B8B" w:rsidRDefault="000E34A8" w:rsidP="00000112">
            <w:pPr>
              <w:pStyle w:val="ListParagraph"/>
              <w:numPr>
                <w:ilvl w:val="0"/>
                <w:numId w:val="25"/>
              </w:numPr>
              <w:overflowPunct/>
              <w:autoSpaceDE/>
              <w:autoSpaceDN/>
              <w:adjustRightInd/>
              <w:spacing w:line="252" w:lineRule="auto"/>
              <w:ind w:left="357" w:hanging="357"/>
              <w:textAlignment w:val="auto"/>
              <w:rPr>
                <w:rFonts w:ascii="Calibri" w:eastAsia="Calibri" w:hAnsi="Calibri" w:cs="Calibri"/>
                <w:szCs w:val="24"/>
              </w:rPr>
            </w:pPr>
            <w:r w:rsidRPr="001E1B8B">
              <w:rPr>
                <w:rFonts w:ascii="Calibri" w:eastAsia="Calibri" w:hAnsi="Calibri" w:cs="Calibri"/>
                <w:szCs w:val="24"/>
              </w:rPr>
              <w:t xml:space="preserve">Cooperation </w:t>
            </w:r>
            <w:r w:rsidR="00604667" w:rsidRPr="001E1B8B">
              <w:rPr>
                <w:rFonts w:ascii="Calibri" w:eastAsia="Calibri" w:hAnsi="Calibri" w:cs="Calibri"/>
                <w:szCs w:val="24"/>
              </w:rPr>
              <w:t xml:space="preserve">between </w:t>
            </w:r>
            <w:r w:rsidRPr="001E1B8B">
              <w:rPr>
                <w:rFonts w:ascii="Calibri" w:eastAsia="Calibri" w:hAnsi="Calibri" w:cs="Calibri"/>
                <w:szCs w:val="24"/>
              </w:rPr>
              <w:t xml:space="preserve">ITU and FAO </w:t>
            </w:r>
            <w:r w:rsidR="00604667" w:rsidRPr="001E1B8B">
              <w:rPr>
                <w:rFonts w:ascii="Calibri" w:eastAsia="Calibri" w:hAnsi="Calibri" w:cs="Calibri"/>
                <w:szCs w:val="24"/>
              </w:rPr>
              <w:t>was</w:t>
            </w:r>
            <w:r w:rsidRPr="001E1B8B">
              <w:rPr>
                <w:rFonts w:ascii="Calibri" w:eastAsia="Calibri" w:hAnsi="Calibri" w:cs="Calibri"/>
                <w:szCs w:val="24"/>
              </w:rPr>
              <w:t xml:space="preserve"> strengthened</w:t>
            </w:r>
            <w:r w:rsidR="00604667" w:rsidRPr="001E1B8B">
              <w:rPr>
                <w:rFonts w:ascii="Calibri" w:eastAsia="Calibri" w:hAnsi="Calibri" w:cs="Calibri"/>
                <w:szCs w:val="24"/>
              </w:rPr>
              <w:t xml:space="preserve"> through</w:t>
            </w:r>
            <w:r w:rsidRPr="001E1B8B">
              <w:rPr>
                <w:rFonts w:ascii="Calibri" w:eastAsia="Calibri" w:hAnsi="Calibri" w:cs="Calibri"/>
                <w:szCs w:val="24"/>
              </w:rPr>
              <w:t xml:space="preserve"> a special </w:t>
            </w:r>
            <w:r w:rsidR="00783EAB" w:rsidRPr="001E1B8B">
              <w:rPr>
                <w:rFonts w:ascii="Calibri" w:eastAsia="Calibri" w:hAnsi="Calibri" w:cs="Calibri"/>
                <w:szCs w:val="24"/>
              </w:rPr>
              <w:t>s</w:t>
            </w:r>
            <w:r w:rsidRPr="001E1B8B">
              <w:rPr>
                <w:rFonts w:ascii="Calibri" w:eastAsia="Calibri" w:hAnsi="Calibri" w:cs="Calibri"/>
                <w:szCs w:val="24"/>
              </w:rPr>
              <w:t xml:space="preserve">ession on </w:t>
            </w:r>
            <w:r w:rsidR="00783EAB" w:rsidRPr="001E1B8B">
              <w:rPr>
                <w:rFonts w:ascii="Calibri" w:eastAsia="Calibri" w:hAnsi="Calibri" w:cs="Calibri"/>
                <w:szCs w:val="24"/>
              </w:rPr>
              <w:t>d</w:t>
            </w:r>
            <w:r w:rsidRPr="001E1B8B">
              <w:rPr>
                <w:rFonts w:ascii="Calibri" w:eastAsia="Calibri" w:hAnsi="Calibri" w:cs="Calibri"/>
                <w:szCs w:val="24"/>
              </w:rPr>
              <w:t xml:space="preserve">igital </w:t>
            </w:r>
            <w:r w:rsidR="00783EAB" w:rsidRPr="001E1B8B">
              <w:rPr>
                <w:rFonts w:ascii="Calibri" w:eastAsia="Calibri" w:hAnsi="Calibri" w:cs="Calibri"/>
                <w:szCs w:val="24"/>
              </w:rPr>
              <w:t>a</w:t>
            </w:r>
            <w:r w:rsidRPr="001E1B8B">
              <w:rPr>
                <w:rFonts w:ascii="Calibri" w:eastAsia="Calibri" w:hAnsi="Calibri" w:cs="Calibri"/>
                <w:szCs w:val="24"/>
              </w:rPr>
              <w:t xml:space="preserve">griculture </w:t>
            </w:r>
            <w:r w:rsidR="00783EAB" w:rsidRPr="001E1B8B">
              <w:rPr>
                <w:rFonts w:ascii="Calibri" w:eastAsia="Calibri" w:hAnsi="Calibri" w:cs="Calibri"/>
                <w:szCs w:val="24"/>
              </w:rPr>
              <w:t>s</w:t>
            </w:r>
            <w:r w:rsidRPr="001E1B8B">
              <w:rPr>
                <w:rFonts w:ascii="Calibri" w:eastAsia="Calibri" w:hAnsi="Calibri" w:cs="Calibri"/>
                <w:szCs w:val="24"/>
              </w:rPr>
              <w:t xml:space="preserve">trategies </w:t>
            </w:r>
            <w:r w:rsidR="00604667" w:rsidRPr="001E1B8B">
              <w:rPr>
                <w:rFonts w:ascii="Calibri" w:eastAsia="Calibri" w:hAnsi="Calibri" w:cs="Calibri"/>
                <w:szCs w:val="24"/>
              </w:rPr>
              <w:t xml:space="preserve">organized at </w:t>
            </w:r>
            <w:r w:rsidR="00783EAB" w:rsidRPr="001E1B8B">
              <w:rPr>
                <w:rFonts w:ascii="Calibri" w:eastAsia="Calibri" w:hAnsi="Calibri" w:cs="Calibri"/>
                <w:szCs w:val="24"/>
              </w:rPr>
              <w:t>ITU</w:t>
            </w:r>
            <w:r w:rsidRPr="001E1B8B">
              <w:rPr>
                <w:rFonts w:ascii="Calibri" w:eastAsia="Calibri" w:hAnsi="Calibri" w:cs="Calibri"/>
                <w:szCs w:val="24"/>
              </w:rPr>
              <w:t xml:space="preserve"> Telecom World</w:t>
            </w:r>
            <w:r w:rsidR="00783EAB" w:rsidRPr="001E1B8B">
              <w:rPr>
                <w:rFonts w:ascii="Calibri" w:eastAsia="Calibri" w:hAnsi="Calibri" w:cs="Calibri"/>
                <w:szCs w:val="24"/>
              </w:rPr>
              <w:t xml:space="preserve"> 2019</w:t>
            </w:r>
            <w:r w:rsidR="009E6F82">
              <w:rPr>
                <w:rFonts w:ascii="Calibri" w:eastAsia="Calibri" w:hAnsi="Calibri" w:cs="Calibri"/>
                <w:szCs w:val="24"/>
              </w:rPr>
              <w:t xml:space="preserve">, </w:t>
            </w:r>
            <w:r w:rsidR="009E6F82" w:rsidRPr="009E6F82">
              <w:rPr>
                <w:rFonts w:ascii="Calibri" w:eastAsia="Calibri" w:hAnsi="Calibri" w:cs="Calibri"/>
                <w:szCs w:val="24"/>
              </w:rPr>
              <w:t>Budapest, Hungary</w:t>
            </w:r>
            <w:r w:rsidR="00604667" w:rsidRPr="001E1B8B">
              <w:rPr>
                <w:rFonts w:ascii="Calibri" w:eastAsia="Calibri" w:hAnsi="Calibri" w:cs="Calibri"/>
                <w:szCs w:val="24"/>
              </w:rPr>
              <w:t>.</w:t>
            </w:r>
          </w:p>
          <w:p w14:paraId="2802EE9F" w14:textId="7570A504" w:rsidR="000E34A8" w:rsidRPr="001E1B8B" w:rsidRDefault="000E34A8" w:rsidP="00000112">
            <w:pPr>
              <w:pStyle w:val="ListParagraph"/>
              <w:numPr>
                <w:ilvl w:val="0"/>
                <w:numId w:val="25"/>
              </w:numPr>
              <w:overflowPunct/>
              <w:autoSpaceDE/>
              <w:autoSpaceDN/>
              <w:adjustRightInd/>
              <w:spacing w:line="252" w:lineRule="auto"/>
              <w:ind w:left="357" w:hanging="357"/>
              <w:textAlignment w:val="auto"/>
              <w:rPr>
                <w:rFonts w:ascii="Calibri" w:eastAsia="Calibri" w:hAnsi="Calibri" w:cs="Calibri"/>
                <w:szCs w:val="24"/>
              </w:rPr>
            </w:pPr>
            <w:r w:rsidRPr="001E1B8B">
              <w:rPr>
                <w:rFonts w:ascii="Calibri" w:eastAsia="Calibri" w:hAnsi="Calibri" w:cs="Calibri"/>
                <w:szCs w:val="24"/>
              </w:rPr>
              <w:t>Regional stud</w:t>
            </w:r>
            <w:r w:rsidR="00783EAB" w:rsidRPr="001E1B8B">
              <w:rPr>
                <w:rFonts w:ascii="Calibri" w:eastAsia="Calibri" w:hAnsi="Calibri" w:cs="Calibri"/>
                <w:szCs w:val="24"/>
              </w:rPr>
              <w:t>ies</w:t>
            </w:r>
            <w:r w:rsidRPr="001E1B8B">
              <w:rPr>
                <w:rFonts w:ascii="Calibri" w:eastAsia="Calibri" w:hAnsi="Calibri" w:cs="Calibri"/>
                <w:szCs w:val="24"/>
              </w:rPr>
              <w:t xml:space="preserve"> on national strategies for digital agriculture </w:t>
            </w:r>
            <w:r w:rsidR="00604667" w:rsidRPr="001E1B8B">
              <w:rPr>
                <w:rFonts w:ascii="Calibri" w:eastAsia="Calibri" w:hAnsi="Calibri" w:cs="Calibri"/>
                <w:szCs w:val="24"/>
              </w:rPr>
              <w:t>were</w:t>
            </w:r>
            <w:r w:rsidRPr="001E1B8B">
              <w:rPr>
                <w:rFonts w:ascii="Calibri" w:eastAsia="Calibri" w:hAnsi="Calibri" w:cs="Calibri"/>
                <w:szCs w:val="24"/>
              </w:rPr>
              <w:t xml:space="preserve"> elaborated for review </w:t>
            </w:r>
            <w:r w:rsidR="00604667" w:rsidRPr="001E1B8B">
              <w:rPr>
                <w:rFonts w:ascii="Calibri" w:eastAsia="Calibri" w:hAnsi="Calibri" w:cs="Calibri"/>
                <w:szCs w:val="24"/>
              </w:rPr>
              <w:t>by</w:t>
            </w:r>
            <w:r w:rsidRPr="001E1B8B">
              <w:rPr>
                <w:rFonts w:ascii="Calibri" w:eastAsia="Calibri" w:hAnsi="Calibri" w:cs="Calibri"/>
                <w:szCs w:val="24"/>
              </w:rPr>
              <w:t xml:space="preserve"> </w:t>
            </w:r>
            <w:r w:rsidR="00DF5641">
              <w:rPr>
                <w:rFonts w:ascii="Calibri" w:eastAsia="Calibri" w:hAnsi="Calibri" w:cs="Calibri"/>
                <w:szCs w:val="24"/>
              </w:rPr>
              <w:t xml:space="preserve">the </w:t>
            </w:r>
            <w:r w:rsidR="00783EAB" w:rsidRPr="001E1B8B">
              <w:rPr>
                <w:rFonts w:ascii="Calibri" w:eastAsia="Calibri" w:hAnsi="Calibri" w:cs="Calibri"/>
                <w:szCs w:val="24"/>
              </w:rPr>
              <w:t>Member States involved</w:t>
            </w:r>
            <w:r w:rsidRPr="001E1B8B">
              <w:rPr>
                <w:rFonts w:ascii="Calibri" w:eastAsia="Calibri" w:hAnsi="Calibri" w:cs="Calibri"/>
                <w:szCs w:val="24"/>
              </w:rPr>
              <w:t xml:space="preserve">. </w:t>
            </w:r>
          </w:p>
          <w:p w14:paraId="1E104586" w14:textId="3F2A81BC" w:rsidR="000E34A8" w:rsidRPr="001E1B8B" w:rsidRDefault="00604667" w:rsidP="00EA7CE5">
            <w:pPr>
              <w:pStyle w:val="ListParagraph"/>
              <w:numPr>
                <w:ilvl w:val="0"/>
                <w:numId w:val="25"/>
              </w:numPr>
              <w:overflowPunct/>
              <w:autoSpaceDE/>
              <w:autoSpaceDN/>
              <w:adjustRightInd/>
              <w:spacing w:after="120" w:line="252" w:lineRule="auto"/>
              <w:ind w:left="357" w:hanging="357"/>
              <w:textAlignment w:val="auto"/>
              <w:rPr>
                <w:rFonts w:ascii="Calibri" w:eastAsia="Calibri" w:hAnsi="Calibri" w:cs="Calibri"/>
                <w:sz w:val="22"/>
                <w:szCs w:val="22"/>
              </w:rPr>
            </w:pPr>
            <w:r w:rsidRPr="001E1B8B">
              <w:rPr>
                <w:rFonts w:ascii="Calibri" w:eastAsia="Calibri" w:hAnsi="Calibri" w:cs="Calibri"/>
                <w:szCs w:val="24"/>
              </w:rPr>
              <w:t xml:space="preserve">A </w:t>
            </w:r>
            <w:r w:rsidR="00DF5641">
              <w:rPr>
                <w:rFonts w:ascii="Calibri" w:eastAsia="Calibri" w:hAnsi="Calibri" w:cs="Calibri"/>
                <w:szCs w:val="24"/>
              </w:rPr>
              <w:t>k</w:t>
            </w:r>
            <w:r w:rsidR="000E34A8" w:rsidRPr="001E1B8B">
              <w:rPr>
                <w:rFonts w:ascii="Calibri" w:eastAsia="Calibri" w:hAnsi="Calibri" w:cs="Calibri"/>
                <w:szCs w:val="24"/>
              </w:rPr>
              <w:t xml:space="preserve">nowledge </w:t>
            </w:r>
            <w:r w:rsidR="00783EAB" w:rsidRPr="001E1B8B">
              <w:rPr>
                <w:rFonts w:ascii="Calibri" w:eastAsia="Calibri" w:hAnsi="Calibri" w:cs="Calibri"/>
                <w:szCs w:val="24"/>
              </w:rPr>
              <w:t>e</w:t>
            </w:r>
            <w:r w:rsidR="000E34A8" w:rsidRPr="001E1B8B">
              <w:rPr>
                <w:rFonts w:ascii="Calibri" w:eastAsia="Calibri" w:hAnsi="Calibri" w:cs="Calibri"/>
                <w:szCs w:val="24"/>
              </w:rPr>
              <w:t>xchange</w:t>
            </w:r>
            <w:r w:rsidRPr="001E1B8B">
              <w:rPr>
                <w:rFonts w:ascii="Calibri" w:eastAsia="Calibri" w:hAnsi="Calibri" w:cs="Calibri"/>
                <w:szCs w:val="24"/>
              </w:rPr>
              <w:t xml:space="preserve"> event</w:t>
            </w:r>
            <w:r w:rsidR="000E34A8" w:rsidRPr="001E1B8B">
              <w:rPr>
                <w:rFonts w:ascii="Calibri" w:eastAsia="Calibri" w:hAnsi="Calibri" w:cs="Calibri"/>
                <w:szCs w:val="24"/>
              </w:rPr>
              <w:t xml:space="preserve"> on </w:t>
            </w:r>
            <w:r w:rsidR="00783EAB" w:rsidRPr="001E1B8B">
              <w:rPr>
                <w:rFonts w:ascii="Calibri" w:eastAsia="Calibri" w:hAnsi="Calibri" w:cs="Calibri"/>
                <w:szCs w:val="24"/>
              </w:rPr>
              <w:t>f</w:t>
            </w:r>
            <w:r w:rsidR="000E34A8" w:rsidRPr="001E1B8B">
              <w:rPr>
                <w:rFonts w:ascii="Calibri" w:eastAsia="Calibri" w:hAnsi="Calibri" w:cs="Calibri"/>
                <w:szCs w:val="24"/>
              </w:rPr>
              <w:t xml:space="preserve">ostering </w:t>
            </w:r>
            <w:r w:rsidR="00783EAB" w:rsidRPr="001E1B8B">
              <w:rPr>
                <w:rFonts w:ascii="Calibri" w:eastAsia="Calibri" w:hAnsi="Calibri" w:cs="Calibri"/>
                <w:szCs w:val="24"/>
              </w:rPr>
              <w:t>s</w:t>
            </w:r>
            <w:r w:rsidR="000E34A8" w:rsidRPr="001E1B8B">
              <w:rPr>
                <w:rFonts w:ascii="Calibri" w:eastAsia="Calibri" w:hAnsi="Calibri" w:cs="Calibri"/>
                <w:szCs w:val="24"/>
              </w:rPr>
              <w:t xml:space="preserve">tart-up </w:t>
            </w:r>
            <w:r w:rsidR="00783EAB" w:rsidRPr="001E1B8B">
              <w:rPr>
                <w:rFonts w:ascii="Calibri" w:eastAsia="Calibri" w:hAnsi="Calibri" w:cs="Calibri"/>
                <w:szCs w:val="24"/>
              </w:rPr>
              <w:t>e</w:t>
            </w:r>
            <w:r w:rsidR="000E34A8" w:rsidRPr="001E1B8B">
              <w:rPr>
                <w:rFonts w:ascii="Calibri" w:eastAsia="Calibri" w:hAnsi="Calibri" w:cs="Calibri"/>
                <w:szCs w:val="24"/>
              </w:rPr>
              <w:t>cosystem</w:t>
            </w:r>
            <w:r w:rsidR="00783EAB" w:rsidRPr="001E1B8B">
              <w:rPr>
                <w:rFonts w:ascii="Calibri" w:eastAsia="Calibri" w:hAnsi="Calibri" w:cs="Calibri"/>
                <w:szCs w:val="24"/>
              </w:rPr>
              <w:t>s</w:t>
            </w:r>
            <w:r w:rsidR="000E34A8" w:rsidRPr="001E1B8B">
              <w:rPr>
                <w:rFonts w:ascii="Calibri" w:eastAsia="Calibri" w:hAnsi="Calibri" w:cs="Calibri"/>
                <w:szCs w:val="24"/>
              </w:rPr>
              <w:t xml:space="preserve"> in </w:t>
            </w:r>
            <w:r w:rsidR="00DF5641">
              <w:rPr>
                <w:rFonts w:ascii="Calibri" w:eastAsia="Calibri" w:hAnsi="Calibri" w:cs="Calibri"/>
                <w:szCs w:val="24"/>
              </w:rPr>
              <w:t xml:space="preserve">the </w:t>
            </w:r>
            <w:r w:rsidR="000E34A8" w:rsidRPr="001E1B8B">
              <w:rPr>
                <w:rFonts w:ascii="Calibri" w:eastAsia="Calibri" w:hAnsi="Calibri" w:cs="Calibri"/>
                <w:szCs w:val="24"/>
              </w:rPr>
              <w:t xml:space="preserve">field of </w:t>
            </w:r>
            <w:r w:rsidR="00783EAB" w:rsidRPr="001E1B8B">
              <w:rPr>
                <w:rFonts w:ascii="Calibri" w:eastAsia="Calibri" w:hAnsi="Calibri" w:cs="Calibri"/>
                <w:szCs w:val="24"/>
              </w:rPr>
              <w:t>e</w:t>
            </w:r>
            <w:r w:rsidR="000E34A8" w:rsidRPr="001E1B8B">
              <w:rPr>
                <w:rFonts w:ascii="Calibri" w:eastAsia="Calibri" w:hAnsi="Calibri" w:cs="Calibri"/>
                <w:szCs w:val="24"/>
              </w:rPr>
              <w:t>-services was held in Prague, Czech Republic</w:t>
            </w:r>
            <w:r w:rsidR="00783EAB" w:rsidRPr="001E1B8B">
              <w:rPr>
                <w:rFonts w:ascii="Calibri" w:eastAsia="Calibri" w:hAnsi="Calibri" w:cs="Calibri"/>
                <w:szCs w:val="24"/>
              </w:rPr>
              <w:t>.</w:t>
            </w:r>
          </w:p>
        </w:tc>
      </w:tr>
    </w:tbl>
    <w:p w14:paraId="6D56FA35" w14:textId="77777777" w:rsidR="00445936" w:rsidRPr="001E1B8B" w:rsidRDefault="00445936" w:rsidP="00445936">
      <w:pPr>
        <w:shd w:val="clear" w:color="auto" w:fill="FFFFFF" w:themeFill="background1"/>
        <w:tabs>
          <w:tab w:val="clear" w:pos="794"/>
          <w:tab w:val="clear" w:pos="1191"/>
          <w:tab w:val="clear" w:pos="1588"/>
          <w:tab w:val="clear" w:pos="1985"/>
        </w:tabs>
        <w:overflowPunct/>
        <w:autoSpaceDE/>
        <w:autoSpaceDN/>
        <w:adjustRightInd/>
        <w:textAlignment w:val="auto"/>
        <w:rPr>
          <w:rFonts w:cstheme="minorBidi"/>
          <w:szCs w:val="24"/>
        </w:rPr>
      </w:pPr>
    </w:p>
    <w:tbl>
      <w:tblPr>
        <w:tblStyle w:val="TableGrid3"/>
        <w:tblW w:w="0" w:type="auto"/>
        <w:tblLook w:val="04A0" w:firstRow="1" w:lastRow="0" w:firstColumn="1" w:lastColumn="0" w:noHBand="0" w:noVBand="1"/>
      </w:tblPr>
      <w:tblGrid>
        <w:gridCol w:w="9629"/>
      </w:tblGrid>
      <w:tr w:rsidR="00445936" w:rsidRPr="001E1B8B" w14:paraId="3D10502D" w14:textId="77777777" w:rsidTr="00CD7D0C">
        <w:tc>
          <w:tcPr>
            <w:tcW w:w="9629" w:type="dxa"/>
          </w:tcPr>
          <w:p w14:paraId="3CC9BE10" w14:textId="77777777" w:rsidR="00445936" w:rsidRPr="001E1B8B" w:rsidRDefault="00445936" w:rsidP="00CD7D0C">
            <w:pPr>
              <w:keepNext/>
              <w:shd w:val="clear" w:color="auto" w:fill="FFFFFF" w:themeFill="background1"/>
              <w:tabs>
                <w:tab w:val="clear" w:pos="794"/>
                <w:tab w:val="clear" w:pos="1191"/>
                <w:tab w:val="clear" w:pos="1588"/>
                <w:tab w:val="clear" w:pos="1985"/>
              </w:tabs>
              <w:overflowPunct/>
              <w:autoSpaceDE/>
              <w:autoSpaceDN/>
              <w:adjustRightInd/>
              <w:textAlignment w:val="auto"/>
              <w:rPr>
                <w:rFonts w:cstheme="minorBidi"/>
                <w:b/>
                <w:szCs w:val="24"/>
              </w:rPr>
            </w:pPr>
            <w:r w:rsidRPr="001E1B8B">
              <w:rPr>
                <w:rFonts w:cstheme="minorBidi"/>
                <w:b/>
                <w:szCs w:val="24"/>
              </w:rPr>
              <w:lastRenderedPageBreak/>
              <w:t>STUDY GROUPS</w:t>
            </w:r>
          </w:p>
          <w:p w14:paraId="228D3A90" w14:textId="200D544B" w:rsidR="00E6765B" w:rsidRPr="001E1B8B" w:rsidRDefault="00A36571" w:rsidP="00836AC4">
            <w:pPr>
              <w:pStyle w:val="ListParagraph"/>
              <w:numPr>
                <w:ilvl w:val="0"/>
                <w:numId w:val="25"/>
              </w:numPr>
              <w:overflowPunct/>
              <w:autoSpaceDE/>
              <w:autoSpaceDN/>
              <w:adjustRightInd/>
              <w:spacing w:after="120" w:line="252" w:lineRule="auto"/>
              <w:ind w:left="357" w:hanging="357"/>
              <w:textAlignment w:val="auto"/>
              <w:rPr>
                <w:rFonts w:ascii="Calibri" w:eastAsia="Calibri" w:hAnsi="Calibri" w:cs="Calibri"/>
                <w:szCs w:val="24"/>
              </w:rPr>
            </w:pPr>
            <w:r w:rsidRPr="001E1B8B">
              <w:rPr>
                <w:rFonts w:ascii="Calibri" w:eastAsia="Calibri" w:hAnsi="Calibri" w:cs="Calibri"/>
                <w:szCs w:val="24"/>
              </w:rPr>
              <w:t>An annual deliverable on a holistic approach to creating smart societies (</w:t>
            </w:r>
            <w:hyperlink r:id="rId45" w:history="1">
              <w:r w:rsidRPr="0090011B">
                <w:rPr>
                  <w:rStyle w:val="Hyperlink"/>
                  <w:rFonts w:ascii="Calibri" w:eastAsia="Calibri" w:hAnsi="Calibri" w:cs="Calibri"/>
                  <w:szCs w:val="24"/>
                </w:rPr>
                <w:t>Question 1/2</w:t>
              </w:r>
            </w:hyperlink>
            <w:r w:rsidRPr="001E1B8B">
              <w:rPr>
                <w:rFonts w:ascii="Calibri" w:eastAsia="Calibri" w:hAnsi="Calibri" w:cs="Calibri"/>
                <w:szCs w:val="24"/>
              </w:rPr>
              <w:t xml:space="preserve">: </w:t>
            </w:r>
            <w:r w:rsidRPr="00A47ED5">
              <w:rPr>
                <w:rFonts w:ascii="Calibri" w:eastAsia="Calibri" w:hAnsi="Calibri" w:cs="Calibri"/>
                <w:i/>
                <w:iCs/>
                <w:szCs w:val="24"/>
              </w:rPr>
              <w:t>Creating</w:t>
            </w:r>
            <w:r w:rsidRPr="00A47ED5">
              <w:rPr>
                <w:rFonts w:cstheme="minorHAnsi"/>
                <w:i/>
                <w:iCs/>
              </w:rPr>
              <w:t xml:space="preserve"> smart cities and society: Employing information and communication technologies for sustainable social and economic development</w:t>
            </w:r>
            <w:r w:rsidRPr="001E1B8B">
              <w:rPr>
                <w:rFonts w:ascii="Calibri" w:eastAsia="Calibri" w:hAnsi="Calibri" w:cs="Calibri"/>
                <w:szCs w:val="24"/>
              </w:rPr>
              <w:t xml:space="preserve">) was released. An example of architecture of a smart city is also proposed based on these core design concepts, and a summary of selected country case studies on smart cities is presented. The deliverable is accessible at the </w:t>
            </w:r>
            <w:r w:rsidRPr="00836AC4">
              <w:rPr>
                <w:rFonts w:cstheme="minorBidi"/>
              </w:rPr>
              <w:t>following</w:t>
            </w:r>
            <w:r w:rsidRPr="001E1B8B">
              <w:rPr>
                <w:rFonts w:ascii="Calibri" w:eastAsia="Calibri" w:hAnsi="Calibri" w:cs="Calibri"/>
                <w:szCs w:val="24"/>
              </w:rPr>
              <w:t xml:space="preserve"> </w:t>
            </w:r>
            <w:hyperlink r:id="rId46" w:history="1">
              <w:r w:rsidRPr="0090011B">
                <w:rPr>
                  <w:rStyle w:val="Hyperlink"/>
                  <w:rFonts w:ascii="Calibri" w:eastAsia="Calibri" w:hAnsi="Calibri" w:cs="Calibri"/>
                  <w:szCs w:val="24"/>
                </w:rPr>
                <w:t>link</w:t>
              </w:r>
            </w:hyperlink>
            <w:r w:rsidRPr="001E1B8B">
              <w:rPr>
                <w:rFonts w:ascii="Calibri" w:eastAsia="Calibri" w:hAnsi="Calibri" w:cs="Calibri"/>
                <w:szCs w:val="24"/>
              </w:rPr>
              <w:t>.</w:t>
            </w:r>
          </w:p>
          <w:p w14:paraId="1F0C7C7B" w14:textId="13F7F6A2" w:rsidR="00445936" w:rsidRPr="001E1B8B" w:rsidRDefault="00E6765B" w:rsidP="00836AC4">
            <w:pPr>
              <w:pStyle w:val="ListParagraph"/>
              <w:numPr>
                <w:ilvl w:val="0"/>
                <w:numId w:val="25"/>
              </w:numPr>
              <w:overflowPunct/>
              <w:autoSpaceDE/>
              <w:autoSpaceDN/>
              <w:adjustRightInd/>
              <w:spacing w:after="120" w:line="252" w:lineRule="auto"/>
              <w:ind w:left="357" w:hanging="357"/>
              <w:textAlignment w:val="auto"/>
              <w:rPr>
                <w:rFonts w:cstheme="minorBidi"/>
                <w:szCs w:val="24"/>
              </w:rPr>
            </w:pPr>
            <w:r w:rsidRPr="001E1B8B">
              <w:rPr>
                <w:rFonts w:cstheme="minorBidi"/>
              </w:rPr>
              <w:t xml:space="preserve">A workshop on </w:t>
            </w:r>
            <w:r w:rsidR="00783EAB" w:rsidRPr="001E1B8B">
              <w:rPr>
                <w:rFonts w:cstheme="minorBidi"/>
              </w:rPr>
              <w:t>n</w:t>
            </w:r>
            <w:r w:rsidRPr="001E1B8B">
              <w:rPr>
                <w:rFonts w:cstheme="minorBidi"/>
              </w:rPr>
              <w:t>ew communication technologies for e-health and socio-economic issues was organized in conjunction with ITU-D Study Group 2 </w:t>
            </w:r>
            <w:r w:rsidR="00A47ED5" w:rsidRPr="001E1B8B">
              <w:rPr>
                <w:rFonts w:cstheme="minorBidi"/>
              </w:rPr>
              <w:t>(</w:t>
            </w:r>
            <w:r w:rsidRPr="001E1B8B">
              <w:rPr>
                <w:rFonts w:cstheme="minorBidi"/>
              </w:rPr>
              <w:t xml:space="preserve">Question 2/2 </w:t>
            </w:r>
            <w:r w:rsidRPr="00A47ED5">
              <w:rPr>
                <w:rFonts w:cstheme="minorBidi"/>
                <w:i/>
                <w:iCs/>
              </w:rPr>
              <w:t>Telecommunications/ICTs for eHealth</w:t>
            </w:r>
            <w:r w:rsidRPr="001E1B8B">
              <w:rPr>
                <w:rFonts w:cstheme="minorBidi"/>
              </w:rPr>
              <w:t xml:space="preserve">). This event explored examples of new technologies for e-health and discussed challenges for </w:t>
            </w:r>
            <w:r w:rsidR="009E115C" w:rsidRPr="001E1B8B">
              <w:rPr>
                <w:rFonts w:cstheme="minorBidi"/>
              </w:rPr>
              <w:t>large</w:t>
            </w:r>
            <w:r w:rsidR="009E115C">
              <w:rPr>
                <w:rFonts w:cstheme="minorBidi"/>
              </w:rPr>
              <w:t>-</w:t>
            </w:r>
            <w:r w:rsidR="009E115C" w:rsidRPr="001E1B8B">
              <w:rPr>
                <w:rFonts w:cstheme="minorBidi"/>
              </w:rPr>
              <w:t xml:space="preserve">scale </w:t>
            </w:r>
            <w:r w:rsidRPr="001E1B8B">
              <w:rPr>
                <w:rFonts w:cstheme="minorBidi"/>
              </w:rPr>
              <w:t xml:space="preserve">adoption and </w:t>
            </w:r>
            <w:r w:rsidR="00336C0C">
              <w:rPr>
                <w:rFonts w:cstheme="minorBidi"/>
              </w:rPr>
              <w:t xml:space="preserve">the </w:t>
            </w:r>
            <w:r w:rsidRPr="001E1B8B">
              <w:rPr>
                <w:rFonts w:cstheme="minorBidi"/>
              </w:rPr>
              <w:t xml:space="preserve">means to address them. </w:t>
            </w:r>
            <w:r w:rsidRPr="001E1B8B">
              <w:rPr>
                <w:rFonts w:eastAsia="Calibri" w:cstheme="minorBidi"/>
              </w:rPr>
              <w:t xml:space="preserve">The content exchanged and lessons learned during the workshop will be used as input to the </w:t>
            </w:r>
            <w:r w:rsidR="00336C0C">
              <w:rPr>
                <w:rFonts w:eastAsia="Calibri" w:cstheme="minorBidi"/>
              </w:rPr>
              <w:t>f</w:t>
            </w:r>
            <w:r w:rsidRPr="001E1B8B">
              <w:rPr>
                <w:rFonts w:eastAsia="Calibri" w:cstheme="minorBidi"/>
              </w:rPr>
              <w:t xml:space="preserve">inal </w:t>
            </w:r>
            <w:r w:rsidR="00336C0C">
              <w:rPr>
                <w:rFonts w:eastAsia="Calibri" w:cstheme="minorBidi"/>
              </w:rPr>
              <w:t>r</w:t>
            </w:r>
            <w:r w:rsidRPr="001E1B8B">
              <w:rPr>
                <w:rFonts w:eastAsia="Calibri" w:cstheme="minorBidi"/>
              </w:rPr>
              <w:t xml:space="preserve">eport of Question 2/2. The workshop programme and presentations can be accessed at the following </w:t>
            </w:r>
            <w:hyperlink r:id="rId47" w:history="1">
              <w:r w:rsidRPr="0090011B">
                <w:rPr>
                  <w:rStyle w:val="Hyperlink"/>
                  <w:rFonts w:eastAsia="Calibri" w:cstheme="minorHAnsi"/>
                </w:rPr>
                <w:t>link</w:t>
              </w:r>
            </w:hyperlink>
            <w:r w:rsidRPr="001E1B8B">
              <w:rPr>
                <w:rFonts w:eastAsia="Calibri" w:cstheme="minorHAnsi"/>
              </w:rPr>
              <w:t>.</w:t>
            </w:r>
          </w:p>
        </w:tc>
      </w:tr>
    </w:tbl>
    <w:p w14:paraId="0813DA6E" w14:textId="41D9DE76" w:rsidR="0018316B" w:rsidRPr="001E1B8B" w:rsidRDefault="00C50A38" w:rsidP="0018316B">
      <w:pPr>
        <w:keepNext/>
        <w:spacing w:before="240"/>
        <w:rPr>
          <w:b/>
          <w:bCs/>
        </w:rPr>
      </w:pPr>
      <w:r w:rsidRPr="001E1B8B">
        <w:rPr>
          <w:b/>
          <w:bCs/>
        </w:rPr>
        <w:t>6.</w:t>
      </w:r>
      <w:r w:rsidR="00563C28" w:rsidRPr="001E1B8B">
        <w:rPr>
          <w:b/>
          <w:bCs/>
        </w:rPr>
        <w:tab/>
      </w:r>
      <w:r w:rsidR="00995C85" w:rsidRPr="001E1B8B">
        <w:rPr>
          <w:b/>
          <w:bCs/>
        </w:rPr>
        <w:t>E</w:t>
      </w:r>
      <w:r w:rsidR="00783EAB" w:rsidRPr="001E1B8B">
        <w:rPr>
          <w:b/>
          <w:bCs/>
        </w:rPr>
        <w:t>mergency telecommunication</w:t>
      </w:r>
      <w:r w:rsidR="00014190" w:rsidRPr="001E1B8B">
        <w:rPr>
          <w:b/>
          <w:bCs/>
        </w:rPr>
        <w:t>s</w:t>
      </w:r>
      <w:r w:rsidR="00995C85" w:rsidRPr="001E1B8B">
        <w:rPr>
          <w:b/>
          <w:bCs/>
        </w:rPr>
        <w:t xml:space="preserve">: </w:t>
      </w:r>
      <w:r w:rsidR="00783EAB" w:rsidRPr="001E1B8B">
        <w:rPr>
          <w:b/>
          <w:bCs/>
        </w:rPr>
        <w:t>B</w:t>
      </w:r>
      <w:r w:rsidR="0018316B" w:rsidRPr="001E1B8B">
        <w:rPr>
          <w:b/>
          <w:bCs/>
        </w:rPr>
        <w:t xml:space="preserve">uilding disaster-resilient ICT </w:t>
      </w:r>
      <w:r w:rsidR="00783EAB" w:rsidRPr="001E1B8B">
        <w:rPr>
          <w:b/>
          <w:bCs/>
        </w:rPr>
        <w:t>i</w:t>
      </w:r>
      <w:r w:rsidR="0018316B" w:rsidRPr="001E1B8B">
        <w:rPr>
          <w:b/>
          <w:bCs/>
        </w:rPr>
        <w:t xml:space="preserve">nfrastructure for reduced loss of lives and economic </w:t>
      </w:r>
      <w:r w:rsidR="00783EAB" w:rsidRPr="001E1B8B">
        <w:rPr>
          <w:b/>
          <w:bCs/>
        </w:rPr>
        <w:t>l</w:t>
      </w:r>
      <w:r w:rsidR="0018316B" w:rsidRPr="001E1B8B">
        <w:rPr>
          <w:b/>
          <w:bCs/>
        </w:rPr>
        <w:t xml:space="preserve">oss </w:t>
      </w:r>
    </w:p>
    <w:p w14:paraId="7CAF6674" w14:textId="4DCF6132" w:rsidR="00995C85" w:rsidRPr="001E1B8B" w:rsidRDefault="00563C28" w:rsidP="0018316B">
      <w:pPr>
        <w:keepNext/>
        <w:spacing w:before="240"/>
        <w:rPr>
          <w:bCs/>
        </w:rPr>
      </w:pPr>
      <w:r w:rsidRPr="001E1B8B">
        <w:rPr>
          <w:bCs/>
        </w:rPr>
        <w:t>6.1</w:t>
      </w:r>
      <w:r w:rsidRPr="001E1B8B">
        <w:rPr>
          <w:bCs/>
        </w:rPr>
        <w:tab/>
      </w:r>
      <w:r w:rsidR="00C50A38" w:rsidRPr="001E1B8B">
        <w:rPr>
          <w:b/>
          <w:bCs/>
        </w:rPr>
        <w:t xml:space="preserve">ITU </w:t>
      </w:r>
      <w:r w:rsidR="009506A9" w:rsidRPr="001E1B8B">
        <w:rPr>
          <w:b/>
          <w:bCs/>
        </w:rPr>
        <w:t>guidelines</w:t>
      </w:r>
    </w:p>
    <w:p w14:paraId="6FFA6EB1" w14:textId="6979AA2F" w:rsidR="00481A82" w:rsidRPr="001E1B8B" w:rsidRDefault="0076286B" w:rsidP="00481A82">
      <w:pPr>
        <w:overflowPunct/>
        <w:autoSpaceDE/>
        <w:autoSpaceDN/>
        <w:adjustRightInd/>
        <w:spacing w:line="252" w:lineRule="auto"/>
        <w:textAlignment w:val="auto"/>
      </w:pPr>
      <w:r w:rsidRPr="001E1B8B">
        <w:rPr>
          <w:bCs/>
        </w:rPr>
        <w:t xml:space="preserve">The </w:t>
      </w:r>
      <w:hyperlink r:id="rId48" w:history="1">
        <w:r w:rsidRPr="001E1B8B">
          <w:rPr>
            <w:bCs/>
            <w:color w:val="0000FF" w:themeColor="hyperlink"/>
            <w:u w:val="single"/>
          </w:rPr>
          <w:t>ITU guidelines for national emergency telecommunication plans</w:t>
        </w:r>
      </w:hyperlink>
      <w:r w:rsidRPr="001E1B8B">
        <w:rPr>
          <w:bCs/>
        </w:rPr>
        <w:t xml:space="preserve"> were prepared to assist national authorities and policy</w:t>
      </w:r>
      <w:r w:rsidR="008561CB" w:rsidRPr="001E1B8B">
        <w:rPr>
          <w:bCs/>
        </w:rPr>
        <w:t>-</w:t>
      </w:r>
      <w:r w:rsidRPr="001E1B8B">
        <w:rPr>
          <w:bCs/>
        </w:rPr>
        <w:t xml:space="preserve">makers to develop a clear, flexible and user-friendly framework to support and enable the continued use of ICT networks and services in all phases of disaster management. </w:t>
      </w:r>
      <w:r w:rsidRPr="001E1B8B">
        <w:t>The initial development of national emergency telecommunication plans in 2019 rolled out in Bolivia</w:t>
      </w:r>
      <w:r w:rsidR="00253F43">
        <w:t>,</w:t>
      </w:r>
      <w:r w:rsidRPr="001E1B8B">
        <w:t xml:space="preserve"> </w:t>
      </w:r>
      <w:r w:rsidR="00253F43" w:rsidRPr="001E1B8B">
        <w:t>Dominican Republic, Guatemala</w:t>
      </w:r>
      <w:r w:rsidR="00253F43">
        <w:t xml:space="preserve">, </w:t>
      </w:r>
      <w:r w:rsidRPr="001E1B8B">
        <w:t xml:space="preserve">in the Americas </w:t>
      </w:r>
      <w:r w:rsidR="006F17BA">
        <w:t>r</w:t>
      </w:r>
      <w:r w:rsidRPr="001E1B8B">
        <w:t>egion</w:t>
      </w:r>
      <w:r w:rsidR="006F17BA">
        <w:t>,</w:t>
      </w:r>
      <w:r w:rsidRPr="001E1B8B">
        <w:t xml:space="preserve"> and in </w:t>
      </w:r>
      <w:r w:rsidR="00253F43" w:rsidRPr="001E1B8B">
        <w:t>Papua New Guinea</w:t>
      </w:r>
      <w:r w:rsidR="00253F43">
        <w:t>,</w:t>
      </w:r>
      <w:r w:rsidR="00253F43" w:rsidRPr="001E1B8B">
        <w:t xml:space="preserve"> Salomon Islands</w:t>
      </w:r>
      <w:r w:rsidR="00253F43">
        <w:t>,</w:t>
      </w:r>
      <w:r w:rsidR="00253F43" w:rsidRPr="001E1B8B">
        <w:t xml:space="preserve"> </w:t>
      </w:r>
      <w:r w:rsidRPr="001E1B8B">
        <w:t xml:space="preserve">Samoa, Vanuatu, in </w:t>
      </w:r>
      <w:r w:rsidR="00253F43">
        <w:t xml:space="preserve">the </w:t>
      </w:r>
      <w:r w:rsidRPr="001E1B8B">
        <w:t>Asia</w:t>
      </w:r>
      <w:r w:rsidR="00253F43">
        <w:t>-</w:t>
      </w:r>
      <w:r w:rsidRPr="001E1B8B">
        <w:t xml:space="preserve">Pacific </w:t>
      </w:r>
      <w:r w:rsidR="00206D9E">
        <w:t>r</w:t>
      </w:r>
      <w:r w:rsidRPr="001E1B8B">
        <w:t>egion. The implementation of these plans will help to build a national disaster-resilient ICT infrastructure by determining the required ICT capabilities for emergency responses, and by establishing a governance framework of roles and responsibilities that will help to reduce loss of life and economic loss. The guidelines were developed though a consultative multi-stakeholder process, engaging ITU Member States</w:t>
      </w:r>
      <w:r w:rsidR="00206D9E">
        <w:t xml:space="preserve">, Sector Members </w:t>
      </w:r>
      <w:r w:rsidRPr="001E1B8B">
        <w:t>and ICT private sector entities, as well as relevant UN entities including the Emergency Telecommunications Cluster</w:t>
      </w:r>
      <w:r w:rsidR="00F37B5D">
        <w:t xml:space="preserve"> (ETC)</w:t>
      </w:r>
      <w:r w:rsidRPr="001E1B8B">
        <w:t xml:space="preserve">. </w:t>
      </w:r>
    </w:p>
    <w:p w14:paraId="53425155" w14:textId="77777777" w:rsidR="0076286B" w:rsidRPr="001E1B8B" w:rsidRDefault="0076286B" w:rsidP="0076286B">
      <w:pPr>
        <w:keepNext/>
        <w:overflowPunct/>
        <w:autoSpaceDE/>
        <w:autoSpaceDN/>
        <w:adjustRightInd/>
      </w:pPr>
      <w:r w:rsidRPr="001E1B8B">
        <w:t>6.2</w:t>
      </w:r>
      <w:r w:rsidRPr="001E1B8B">
        <w:tab/>
      </w:r>
      <w:r w:rsidRPr="001E1B8B">
        <w:rPr>
          <w:b/>
        </w:rPr>
        <w:t>Emergency communication disaster response</w:t>
      </w:r>
    </w:p>
    <w:p w14:paraId="3236F8DB" w14:textId="27910E28" w:rsidR="0076286B" w:rsidRPr="001E1B8B" w:rsidRDefault="0076286B" w:rsidP="0076286B">
      <w:pPr>
        <w:rPr>
          <w:bCs/>
        </w:rPr>
      </w:pPr>
      <w:r w:rsidRPr="001E1B8B">
        <w:t>ITU provided satellite telecommunications equipment to Mozambique and to Zimbabwe to help mitigate the impact of Cyclone Idai that triggered a massive disaster in southern Africa affecting hundreds of thousands if not millions of people. ITU also provided satellite equipment to the Bahamas after the devastation caused by hurricane Dorian as well as provid</w:t>
      </w:r>
      <w:r w:rsidR="00F37B5D">
        <w:t>ing</w:t>
      </w:r>
      <w:r w:rsidRPr="001E1B8B">
        <w:t xml:space="preserve"> support to the Crisis Connectivity Charter (CCC) with importation procedures through the </w:t>
      </w:r>
      <w:r w:rsidR="00966A92">
        <w:t>E</w:t>
      </w:r>
      <w:r w:rsidR="00966A92" w:rsidRPr="00966A92">
        <w:t xml:space="preserve">mergency </w:t>
      </w:r>
      <w:r w:rsidR="00966A92">
        <w:t>T</w:t>
      </w:r>
      <w:r w:rsidR="00966A92" w:rsidRPr="00966A92">
        <w:t xml:space="preserve">elecommunications </w:t>
      </w:r>
      <w:r w:rsidR="00966A92">
        <w:t>C</w:t>
      </w:r>
      <w:r w:rsidR="00966A92" w:rsidRPr="00966A92">
        <w:t xml:space="preserve">luster </w:t>
      </w:r>
      <w:r w:rsidR="00966A92">
        <w:t>(</w:t>
      </w:r>
      <w:r w:rsidRPr="001E1B8B">
        <w:t>ETC</w:t>
      </w:r>
      <w:r w:rsidR="00966A92">
        <w:t>)</w:t>
      </w:r>
      <w:r w:rsidRPr="001E1B8B">
        <w:t>.</w:t>
      </w:r>
    </w:p>
    <w:p w14:paraId="01F5AE46" w14:textId="302605F7" w:rsidR="0076286B" w:rsidRPr="001E1B8B" w:rsidRDefault="0076286B" w:rsidP="0076286B">
      <w:pPr>
        <w:keepNext/>
        <w:rPr>
          <w:bCs/>
        </w:rPr>
      </w:pPr>
      <w:r w:rsidRPr="001E1B8B">
        <w:rPr>
          <w:bCs/>
        </w:rPr>
        <w:t>6.3</w:t>
      </w:r>
      <w:r w:rsidRPr="001E1B8B">
        <w:rPr>
          <w:bCs/>
        </w:rPr>
        <w:tab/>
      </w:r>
      <w:r w:rsidRPr="001E1B8B">
        <w:rPr>
          <w:b/>
          <w:bCs/>
        </w:rPr>
        <w:t>ITU emergency telecommunication roster</w:t>
      </w:r>
    </w:p>
    <w:p w14:paraId="0C1892B3" w14:textId="0E0B8414" w:rsidR="00664321" w:rsidRPr="001E1B8B" w:rsidRDefault="0076286B" w:rsidP="0076286B">
      <w:pPr>
        <w:rPr>
          <w:bCs/>
        </w:rPr>
      </w:pPr>
      <w:r w:rsidRPr="001E1B8B">
        <w:rPr>
          <w:bCs/>
        </w:rPr>
        <w:t xml:space="preserve">To respond to the increasing demand for support in delivering emergency telecommunication equipment and services when disasters strike, the ITU launched the emergency telecommunication </w:t>
      </w:r>
      <w:hyperlink r:id="rId49" w:history="1">
        <w:r w:rsidRPr="001E1B8B">
          <w:rPr>
            <w:rStyle w:val="Hyperlink"/>
            <w:bCs/>
          </w:rPr>
          <w:t>roster initiative</w:t>
        </w:r>
      </w:hyperlink>
      <w:r w:rsidRPr="001E1B8B">
        <w:rPr>
          <w:bCs/>
        </w:rPr>
        <w:t xml:space="preserve">. Suitable ITU staff will be selected and trained on the deployment and use of the current (and future) ITU telecommunication equipment and will be </w:t>
      </w:r>
      <w:r w:rsidRPr="001E1B8B">
        <w:rPr>
          <w:bCs/>
        </w:rPr>
        <w:lastRenderedPageBreak/>
        <w:t>able to support the Emergency Telecommunications Cluster work on the ground, by liaising with national authorities and stakeholders on importation and licensing requirements of telecommunication equipment.</w:t>
      </w:r>
    </w:p>
    <w:p w14:paraId="25C08664" w14:textId="6DDAEAE7" w:rsidR="00C50A38" w:rsidRPr="001E1B8B" w:rsidRDefault="00563C28">
      <w:pPr>
        <w:keepNext/>
        <w:rPr>
          <w:bCs/>
        </w:rPr>
      </w:pPr>
      <w:r w:rsidRPr="001E1B8B">
        <w:rPr>
          <w:bCs/>
        </w:rPr>
        <w:t>6.</w:t>
      </w:r>
      <w:r w:rsidR="0076286B" w:rsidRPr="001E1B8B">
        <w:rPr>
          <w:bCs/>
        </w:rPr>
        <w:t>4</w:t>
      </w:r>
      <w:r w:rsidRPr="001E1B8B">
        <w:rPr>
          <w:bCs/>
        </w:rPr>
        <w:tab/>
      </w:r>
      <w:r w:rsidR="00C50A38" w:rsidRPr="001E1B8B">
        <w:rPr>
          <w:b/>
          <w:bCs/>
        </w:rPr>
        <w:t>C</w:t>
      </w:r>
      <w:r w:rsidR="00014190" w:rsidRPr="001E1B8B">
        <w:rPr>
          <w:b/>
          <w:bCs/>
        </w:rPr>
        <w:t>risis connectivity charter</w:t>
      </w:r>
    </w:p>
    <w:p w14:paraId="65F067FE" w14:textId="4508CC56" w:rsidR="000D4939" w:rsidRPr="001E1B8B" w:rsidRDefault="000D4939" w:rsidP="000D4939">
      <w:pPr>
        <w:rPr>
          <w:bCs/>
        </w:rPr>
      </w:pPr>
      <w:r w:rsidRPr="001E1B8B">
        <w:rPr>
          <w:bCs/>
        </w:rPr>
        <w:t>To expand ITU work in the area of emergency telecommunication</w:t>
      </w:r>
      <w:r w:rsidR="00014190" w:rsidRPr="001E1B8B">
        <w:rPr>
          <w:bCs/>
        </w:rPr>
        <w:t>s</w:t>
      </w:r>
      <w:r w:rsidRPr="001E1B8B">
        <w:rPr>
          <w:bCs/>
        </w:rPr>
        <w:t xml:space="preserve"> and to support and improve coordination with the satellite and the humanitarian community, ITU joined the </w:t>
      </w:r>
      <w:hyperlink r:id="rId50" w:history="1">
        <w:r w:rsidRPr="001E1B8B">
          <w:rPr>
            <w:rStyle w:val="Hyperlink"/>
            <w:bCs/>
          </w:rPr>
          <w:t>Crisis Connectivity Charter</w:t>
        </w:r>
        <w:r w:rsidR="0018316B" w:rsidRPr="001E1B8B">
          <w:rPr>
            <w:rStyle w:val="Hyperlink"/>
            <w:bCs/>
          </w:rPr>
          <w:t xml:space="preserve"> (CCC)</w:t>
        </w:r>
      </w:hyperlink>
      <w:r w:rsidRPr="001E1B8B">
        <w:rPr>
          <w:bCs/>
        </w:rPr>
        <w:t xml:space="preserve"> becoming a principal member. </w:t>
      </w:r>
      <w:r w:rsidRPr="001E1B8B">
        <w:rPr>
          <w:rFonts w:cstheme="minorHAnsi"/>
        </w:rPr>
        <w:t xml:space="preserve">The CCC </w:t>
      </w:r>
      <w:r w:rsidRPr="001E1B8B">
        <w:rPr>
          <w:rFonts w:cstheme="minorHAnsi"/>
          <w:shd w:val="clear" w:color="auto" w:fill="FFFFFF"/>
        </w:rPr>
        <w:t xml:space="preserve">is a mechanism created between the satellite industry and the wider humanitarian community, to make satellite-based communications more readily available </w:t>
      </w:r>
      <w:r w:rsidR="006860CC" w:rsidRPr="001E1B8B">
        <w:rPr>
          <w:rFonts w:cstheme="minorHAnsi"/>
          <w:shd w:val="clear" w:color="auto" w:fill="FFFFFF"/>
        </w:rPr>
        <w:t>for</w:t>
      </w:r>
      <w:r w:rsidRPr="001E1B8B">
        <w:rPr>
          <w:rFonts w:cstheme="minorHAnsi"/>
          <w:shd w:val="clear" w:color="auto" w:fill="FFFFFF"/>
        </w:rPr>
        <w:t xml:space="preserve"> humanitarian</w:t>
      </w:r>
      <w:r w:rsidR="006860CC" w:rsidRPr="001E1B8B">
        <w:rPr>
          <w:rFonts w:cstheme="minorHAnsi"/>
          <w:shd w:val="clear" w:color="auto" w:fill="FFFFFF"/>
        </w:rPr>
        <w:t xml:space="preserve"> effort</w:t>
      </w:r>
      <w:r w:rsidRPr="001E1B8B">
        <w:rPr>
          <w:rFonts w:cstheme="minorHAnsi"/>
          <w:shd w:val="clear" w:color="auto" w:fill="FFFFFF"/>
        </w:rPr>
        <w:t xml:space="preserve">s and communities </w:t>
      </w:r>
      <w:r w:rsidR="006860CC" w:rsidRPr="001E1B8B">
        <w:rPr>
          <w:rFonts w:cstheme="minorHAnsi"/>
          <w:shd w:val="clear" w:color="auto" w:fill="FFFFFF"/>
        </w:rPr>
        <w:t xml:space="preserve">impacted </w:t>
      </w:r>
      <w:r w:rsidRPr="001E1B8B">
        <w:rPr>
          <w:rFonts w:cstheme="minorHAnsi"/>
          <w:shd w:val="clear" w:color="auto" w:fill="FFFFFF"/>
        </w:rPr>
        <w:t xml:space="preserve">in times of disaster. </w:t>
      </w:r>
      <w:r w:rsidRPr="001E1B8B">
        <w:rPr>
          <w:rFonts w:cstheme="minorHAnsi"/>
        </w:rPr>
        <w:t>The Charter was developed by the EMEA Satellite Operator</w:t>
      </w:r>
      <w:r w:rsidR="006860CC" w:rsidRPr="001E1B8B">
        <w:rPr>
          <w:rFonts w:cstheme="minorHAnsi"/>
        </w:rPr>
        <w:t>s</w:t>
      </w:r>
      <w:r w:rsidRPr="001E1B8B">
        <w:rPr>
          <w:rFonts w:cstheme="minorHAnsi"/>
        </w:rPr>
        <w:t xml:space="preserve"> Association (ESOA) and the Global VSAT Forum (GVF) and their members, in coordination with the UN Office for the Coordination of Humanitarian Affairs (OCHA) and the Emergency Telecommunications Cluster (ETC), led by the World Food Programme (WFP).</w:t>
      </w:r>
    </w:p>
    <w:p w14:paraId="37B303C8" w14:textId="02728813" w:rsidR="0076286B" w:rsidRPr="001E1B8B" w:rsidRDefault="0076286B" w:rsidP="0076286B">
      <w:pPr>
        <w:keepNext/>
        <w:rPr>
          <w:bCs/>
        </w:rPr>
      </w:pPr>
      <w:r w:rsidRPr="001E1B8B">
        <w:rPr>
          <w:bCs/>
        </w:rPr>
        <w:t>6.5</w:t>
      </w:r>
      <w:r w:rsidRPr="001E1B8B">
        <w:rPr>
          <w:bCs/>
        </w:rPr>
        <w:tab/>
      </w:r>
      <w:r w:rsidRPr="001E1B8B">
        <w:rPr>
          <w:b/>
          <w:bCs/>
        </w:rPr>
        <w:t>GET-19</w:t>
      </w:r>
    </w:p>
    <w:p w14:paraId="69A4D929" w14:textId="31617B17" w:rsidR="0076286B" w:rsidRPr="001E1B8B" w:rsidRDefault="0076286B" w:rsidP="0076286B">
      <w:r w:rsidRPr="001E1B8B">
        <w:rPr>
          <w:bCs/>
        </w:rPr>
        <w:t xml:space="preserve">The </w:t>
      </w:r>
      <w:hyperlink r:id="rId51" w:history="1">
        <w:r w:rsidRPr="001E1B8B">
          <w:rPr>
            <w:rStyle w:val="Hyperlink"/>
            <w:bCs/>
          </w:rPr>
          <w:t>3</w:t>
        </w:r>
        <w:r w:rsidRPr="0090011B">
          <w:rPr>
            <w:rStyle w:val="Hyperlink"/>
            <w:bCs/>
          </w:rPr>
          <w:t>rd</w:t>
        </w:r>
        <w:r w:rsidRPr="001E1B8B">
          <w:rPr>
            <w:rStyle w:val="Hyperlink"/>
            <w:bCs/>
          </w:rPr>
          <w:t xml:space="preserve"> Global Forum on Emergency Telecommunications</w:t>
        </w:r>
      </w:hyperlink>
      <w:r w:rsidRPr="001E1B8B">
        <w:rPr>
          <w:bCs/>
        </w:rPr>
        <w:t xml:space="preserve"> (GET-19) took place in Mauritius and highlighted the importance of early-warning and monitoring systems and the needs and opportunities for partnerships and cooperation. Furthermore, it addressed challenges and opportunities for technolog</w:t>
      </w:r>
      <w:r w:rsidR="009340F6">
        <w:rPr>
          <w:bCs/>
        </w:rPr>
        <w:t>y</w:t>
      </w:r>
      <w:r w:rsidRPr="001E1B8B">
        <w:rPr>
          <w:bCs/>
        </w:rPr>
        <w:t xml:space="preserve"> in the humanitarian context. For the first time, </w:t>
      </w:r>
      <w:r w:rsidRPr="001E1B8B">
        <w:t xml:space="preserve">simulation exercises were organized that emphasized the need for better preparedness on the proper actions to be taken when disasters strike. The simulations, organized in cooperation with World Food Programme, illustrated the potential of technology to save lives and showcased the importance of coordination and cooperation, as well as standard operating procedures for disaster response. </w:t>
      </w:r>
    </w:p>
    <w:p w14:paraId="742BDB00" w14:textId="77777777" w:rsidR="0076286B" w:rsidRPr="001E1B8B" w:rsidRDefault="0076286B" w:rsidP="00EA08EA">
      <w:pPr>
        <w:keepNext/>
      </w:pPr>
      <w:r w:rsidRPr="001E1B8B">
        <w:t>6.6</w:t>
      </w:r>
      <w:r w:rsidRPr="001E1B8B">
        <w:rPr>
          <w:b/>
        </w:rPr>
        <w:tab/>
        <w:t>Disaster Connectivity Map Initiative</w:t>
      </w:r>
    </w:p>
    <w:p w14:paraId="517D786C" w14:textId="369A0E9E" w:rsidR="0076286B" w:rsidRPr="001E1B8B" w:rsidRDefault="0076286B" w:rsidP="0076286B">
      <w:r w:rsidRPr="001E1B8B">
        <w:t xml:space="preserve">ITU, together with the </w:t>
      </w:r>
      <w:r w:rsidR="00966A92">
        <w:t>E</w:t>
      </w:r>
      <w:r w:rsidR="00966A92" w:rsidRPr="00966A92">
        <w:t xml:space="preserve">mergency </w:t>
      </w:r>
      <w:r w:rsidR="00966A92">
        <w:t>T</w:t>
      </w:r>
      <w:r w:rsidR="00966A92" w:rsidRPr="00966A92">
        <w:t xml:space="preserve">elecommunications </w:t>
      </w:r>
      <w:r w:rsidR="00966A92">
        <w:t>C</w:t>
      </w:r>
      <w:r w:rsidR="00966A92" w:rsidRPr="00966A92">
        <w:t>luster</w:t>
      </w:r>
      <w:r w:rsidRPr="001E1B8B">
        <w:t xml:space="preserve"> and NetHope, started the development of the Disaster Connectivity Map Initiative. </w:t>
      </w:r>
      <w:r w:rsidR="00EA1032">
        <w:t>This initiative</w:t>
      </w:r>
      <w:r w:rsidRPr="001E1B8B">
        <w:t xml:space="preserve"> will provide information on the type, level and quality of connectivity that is available on the ground. The</w:t>
      </w:r>
      <w:r w:rsidR="00EA1032">
        <w:t xml:space="preserve"> maps</w:t>
      </w:r>
      <w:r w:rsidRPr="001E1B8B">
        <w:t xml:space="preserve"> will use different data sources, including from mobile network operators, Facebook and others and operate in near real time to guide first responders from governments and humanitarian organisations in their relief efforts.</w:t>
      </w:r>
    </w:p>
    <w:p w14:paraId="481D9FFE" w14:textId="77777777" w:rsidR="00563C28" w:rsidRPr="001E1B8B" w:rsidRDefault="00563C28" w:rsidP="001C1B7C">
      <w:pPr>
        <w:pStyle w:val="NormalWeb"/>
        <w:shd w:val="clear" w:color="auto" w:fill="FFFFFF"/>
        <w:spacing w:before="120" w:beforeAutospacing="0" w:after="0" w:afterAutospacing="0"/>
        <w:textAlignment w:val="baseline"/>
        <w:rPr>
          <w:rFonts w:asciiTheme="minorHAnsi" w:hAnsiTheme="minorHAnsi" w:cstheme="minorHAnsi"/>
          <w:color w:val="444444"/>
        </w:rPr>
      </w:pPr>
    </w:p>
    <w:tbl>
      <w:tblPr>
        <w:tblStyle w:val="TableGrid"/>
        <w:tblW w:w="0" w:type="auto"/>
        <w:tblLook w:val="04A0" w:firstRow="1" w:lastRow="0" w:firstColumn="1" w:lastColumn="0" w:noHBand="0" w:noVBand="1"/>
      </w:tblPr>
      <w:tblGrid>
        <w:gridCol w:w="9629"/>
      </w:tblGrid>
      <w:tr w:rsidR="00563C28" w:rsidRPr="001E1B8B" w14:paraId="3E0C9608" w14:textId="77777777" w:rsidTr="0054502F">
        <w:tc>
          <w:tcPr>
            <w:tcW w:w="9629" w:type="dxa"/>
          </w:tcPr>
          <w:p w14:paraId="338FA65F" w14:textId="2DD2862A" w:rsidR="00563C28" w:rsidRPr="001E1B8B" w:rsidRDefault="00563C28" w:rsidP="0054502F">
            <w:pPr>
              <w:rPr>
                <w:b/>
              </w:rPr>
            </w:pPr>
            <w:r w:rsidRPr="001E1B8B">
              <w:rPr>
                <w:b/>
              </w:rPr>
              <w:t>REGIONAL INITIATIVES</w:t>
            </w:r>
          </w:p>
          <w:p w14:paraId="28EE4ED9" w14:textId="77777777" w:rsidR="0018316B" w:rsidRPr="001E1B8B" w:rsidRDefault="0018316B" w:rsidP="0018316B">
            <w:pPr>
              <w:rPr>
                <w:b/>
              </w:rPr>
            </w:pPr>
            <w:r w:rsidRPr="001E1B8B">
              <w:t>Americas:</w:t>
            </w:r>
            <w:r w:rsidRPr="001E1B8B">
              <w:rPr>
                <w:b/>
              </w:rPr>
              <w:t xml:space="preserve"> </w:t>
            </w:r>
            <w:r w:rsidRPr="001E1B8B">
              <w:rPr>
                <w:u w:val="single"/>
              </w:rPr>
              <w:t>Disaster risk reduction and management communications</w:t>
            </w:r>
          </w:p>
          <w:p w14:paraId="5953A77C" w14:textId="1984B359" w:rsidR="0018316B" w:rsidRPr="001E1B8B" w:rsidRDefault="00481A82" w:rsidP="00000112">
            <w:pPr>
              <w:pStyle w:val="ListParagraph"/>
              <w:numPr>
                <w:ilvl w:val="0"/>
                <w:numId w:val="27"/>
              </w:numPr>
              <w:ind w:left="357" w:hanging="357"/>
              <w:rPr>
                <w:rFonts w:cstheme="minorHAnsi"/>
              </w:rPr>
            </w:pPr>
            <w:r w:rsidRPr="001E1B8B">
              <w:rPr>
                <w:rFonts w:cstheme="minorHAnsi"/>
              </w:rPr>
              <w:t>The p</w:t>
            </w:r>
            <w:r w:rsidR="0018316B" w:rsidRPr="001E1B8B">
              <w:rPr>
                <w:rFonts w:cstheme="minorHAnsi"/>
              </w:rPr>
              <w:t>roject for the use of ICTs in emergency and disaster situations in the Caribbean</w:t>
            </w:r>
            <w:r w:rsidRPr="001E1B8B">
              <w:rPr>
                <w:rFonts w:cstheme="minorHAnsi"/>
              </w:rPr>
              <w:t>, known as</w:t>
            </w:r>
            <w:r w:rsidR="0018316B" w:rsidRPr="001E1B8B">
              <w:rPr>
                <w:rFonts w:cstheme="minorHAnsi"/>
              </w:rPr>
              <w:t xml:space="preserve"> </w:t>
            </w:r>
            <w:hyperlink r:id="rId52" w:history="1">
              <w:r w:rsidR="0018316B" w:rsidRPr="001E1B8B">
                <w:rPr>
                  <w:rStyle w:val="Hyperlink"/>
                  <w:rFonts w:cstheme="minorHAnsi"/>
                </w:rPr>
                <w:t xml:space="preserve">WINLINK 2000 </w:t>
              </w:r>
              <w:r w:rsidRPr="001E1B8B">
                <w:rPr>
                  <w:rStyle w:val="Hyperlink"/>
                  <w:rFonts w:cstheme="minorHAnsi"/>
                </w:rPr>
                <w:t>project</w:t>
              </w:r>
            </w:hyperlink>
            <w:r w:rsidRPr="001E1B8B">
              <w:rPr>
                <w:rFonts w:cstheme="minorHAnsi"/>
              </w:rPr>
              <w:t xml:space="preserve">, was started </w:t>
            </w:r>
            <w:r w:rsidR="0018316B" w:rsidRPr="001E1B8B">
              <w:rPr>
                <w:rFonts w:cstheme="minorHAnsi"/>
              </w:rPr>
              <w:t xml:space="preserve">to </w:t>
            </w:r>
            <w:r w:rsidRPr="001E1B8B">
              <w:rPr>
                <w:rFonts w:cstheme="minorHAnsi"/>
              </w:rPr>
              <w:t>help</w:t>
            </w:r>
            <w:r w:rsidR="0018316B" w:rsidRPr="001E1B8B">
              <w:rPr>
                <w:rFonts w:cstheme="minorHAnsi"/>
              </w:rPr>
              <w:t xml:space="preserve"> </w:t>
            </w:r>
            <w:r w:rsidRPr="001E1B8B">
              <w:rPr>
                <w:rFonts w:cstheme="minorHAnsi"/>
              </w:rPr>
              <w:t>Antigua and Barbuda, Barbados, Dominica, Grenada, Guyana, Jamaica, Saint Kitts and Nevis to enhance</w:t>
            </w:r>
            <w:r w:rsidR="0018316B" w:rsidRPr="001E1B8B">
              <w:rPr>
                <w:rFonts w:cstheme="minorHAnsi"/>
              </w:rPr>
              <w:t xml:space="preserve"> their emergency telecommunication capabilities and improve emergency and disaster response to help save lives.</w:t>
            </w:r>
          </w:p>
          <w:p w14:paraId="794D12EA" w14:textId="10DD08E6" w:rsidR="00481A82" w:rsidRPr="001E1B8B" w:rsidRDefault="0076286B" w:rsidP="00000112">
            <w:pPr>
              <w:pStyle w:val="ListParagraph"/>
              <w:numPr>
                <w:ilvl w:val="0"/>
                <w:numId w:val="27"/>
              </w:numPr>
              <w:ind w:left="357" w:hanging="357"/>
              <w:rPr>
                <w:rFonts w:cstheme="minorHAnsi"/>
              </w:rPr>
            </w:pPr>
            <w:r w:rsidRPr="001E1B8B">
              <w:rPr>
                <w:rFonts w:cstheme="minorHAnsi"/>
              </w:rPr>
              <w:t>Linked to the deployment of emergency telecommunication equipment to the Bahamas after hurricane Dorian, ITU collaborated with</w:t>
            </w:r>
            <w:r w:rsidR="00747457">
              <w:rPr>
                <w:rFonts w:cstheme="minorHAnsi"/>
              </w:rPr>
              <w:t xml:space="preserve"> the</w:t>
            </w:r>
            <w:r w:rsidRPr="001E1B8B">
              <w:rPr>
                <w:rFonts w:cstheme="minorHAnsi"/>
              </w:rPr>
              <w:t xml:space="preserve"> </w:t>
            </w:r>
            <w:r w:rsidR="00901C97" w:rsidRPr="00901C97">
              <w:rPr>
                <w:rFonts w:cstheme="minorHAnsi"/>
              </w:rPr>
              <w:t xml:space="preserve">Utilities Regulation and Competition Authority (URCA) </w:t>
            </w:r>
            <w:r w:rsidRPr="001E1B8B">
              <w:rPr>
                <w:rFonts w:cstheme="minorHAnsi"/>
              </w:rPr>
              <w:t xml:space="preserve">and other stakeholders to provide Internet and other connectivity services to some residents in the affected areas. </w:t>
            </w:r>
          </w:p>
          <w:p w14:paraId="1CDB972B" w14:textId="77777777" w:rsidR="00481A82" w:rsidRPr="001E1B8B" w:rsidRDefault="00481A82" w:rsidP="00000112">
            <w:pPr>
              <w:pStyle w:val="ListParagraph"/>
              <w:numPr>
                <w:ilvl w:val="0"/>
                <w:numId w:val="27"/>
              </w:numPr>
              <w:ind w:left="357" w:hanging="357"/>
              <w:rPr>
                <w:szCs w:val="24"/>
              </w:rPr>
            </w:pPr>
            <w:r w:rsidRPr="001E1B8B">
              <w:rPr>
                <w:rFonts w:cstheme="minorHAnsi"/>
              </w:rPr>
              <w:lastRenderedPageBreak/>
              <w:t>The</w:t>
            </w:r>
            <w:r w:rsidR="0018316B" w:rsidRPr="001E1B8B">
              <w:rPr>
                <w:rFonts w:cstheme="minorHAnsi"/>
              </w:rPr>
              <w:t xml:space="preserve"> Virtual Vision App</w:t>
            </w:r>
            <w:r w:rsidRPr="001E1B8B">
              <w:rPr>
                <w:rFonts w:cstheme="minorHAnsi"/>
              </w:rPr>
              <w:t xml:space="preserve">, </w:t>
            </w:r>
            <w:r w:rsidRPr="001E1B8B">
              <w:rPr>
                <w:rFonts w:ascii="Calibri" w:eastAsia="SimSun" w:hAnsi="Calibri" w:cs="Arial"/>
                <w:szCs w:val="24"/>
                <w:lang w:eastAsia="zh-CN"/>
              </w:rPr>
              <w:t>a real time communications platform for disaster management was developed. It helps facilitate direct, real-time communication before, during and after a hazardous event. The app was tested in the Bahamas in early December.</w:t>
            </w:r>
          </w:p>
          <w:p w14:paraId="2F42FF59" w14:textId="77777777" w:rsidR="00184B6C" w:rsidRPr="001E1B8B" w:rsidRDefault="0097460D" w:rsidP="001B7935">
            <w:r w:rsidRPr="001E1B8B">
              <w:t>Arab States</w:t>
            </w:r>
            <w:r w:rsidR="00184B6C" w:rsidRPr="001E1B8B">
              <w:t xml:space="preserve">: </w:t>
            </w:r>
            <w:r w:rsidR="00184B6C" w:rsidRPr="001E1B8B">
              <w:rPr>
                <w:u w:val="single"/>
              </w:rPr>
              <w:t>Environment, climate change and emergency telecommunications</w:t>
            </w:r>
          </w:p>
          <w:p w14:paraId="384AD20C" w14:textId="761BCF19" w:rsidR="0097460D" w:rsidRPr="001E1B8B" w:rsidRDefault="0097460D" w:rsidP="00000112">
            <w:pPr>
              <w:pStyle w:val="ListParagraph"/>
              <w:numPr>
                <w:ilvl w:val="0"/>
                <w:numId w:val="28"/>
              </w:numPr>
              <w:overflowPunct/>
              <w:autoSpaceDE/>
              <w:autoSpaceDN/>
              <w:adjustRightInd/>
              <w:spacing w:line="240" w:lineRule="atLeast"/>
              <w:ind w:left="357" w:hanging="357"/>
              <w:textAlignment w:val="auto"/>
              <w:rPr>
                <w:rFonts w:cstheme="minorHAnsi"/>
              </w:rPr>
            </w:pPr>
            <w:r w:rsidRPr="001E1B8B">
              <w:t xml:space="preserve">A series of trainings and workshops were held on </w:t>
            </w:r>
            <w:r w:rsidRPr="001E1B8B">
              <w:rPr>
                <w:rFonts w:cstheme="minorHAnsi"/>
              </w:rPr>
              <w:t xml:space="preserve">disaster risk reduction and management and in the use of modern technologies for monitoring and early warning in </w:t>
            </w:r>
            <w:r w:rsidR="000F620B">
              <w:rPr>
                <w:rFonts w:cstheme="minorHAnsi"/>
              </w:rPr>
              <w:t xml:space="preserve">the </w:t>
            </w:r>
            <w:r w:rsidRPr="001E1B8B">
              <w:rPr>
                <w:rFonts w:cstheme="minorHAnsi"/>
              </w:rPr>
              <w:t xml:space="preserve">Arab </w:t>
            </w:r>
            <w:r w:rsidR="000F620B">
              <w:rPr>
                <w:rFonts w:cstheme="minorHAnsi"/>
              </w:rPr>
              <w:t xml:space="preserve">States </w:t>
            </w:r>
            <w:r w:rsidRPr="001E1B8B">
              <w:rPr>
                <w:rFonts w:cstheme="minorHAnsi"/>
              </w:rPr>
              <w:t>region.</w:t>
            </w:r>
          </w:p>
          <w:p w14:paraId="3A2FA210" w14:textId="77777777" w:rsidR="0097460D" w:rsidRPr="001E1B8B" w:rsidRDefault="0097460D" w:rsidP="0097460D">
            <w:pPr>
              <w:tabs>
                <w:tab w:val="clear" w:pos="794"/>
                <w:tab w:val="clear" w:pos="1191"/>
                <w:tab w:val="clear" w:pos="1588"/>
                <w:tab w:val="clear" w:pos="1985"/>
              </w:tabs>
              <w:overflowPunct/>
              <w:autoSpaceDE/>
              <w:autoSpaceDN/>
              <w:adjustRightInd/>
              <w:spacing w:line="240" w:lineRule="atLeast"/>
              <w:contextualSpacing/>
              <w:textAlignment w:val="auto"/>
            </w:pPr>
            <w:r w:rsidRPr="001E1B8B">
              <w:rPr>
                <w:rFonts w:cstheme="minorHAnsi"/>
              </w:rPr>
              <w:t xml:space="preserve">Asia-Pacific: </w:t>
            </w:r>
            <w:r w:rsidRPr="001E1B8B">
              <w:rPr>
                <w:rFonts w:cstheme="minorHAnsi"/>
                <w:u w:val="single"/>
              </w:rPr>
              <w:t>Contributing to a secure and resilient environment</w:t>
            </w:r>
          </w:p>
          <w:p w14:paraId="5069086B" w14:textId="433C2956" w:rsidR="0075692B" w:rsidRPr="001E1B8B" w:rsidRDefault="0097460D" w:rsidP="00000112">
            <w:pPr>
              <w:pStyle w:val="ListParagraph"/>
              <w:numPr>
                <w:ilvl w:val="0"/>
                <w:numId w:val="27"/>
              </w:numPr>
              <w:ind w:left="357" w:hanging="357"/>
              <w:rPr>
                <w:rFonts w:cstheme="minorHAnsi"/>
              </w:rPr>
            </w:pPr>
            <w:r w:rsidRPr="001E1B8B">
              <w:rPr>
                <w:rFonts w:cstheme="minorHAnsi"/>
              </w:rPr>
              <w:t xml:space="preserve">A joint </w:t>
            </w:r>
            <w:r w:rsidR="0075692B" w:rsidRPr="001E1B8B">
              <w:rPr>
                <w:rFonts w:cstheme="minorHAnsi"/>
              </w:rPr>
              <w:t xml:space="preserve">project </w:t>
            </w:r>
            <w:r w:rsidRPr="001E1B8B">
              <w:rPr>
                <w:rFonts w:cstheme="minorHAnsi"/>
              </w:rPr>
              <w:t xml:space="preserve">with DoCA </w:t>
            </w:r>
            <w:r w:rsidR="0075692B" w:rsidRPr="001E1B8B">
              <w:rPr>
                <w:rFonts w:cstheme="minorHAnsi"/>
              </w:rPr>
              <w:t xml:space="preserve">supported </w:t>
            </w:r>
            <w:r w:rsidRPr="001E1B8B">
              <w:rPr>
                <w:rFonts w:cstheme="minorHAnsi"/>
              </w:rPr>
              <w:t>Papua New Guinea</w:t>
            </w:r>
            <w:r w:rsidR="0075692B" w:rsidRPr="001E1B8B">
              <w:rPr>
                <w:rFonts w:cstheme="minorHAnsi"/>
              </w:rPr>
              <w:t xml:space="preserve">, </w:t>
            </w:r>
            <w:r w:rsidR="000A1433" w:rsidRPr="001E1B8B">
              <w:rPr>
                <w:rFonts w:cstheme="minorHAnsi"/>
              </w:rPr>
              <w:t xml:space="preserve">Samoa, </w:t>
            </w:r>
            <w:r w:rsidR="0075692B" w:rsidRPr="001E1B8B">
              <w:rPr>
                <w:rFonts w:cstheme="minorHAnsi"/>
              </w:rPr>
              <w:t>Solomon Island</w:t>
            </w:r>
            <w:r w:rsidR="000A1433" w:rsidRPr="001E1B8B">
              <w:rPr>
                <w:rFonts w:cstheme="minorHAnsi"/>
              </w:rPr>
              <w:t>s</w:t>
            </w:r>
            <w:r w:rsidR="0075692B" w:rsidRPr="001E1B8B">
              <w:rPr>
                <w:rFonts w:cstheme="minorHAnsi"/>
              </w:rPr>
              <w:t xml:space="preserve">, </w:t>
            </w:r>
            <w:r w:rsidR="000A1433" w:rsidRPr="001E1B8B">
              <w:rPr>
                <w:rFonts w:cstheme="minorHAnsi"/>
              </w:rPr>
              <w:t xml:space="preserve">and </w:t>
            </w:r>
            <w:r w:rsidR="0075692B" w:rsidRPr="001E1B8B">
              <w:rPr>
                <w:rFonts w:cstheme="minorHAnsi"/>
              </w:rPr>
              <w:t>Vanuatu to strengthen national emergency telecommunication planning and buil</w:t>
            </w:r>
            <w:r w:rsidR="000A1433" w:rsidRPr="001E1B8B">
              <w:rPr>
                <w:rFonts w:cstheme="minorHAnsi"/>
              </w:rPr>
              <w:t>d</w:t>
            </w:r>
            <w:r w:rsidR="0075692B" w:rsidRPr="001E1B8B">
              <w:rPr>
                <w:rFonts w:cstheme="minorHAnsi"/>
              </w:rPr>
              <w:t xml:space="preserve"> capacity. National </w:t>
            </w:r>
            <w:r w:rsidR="000A1433" w:rsidRPr="001E1B8B">
              <w:rPr>
                <w:rFonts w:cstheme="minorHAnsi"/>
              </w:rPr>
              <w:t>e</w:t>
            </w:r>
            <w:r w:rsidR="0075692B" w:rsidRPr="001E1B8B">
              <w:rPr>
                <w:rFonts w:cstheme="minorHAnsi"/>
              </w:rPr>
              <w:t>m</w:t>
            </w:r>
            <w:r w:rsidRPr="001E1B8B">
              <w:rPr>
                <w:rFonts w:cstheme="minorHAnsi"/>
              </w:rPr>
              <w:t xml:space="preserve">ergency </w:t>
            </w:r>
            <w:r w:rsidR="000A1433" w:rsidRPr="001E1B8B">
              <w:rPr>
                <w:rFonts w:cstheme="minorHAnsi"/>
              </w:rPr>
              <w:t>t</w:t>
            </w:r>
            <w:r w:rsidRPr="001E1B8B">
              <w:rPr>
                <w:rFonts w:cstheme="minorHAnsi"/>
              </w:rPr>
              <w:t xml:space="preserve">elecommunication </w:t>
            </w:r>
            <w:r w:rsidR="000A1433" w:rsidRPr="001E1B8B">
              <w:rPr>
                <w:rFonts w:cstheme="minorHAnsi"/>
              </w:rPr>
              <w:t>p</w:t>
            </w:r>
            <w:r w:rsidRPr="001E1B8B">
              <w:rPr>
                <w:rFonts w:cstheme="minorHAnsi"/>
              </w:rPr>
              <w:t>lans</w:t>
            </w:r>
            <w:r w:rsidR="0075692B" w:rsidRPr="001E1B8B">
              <w:rPr>
                <w:rFonts w:cstheme="minorHAnsi"/>
              </w:rPr>
              <w:t xml:space="preserve"> were developed for </w:t>
            </w:r>
            <w:r w:rsidRPr="001E1B8B">
              <w:rPr>
                <w:rFonts w:cstheme="minorHAnsi"/>
              </w:rPr>
              <w:t>these</w:t>
            </w:r>
            <w:r w:rsidR="0075692B" w:rsidRPr="001E1B8B">
              <w:rPr>
                <w:rFonts w:cstheme="minorHAnsi"/>
              </w:rPr>
              <w:t xml:space="preserve"> Pacific Island</w:t>
            </w:r>
            <w:r w:rsidRPr="001E1B8B">
              <w:rPr>
                <w:rFonts w:cstheme="minorHAnsi"/>
              </w:rPr>
              <w:t>s</w:t>
            </w:r>
            <w:r w:rsidR="0075692B" w:rsidRPr="001E1B8B">
              <w:rPr>
                <w:rFonts w:cstheme="minorHAnsi"/>
              </w:rPr>
              <w:t xml:space="preserve"> in consultation with</w:t>
            </w:r>
            <w:r w:rsidR="00966A92">
              <w:rPr>
                <w:rFonts w:cstheme="minorHAnsi"/>
              </w:rPr>
              <w:t xml:space="preserve"> the </w:t>
            </w:r>
            <w:r w:rsidR="00966A92">
              <w:t>E</w:t>
            </w:r>
            <w:r w:rsidR="00966A92" w:rsidRPr="00966A92">
              <w:t xml:space="preserve">mergency </w:t>
            </w:r>
            <w:r w:rsidR="00966A92">
              <w:t>T</w:t>
            </w:r>
            <w:r w:rsidR="00966A92" w:rsidRPr="00966A92">
              <w:t xml:space="preserve">elecommunications </w:t>
            </w:r>
            <w:r w:rsidR="00966A92">
              <w:t>C</w:t>
            </w:r>
            <w:r w:rsidR="00966A92" w:rsidRPr="00966A92">
              <w:t xml:space="preserve">luster </w:t>
            </w:r>
            <w:r w:rsidRPr="001E1B8B">
              <w:rPr>
                <w:rFonts w:cstheme="minorHAnsi"/>
              </w:rPr>
              <w:t>(ETC</w:t>
            </w:r>
            <w:r w:rsidR="0075692B" w:rsidRPr="001E1B8B">
              <w:rPr>
                <w:rFonts w:cstheme="minorHAnsi"/>
              </w:rPr>
              <w:t>).</w:t>
            </w:r>
          </w:p>
          <w:p w14:paraId="48213C21" w14:textId="6FF59166" w:rsidR="000E34A8" w:rsidRPr="001E1B8B" w:rsidRDefault="0075692B" w:rsidP="006E3EE7">
            <w:pPr>
              <w:pStyle w:val="ListParagraph"/>
              <w:numPr>
                <w:ilvl w:val="0"/>
                <w:numId w:val="27"/>
              </w:numPr>
              <w:spacing w:after="120"/>
              <w:ind w:left="357" w:hanging="357"/>
            </w:pPr>
            <w:r w:rsidRPr="001E1B8B">
              <w:rPr>
                <w:rFonts w:cstheme="minorHAnsi"/>
              </w:rPr>
              <w:t>Broadba</w:t>
            </w:r>
            <w:r w:rsidR="0097460D" w:rsidRPr="001E1B8B">
              <w:rPr>
                <w:rFonts w:cstheme="minorHAnsi"/>
              </w:rPr>
              <w:t xml:space="preserve">nd </w:t>
            </w:r>
            <w:r w:rsidR="007B737E" w:rsidRPr="001E1B8B">
              <w:rPr>
                <w:rFonts w:cstheme="minorHAnsi"/>
              </w:rPr>
              <w:t>G</w:t>
            </w:r>
            <w:r w:rsidR="0097460D" w:rsidRPr="001E1B8B">
              <w:rPr>
                <w:rFonts w:cstheme="minorHAnsi"/>
              </w:rPr>
              <w:t xml:space="preserve">lobal </w:t>
            </w:r>
            <w:r w:rsidR="007B737E" w:rsidRPr="001E1B8B">
              <w:rPr>
                <w:rFonts w:cstheme="minorHAnsi"/>
              </w:rPr>
              <w:t>A</w:t>
            </w:r>
            <w:r w:rsidR="0097460D" w:rsidRPr="001E1B8B">
              <w:rPr>
                <w:rFonts w:cstheme="minorHAnsi"/>
              </w:rPr>
              <w:t xml:space="preserve">rea </w:t>
            </w:r>
            <w:r w:rsidR="007B737E" w:rsidRPr="001E1B8B">
              <w:rPr>
                <w:rFonts w:cstheme="minorHAnsi"/>
              </w:rPr>
              <w:t>N</w:t>
            </w:r>
            <w:r w:rsidR="0097460D" w:rsidRPr="001E1B8B">
              <w:rPr>
                <w:rFonts w:cstheme="minorHAnsi"/>
              </w:rPr>
              <w:t>etwork</w:t>
            </w:r>
            <w:r w:rsidR="007B737E" w:rsidRPr="001E1B8B">
              <w:rPr>
                <w:rFonts w:cstheme="minorHAnsi"/>
              </w:rPr>
              <w:t xml:space="preserve"> (BGAN) terminals</w:t>
            </w:r>
            <w:r w:rsidR="0097460D" w:rsidRPr="001E1B8B">
              <w:rPr>
                <w:rFonts w:cstheme="minorHAnsi"/>
              </w:rPr>
              <w:t xml:space="preserve"> were dispatched to the</w:t>
            </w:r>
            <w:r w:rsidRPr="001E1B8B">
              <w:rPr>
                <w:rFonts w:cstheme="minorHAnsi"/>
              </w:rPr>
              <w:t xml:space="preserve"> Solomon Islands </w:t>
            </w:r>
            <w:r w:rsidR="0097460D" w:rsidRPr="001E1B8B">
              <w:rPr>
                <w:rFonts w:cstheme="minorHAnsi"/>
              </w:rPr>
              <w:t>in response to the</w:t>
            </w:r>
            <w:r w:rsidRPr="001E1B8B">
              <w:rPr>
                <w:rFonts w:cstheme="minorHAnsi"/>
              </w:rPr>
              <w:t xml:space="preserve"> </w:t>
            </w:r>
            <w:r w:rsidR="000A1433" w:rsidRPr="001E1B8B">
              <w:rPr>
                <w:rFonts w:cstheme="minorHAnsi"/>
              </w:rPr>
              <w:t xml:space="preserve">Rennell Island </w:t>
            </w:r>
            <w:r w:rsidRPr="001E1B8B">
              <w:rPr>
                <w:rFonts w:cstheme="minorHAnsi"/>
              </w:rPr>
              <w:t>oil spillage.</w:t>
            </w:r>
          </w:p>
        </w:tc>
      </w:tr>
    </w:tbl>
    <w:p w14:paraId="03E474CC" w14:textId="77777777" w:rsidR="00563C28" w:rsidRPr="001E1B8B" w:rsidRDefault="00563C28" w:rsidP="00563C28">
      <w:pPr>
        <w:pStyle w:val="NormalWeb"/>
        <w:shd w:val="clear" w:color="auto" w:fill="FFFFFF"/>
        <w:spacing w:before="120" w:beforeAutospacing="0" w:after="0" w:afterAutospacing="0"/>
        <w:textAlignment w:val="baseline"/>
        <w:rPr>
          <w:rFonts w:asciiTheme="minorHAnsi" w:hAnsiTheme="minorHAnsi" w:cstheme="minorHAnsi"/>
        </w:rPr>
      </w:pPr>
    </w:p>
    <w:tbl>
      <w:tblPr>
        <w:tblStyle w:val="TableGrid"/>
        <w:tblW w:w="0" w:type="auto"/>
        <w:tblLook w:val="04A0" w:firstRow="1" w:lastRow="0" w:firstColumn="1" w:lastColumn="0" w:noHBand="0" w:noVBand="1"/>
      </w:tblPr>
      <w:tblGrid>
        <w:gridCol w:w="9629"/>
      </w:tblGrid>
      <w:tr w:rsidR="00563C28" w:rsidRPr="001E1B8B" w14:paraId="7F1E5DEB" w14:textId="77777777" w:rsidTr="0054502F">
        <w:tc>
          <w:tcPr>
            <w:tcW w:w="9629" w:type="dxa"/>
          </w:tcPr>
          <w:p w14:paraId="6E6158F3" w14:textId="77777777" w:rsidR="00563C28" w:rsidRPr="001E1B8B" w:rsidRDefault="00563C28" w:rsidP="0054502F">
            <w:pPr>
              <w:pStyle w:val="NormalWeb"/>
              <w:keepNext/>
              <w:shd w:val="clear" w:color="auto" w:fill="FFFFFF"/>
              <w:spacing w:before="120" w:beforeAutospacing="0" w:after="0" w:afterAutospacing="0"/>
              <w:textAlignment w:val="baseline"/>
              <w:rPr>
                <w:rFonts w:asciiTheme="minorHAnsi" w:hAnsiTheme="minorHAnsi" w:cstheme="minorHAnsi"/>
                <w:b/>
                <w:bCs/>
              </w:rPr>
            </w:pPr>
            <w:r w:rsidRPr="001E1B8B">
              <w:rPr>
                <w:rFonts w:asciiTheme="minorHAnsi" w:hAnsiTheme="minorHAnsi" w:cstheme="minorHAnsi"/>
                <w:b/>
                <w:bCs/>
              </w:rPr>
              <w:t>STUDY GROUPS</w:t>
            </w:r>
          </w:p>
          <w:p w14:paraId="279E4DE0" w14:textId="42567822" w:rsidR="00563C28" w:rsidRPr="001E1B8B" w:rsidRDefault="00B014A3" w:rsidP="00EA08EA">
            <w:pPr>
              <w:pStyle w:val="NormalWeb"/>
              <w:keepNext/>
              <w:shd w:val="clear" w:color="auto" w:fill="FFFFFF"/>
              <w:spacing w:before="120" w:beforeAutospacing="0" w:after="120" w:afterAutospacing="0"/>
              <w:textAlignment w:val="baseline"/>
              <w:rPr>
                <w:rFonts w:asciiTheme="minorHAnsi" w:hAnsiTheme="minorHAnsi" w:cstheme="minorHAnsi"/>
              </w:rPr>
            </w:pPr>
            <w:r w:rsidRPr="001E1B8B">
              <w:rPr>
                <w:rFonts w:asciiTheme="minorHAnsi" w:hAnsiTheme="minorHAnsi"/>
                <w:szCs w:val="20"/>
              </w:rPr>
              <w:t xml:space="preserve">A workshop on </w:t>
            </w:r>
            <w:r w:rsidRPr="001E1B8B">
              <w:rPr>
                <w:rFonts w:asciiTheme="minorHAnsi" w:hAnsiTheme="minorHAnsi"/>
                <w:i/>
                <w:iCs/>
                <w:szCs w:val="20"/>
              </w:rPr>
              <w:t>Conducting National Level Emergency Communications Drills and Exercises: Guidelines for Small Island Developing States (SIDs) and Least Developed Countries (LDCs)</w:t>
            </w:r>
            <w:r w:rsidRPr="001E1B8B">
              <w:rPr>
                <w:rFonts w:asciiTheme="minorHAnsi" w:hAnsiTheme="minorHAnsi"/>
                <w:szCs w:val="20"/>
              </w:rPr>
              <w:t xml:space="preserve"> was organized in conjunction with the Study Group 2 </w:t>
            </w:r>
            <w:r w:rsidR="00A47ED5" w:rsidRPr="001E1B8B">
              <w:rPr>
                <w:rFonts w:asciiTheme="minorHAnsi" w:hAnsiTheme="minorHAnsi"/>
                <w:szCs w:val="20"/>
              </w:rPr>
              <w:t>(</w:t>
            </w:r>
            <w:r w:rsidRPr="001E1B8B">
              <w:rPr>
                <w:rFonts w:asciiTheme="minorHAnsi" w:hAnsiTheme="minorHAnsi"/>
                <w:szCs w:val="20"/>
              </w:rPr>
              <w:t xml:space="preserve">Question 5/2 </w:t>
            </w:r>
            <w:r w:rsidRPr="00A47ED5">
              <w:rPr>
                <w:rFonts w:asciiTheme="minorHAnsi" w:hAnsiTheme="minorHAnsi"/>
                <w:i/>
                <w:iCs/>
                <w:szCs w:val="20"/>
              </w:rPr>
              <w:t>Utilizing telecommunications/ICTs for disaster risk reduction and management</w:t>
            </w:r>
            <w:r w:rsidRPr="001E1B8B">
              <w:rPr>
                <w:rFonts w:asciiTheme="minorHAnsi" w:hAnsiTheme="minorHAnsi"/>
                <w:szCs w:val="20"/>
              </w:rPr>
              <w:t xml:space="preserve">). This event highlighted the importance of undertaking emergency telecommunication drills at a national level to test and refine readiness to respond in a timely manner when disasters strike. </w:t>
            </w:r>
            <w:r w:rsidRPr="001E1B8B">
              <w:rPr>
                <w:rFonts w:ascii="Calibri" w:eastAsia="Calibri" w:hAnsi="Calibri" w:cs="Calibri"/>
              </w:rPr>
              <w:t xml:space="preserve">The content exchanged and lessons learned during the workshop will be used as input to a new annual deliverable and to the </w:t>
            </w:r>
            <w:r w:rsidR="00336C0C">
              <w:rPr>
                <w:rFonts w:ascii="Calibri" w:eastAsia="Calibri" w:hAnsi="Calibri" w:cs="Calibri"/>
              </w:rPr>
              <w:t>f</w:t>
            </w:r>
            <w:r w:rsidRPr="001E1B8B">
              <w:rPr>
                <w:rFonts w:ascii="Calibri" w:eastAsia="Calibri" w:hAnsi="Calibri" w:cs="Calibri"/>
              </w:rPr>
              <w:t xml:space="preserve">inal </w:t>
            </w:r>
            <w:r w:rsidR="00336C0C">
              <w:rPr>
                <w:rFonts w:ascii="Calibri" w:eastAsia="Calibri" w:hAnsi="Calibri" w:cs="Calibri"/>
              </w:rPr>
              <w:t>r</w:t>
            </w:r>
            <w:r w:rsidRPr="001E1B8B">
              <w:rPr>
                <w:rFonts w:ascii="Calibri" w:eastAsia="Calibri" w:hAnsi="Calibri" w:cs="Calibri"/>
              </w:rPr>
              <w:t xml:space="preserve">eport of Question 5/2. The workshop programme and presentations can be accessed at the following </w:t>
            </w:r>
            <w:hyperlink r:id="rId53" w:history="1">
              <w:r w:rsidRPr="001E1B8B">
                <w:rPr>
                  <w:rStyle w:val="Hyperlink"/>
                  <w:rFonts w:ascii="Calibri" w:eastAsia="Calibri" w:hAnsi="Calibri" w:cs="Calibri"/>
                </w:rPr>
                <w:t>link</w:t>
              </w:r>
            </w:hyperlink>
            <w:r w:rsidRPr="001E1B8B">
              <w:rPr>
                <w:rFonts w:ascii="Calibri" w:eastAsia="Calibri" w:hAnsi="Calibri" w:cs="Calibri"/>
              </w:rPr>
              <w:t>.</w:t>
            </w:r>
          </w:p>
        </w:tc>
      </w:tr>
    </w:tbl>
    <w:p w14:paraId="4B05EE84" w14:textId="596013E4" w:rsidR="009A30A6" w:rsidRPr="001E1B8B" w:rsidRDefault="00643D89" w:rsidP="00563C28">
      <w:pPr>
        <w:keepNext/>
        <w:spacing w:before="240"/>
        <w:rPr>
          <w:b/>
          <w:bCs/>
        </w:rPr>
      </w:pPr>
      <w:r w:rsidRPr="001E1B8B">
        <w:rPr>
          <w:b/>
          <w:bCs/>
        </w:rPr>
        <w:t>7</w:t>
      </w:r>
      <w:r w:rsidR="009A30A6" w:rsidRPr="001E1B8B">
        <w:rPr>
          <w:b/>
          <w:bCs/>
        </w:rPr>
        <w:t xml:space="preserve">. </w:t>
      </w:r>
      <w:r w:rsidR="009A30A6" w:rsidRPr="001E1B8B">
        <w:rPr>
          <w:b/>
          <w:bCs/>
        </w:rPr>
        <w:tab/>
      </w:r>
      <w:r w:rsidR="00C50A38" w:rsidRPr="001E1B8B">
        <w:rPr>
          <w:b/>
          <w:bCs/>
        </w:rPr>
        <w:t>E</w:t>
      </w:r>
      <w:r w:rsidR="007B737E" w:rsidRPr="001E1B8B">
        <w:rPr>
          <w:b/>
          <w:bCs/>
        </w:rPr>
        <w:t>nvironment</w:t>
      </w:r>
      <w:r w:rsidR="009A30A6" w:rsidRPr="001E1B8B">
        <w:rPr>
          <w:b/>
          <w:bCs/>
        </w:rPr>
        <w:t xml:space="preserve">: </w:t>
      </w:r>
      <w:r w:rsidR="007B737E" w:rsidRPr="001E1B8B">
        <w:rPr>
          <w:b/>
          <w:bCs/>
        </w:rPr>
        <w:t>C</w:t>
      </w:r>
      <w:r w:rsidR="00C50A38" w:rsidRPr="001E1B8B">
        <w:rPr>
          <w:b/>
          <w:bCs/>
        </w:rPr>
        <w:t xml:space="preserve">reating a circular economy for ICT equipment </w:t>
      </w:r>
    </w:p>
    <w:p w14:paraId="3D9C1864" w14:textId="735C11DD" w:rsidR="00C50A38" w:rsidRPr="001E1B8B" w:rsidRDefault="00563C28" w:rsidP="00DC03AE">
      <w:pPr>
        <w:keepNext/>
        <w:rPr>
          <w:bCs/>
        </w:rPr>
      </w:pPr>
      <w:r w:rsidRPr="001E1B8B">
        <w:rPr>
          <w:bCs/>
        </w:rPr>
        <w:t>7.1</w:t>
      </w:r>
      <w:r w:rsidRPr="001E1B8B">
        <w:rPr>
          <w:bCs/>
        </w:rPr>
        <w:tab/>
      </w:r>
      <w:r w:rsidR="00643D89" w:rsidRPr="001E1B8B">
        <w:rPr>
          <w:b/>
          <w:bCs/>
        </w:rPr>
        <w:t>G</w:t>
      </w:r>
      <w:r w:rsidR="007B737E" w:rsidRPr="001E1B8B">
        <w:rPr>
          <w:b/>
          <w:bCs/>
        </w:rPr>
        <w:t>lobal</w:t>
      </w:r>
      <w:r w:rsidR="00643D89" w:rsidRPr="001E1B8B">
        <w:rPr>
          <w:b/>
          <w:bCs/>
        </w:rPr>
        <w:t xml:space="preserve"> </w:t>
      </w:r>
      <w:r w:rsidR="000D0430" w:rsidRPr="001E1B8B">
        <w:rPr>
          <w:b/>
          <w:bCs/>
        </w:rPr>
        <w:t>E</w:t>
      </w:r>
      <w:r w:rsidR="00643D89" w:rsidRPr="001E1B8B">
        <w:rPr>
          <w:b/>
          <w:bCs/>
        </w:rPr>
        <w:t>-</w:t>
      </w:r>
      <w:r w:rsidR="007B737E" w:rsidRPr="001E1B8B">
        <w:rPr>
          <w:b/>
          <w:bCs/>
        </w:rPr>
        <w:t xml:space="preserve">waste </w:t>
      </w:r>
      <w:r w:rsidR="000D0430" w:rsidRPr="001E1B8B">
        <w:rPr>
          <w:b/>
          <w:bCs/>
        </w:rPr>
        <w:t>S</w:t>
      </w:r>
      <w:r w:rsidR="007B737E" w:rsidRPr="001E1B8B">
        <w:rPr>
          <w:b/>
          <w:bCs/>
        </w:rPr>
        <w:t xml:space="preserve">tatistics </w:t>
      </w:r>
      <w:r w:rsidR="000D0430" w:rsidRPr="001E1B8B">
        <w:rPr>
          <w:b/>
          <w:bCs/>
        </w:rPr>
        <w:t>P</w:t>
      </w:r>
      <w:r w:rsidR="007B737E" w:rsidRPr="001E1B8B">
        <w:rPr>
          <w:b/>
          <w:bCs/>
        </w:rPr>
        <w:t>artnership</w:t>
      </w:r>
    </w:p>
    <w:p w14:paraId="28609763" w14:textId="71F962B4" w:rsidR="003C3A33" w:rsidRPr="001E1B8B" w:rsidRDefault="0076286B" w:rsidP="003C3A33">
      <w:pPr>
        <w:rPr>
          <w:rFonts w:ascii="Calibri" w:hAnsi="Calibri"/>
        </w:rPr>
      </w:pPr>
      <w:r w:rsidRPr="001E1B8B">
        <w:t xml:space="preserve">The </w:t>
      </w:r>
      <w:r w:rsidRPr="001E1B8B">
        <w:rPr>
          <w:bCs/>
        </w:rPr>
        <w:t>Global E-waste Statistics Partnership</w:t>
      </w:r>
      <w:r w:rsidRPr="001E1B8B">
        <w:t xml:space="preserve"> (GESP), founded in 2017 by ITU, the United Nations University (UNU),  and the International Solid Waste Association (ISWA), launched an open source online portal at </w:t>
      </w:r>
      <w:hyperlink r:id="rId54" w:history="1">
        <w:r w:rsidRPr="001E1B8B">
          <w:rPr>
            <w:rStyle w:val="Hyperlink"/>
          </w:rPr>
          <w:t>globalewaste.org</w:t>
        </w:r>
      </w:hyperlink>
      <w:r w:rsidRPr="001E1B8B">
        <w:t xml:space="preserve"> where e-waste data and statistics are made publicly available. This website also lists over 150 publications on e-waste from across the agencies of the United Nations. ITU and partners of the GESP developed the Global E-waste Monitor 2020 (to be launched in 2020) to further increase awareness of the growing issue of e-waste by providing a comprehensive overview of global e-waste statistics, enhancing understanding and the interpretation of the data. Regional </w:t>
      </w:r>
      <w:r w:rsidR="00BB55DB">
        <w:t>e</w:t>
      </w:r>
      <w:r w:rsidRPr="001E1B8B">
        <w:t xml:space="preserve">-waste </w:t>
      </w:r>
      <w:r w:rsidR="00BB55DB">
        <w:t>m</w:t>
      </w:r>
      <w:r w:rsidRPr="001E1B8B">
        <w:t>onitors are currently under development in Latin America, Arab States and the Commonwealth of Independent States.</w:t>
      </w:r>
    </w:p>
    <w:p w14:paraId="1C9C6963" w14:textId="544E1B5E" w:rsidR="00643D89" w:rsidRPr="001E1B8B" w:rsidRDefault="00563C28" w:rsidP="00EC1C8E">
      <w:pPr>
        <w:keepNext/>
        <w:rPr>
          <w:bCs/>
        </w:rPr>
      </w:pPr>
      <w:r w:rsidRPr="001E1B8B">
        <w:rPr>
          <w:bCs/>
        </w:rPr>
        <w:t>7.2</w:t>
      </w:r>
      <w:r w:rsidRPr="001E1B8B">
        <w:rPr>
          <w:bCs/>
        </w:rPr>
        <w:tab/>
      </w:r>
      <w:r w:rsidR="00EC1C8E" w:rsidRPr="001E1B8B">
        <w:rPr>
          <w:bCs/>
        </w:rPr>
        <w:t xml:space="preserve"> </w:t>
      </w:r>
      <w:r w:rsidR="00EC1C8E" w:rsidRPr="001E1B8B">
        <w:rPr>
          <w:b/>
          <w:bCs/>
        </w:rPr>
        <w:t>N</w:t>
      </w:r>
      <w:r w:rsidR="007B737E" w:rsidRPr="001E1B8B">
        <w:rPr>
          <w:b/>
          <w:bCs/>
        </w:rPr>
        <w:t xml:space="preserve">ational e-waste management policies </w:t>
      </w:r>
    </w:p>
    <w:p w14:paraId="3783CC30" w14:textId="2D2CE9C3" w:rsidR="003C3A33" w:rsidRPr="001E1B8B" w:rsidRDefault="007B737E" w:rsidP="003C3A33">
      <w:pPr>
        <w:jc w:val="both"/>
        <w:rPr>
          <w:rFonts w:ascii="Calibri" w:hAnsi="Calibri"/>
        </w:rPr>
      </w:pPr>
      <w:r w:rsidRPr="001E1B8B">
        <w:t>S</w:t>
      </w:r>
      <w:r w:rsidR="003C3A33" w:rsidRPr="001E1B8B">
        <w:t xml:space="preserve">upport for the development of national e-waste management policies grew in importance in 2019 within the </w:t>
      </w:r>
      <w:r w:rsidRPr="001E1B8B">
        <w:t xml:space="preserve">ITU </w:t>
      </w:r>
      <w:r w:rsidR="003C3A33" w:rsidRPr="001E1B8B">
        <w:t xml:space="preserve">e-waste programme after requests from Member States. A rapid e-waste assessment and national stakeholder consultation workshop took place in Namibia in 2019, with the preliminary drafting of a policy document for consultation. </w:t>
      </w:r>
    </w:p>
    <w:p w14:paraId="563D2361" w14:textId="6B7AC489" w:rsidR="002E2730" w:rsidRPr="001E1B8B" w:rsidRDefault="00C4373F" w:rsidP="003C3A33">
      <w:pPr>
        <w:keepNext/>
        <w:overflowPunct/>
        <w:autoSpaceDE/>
        <w:autoSpaceDN/>
        <w:adjustRightInd/>
      </w:pPr>
      <w:r w:rsidRPr="001E1B8B">
        <w:lastRenderedPageBreak/>
        <w:t>7.3</w:t>
      </w:r>
      <w:r w:rsidR="002E2730" w:rsidRPr="001E1B8B">
        <w:t xml:space="preserve"> </w:t>
      </w:r>
      <w:r w:rsidR="00CD7D0C" w:rsidRPr="001E1B8B">
        <w:tab/>
      </w:r>
      <w:r w:rsidR="002E2730" w:rsidRPr="001E1B8B">
        <w:rPr>
          <w:b/>
        </w:rPr>
        <w:t>E-</w:t>
      </w:r>
      <w:r w:rsidR="000D0430" w:rsidRPr="001E1B8B">
        <w:rPr>
          <w:b/>
        </w:rPr>
        <w:t>waste statistics workshop</w:t>
      </w:r>
    </w:p>
    <w:p w14:paraId="44265761" w14:textId="16014432" w:rsidR="0076286B" w:rsidRPr="001E1B8B" w:rsidRDefault="0076286B" w:rsidP="0076286B">
      <w:r w:rsidRPr="001E1B8B">
        <w:t xml:space="preserve">ITU collaborated with the East Africa Communications Organisation </w:t>
      </w:r>
      <w:r w:rsidR="00006C41">
        <w:t xml:space="preserve">(EACO) </w:t>
      </w:r>
      <w:r w:rsidRPr="001E1B8B">
        <w:t xml:space="preserve">to organize training on e-waste statistics in Kampala, Uganda. The workshop, delivered as part of the ongoing GESP capacity building activities, provided training on the key components of e-waste policy and legislation and of measuring e-waste by collecting and improving e-waste data and estimations. </w:t>
      </w:r>
    </w:p>
    <w:p w14:paraId="2BBA5ED6" w14:textId="00D14724" w:rsidR="0076286B" w:rsidRPr="001E1B8B" w:rsidRDefault="0076286B" w:rsidP="0076286B">
      <w:pPr>
        <w:keepNext/>
        <w:overflowPunct/>
        <w:autoSpaceDE/>
        <w:autoSpaceDN/>
        <w:adjustRightInd/>
      </w:pPr>
      <w:r w:rsidRPr="001E1B8B">
        <w:t>7.4</w:t>
      </w:r>
      <w:r w:rsidRPr="001E1B8B">
        <w:tab/>
      </w:r>
      <w:r w:rsidRPr="001E1B8B">
        <w:rPr>
          <w:b/>
        </w:rPr>
        <w:t xml:space="preserve">Blueprint for circular electronics </w:t>
      </w:r>
    </w:p>
    <w:p w14:paraId="073A6D6D" w14:textId="1ED9C72B" w:rsidR="004E18FA" w:rsidRPr="001E1B8B" w:rsidRDefault="0076286B" w:rsidP="0090011B">
      <w:pPr>
        <w:overflowPunct/>
        <w:autoSpaceDE/>
        <w:spacing w:line="252" w:lineRule="auto"/>
        <w:rPr>
          <w:szCs w:val="24"/>
        </w:rPr>
      </w:pPr>
      <w:r w:rsidRPr="001E1B8B">
        <w:t>ITU joined a new collaboration</w:t>
      </w:r>
      <w:r w:rsidR="000F620B">
        <w:t>,</w:t>
      </w:r>
      <w:r w:rsidRPr="001E1B8B">
        <w:t xml:space="preserve"> which started in December 2019</w:t>
      </w:r>
      <w:r w:rsidR="000F620B">
        <w:t>,</w:t>
      </w:r>
      <w:r w:rsidRPr="001E1B8B">
        <w:t xml:space="preserve"> with the World Economic Forum (WEF), the World Business Council for Sustainable Development, the Responsible Business Alliance, the Partnership for Accelerating the Circular Economy and the Green Electronics Council in the creation of a circular economy industry alliance for electronics.  The collaboration aims to shift the playing field of the electronics industry towards contributing to the SDGs through circular economy principles; to establish consistency across how collaborative solutions are deployed, identified, evaluated and communicated; to create a platform through which lessons learned, best practices, examples and regional perspectives can be shared; to stimulate action in priority intervention points to bring the right parties together in the right venues and on the right topics to resolve common barriers; to link the discussions between strategic-technical, global-local and private-public-civil society.</w:t>
      </w:r>
      <w:r w:rsidRPr="001E1B8B">
        <w:rPr>
          <w:szCs w:val="24"/>
        </w:rPr>
        <w:t xml:space="preserve"> </w:t>
      </w:r>
      <w:r w:rsidR="00C4373F" w:rsidRPr="001E1B8B">
        <w:rPr>
          <w:szCs w:val="24"/>
        </w:rPr>
        <w:t xml:space="preserve"> </w:t>
      </w:r>
    </w:p>
    <w:p w14:paraId="2F72B1E4" w14:textId="4133D5C7" w:rsidR="0076286B" w:rsidRPr="001E1B8B" w:rsidRDefault="0076286B" w:rsidP="0076286B">
      <w:pPr>
        <w:keepNext/>
        <w:overflowPunct/>
        <w:autoSpaceDE/>
        <w:autoSpaceDN/>
        <w:adjustRightInd/>
      </w:pPr>
      <w:r w:rsidRPr="001E1B8B">
        <w:t>7.5</w:t>
      </w:r>
      <w:r w:rsidRPr="001E1B8B">
        <w:tab/>
      </w:r>
      <w:r w:rsidRPr="001E1B8B">
        <w:rPr>
          <w:b/>
        </w:rPr>
        <w:t>United Nations E-waste Coalition</w:t>
      </w:r>
    </w:p>
    <w:p w14:paraId="669B00F3" w14:textId="308C1D56" w:rsidR="00487A9F" w:rsidRPr="001E1B8B" w:rsidRDefault="0076286B" w:rsidP="0090011B">
      <w:pPr>
        <w:overflowPunct/>
        <w:autoSpaceDE/>
        <w:spacing w:line="252" w:lineRule="auto"/>
        <w:rPr>
          <w:rFonts w:ascii="Calibri" w:hAnsi="Calibri"/>
        </w:rPr>
      </w:pPr>
      <w:r w:rsidRPr="001E1B8B">
        <w:t xml:space="preserve">The </w:t>
      </w:r>
      <w:hyperlink r:id="rId55" w:history="1">
        <w:r w:rsidRPr="001E1B8B">
          <w:rPr>
            <w:rStyle w:val="Hyperlink"/>
          </w:rPr>
          <w:t>UN E-waste Coalition</w:t>
        </w:r>
      </w:hyperlink>
      <w:r w:rsidRPr="001E1B8B">
        <w:t xml:space="preserve"> is a UN system-wide group of agencies, programmes and organs with a common vision to tackle the global e-waste challenge. ITU was fundamental in the bringing together of these entities, eventually to form the Coalition. In 2019, the Coalition hosted a meeting in Bonn, Germany, with representatives from several countries, international partners and private sector entities, to present and gather feedback on the mission, vision, and governance structure of this emerging collaboration of UN agencies around the e-waste topic.</w:t>
      </w:r>
    </w:p>
    <w:p w14:paraId="638069BB" w14:textId="77777777" w:rsidR="00563C28" w:rsidRPr="001E1B8B" w:rsidRDefault="00563C28" w:rsidP="001C1B7C">
      <w:pPr>
        <w:pStyle w:val="NormalWeb"/>
        <w:shd w:val="clear" w:color="auto" w:fill="FFFFFF"/>
        <w:spacing w:before="120" w:beforeAutospacing="0" w:after="0" w:afterAutospacing="0"/>
        <w:textAlignment w:val="baseline"/>
        <w:rPr>
          <w:rFonts w:asciiTheme="minorHAnsi" w:hAnsiTheme="minorHAnsi" w:cstheme="minorHAnsi"/>
          <w:color w:val="444444"/>
        </w:rPr>
      </w:pPr>
    </w:p>
    <w:tbl>
      <w:tblPr>
        <w:tblStyle w:val="TableGrid"/>
        <w:tblW w:w="0" w:type="auto"/>
        <w:tblLook w:val="04A0" w:firstRow="1" w:lastRow="0" w:firstColumn="1" w:lastColumn="0" w:noHBand="0" w:noVBand="1"/>
      </w:tblPr>
      <w:tblGrid>
        <w:gridCol w:w="9629"/>
      </w:tblGrid>
      <w:tr w:rsidR="00563C28" w:rsidRPr="001E1B8B" w14:paraId="27EFE97B" w14:textId="77777777" w:rsidTr="0054502F">
        <w:tc>
          <w:tcPr>
            <w:tcW w:w="9629" w:type="dxa"/>
          </w:tcPr>
          <w:p w14:paraId="506503A6" w14:textId="77777777" w:rsidR="00563C28" w:rsidRPr="001E1B8B" w:rsidRDefault="00563C28" w:rsidP="0054502F">
            <w:pPr>
              <w:rPr>
                <w:b/>
              </w:rPr>
            </w:pPr>
            <w:r w:rsidRPr="001E1B8B">
              <w:rPr>
                <w:b/>
              </w:rPr>
              <w:t>REGIONAL INITIATIVES</w:t>
            </w:r>
          </w:p>
          <w:p w14:paraId="4CFBD62E" w14:textId="77777777" w:rsidR="0076286B" w:rsidRPr="001E1B8B" w:rsidRDefault="0076286B" w:rsidP="00882D5E">
            <w:pPr>
              <w:keepNext/>
            </w:pPr>
            <w:r w:rsidRPr="001E1B8B">
              <w:t xml:space="preserve">Americas: </w:t>
            </w:r>
            <w:r w:rsidRPr="001E1B8B">
              <w:rPr>
                <w:u w:val="single"/>
              </w:rPr>
              <w:t>Disaster risk reduction and management communications</w:t>
            </w:r>
          </w:p>
          <w:p w14:paraId="7454732E" w14:textId="5D2D6CB0" w:rsidR="0076286B" w:rsidRPr="001E1B8B" w:rsidRDefault="0076286B" w:rsidP="00000112">
            <w:pPr>
              <w:pStyle w:val="ListParagraph"/>
              <w:numPr>
                <w:ilvl w:val="0"/>
                <w:numId w:val="33"/>
              </w:numPr>
              <w:ind w:left="357" w:hanging="357"/>
            </w:pPr>
            <w:r w:rsidRPr="001E1B8B">
              <w:t>As part of the Girls in ICT Day 2019 celebrations in the Caribbean, awareness on the negative impact of climate change was enhanced by the planting of trees in many schools, in collaboration with local regulators, ministries of education, and NGOs.</w:t>
            </w:r>
          </w:p>
          <w:p w14:paraId="66D3AF0F" w14:textId="5DDB958C" w:rsidR="0076286B" w:rsidRPr="001E1B8B" w:rsidRDefault="0076286B" w:rsidP="00882D5E">
            <w:pPr>
              <w:keepNext/>
            </w:pPr>
            <w:r w:rsidRPr="001E1B8B">
              <w:t xml:space="preserve">Arab States: </w:t>
            </w:r>
            <w:r w:rsidRPr="001E1B8B">
              <w:rPr>
                <w:u w:val="single"/>
              </w:rPr>
              <w:t>Environment, climate change</w:t>
            </w:r>
            <w:r w:rsidR="00676C78">
              <w:rPr>
                <w:u w:val="single"/>
              </w:rPr>
              <w:t>,</w:t>
            </w:r>
            <w:r w:rsidRPr="001E1B8B">
              <w:rPr>
                <w:u w:val="single"/>
              </w:rPr>
              <w:t xml:space="preserve"> and emergency telecommunications</w:t>
            </w:r>
          </w:p>
          <w:p w14:paraId="61EFBC52" w14:textId="32AF7AB9" w:rsidR="0076286B" w:rsidRPr="001E1B8B" w:rsidRDefault="0076286B" w:rsidP="00000112">
            <w:pPr>
              <w:pStyle w:val="ListParagraph"/>
              <w:numPr>
                <w:ilvl w:val="0"/>
                <w:numId w:val="37"/>
              </w:numPr>
              <w:ind w:left="357" w:hanging="357"/>
              <w:rPr>
                <w:rFonts w:ascii="Calibri" w:hAnsi="Calibri" w:cs="Calibri"/>
                <w:szCs w:val="24"/>
              </w:rPr>
            </w:pPr>
            <w:r w:rsidRPr="001E1B8B">
              <w:rPr>
                <w:rFonts w:ascii="Calibri" w:hAnsi="Calibri" w:cs="Calibri"/>
                <w:szCs w:val="24"/>
              </w:rPr>
              <w:t xml:space="preserve">The E-waste Monitor </w:t>
            </w:r>
            <w:r w:rsidR="00676C78" w:rsidRPr="001E1B8B">
              <w:rPr>
                <w:rFonts w:ascii="Calibri" w:hAnsi="Calibri" w:cs="Calibri"/>
                <w:szCs w:val="24"/>
              </w:rPr>
              <w:t xml:space="preserve">project </w:t>
            </w:r>
            <w:r w:rsidRPr="001E1B8B">
              <w:rPr>
                <w:rFonts w:ascii="Calibri" w:hAnsi="Calibri" w:cs="Calibri"/>
                <w:szCs w:val="24"/>
              </w:rPr>
              <w:t>in</w:t>
            </w:r>
            <w:r w:rsidR="00676C78">
              <w:rPr>
                <w:rFonts w:ascii="Calibri" w:hAnsi="Calibri" w:cs="Calibri"/>
                <w:szCs w:val="24"/>
              </w:rPr>
              <w:t xml:space="preserve"> the</w:t>
            </w:r>
            <w:r w:rsidRPr="001E1B8B">
              <w:rPr>
                <w:rFonts w:ascii="Calibri" w:hAnsi="Calibri" w:cs="Calibri"/>
                <w:szCs w:val="24"/>
              </w:rPr>
              <w:t xml:space="preserve"> Arab </w:t>
            </w:r>
            <w:r w:rsidR="00676C78">
              <w:rPr>
                <w:rFonts w:ascii="Calibri" w:hAnsi="Calibri" w:cs="Calibri"/>
                <w:szCs w:val="24"/>
              </w:rPr>
              <w:t xml:space="preserve">States </w:t>
            </w:r>
            <w:r w:rsidRPr="001E1B8B">
              <w:rPr>
                <w:rFonts w:ascii="Calibri" w:hAnsi="Calibri" w:cs="Calibri"/>
                <w:szCs w:val="24"/>
              </w:rPr>
              <w:t xml:space="preserve">region was launched in 2019 to collect and improve e-waste statistics in the </w:t>
            </w:r>
            <w:r w:rsidR="00676C78">
              <w:rPr>
                <w:rFonts w:ascii="Calibri" w:hAnsi="Calibri" w:cs="Calibri"/>
                <w:szCs w:val="24"/>
              </w:rPr>
              <w:t>r</w:t>
            </w:r>
            <w:r w:rsidRPr="001E1B8B">
              <w:rPr>
                <w:rFonts w:ascii="Calibri" w:hAnsi="Calibri" w:cs="Calibri"/>
                <w:szCs w:val="24"/>
              </w:rPr>
              <w:t>egion. The project will improve data availability and quality, availability of policies and regulations and awareness through capacity building workshops. It will also communicate the data on e-waste to policy</w:t>
            </w:r>
            <w:r w:rsidR="00006C41">
              <w:rPr>
                <w:rFonts w:ascii="Calibri" w:hAnsi="Calibri" w:cs="Calibri"/>
                <w:szCs w:val="24"/>
              </w:rPr>
              <w:t>-</w:t>
            </w:r>
            <w:r w:rsidRPr="001E1B8B">
              <w:rPr>
                <w:rFonts w:ascii="Calibri" w:hAnsi="Calibri" w:cs="Calibri"/>
                <w:szCs w:val="24"/>
              </w:rPr>
              <w:t xml:space="preserve">makers, the media, and other relevant stakeholders. </w:t>
            </w:r>
          </w:p>
          <w:p w14:paraId="451888E1" w14:textId="77777777" w:rsidR="0076286B" w:rsidRPr="001E1B8B" w:rsidRDefault="0076286B" w:rsidP="00882D5E">
            <w:pPr>
              <w:keepNext/>
            </w:pPr>
            <w:r w:rsidRPr="001E1B8B">
              <w:t xml:space="preserve">Asia-Pacific: </w:t>
            </w:r>
            <w:r w:rsidRPr="001E1B8B">
              <w:rPr>
                <w:u w:val="single"/>
              </w:rPr>
              <w:t>Contributing to a secure and resilient environment</w:t>
            </w:r>
          </w:p>
          <w:p w14:paraId="40F8E82D" w14:textId="17AE35D9" w:rsidR="0075692B" w:rsidRPr="001E1B8B" w:rsidRDefault="0076286B" w:rsidP="006E3EE7">
            <w:pPr>
              <w:pStyle w:val="ListParagraph"/>
              <w:numPr>
                <w:ilvl w:val="0"/>
                <w:numId w:val="29"/>
              </w:numPr>
              <w:spacing w:after="120"/>
              <w:ind w:left="357" w:hanging="357"/>
            </w:pPr>
            <w:r w:rsidRPr="001E1B8B">
              <w:t xml:space="preserve">The policy awareness workshop on e-waste, which took place in Hyderabad, India, was co-organized with key agencies of the India Government and the UNU, ILO, WHO and UNEP. </w:t>
            </w:r>
            <w:r w:rsidRPr="001E1B8B">
              <w:lastRenderedPageBreak/>
              <w:t>The workshop raised awareness, built capacity, and provided recommendations for future work on e-waste in India.</w:t>
            </w:r>
          </w:p>
        </w:tc>
      </w:tr>
    </w:tbl>
    <w:p w14:paraId="39DCD313" w14:textId="77777777" w:rsidR="00563C28" w:rsidRPr="001E1B8B" w:rsidRDefault="00563C28" w:rsidP="00563C28">
      <w:pPr>
        <w:pStyle w:val="NormalWeb"/>
        <w:shd w:val="clear" w:color="auto" w:fill="FFFFFF"/>
        <w:spacing w:before="120" w:beforeAutospacing="0" w:after="0" w:afterAutospacing="0"/>
        <w:textAlignment w:val="baseline"/>
        <w:rPr>
          <w:rFonts w:asciiTheme="minorHAnsi" w:hAnsiTheme="minorHAnsi" w:cstheme="minorHAnsi"/>
        </w:rPr>
      </w:pPr>
    </w:p>
    <w:tbl>
      <w:tblPr>
        <w:tblStyle w:val="TableGrid"/>
        <w:tblW w:w="0" w:type="auto"/>
        <w:tblLook w:val="04A0" w:firstRow="1" w:lastRow="0" w:firstColumn="1" w:lastColumn="0" w:noHBand="0" w:noVBand="1"/>
      </w:tblPr>
      <w:tblGrid>
        <w:gridCol w:w="9629"/>
      </w:tblGrid>
      <w:tr w:rsidR="00563C28" w:rsidRPr="001E1B8B" w14:paraId="1245F7A5" w14:textId="77777777" w:rsidTr="0054502F">
        <w:tc>
          <w:tcPr>
            <w:tcW w:w="9629" w:type="dxa"/>
          </w:tcPr>
          <w:p w14:paraId="679A4D00" w14:textId="77777777" w:rsidR="00563C28" w:rsidRPr="001E1B8B" w:rsidRDefault="00563C28" w:rsidP="0054502F">
            <w:pPr>
              <w:pStyle w:val="NormalWeb"/>
              <w:keepNext/>
              <w:shd w:val="clear" w:color="auto" w:fill="FFFFFF"/>
              <w:spacing w:before="120" w:beforeAutospacing="0" w:after="0" w:afterAutospacing="0"/>
              <w:textAlignment w:val="baseline"/>
              <w:rPr>
                <w:rFonts w:asciiTheme="minorHAnsi" w:hAnsiTheme="minorHAnsi" w:cstheme="minorHAnsi"/>
                <w:b/>
                <w:bCs/>
              </w:rPr>
            </w:pPr>
            <w:r w:rsidRPr="001E1B8B">
              <w:rPr>
                <w:rFonts w:asciiTheme="minorHAnsi" w:hAnsiTheme="minorHAnsi" w:cstheme="minorHAnsi"/>
                <w:b/>
                <w:bCs/>
              </w:rPr>
              <w:t>STUDY GROUPS</w:t>
            </w:r>
          </w:p>
          <w:p w14:paraId="2588F5AF" w14:textId="72C0DE65" w:rsidR="00563C28" w:rsidRPr="001E1B8B" w:rsidRDefault="00B014A3" w:rsidP="00882D5E">
            <w:pPr>
              <w:pStyle w:val="NormalWeb"/>
              <w:keepNext/>
              <w:shd w:val="clear" w:color="auto" w:fill="FFFFFF"/>
              <w:spacing w:before="120" w:beforeAutospacing="0" w:after="120" w:afterAutospacing="0"/>
              <w:textAlignment w:val="baseline"/>
              <w:rPr>
                <w:rFonts w:asciiTheme="minorHAnsi" w:hAnsiTheme="minorHAnsi" w:cstheme="minorHAnsi"/>
              </w:rPr>
            </w:pPr>
            <w:r w:rsidRPr="001E1B8B">
              <w:rPr>
                <w:rFonts w:ascii="Calibri" w:eastAsia="Calibri" w:hAnsi="Calibri" w:cs="Calibri"/>
              </w:rPr>
              <w:t xml:space="preserve">A workshop on </w:t>
            </w:r>
            <w:r w:rsidR="00E362BA" w:rsidRPr="001E1B8B">
              <w:rPr>
                <w:rFonts w:ascii="Calibri" w:eastAsia="Calibri" w:hAnsi="Calibri" w:cs="Calibri"/>
              </w:rPr>
              <w:t>f</w:t>
            </w:r>
            <w:r w:rsidRPr="001E1B8B">
              <w:rPr>
                <w:rFonts w:ascii="Calibri" w:eastAsia="Calibri" w:hAnsi="Calibri" w:cs="Calibri"/>
              </w:rPr>
              <w:t xml:space="preserve">rontier ICTs for </w:t>
            </w:r>
            <w:r w:rsidR="00E362BA" w:rsidRPr="001E1B8B">
              <w:rPr>
                <w:rFonts w:ascii="Calibri" w:eastAsia="Calibri" w:hAnsi="Calibri" w:cs="Calibri"/>
              </w:rPr>
              <w:t>c</w:t>
            </w:r>
            <w:r w:rsidRPr="001E1B8B">
              <w:rPr>
                <w:rFonts w:ascii="Calibri" w:eastAsia="Calibri" w:hAnsi="Calibri" w:cs="Calibri"/>
              </w:rPr>
              <w:t xml:space="preserve">limate </w:t>
            </w:r>
            <w:r w:rsidR="00E362BA" w:rsidRPr="001E1B8B">
              <w:rPr>
                <w:rFonts w:ascii="Calibri" w:eastAsia="Calibri" w:hAnsi="Calibri" w:cs="Calibri"/>
              </w:rPr>
              <w:t>a</w:t>
            </w:r>
            <w:r w:rsidRPr="001E1B8B">
              <w:rPr>
                <w:rFonts w:ascii="Calibri" w:eastAsia="Calibri" w:hAnsi="Calibri" w:cs="Calibri"/>
              </w:rPr>
              <w:t xml:space="preserve">ction took place on 15 October as part of the ITU-D Study Group 2 </w:t>
            </w:r>
            <w:r w:rsidR="00A47ED5">
              <w:rPr>
                <w:rFonts w:ascii="Calibri" w:eastAsia="Calibri" w:hAnsi="Calibri" w:cs="Calibri"/>
              </w:rPr>
              <w:t>(</w:t>
            </w:r>
            <w:r w:rsidRPr="001E1B8B">
              <w:rPr>
                <w:rFonts w:ascii="Calibri" w:eastAsia="Calibri" w:hAnsi="Calibri" w:cs="Calibri"/>
              </w:rPr>
              <w:t xml:space="preserve">Question 6/2 </w:t>
            </w:r>
            <w:r w:rsidRPr="00A47ED5">
              <w:rPr>
                <w:rFonts w:ascii="Calibri" w:eastAsia="Calibri" w:hAnsi="Calibri" w:cs="Calibri"/>
                <w:i/>
                <w:iCs/>
              </w:rPr>
              <w:t xml:space="preserve">ICTs and the </w:t>
            </w:r>
            <w:r w:rsidR="00E362BA" w:rsidRPr="00A47ED5">
              <w:rPr>
                <w:rFonts w:ascii="Calibri" w:eastAsia="Calibri" w:hAnsi="Calibri" w:cs="Calibri"/>
                <w:i/>
                <w:iCs/>
              </w:rPr>
              <w:t>e</w:t>
            </w:r>
            <w:r w:rsidRPr="00A47ED5">
              <w:rPr>
                <w:rFonts w:ascii="Calibri" w:eastAsia="Calibri" w:hAnsi="Calibri" w:cs="Calibri"/>
                <w:i/>
                <w:iCs/>
              </w:rPr>
              <w:t>nvironment</w:t>
            </w:r>
            <w:r w:rsidR="00A47ED5">
              <w:rPr>
                <w:rFonts w:ascii="Calibri" w:eastAsia="Calibri" w:hAnsi="Calibri" w:cs="Calibri"/>
              </w:rPr>
              <w:t>)</w:t>
            </w:r>
            <w:r w:rsidRPr="001E1B8B">
              <w:rPr>
                <w:rFonts w:ascii="Calibri" w:eastAsia="Calibri" w:hAnsi="Calibri" w:cs="Calibri"/>
              </w:rPr>
              <w:t>. This workshop b</w:t>
            </w:r>
            <w:r w:rsidR="003267C8">
              <w:rPr>
                <w:rFonts w:ascii="Calibri" w:eastAsia="Calibri" w:hAnsi="Calibri" w:cs="Calibri"/>
              </w:rPr>
              <w:t>r</w:t>
            </w:r>
            <w:r w:rsidRPr="001E1B8B">
              <w:rPr>
                <w:rFonts w:ascii="Calibri" w:eastAsia="Calibri" w:hAnsi="Calibri" w:cs="Calibri"/>
              </w:rPr>
              <w:t xml:space="preserve">ought together actors from the sectors involved in the development of frontier ICTs such as </w:t>
            </w:r>
            <w:r w:rsidR="00E362BA" w:rsidRPr="001E1B8B">
              <w:rPr>
                <w:rFonts w:ascii="Calibri" w:eastAsia="Calibri" w:hAnsi="Calibri" w:cs="Calibri"/>
              </w:rPr>
              <w:t>b</w:t>
            </w:r>
            <w:r w:rsidRPr="001E1B8B">
              <w:rPr>
                <w:rFonts w:ascii="Calibri" w:eastAsia="Calibri" w:hAnsi="Calibri" w:cs="Calibri"/>
              </w:rPr>
              <w:t xml:space="preserve">ig </w:t>
            </w:r>
            <w:r w:rsidR="00E362BA" w:rsidRPr="001E1B8B">
              <w:rPr>
                <w:rFonts w:ascii="Calibri" w:eastAsia="Calibri" w:hAnsi="Calibri" w:cs="Calibri"/>
              </w:rPr>
              <w:t>d</w:t>
            </w:r>
            <w:r w:rsidRPr="001E1B8B">
              <w:rPr>
                <w:rFonts w:ascii="Calibri" w:eastAsia="Calibri" w:hAnsi="Calibri" w:cs="Calibri"/>
              </w:rPr>
              <w:t xml:space="preserve">ata and </w:t>
            </w:r>
            <w:r w:rsidR="00E362BA" w:rsidRPr="001E1B8B">
              <w:rPr>
                <w:rFonts w:ascii="Calibri" w:eastAsia="Calibri" w:hAnsi="Calibri" w:cs="Calibri"/>
              </w:rPr>
              <w:t>e</w:t>
            </w:r>
            <w:r w:rsidRPr="001E1B8B">
              <w:rPr>
                <w:rFonts w:ascii="Calibri" w:eastAsia="Calibri" w:hAnsi="Calibri" w:cs="Calibri"/>
              </w:rPr>
              <w:t xml:space="preserve">arth </w:t>
            </w:r>
            <w:r w:rsidR="00E362BA" w:rsidRPr="001E1B8B">
              <w:rPr>
                <w:rFonts w:ascii="Calibri" w:eastAsia="Calibri" w:hAnsi="Calibri" w:cs="Calibri"/>
              </w:rPr>
              <w:t>o</w:t>
            </w:r>
            <w:r w:rsidRPr="001E1B8B">
              <w:rPr>
                <w:rFonts w:ascii="Calibri" w:eastAsia="Calibri" w:hAnsi="Calibri" w:cs="Calibri"/>
              </w:rPr>
              <w:t>bservation in the context of climate action. Participants discussed the role of these new ICTs and how they can be applied to climate change adaptation, mitigation</w:t>
            </w:r>
            <w:r w:rsidR="00E362BA" w:rsidRPr="001E1B8B">
              <w:rPr>
                <w:rFonts w:ascii="Calibri" w:eastAsia="Calibri" w:hAnsi="Calibri" w:cs="Calibri"/>
              </w:rPr>
              <w:t>,</w:t>
            </w:r>
            <w:r w:rsidRPr="001E1B8B">
              <w:rPr>
                <w:rFonts w:ascii="Calibri" w:eastAsia="Calibri" w:hAnsi="Calibri" w:cs="Calibri"/>
              </w:rPr>
              <w:t xml:space="preserve"> and monitoring. The content exchanged and lessons learned during the workshop will be used as input to the </w:t>
            </w:r>
            <w:r w:rsidR="00E362BA" w:rsidRPr="001E1B8B">
              <w:rPr>
                <w:rFonts w:ascii="Calibri" w:eastAsia="Calibri" w:hAnsi="Calibri" w:cs="Calibri"/>
              </w:rPr>
              <w:t>f</w:t>
            </w:r>
            <w:r w:rsidRPr="001E1B8B">
              <w:rPr>
                <w:rFonts w:ascii="Calibri" w:eastAsia="Calibri" w:hAnsi="Calibri" w:cs="Calibri"/>
              </w:rPr>
              <w:t xml:space="preserve">inal report of Question 6/2. The workshop programme and presentations can be accessed at the following </w:t>
            </w:r>
            <w:hyperlink r:id="rId56" w:history="1">
              <w:r w:rsidRPr="001E1B8B">
                <w:rPr>
                  <w:rStyle w:val="Hyperlink"/>
                  <w:rFonts w:ascii="Calibri" w:eastAsia="Calibri" w:hAnsi="Calibri" w:cs="Calibri"/>
                </w:rPr>
                <w:t>link</w:t>
              </w:r>
            </w:hyperlink>
            <w:r w:rsidRPr="001E1B8B">
              <w:rPr>
                <w:rFonts w:ascii="Calibri" w:eastAsia="Calibri" w:hAnsi="Calibri" w:cs="Calibri"/>
              </w:rPr>
              <w:t>.</w:t>
            </w:r>
          </w:p>
        </w:tc>
      </w:tr>
    </w:tbl>
    <w:p w14:paraId="213A29D8" w14:textId="51FC0B99" w:rsidR="00DC03AE" w:rsidRPr="001E1B8B" w:rsidRDefault="00643D89" w:rsidP="006E3EE7">
      <w:pPr>
        <w:keepNext/>
        <w:spacing w:before="240"/>
        <w:rPr>
          <w:b/>
          <w:bCs/>
        </w:rPr>
      </w:pPr>
      <w:r w:rsidRPr="001E1B8B">
        <w:rPr>
          <w:b/>
          <w:bCs/>
        </w:rPr>
        <w:t>8</w:t>
      </w:r>
      <w:r w:rsidR="009A30A6" w:rsidRPr="001E1B8B">
        <w:rPr>
          <w:b/>
          <w:bCs/>
        </w:rPr>
        <w:t xml:space="preserve">. </w:t>
      </w:r>
      <w:r w:rsidR="009A30A6" w:rsidRPr="001E1B8B">
        <w:rPr>
          <w:b/>
          <w:bCs/>
        </w:rPr>
        <w:tab/>
      </w:r>
      <w:r w:rsidRPr="001E1B8B">
        <w:rPr>
          <w:b/>
          <w:bCs/>
        </w:rPr>
        <w:t>N</w:t>
      </w:r>
      <w:r w:rsidR="00E362BA" w:rsidRPr="001E1B8B">
        <w:rPr>
          <w:b/>
          <w:bCs/>
        </w:rPr>
        <w:t>etworks and digital infrastructure</w:t>
      </w:r>
      <w:r w:rsidRPr="001E1B8B">
        <w:rPr>
          <w:b/>
          <w:bCs/>
        </w:rPr>
        <w:t>:</w:t>
      </w:r>
      <w:r w:rsidR="00E362BA" w:rsidRPr="001E1B8B">
        <w:rPr>
          <w:b/>
          <w:bCs/>
        </w:rPr>
        <w:t xml:space="preserve"> M</w:t>
      </w:r>
      <w:r w:rsidRPr="001E1B8B">
        <w:rPr>
          <w:b/>
          <w:bCs/>
        </w:rPr>
        <w:t>aking reliable connectivity available to everyone</w:t>
      </w:r>
    </w:p>
    <w:p w14:paraId="4F640016" w14:textId="342B844E" w:rsidR="00643D89" w:rsidRPr="001E1B8B" w:rsidRDefault="00563C28" w:rsidP="00643D89">
      <w:pPr>
        <w:keepNext/>
        <w:rPr>
          <w:b/>
          <w:bCs/>
        </w:rPr>
      </w:pPr>
      <w:r w:rsidRPr="001E1B8B">
        <w:rPr>
          <w:bCs/>
        </w:rPr>
        <w:t>8.1</w:t>
      </w:r>
      <w:r w:rsidRPr="001E1B8B">
        <w:rPr>
          <w:bCs/>
        </w:rPr>
        <w:tab/>
      </w:r>
      <w:r w:rsidR="00643D89" w:rsidRPr="001E1B8B">
        <w:rPr>
          <w:b/>
          <w:bCs/>
        </w:rPr>
        <w:t xml:space="preserve">ITU </w:t>
      </w:r>
      <w:r w:rsidR="00E362BA" w:rsidRPr="001E1B8B">
        <w:rPr>
          <w:b/>
          <w:bCs/>
        </w:rPr>
        <w:t>broadband maps</w:t>
      </w:r>
    </w:p>
    <w:p w14:paraId="4A6423CF" w14:textId="7BB0A6F0" w:rsidR="00705DD6" w:rsidRPr="001E1B8B" w:rsidRDefault="00643D89" w:rsidP="00705DD6">
      <w:pPr>
        <w:rPr>
          <w:bCs/>
        </w:rPr>
      </w:pPr>
      <w:r w:rsidRPr="001E1B8B">
        <w:rPr>
          <w:bCs/>
        </w:rPr>
        <w:t>The</w:t>
      </w:r>
      <w:r w:rsidR="00E362BA" w:rsidRPr="001E1B8B">
        <w:rPr>
          <w:bCs/>
        </w:rPr>
        <w:t xml:space="preserve"> ITU</w:t>
      </w:r>
      <w:r w:rsidRPr="001E1B8B">
        <w:rPr>
          <w:bCs/>
        </w:rPr>
        <w:t xml:space="preserve"> </w:t>
      </w:r>
      <w:hyperlink r:id="rId57" w:history="1">
        <w:r w:rsidR="00E8199B" w:rsidRPr="001E1B8B">
          <w:rPr>
            <w:rStyle w:val="Hyperlink"/>
            <w:bCs/>
          </w:rPr>
          <w:t xml:space="preserve">broadband </w:t>
        </w:r>
        <w:r w:rsidRPr="001E1B8B">
          <w:rPr>
            <w:rStyle w:val="Hyperlink"/>
            <w:bCs/>
          </w:rPr>
          <w:t>maps</w:t>
        </w:r>
      </w:hyperlink>
      <w:r w:rsidRPr="001E1B8B">
        <w:rPr>
          <w:bCs/>
        </w:rPr>
        <w:t xml:space="preserve"> </w:t>
      </w:r>
      <w:r w:rsidR="00845C85" w:rsidRPr="001E1B8B">
        <w:rPr>
          <w:bCs/>
        </w:rPr>
        <w:t>were</w:t>
      </w:r>
      <w:r w:rsidRPr="001E1B8B">
        <w:rPr>
          <w:bCs/>
        </w:rPr>
        <w:t xml:space="preserve"> enhanced to promote understanding and investment opportunities of network infrastructure to take stock of worldwide connectivity. The</w:t>
      </w:r>
      <w:r w:rsidR="00E00E80">
        <w:rPr>
          <w:bCs/>
        </w:rPr>
        <w:t xml:space="preserve"> maps</w:t>
      </w:r>
      <w:r w:rsidRPr="001E1B8B">
        <w:rPr>
          <w:bCs/>
        </w:rPr>
        <w:t xml:space="preserve"> provide information from more than 440 operators and 24</w:t>
      </w:r>
      <w:r w:rsidR="00125B50" w:rsidRPr="001E1B8B">
        <w:rPr>
          <w:bCs/>
        </w:rPr>
        <w:t> </w:t>
      </w:r>
      <w:r w:rsidRPr="001E1B8B">
        <w:rPr>
          <w:bCs/>
        </w:rPr>
        <w:t>000 access point</w:t>
      </w:r>
      <w:r w:rsidR="00006C41">
        <w:rPr>
          <w:bCs/>
        </w:rPr>
        <w:t>s</w:t>
      </w:r>
      <w:r w:rsidRPr="001E1B8B">
        <w:rPr>
          <w:bCs/>
        </w:rPr>
        <w:t xml:space="preserve"> worldwide.</w:t>
      </w:r>
      <w:r w:rsidR="00705DD6" w:rsidRPr="001E1B8B">
        <w:rPr>
          <w:bCs/>
        </w:rPr>
        <w:t xml:space="preserve"> </w:t>
      </w:r>
    </w:p>
    <w:p w14:paraId="7EBE918A" w14:textId="70906534" w:rsidR="00643D89" w:rsidRPr="001E1B8B" w:rsidRDefault="00563C28" w:rsidP="00643D89">
      <w:pPr>
        <w:keepNext/>
        <w:rPr>
          <w:bCs/>
        </w:rPr>
      </w:pPr>
      <w:r w:rsidRPr="001E1B8B">
        <w:rPr>
          <w:bCs/>
        </w:rPr>
        <w:t>8.2</w:t>
      </w:r>
      <w:r w:rsidRPr="001E1B8B">
        <w:rPr>
          <w:bCs/>
        </w:rPr>
        <w:tab/>
      </w:r>
      <w:r w:rsidR="00643D89" w:rsidRPr="001E1B8B">
        <w:rPr>
          <w:b/>
          <w:bCs/>
        </w:rPr>
        <w:t>B</w:t>
      </w:r>
      <w:r w:rsidR="00125B50" w:rsidRPr="001E1B8B">
        <w:rPr>
          <w:b/>
          <w:bCs/>
        </w:rPr>
        <w:t>usiness planning for infrastructure deployment toolkit</w:t>
      </w:r>
    </w:p>
    <w:p w14:paraId="6FE25710" w14:textId="3F955372" w:rsidR="00705DD6" w:rsidRPr="001E1B8B" w:rsidRDefault="00705DD6" w:rsidP="00705DD6">
      <w:pPr>
        <w:rPr>
          <w:bCs/>
        </w:rPr>
      </w:pPr>
      <w:r w:rsidRPr="001E1B8B">
        <w:rPr>
          <w:bCs/>
        </w:rPr>
        <w:t>The</w:t>
      </w:r>
      <w:r w:rsidR="00125B50" w:rsidRPr="001E1B8B">
        <w:rPr>
          <w:bCs/>
        </w:rPr>
        <w:t xml:space="preserve"> ITU</w:t>
      </w:r>
      <w:r w:rsidRPr="001E1B8B">
        <w:rPr>
          <w:bCs/>
        </w:rPr>
        <w:t xml:space="preserve"> </w:t>
      </w:r>
      <w:hyperlink r:id="rId58" w:history="1">
        <w:r w:rsidRPr="001E1B8B">
          <w:rPr>
            <w:rStyle w:val="Hyperlink"/>
            <w:bCs/>
          </w:rPr>
          <w:t>ICT infrastructure business planning toolkit</w:t>
        </w:r>
      </w:hyperlink>
      <w:r w:rsidRPr="001E1B8B">
        <w:rPr>
          <w:bCs/>
        </w:rPr>
        <w:t xml:space="preserve"> offers regulators and policy</w:t>
      </w:r>
      <w:r w:rsidR="008561CB" w:rsidRPr="001E1B8B">
        <w:rPr>
          <w:bCs/>
        </w:rPr>
        <w:t>-</w:t>
      </w:r>
      <w:r w:rsidRPr="001E1B8B">
        <w:rPr>
          <w:bCs/>
        </w:rPr>
        <w:t>makers a clear and practical methodology to deliver accurate economic evaluation of proposed broadband infrastructure installation and deployment plans.</w:t>
      </w:r>
    </w:p>
    <w:p w14:paraId="093AC4E6" w14:textId="43013C19" w:rsidR="00705DD6" w:rsidRPr="001E1B8B" w:rsidRDefault="00705DD6" w:rsidP="0090011B">
      <w:pPr>
        <w:rPr>
          <w:bCs/>
        </w:rPr>
      </w:pPr>
      <w:r w:rsidRPr="001E1B8B">
        <w:rPr>
          <w:bCs/>
        </w:rPr>
        <w:t>The toolkit</w:t>
      </w:r>
      <w:r w:rsidR="00C83DF1">
        <w:rPr>
          <w:bCs/>
        </w:rPr>
        <w:t xml:space="preserve"> </w:t>
      </w:r>
      <w:r w:rsidRPr="001E1B8B">
        <w:rPr>
          <w:bCs/>
        </w:rPr>
        <w:t>serve</w:t>
      </w:r>
      <w:r w:rsidR="00125B50" w:rsidRPr="001E1B8B">
        <w:rPr>
          <w:bCs/>
        </w:rPr>
        <w:t>s</w:t>
      </w:r>
      <w:r w:rsidRPr="001E1B8B">
        <w:rPr>
          <w:bCs/>
        </w:rPr>
        <w:t xml:space="preserve"> as a practical manual for regulators and policy</w:t>
      </w:r>
      <w:r w:rsidR="008561CB" w:rsidRPr="001E1B8B">
        <w:rPr>
          <w:bCs/>
        </w:rPr>
        <w:t>-</w:t>
      </w:r>
      <w:r w:rsidRPr="001E1B8B">
        <w:rPr>
          <w:bCs/>
        </w:rPr>
        <w:t>makers working towards extending broadband network deployment and access;</w:t>
      </w:r>
      <w:r w:rsidR="00C83DF1">
        <w:rPr>
          <w:bCs/>
        </w:rPr>
        <w:t xml:space="preserve"> </w:t>
      </w:r>
      <w:r w:rsidRPr="001E1B8B">
        <w:rPr>
          <w:bCs/>
        </w:rPr>
        <w:t>address</w:t>
      </w:r>
      <w:r w:rsidR="00125B50" w:rsidRPr="001E1B8B">
        <w:rPr>
          <w:bCs/>
        </w:rPr>
        <w:t>es</w:t>
      </w:r>
      <w:r w:rsidRPr="001E1B8B">
        <w:rPr>
          <w:bCs/>
        </w:rPr>
        <w:t xml:space="preserve"> key elements for a successful business planning implementation for ICT infrastructure development;</w:t>
      </w:r>
      <w:r w:rsidR="00C83DF1">
        <w:rPr>
          <w:bCs/>
        </w:rPr>
        <w:t xml:space="preserve"> </w:t>
      </w:r>
      <w:r w:rsidRPr="001E1B8B">
        <w:rPr>
          <w:bCs/>
        </w:rPr>
        <w:t>present</w:t>
      </w:r>
      <w:r w:rsidR="00125B50" w:rsidRPr="001E1B8B">
        <w:rPr>
          <w:bCs/>
        </w:rPr>
        <w:t>s</w:t>
      </w:r>
      <w:r w:rsidRPr="001E1B8B">
        <w:rPr>
          <w:bCs/>
        </w:rPr>
        <w:t xml:space="preserve"> and explain</w:t>
      </w:r>
      <w:r w:rsidR="00E00E80">
        <w:rPr>
          <w:bCs/>
        </w:rPr>
        <w:t>s</w:t>
      </w:r>
      <w:r w:rsidRPr="001E1B8B">
        <w:rPr>
          <w:bCs/>
        </w:rPr>
        <w:t xml:space="preserve"> best practices on infrastructure installation and deployment plans as well as its economic feasibility assessment to support decision making;</w:t>
      </w:r>
      <w:r w:rsidR="00C83DF1">
        <w:rPr>
          <w:bCs/>
        </w:rPr>
        <w:t xml:space="preserve"> </w:t>
      </w:r>
      <w:r w:rsidRPr="001E1B8B">
        <w:rPr>
          <w:bCs/>
        </w:rPr>
        <w:t>provide</w:t>
      </w:r>
      <w:r w:rsidR="00125B50" w:rsidRPr="001E1B8B">
        <w:rPr>
          <w:bCs/>
        </w:rPr>
        <w:t>s</w:t>
      </w:r>
      <w:r w:rsidRPr="001E1B8B">
        <w:rPr>
          <w:bCs/>
        </w:rPr>
        <w:t xml:space="preserve"> quantitative examples of most searched projects, such as the construction of optical fibre backbones, wireless broadband networks (including 4G), and fibre-to-the-home (FTTH) access network projects.</w:t>
      </w:r>
    </w:p>
    <w:p w14:paraId="2EA06806" w14:textId="445CC47D" w:rsidR="00643D89" w:rsidRPr="001E1B8B" w:rsidRDefault="00563C28" w:rsidP="00643D89">
      <w:pPr>
        <w:keepNext/>
        <w:rPr>
          <w:bCs/>
        </w:rPr>
      </w:pPr>
      <w:r w:rsidRPr="001E1B8B">
        <w:rPr>
          <w:bCs/>
        </w:rPr>
        <w:t>8.3</w:t>
      </w:r>
      <w:r w:rsidRPr="001E1B8B">
        <w:rPr>
          <w:bCs/>
        </w:rPr>
        <w:tab/>
      </w:r>
      <w:r w:rsidR="00643D89" w:rsidRPr="001E1B8B">
        <w:rPr>
          <w:b/>
          <w:bCs/>
        </w:rPr>
        <w:t>L</w:t>
      </w:r>
      <w:r w:rsidR="00125B50" w:rsidRPr="001E1B8B">
        <w:rPr>
          <w:b/>
          <w:bCs/>
        </w:rPr>
        <w:t>ast mile connectivity project</w:t>
      </w:r>
    </w:p>
    <w:p w14:paraId="5AC3780F" w14:textId="66B3DB9C" w:rsidR="00643D89" w:rsidRPr="001E1B8B" w:rsidRDefault="00643D89">
      <w:pPr>
        <w:rPr>
          <w:bCs/>
        </w:rPr>
      </w:pPr>
      <w:r w:rsidRPr="001E1B8B">
        <w:rPr>
          <w:bCs/>
        </w:rPr>
        <w:t xml:space="preserve">The </w:t>
      </w:r>
      <w:r w:rsidR="00125B50" w:rsidRPr="001E1B8B">
        <w:rPr>
          <w:bCs/>
        </w:rPr>
        <w:t>l</w:t>
      </w:r>
      <w:r w:rsidRPr="001E1B8B">
        <w:rPr>
          <w:bCs/>
        </w:rPr>
        <w:t xml:space="preserve">ast </w:t>
      </w:r>
      <w:r w:rsidR="00125B50" w:rsidRPr="001E1B8B">
        <w:rPr>
          <w:bCs/>
        </w:rPr>
        <w:t>m</w:t>
      </w:r>
      <w:r w:rsidRPr="001E1B8B">
        <w:rPr>
          <w:bCs/>
        </w:rPr>
        <w:t xml:space="preserve">ile </w:t>
      </w:r>
      <w:r w:rsidR="00125B50" w:rsidRPr="001E1B8B">
        <w:rPr>
          <w:bCs/>
        </w:rPr>
        <w:t>c</w:t>
      </w:r>
      <w:r w:rsidRPr="001E1B8B">
        <w:rPr>
          <w:bCs/>
        </w:rPr>
        <w:t xml:space="preserve">onnectivity </w:t>
      </w:r>
      <w:hyperlink r:id="rId59" w:history="1">
        <w:r w:rsidRPr="001E1B8B">
          <w:rPr>
            <w:rStyle w:val="Hyperlink"/>
            <w:bCs/>
          </w:rPr>
          <w:t>project</w:t>
        </w:r>
      </w:hyperlink>
      <w:r w:rsidRPr="001E1B8B">
        <w:rPr>
          <w:bCs/>
        </w:rPr>
        <w:t xml:space="preserve"> was launched to drive new collaborative strategies to ensure that </w:t>
      </w:r>
      <w:r w:rsidR="00C83DF1">
        <w:rPr>
          <w:bCs/>
        </w:rPr>
        <w:t xml:space="preserve">all </w:t>
      </w:r>
      <w:r w:rsidRPr="001E1B8B">
        <w:rPr>
          <w:bCs/>
        </w:rPr>
        <w:t>people achieve meaningful universal connectivity. This project will enable partners to share resources and take a more holistic approach that treats broadband as a basic public utility and tool for socio-economic development.</w:t>
      </w:r>
      <w:r w:rsidR="008F5B8D" w:rsidRPr="001E1B8B">
        <w:rPr>
          <w:bCs/>
        </w:rPr>
        <w:t xml:space="preserve"> </w:t>
      </w:r>
    </w:p>
    <w:p w14:paraId="675F128E" w14:textId="476738F8" w:rsidR="00772046" w:rsidRPr="001E1B8B" w:rsidRDefault="00772046">
      <w:pPr>
        <w:keepNext/>
        <w:overflowPunct/>
        <w:autoSpaceDE/>
        <w:autoSpaceDN/>
        <w:adjustRightInd/>
        <w:rPr>
          <w:b/>
        </w:rPr>
      </w:pPr>
      <w:r w:rsidRPr="001E1B8B">
        <w:t>8.4</w:t>
      </w:r>
      <w:r w:rsidRPr="001E1B8B">
        <w:tab/>
      </w:r>
      <w:r w:rsidRPr="001E1B8B">
        <w:rPr>
          <w:b/>
        </w:rPr>
        <w:t>GIGA</w:t>
      </w:r>
    </w:p>
    <w:p w14:paraId="4557B923" w14:textId="77777777" w:rsidR="00772046" w:rsidRPr="001E1B8B" w:rsidRDefault="00772046" w:rsidP="00772046">
      <w:pPr>
        <w:rPr>
          <w:bCs/>
          <w:szCs w:val="24"/>
        </w:rPr>
      </w:pPr>
      <w:r w:rsidRPr="001E1B8B">
        <w:rPr>
          <w:bCs/>
        </w:rPr>
        <w:t xml:space="preserve">The ITU-UNICEF school connectivity project, launched at the UN General Assembly, has </w:t>
      </w:r>
      <w:r w:rsidRPr="001E1B8B">
        <w:rPr>
          <w:rFonts w:cs="Arial"/>
          <w:szCs w:val="24"/>
          <w:shd w:val="clear" w:color="auto" w:fill="FFFFFF"/>
        </w:rPr>
        <w:t>set the goal of providing connectivity to every school in the world. Some 3.7 billion people in the world do not have access to the Internet, of whom 360 million are young people. A lack of access to the Internet means children and young people are excluded from the wealth of information available online, limiting their resources to learn and to grow, and to fulfil their potential. Closing the digital divide requires global cooperation, leadership, and innovation in finance and technology.</w:t>
      </w:r>
      <w:r w:rsidRPr="001E1B8B">
        <w:rPr>
          <w:bCs/>
          <w:szCs w:val="24"/>
        </w:rPr>
        <w:t xml:space="preserve"> </w:t>
      </w:r>
    </w:p>
    <w:p w14:paraId="639988F1" w14:textId="352EDF7D" w:rsidR="00772046" w:rsidRPr="001E1B8B" w:rsidRDefault="00772046" w:rsidP="00091D9C">
      <w:pPr>
        <w:rPr>
          <w:bCs/>
        </w:rPr>
      </w:pPr>
      <w:r w:rsidRPr="001E1B8B">
        <w:rPr>
          <w:bCs/>
        </w:rPr>
        <w:lastRenderedPageBreak/>
        <w:t xml:space="preserve">The </w:t>
      </w:r>
      <w:hyperlink r:id="rId60" w:history="1">
        <w:r w:rsidRPr="001E1B8B">
          <w:rPr>
            <w:rStyle w:val="Hyperlink"/>
            <w:bCs/>
          </w:rPr>
          <w:t>GIGA initiative</w:t>
        </w:r>
      </w:hyperlink>
      <w:r w:rsidRPr="001E1B8B">
        <w:rPr>
          <w:bCs/>
        </w:rPr>
        <w:t xml:space="preserve"> has four pillars: </w:t>
      </w:r>
      <w:r w:rsidR="00091D9C">
        <w:rPr>
          <w:bCs/>
        </w:rPr>
        <w:t>m</w:t>
      </w:r>
      <w:r w:rsidRPr="001E1B8B">
        <w:rPr>
          <w:bCs/>
        </w:rPr>
        <w:t>ap connectivity of every school and use it to show where connectivity demand is and use new technologies to create a real-time map of school locations and their connectivity level</w:t>
      </w:r>
      <w:r w:rsidR="00091D9C">
        <w:rPr>
          <w:bCs/>
        </w:rPr>
        <w:t>; f</w:t>
      </w:r>
      <w:r w:rsidRPr="001E1B8B">
        <w:rPr>
          <w:bCs/>
        </w:rPr>
        <w:t xml:space="preserve">inance a </w:t>
      </w:r>
      <w:r w:rsidR="00091D9C">
        <w:rPr>
          <w:bCs/>
        </w:rPr>
        <w:t>c</w:t>
      </w:r>
      <w:r w:rsidRPr="001E1B8B">
        <w:rPr>
          <w:bCs/>
        </w:rPr>
        <w:t xml:space="preserve">ommon </w:t>
      </w:r>
      <w:r w:rsidR="00091D9C">
        <w:rPr>
          <w:bCs/>
        </w:rPr>
        <w:t>b</w:t>
      </w:r>
      <w:r w:rsidRPr="001E1B8B">
        <w:rPr>
          <w:bCs/>
        </w:rPr>
        <w:t>id that aggregates connectivity demand in schools (pooled across multiple countries) and creates a cost-forecasting model to make connectivity more affordable</w:t>
      </w:r>
      <w:r w:rsidR="00091D9C">
        <w:rPr>
          <w:bCs/>
        </w:rPr>
        <w:t>; c</w:t>
      </w:r>
      <w:r w:rsidRPr="001E1B8B">
        <w:rPr>
          <w:bCs/>
        </w:rPr>
        <w:t>onnect every school to the Internet and create a monitoring system to oversee the level and quality of connectivity delivered by Internet service providers</w:t>
      </w:r>
      <w:r w:rsidR="00091D9C">
        <w:rPr>
          <w:bCs/>
        </w:rPr>
        <w:t>; e</w:t>
      </w:r>
      <w:r w:rsidRPr="001E1B8B">
        <w:rPr>
          <w:bCs/>
        </w:rPr>
        <w:t>mpower young people with skills by investing in, and scaling up, open source solutions that – with connectivity – will be available to children, teachers, and administrators.</w:t>
      </w:r>
    </w:p>
    <w:p w14:paraId="48EAEF17" w14:textId="385FDE2D" w:rsidR="00705DD6" w:rsidRPr="001E1B8B" w:rsidRDefault="00705DD6">
      <w:pPr>
        <w:keepNext/>
        <w:rPr>
          <w:b/>
          <w:bCs/>
        </w:rPr>
      </w:pPr>
      <w:r w:rsidRPr="001E1B8B">
        <w:rPr>
          <w:bCs/>
        </w:rPr>
        <w:t>8.</w:t>
      </w:r>
      <w:r w:rsidR="00772046" w:rsidRPr="001E1B8B">
        <w:rPr>
          <w:bCs/>
        </w:rPr>
        <w:t xml:space="preserve">5 </w:t>
      </w:r>
      <w:r w:rsidRPr="001E1B8B">
        <w:rPr>
          <w:bCs/>
        </w:rPr>
        <w:tab/>
      </w:r>
      <w:r w:rsidRPr="001E1B8B">
        <w:rPr>
          <w:b/>
          <w:bCs/>
        </w:rPr>
        <w:t xml:space="preserve">ITU-MUST </w:t>
      </w:r>
      <w:r w:rsidR="00125B50" w:rsidRPr="001E1B8B">
        <w:rPr>
          <w:b/>
          <w:bCs/>
        </w:rPr>
        <w:t>p</w:t>
      </w:r>
      <w:r w:rsidRPr="001E1B8B">
        <w:rPr>
          <w:b/>
          <w:bCs/>
        </w:rPr>
        <w:t xml:space="preserve">roject on IPv6 and IoT Expertise </w:t>
      </w:r>
      <w:r w:rsidR="00125B50" w:rsidRPr="001E1B8B">
        <w:rPr>
          <w:b/>
          <w:bCs/>
        </w:rPr>
        <w:t>Centre</w:t>
      </w:r>
      <w:r w:rsidRPr="001E1B8B">
        <w:rPr>
          <w:b/>
          <w:bCs/>
        </w:rPr>
        <w:t xml:space="preserve"> </w:t>
      </w:r>
    </w:p>
    <w:p w14:paraId="77E31081" w14:textId="34723C12" w:rsidR="00705DD6" w:rsidRPr="001E1B8B" w:rsidRDefault="00705DD6">
      <w:pPr>
        <w:rPr>
          <w:bCs/>
        </w:rPr>
      </w:pPr>
      <w:r w:rsidRPr="001E1B8B">
        <w:rPr>
          <w:bCs/>
        </w:rPr>
        <w:t>The main goal of the project</w:t>
      </w:r>
      <w:r w:rsidR="008F5B8D" w:rsidRPr="001E1B8B">
        <w:rPr>
          <w:bCs/>
        </w:rPr>
        <w:t xml:space="preserve"> </w:t>
      </w:r>
      <w:r w:rsidR="00772046" w:rsidRPr="001E1B8B">
        <w:rPr>
          <w:bCs/>
        </w:rPr>
        <w:t>ITU-MUST (Malaysia University of Science and Technology)</w:t>
      </w:r>
      <w:r w:rsidRPr="001E1B8B">
        <w:rPr>
          <w:bCs/>
        </w:rPr>
        <w:t xml:space="preserve"> is to assist Member States </w:t>
      </w:r>
      <w:r w:rsidR="00125B50" w:rsidRPr="001E1B8B">
        <w:rPr>
          <w:bCs/>
        </w:rPr>
        <w:t>for a</w:t>
      </w:r>
      <w:r w:rsidRPr="001E1B8B">
        <w:rPr>
          <w:bCs/>
        </w:rPr>
        <w:t xml:space="preserve"> smooth transition from IPv4 (Internet Protocol version 4) to IPv6 (Internet Protocol version 6) for Internet of Things (IoT) infrastructure, IPv6 over 5G Networks, IPv6 for Industry 4.0, services and applications deployments, raising awareness through conducting technical assistance, trainings and/or workshops.</w:t>
      </w:r>
      <w:r w:rsidR="00BA656B" w:rsidRPr="001E1B8B">
        <w:rPr>
          <w:bCs/>
        </w:rPr>
        <w:t xml:space="preserve"> Several trainings and workshops were organized in 2019 to this effect.</w:t>
      </w:r>
      <w:r w:rsidRPr="001E1B8B">
        <w:rPr>
          <w:bCs/>
        </w:rPr>
        <w:t xml:space="preserve"> </w:t>
      </w:r>
    </w:p>
    <w:p w14:paraId="5CFD2C2F" w14:textId="063E057E" w:rsidR="00705DD6" w:rsidRPr="001E1B8B" w:rsidRDefault="00705DD6">
      <w:pPr>
        <w:keepNext/>
        <w:rPr>
          <w:bCs/>
        </w:rPr>
      </w:pPr>
      <w:r w:rsidRPr="001E1B8B">
        <w:rPr>
          <w:bCs/>
        </w:rPr>
        <w:t>8.</w:t>
      </w:r>
      <w:r w:rsidR="00772046" w:rsidRPr="001E1B8B">
        <w:rPr>
          <w:bCs/>
        </w:rPr>
        <w:t>6</w:t>
      </w:r>
      <w:r w:rsidR="00CD7D0C" w:rsidRPr="001E1B8B">
        <w:rPr>
          <w:bCs/>
        </w:rPr>
        <w:tab/>
      </w:r>
      <w:r w:rsidRPr="001E1B8B">
        <w:rPr>
          <w:b/>
          <w:bCs/>
        </w:rPr>
        <w:t>B</w:t>
      </w:r>
      <w:r w:rsidR="00125B50" w:rsidRPr="001E1B8B">
        <w:rPr>
          <w:b/>
          <w:bCs/>
        </w:rPr>
        <w:t xml:space="preserve">roadband for rural connectivity </w:t>
      </w:r>
    </w:p>
    <w:p w14:paraId="7794E2B5" w14:textId="3378B7E3" w:rsidR="00DC372A" w:rsidRPr="001E1B8B" w:rsidRDefault="00DC372A" w:rsidP="00DC372A">
      <w:pPr>
        <w:rPr>
          <w:bCs/>
        </w:rPr>
      </w:pPr>
      <w:r w:rsidRPr="001E1B8B">
        <w:rPr>
          <w:rFonts w:ascii="Calibri" w:eastAsia="Calibri" w:hAnsi="Calibri" w:cs="Calibri"/>
        </w:rPr>
        <w:t>In the framework of the ITU/McCaw Foundation project for Africa</w:t>
      </w:r>
      <w:r w:rsidR="00125B50" w:rsidRPr="001E1B8B">
        <w:rPr>
          <w:rFonts w:ascii="Calibri" w:eastAsia="Calibri" w:hAnsi="Calibri" w:cs="Calibri"/>
        </w:rPr>
        <w:t xml:space="preserve"> region</w:t>
      </w:r>
      <w:r w:rsidRPr="001E1B8B">
        <w:rPr>
          <w:rFonts w:ascii="Calibri" w:eastAsia="Calibri" w:hAnsi="Calibri" w:cs="Calibri"/>
        </w:rPr>
        <w:t xml:space="preserve"> countries</w:t>
      </w:r>
      <w:r w:rsidR="00125B50" w:rsidRPr="001E1B8B">
        <w:rPr>
          <w:rFonts w:ascii="Calibri" w:eastAsia="Calibri" w:hAnsi="Calibri" w:cs="Calibri"/>
        </w:rPr>
        <w:t>,</w:t>
      </w:r>
      <w:r w:rsidRPr="001E1B8B">
        <w:rPr>
          <w:bCs/>
        </w:rPr>
        <w:t xml:space="preserve"> </w:t>
      </w:r>
      <w:r w:rsidR="00125B50" w:rsidRPr="001E1B8B">
        <w:rPr>
          <w:bCs/>
        </w:rPr>
        <w:t>ITU</w:t>
      </w:r>
      <w:r w:rsidR="00705DD6" w:rsidRPr="001E1B8B">
        <w:rPr>
          <w:bCs/>
        </w:rPr>
        <w:t xml:space="preserve"> continue</w:t>
      </w:r>
      <w:r w:rsidR="00BA656B" w:rsidRPr="001E1B8B">
        <w:rPr>
          <w:bCs/>
        </w:rPr>
        <w:t>d</w:t>
      </w:r>
      <w:r w:rsidR="00705DD6" w:rsidRPr="001E1B8B">
        <w:rPr>
          <w:bCs/>
        </w:rPr>
        <w:t xml:space="preserve"> </w:t>
      </w:r>
      <w:r w:rsidR="00BA656B" w:rsidRPr="001E1B8B">
        <w:rPr>
          <w:bCs/>
        </w:rPr>
        <w:t>to implement</w:t>
      </w:r>
      <w:r w:rsidR="00705DD6" w:rsidRPr="001E1B8B">
        <w:rPr>
          <w:bCs/>
        </w:rPr>
        <w:t xml:space="preserve"> Internet broadband wireless connectivity and </w:t>
      </w:r>
      <w:r w:rsidR="00BA656B" w:rsidRPr="001E1B8B">
        <w:rPr>
          <w:bCs/>
        </w:rPr>
        <w:t>develop</w:t>
      </w:r>
      <w:r w:rsidR="00705DD6" w:rsidRPr="001E1B8B">
        <w:rPr>
          <w:bCs/>
        </w:rPr>
        <w:t xml:space="preserve"> ICT applications to provide free or low cost digital access for schools and hospitals, and for underserved populations in rural and remote areas in selected countries</w:t>
      </w:r>
      <w:r w:rsidR="00BA656B" w:rsidRPr="001E1B8B">
        <w:rPr>
          <w:bCs/>
        </w:rPr>
        <w:t xml:space="preserve">. In Djibouti, for example, 18 sites were connected to broadband </w:t>
      </w:r>
      <w:r w:rsidR="00A25158" w:rsidRPr="001E1B8B">
        <w:rPr>
          <w:bCs/>
        </w:rPr>
        <w:t>I</w:t>
      </w:r>
      <w:r w:rsidR="00BA656B" w:rsidRPr="001E1B8B">
        <w:rPr>
          <w:bCs/>
        </w:rPr>
        <w:t>nternet; 62 primary and secondary schools</w:t>
      </w:r>
      <w:r w:rsidR="00A25158" w:rsidRPr="001E1B8B">
        <w:rPr>
          <w:bCs/>
        </w:rPr>
        <w:t>,</w:t>
      </w:r>
      <w:r w:rsidR="00BA656B" w:rsidRPr="001E1B8B">
        <w:rPr>
          <w:bCs/>
        </w:rPr>
        <w:t xml:space="preserve"> and 15 hospitals and clinics were also connected. </w:t>
      </w:r>
    </w:p>
    <w:p w14:paraId="06AABE83" w14:textId="65C9243D" w:rsidR="00557B8C" w:rsidRPr="001E1B8B" w:rsidRDefault="00557B8C" w:rsidP="00776763">
      <w:pPr>
        <w:keepNext/>
        <w:shd w:val="clear" w:color="auto" w:fill="FFFFFF"/>
        <w:tabs>
          <w:tab w:val="clear" w:pos="794"/>
          <w:tab w:val="clear" w:pos="1191"/>
          <w:tab w:val="clear" w:pos="1588"/>
          <w:tab w:val="clear" w:pos="1985"/>
        </w:tabs>
        <w:overflowPunct/>
        <w:autoSpaceDE/>
        <w:autoSpaceDN/>
        <w:adjustRightInd/>
        <w:rPr>
          <w:rFonts w:cstheme="minorHAnsi"/>
          <w:szCs w:val="24"/>
        </w:rPr>
      </w:pPr>
      <w:r w:rsidRPr="001E1B8B">
        <w:rPr>
          <w:rFonts w:cstheme="minorHAnsi"/>
          <w:szCs w:val="24"/>
        </w:rPr>
        <w:t>8.</w:t>
      </w:r>
      <w:r w:rsidR="00BA656B" w:rsidRPr="001E1B8B">
        <w:rPr>
          <w:rFonts w:cstheme="minorHAnsi"/>
          <w:szCs w:val="24"/>
        </w:rPr>
        <w:t>7</w:t>
      </w:r>
      <w:r w:rsidRPr="001E1B8B">
        <w:rPr>
          <w:rFonts w:cstheme="minorHAnsi"/>
          <w:szCs w:val="24"/>
        </w:rPr>
        <w:t xml:space="preserve"> </w:t>
      </w:r>
      <w:r w:rsidR="00622EE1" w:rsidRPr="001E1B8B">
        <w:rPr>
          <w:rFonts w:cstheme="minorHAnsi"/>
          <w:szCs w:val="24"/>
        </w:rPr>
        <w:tab/>
      </w:r>
      <w:r w:rsidR="00A25158" w:rsidRPr="001E1B8B">
        <w:rPr>
          <w:b/>
        </w:rPr>
        <w:t>Policy and Regulation Initiative for Digital Africa (PRIDA)</w:t>
      </w:r>
    </w:p>
    <w:p w14:paraId="5F5B6867" w14:textId="30D71752" w:rsidR="00557B8C" w:rsidRPr="001E1B8B" w:rsidRDefault="00A25158" w:rsidP="00557B8C">
      <w:pPr>
        <w:rPr>
          <w:rFonts w:ascii="Calibri" w:eastAsia="Calibri" w:hAnsi="Calibri" w:cs="Calibri"/>
        </w:rPr>
      </w:pPr>
      <w:r w:rsidRPr="001E1B8B">
        <w:t>This</w:t>
      </w:r>
      <w:r w:rsidR="00557B8C" w:rsidRPr="001E1B8B">
        <w:t xml:space="preserve"> </w:t>
      </w:r>
      <w:r w:rsidRPr="001E1B8B">
        <w:t>p</w:t>
      </w:r>
      <w:r w:rsidR="00557B8C" w:rsidRPr="001E1B8B">
        <w:t xml:space="preserve">olicy and </w:t>
      </w:r>
      <w:r w:rsidRPr="001E1B8B">
        <w:t>r</w:t>
      </w:r>
      <w:r w:rsidR="00557B8C" w:rsidRPr="001E1B8B">
        <w:t xml:space="preserve">egulation </w:t>
      </w:r>
      <w:r w:rsidRPr="001E1B8B">
        <w:t>i</w:t>
      </w:r>
      <w:r w:rsidR="00557B8C" w:rsidRPr="001E1B8B">
        <w:t xml:space="preserve">nitiative for Africa was launched to </w:t>
      </w:r>
      <w:r w:rsidR="00557B8C" w:rsidRPr="001E1B8B">
        <w:rPr>
          <w:rFonts w:ascii="Calibri" w:eastAsia="Calibri" w:hAnsi="Calibri" w:cs="Calibri"/>
        </w:rPr>
        <w:t>foster universally accessible and affordable wireless broadband across the Africa</w:t>
      </w:r>
      <w:r w:rsidRPr="001E1B8B">
        <w:rPr>
          <w:rFonts w:ascii="Calibri" w:eastAsia="Calibri" w:hAnsi="Calibri" w:cs="Calibri"/>
        </w:rPr>
        <w:t xml:space="preserve"> region</w:t>
      </w:r>
      <w:r w:rsidR="00557B8C" w:rsidRPr="001E1B8B">
        <w:rPr>
          <w:rFonts w:ascii="Calibri" w:eastAsia="Calibri" w:hAnsi="Calibri" w:cs="Calibri"/>
        </w:rPr>
        <w:t xml:space="preserve"> in order to unlock future benefits of </w:t>
      </w:r>
      <w:r w:rsidRPr="001E1B8B">
        <w:rPr>
          <w:rFonts w:ascii="Calibri" w:eastAsia="Calibri" w:hAnsi="Calibri" w:cs="Calibri"/>
        </w:rPr>
        <w:t>I</w:t>
      </w:r>
      <w:r w:rsidR="00557B8C" w:rsidRPr="001E1B8B">
        <w:rPr>
          <w:rFonts w:ascii="Calibri" w:eastAsia="Calibri" w:hAnsi="Calibri" w:cs="Calibri"/>
        </w:rPr>
        <w:t xml:space="preserve">nternet based services. </w:t>
      </w:r>
      <w:r w:rsidR="00557B8C" w:rsidRPr="001E1B8B">
        <w:t xml:space="preserve">This ambitious </w:t>
      </w:r>
      <w:r w:rsidRPr="001E1B8B">
        <w:t>3.5-year</w:t>
      </w:r>
      <w:r w:rsidR="00557B8C" w:rsidRPr="001E1B8B">
        <w:t xml:space="preserve"> initiative </w:t>
      </w:r>
      <w:r w:rsidR="00557B8C" w:rsidRPr="001E1B8B">
        <w:rPr>
          <w:rFonts w:ascii="Calibri" w:eastAsia="Calibri" w:hAnsi="Calibri" w:cs="Calibri"/>
        </w:rPr>
        <w:t xml:space="preserve">is a </w:t>
      </w:r>
      <w:hyperlink r:id="rId61" w:history="1">
        <w:r w:rsidR="00557B8C" w:rsidRPr="001E1B8B">
          <w:rPr>
            <w:rStyle w:val="Hyperlink"/>
            <w:rFonts w:ascii="Calibri" w:eastAsia="Calibri" w:hAnsi="Calibri" w:cs="Calibri"/>
          </w:rPr>
          <w:t>multi-partner project</w:t>
        </w:r>
      </w:hyperlink>
      <w:r w:rsidR="00557B8C" w:rsidRPr="001E1B8B">
        <w:rPr>
          <w:rFonts w:ascii="Calibri" w:eastAsia="Calibri" w:hAnsi="Calibri" w:cs="Calibri"/>
        </w:rPr>
        <w:t xml:space="preserve"> by the European Union, the African Union, and ITU.</w:t>
      </w:r>
    </w:p>
    <w:p w14:paraId="50C115D4" w14:textId="5DEFA6AC" w:rsidR="00557B8C" w:rsidRPr="001E1B8B" w:rsidRDefault="00446F73" w:rsidP="00CD7D0C">
      <w:pPr>
        <w:keepNext/>
        <w:overflowPunct/>
        <w:autoSpaceDE/>
        <w:autoSpaceDN/>
        <w:adjustRightInd/>
      </w:pPr>
      <w:r w:rsidRPr="001E1B8B">
        <w:rPr>
          <w:rFonts w:ascii="Calibri" w:eastAsia="Calibri" w:hAnsi="Calibri" w:cs="Calibri"/>
        </w:rPr>
        <w:t>8.</w:t>
      </w:r>
      <w:r w:rsidR="00BA656B" w:rsidRPr="001E1B8B">
        <w:rPr>
          <w:rFonts w:ascii="Calibri" w:eastAsia="Calibri" w:hAnsi="Calibri" w:cs="Calibri"/>
        </w:rPr>
        <w:t>8</w:t>
      </w:r>
      <w:r w:rsidRPr="001E1B8B">
        <w:rPr>
          <w:rFonts w:ascii="Calibri" w:eastAsia="Calibri" w:hAnsi="Calibri" w:cs="Calibri"/>
        </w:rPr>
        <w:t xml:space="preserve"> </w:t>
      </w:r>
      <w:r w:rsidR="00622EE1" w:rsidRPr="001E1B8B">
        <w:rPr>
          <w:rFonts w:ascii="Calibri" w:eastAsia="Calibri" w:hAnsi="Calibri" w:cs="Calibri"/>
        </w:rPr>
        <w:tab/>
      </w:r>
      <w:r w:rsidRPr="001E1B8B">
        <w:rPr>
          <w:rFonts w:ascii="Calibri" w:eastAsia="Calibri" w:hAnsi="Calibri" w:cs="Calibri"/>
          <w:b/>
          <w:bCs/>
        </w:rPr>
        <w:t>C</w:t>
      </w:r>
      <w:r w:rsidR="00A25158" w:rsidRPr="001E1B8B">
        <w:rPr>
          <w:rFonts w:ascii="Calibri" w:eastAsia="Calibri" w:hAnsi="Calibri" w:cs="Calibri"/>
          <w:b/>
          <w:bCs/>
        </w:rPr>
        <w:t>onformity and interoperability of networks</w:t>
      </w:r>
      <w:r w:rsidR="00A25158" w:rsidRPr="001E1B8B">
        <w:rPr>
          <w:rFonts w:ascii="Calibri" w:eastAsia="Calibri" w:hAnsi="Calibri" w:cs="Calibri"/>
        </w:rPr>
        <w:t xml:space="preserve"> </w:t>
      </w:r>
    </w:p>
    <w:p w14:paraId="1A6F3AC3" w14:textId="5EB27059" w:rsidR="00557B8C" w:rsidRPr="001E1B8B" w:rsidRDefault="00557B8C" w:rsidP="00557B8C">
      <w:r w:rsidRPr="001E1B8B">
        <w:rPr>
          <w:rFonts w:ascii="Calibri" w:eastAsia="Calibri" w:hAnsi="Calibri" w:cs="Calibri"/>
        </w:rPr>
        <w:t xml:space="preserve">Skills in </w:t>
      </w:r>
      <w:r w:rsidR="00A25158" w:rsidRPr="001E1B8B">
        <w:rPr>
          <w:rFonts w:ascii="Calibri" w:eastAsia="Calibri" w:hAnsi="Calibri" w:cs="Calibri"/>
        </w:rPr>
        <w:t>s</w:t>
      </w:r>
      <w:r w:rsidRPr="001E1B8B">
        <w:rPr>
          <w:rFonts w:ascii="Calibri" w:eastAsia="Calibri" w:hAnsi="Calibri" w:cs="Calibri"/>
        </w:rPr>
        <w:t xml:space="preserve">pecific </w:t>
      </w:r>
      <w:r w:rsidR="00A25158" w:rsidRPr="001E1B8B">
        <w:rPr>
          <w:rFonts w:ascii="Calibri" w:eastAsia="Calibri" w:hAnsi="Calibri" w:cs="Calibri"/>
        </w:rPr>
        <w:t>a</w:t>
      </w:r>
      <w:r w:rsidRPr="001E1B8B">
        <w:rPr>
          <w:rFonts w:ascii="Calibri" w:eastAsia="Calibri" w:hAnsi="Calibri" w:cs="Calibri"/>
        </w:rPr>
        <w:t xml:space="preserve">bsorption </w:t>
      </w:r>
      <w:r w:rsidR="00A25158" w:rsidRPr="001E1B8B">
        <w:rPr>
          <w:rFonts w:ascii="Calibri" w:eastAsia="Calibri" w:hAnsi="Calibri" w:cs="Calibri"/>
        </w:rPr>
        <w:t>r</w:t>
      </w:r>
      <w:r w:rsidRPr="001E1B8B">
        <w:rPr>
          <w:rFonts w:ascii="Calibri" w:eastAsia="Calibri" w:hAnsi="Calibri" w:cs="Calibri"/>
        </w:rPr>
        <w:t xml:space="preserve">ate, </w:t>
      </w:r>
      <w:r w:rsidR="00A25158" w:rsidRPr="001E1B8B">
        <w:rPr>
          <w:rFonts w:ascii="Calibri" w:eastAsia="Calibri" w:hAnsi="Calibri" w:cs="Calibri"/>
        </w:rPr>
        <w:t>r</w:t>
      </w:r>
      <w:r w:rsidRPr="001E1B8B">
        <w:rPr>
          <w:rFonts w:ascii="Calibri" w:eastAsia="Calibri" w:hAnsi="Calibri" w:cs="Calibri"/>
        </w:rPr>
        <w:t xml:space="preserve">adio frequency, </w:t>
      </w:r>
      <w:r w:rsidR="00A25158" w:rsidRPr="001E1B8B">
        <w:rPr>
          <w:rFonts w:ascii="Calibri" w:eastAsia="Calibri" w:hAnsi="Calibri" w:cs="Calibri"/>
        </w:rPr>
        <w:t>e</w:t>
      </w:r>
      <w:r w:rsidRPr="001E1B8B">
        <w:rPr>
          <w:rFonts w:ascii="Calibri" w:eastAsia="Calibri" w:hAnsi="Calibri" w:cs="Calibri"/>
        </w:rPr>
        <w:t xml:space="preserve">lectromagnetic </w:t>
      </w:r>
      <w:r w:rsidR="00A25158" w:rsidRPr="001E1B8B">
        <w:rPr>
          <w:rFonts w:ascii="Calibri" w:eastAsia="Calibri" w:hAnsi="Calibri" w:cs="Calibri"/>
        </w:rPr>
        <w:t>f</w:t>
      </w:r>
      <w:r w:rsidRPr="001E1B8B">
        <w:rPr>
          <w:rFonts w:ascii="Calibri" w:eastAsia="Calibri" w:hAnsi="Calibri" w:cs="Calibri"/>
        </w:rPr>
        <w:t>requency</w:t>
      </w:r>
      <w:r w:rsidR="00A25158" w:rsidRPr="001E1B8B">
        <w:rPr>
          <w:rFonts w:ascii="Calibri" w:eastAsia="Calibri" w:hAnsi="Calibri" w:cs="Calibri"/>
        </w:rPr>
        <w:t>,</w:t>
      </w:r>
      <w:r w:rsidRPr="001E1B8B">
        <w:rPr>
          <w:rFonts w:ascii="Calibri" w:eastAsia="Calibri" w:hAnsi="Calibri" w:cs="Calibri"/>
        </w:rPr>
        <w:t xml:space="preserve"> and </w:t>
      </w:r>
      <w:r w:rsidR="00A25158" w:rsidRPr="001E1B8B">
        <w:rPr>
          <w:rFonts w:ascii="Calibri" w:eastAsia="Calibri" w:hAnsi="Calibri" w:cs="Calibri"/>
        </w:rPr>
        <w:t>d</w:t>
      </w:r>
      <w:r w:rsidRPr="001E1B8B">
        <w:rPr>
          <w:rFonts w:ascii="Calibri" w:eastAsia="Calibri" w:hAnsi="Calibri" w:cs="Calibri"/>
        </w:rPr>
        <w:t xml:space="preserve">igital </w:t>
      </w:r>
      <w:r w:rsidR="00A25158" w:rsidRPr="001E1B8B">
        <w:rPr>
          <w:rFonts w:ascii="Calibri" w:eastAsia="Calibri" w:hAnsi="Calibri" w:cs="Calibri"/>
        </w:rPr>
        <w:t>t</w:t>
      </w:r>
      <w:r w:rsidRPr="001E1B8B">
        <w:rPr>
          <w:rFonts w:ascii="Calibri" w:eastAsia="Calibri" w:hAnsi="Calibri" w:cs="Calibri"/>
        </w:rPr>
        <w:t xml:space="preserve">errestrial </w:t>
      </w:r>
      <w:r w:rsidR="00A25158" w:rsidRPr="001E1B8B">
        <w:rPr>
          <w:rFonts w:ascii="Calibri" w:eastAsia="Calibri" w:hAnsi="Calibri" w:cs="Calibri"/>
        </w:rPr>
        <w:t>t</w:t>
      </w:r>
      <w:r w:rsidRPr="001E1B8B">
        <w:rPr>
          <w:rFonts w:ascii="Calibri" w:eastAsia="Calibri" w:hAnsi="Calibri" w:cs="Calibri"/>
        </w:rPr>
        <w:t xml:space="preserve">elevision were enhanced through </w:t>
      </w:r>
      <w:r w:rsidR="00A25158" w:rsidRPr="001E1B8B">
        <w:rPr>
          <w:rFonts w:ascii="Calibri" w:eastAsia="Calibri" w:hAnsi="Calibri" w:cs="Calibri"/>
        </w:rPr>
        <w:t>c</w:t>
      </w:r>
      <w:r w:rsidRPr="001E1B8B">
        <w:rPr>
          <w:rFonts w:ascii="Calibri" w:eastAsia="Calibri" w:hAnsi="Calibri" w:cs="Calibri"/>
        </w:rPr>
        <w:t xml:space="preserve">onformity and </w:t>
      </w:r>
      <w:r w:rsidR="00A25158" w:rsidRPr="001E1B8B">
        <w:rPr>
          <w:rFonts w:ascii="Calibri" w:eastAsia="Calibri" w:hAnsi="Calibri" w:cs="Calibri"/>
        </w:rPr>
        <w:t>i</w:t>
      </w:r>
      <w:r w:rsidRPr="001E1B8B">
        <w:rPr>
          <w:rFonts w:ascii="Calibri" w:eastAsia="Calibri" w:hAnsi="Calibri" w:cs="Calibri"/>
        </w:rPr>
        <w:t>nteroperability training</w:t>
      </w:r>
      <w:r w:rsidR="00CC140E" w:rsidRPr="001E1B8B">
        <w:rPr>
          <w:rFonts w:ascii="Calibri" w:eastAsia="Calibri" w:hAnsi="Calibri" w:cs="Calibri"/>
        </w:rPr>
        <w:t>s</w:t>
      </w:r>
      <w:r w:rsidRPr="001E1B8B">
        <w:rPr>
          <w:rFonts w:ascii="Calibri" w:eastAsia="Calibri" w:hAnsi="Calibri" w:cs="Calibri"/>
        </w:rPr>
        <w:t xml:space="preserve"> for English speaking and French speaking countries. </w:t>
      </w:r>
    </w:p>
    <w:p w14:paraId="382E0F07" w14:textId="77777777" w:rsidR="00557B8C" w:rsidRPr="001E1B8B" w:rsidRDefault="00705DD6" w:rsidP="00CD7D0C">
      <w:pPr>
        <w:keepNext/>
        <w:overflowPunct/>
        <w:autoSpaceDE/>
        <w:autoSpaceDN/>
        <w:adjustRightInd/>
        <w:rPr>
          <w:caps/>
        </w:rPr>
      </w:pPr>
      <w:r w:rsidRPr="001E1B8B">
        <w:t>8.</w:t>
      </w:r>
      <w:r w:rsidR="00BA656B" w:rsidRPr="001E1B8B">
        <w:t>9</w:t>
      </w:r>
      <w:r w:rsidR="00557B8C" w:rsidRPr="001E1B8B">
        <w:rPr>
          <w:bCs/>
        </w:rPr>
        <w:tab/>
      </w:r>
      <w:r w:rsidR="00557B8C" w:rsidRPr="001E1B8B">
        <w:rPr>
          <w:b/>
          <w:bCs/>
          <w:caps/>
        </w:rPr>
        <w:t>WTDC Resolution 9 (Rev. Buenos Aires, 2017)</w:t>
      </w:r>
    </w:p>
    <w:p w14:paraId="5A033E42" w14:textId="7D7C359C" w:rsidR="006711CA" w:rsidRPr="001E1B8B" w:rsidRDefault="006711CA" w:rsidP="001B7935">
      <w:pPr>
        <w:rPr>
          <w:szCs w:val="24"/>
        </w:rPr>
      </w:pPr>
      <w:r w:rsidRPr="001E1B8B">
        <w:rPr>
          <w:szCs w:val="24"/>
        </w:rPr>
        <w:t>A summary of the ITU activities for implementation of Resolution 9</w:t>
      </w:r>
      <w:r w:rsidRPr="001E1B8B">
        <w:rPr>
          <w:bCs/>
        </w:rPr>
        <w:t xml:space="preserve"> can be seen in the table</w:t>
      </w:r>
      <w:r w:rsidR="00D6683D" w:rsidRPr="00D6683D">
        <w:rPr>
          <w:bCs/>
        </w:rPr>
        <w:t xml:space="preserve"> </w:t>
      </w:r>
      <w:r w:rsidR="00D6683D" w:rsidRPr="001E1B8B">
        <w:rPr>
          <w:bCs/>
        </w:rPr>
        <w:t>below</w:t>
      </w:r>
      <w:r w:rsidRPr="001E1B8B">
        <w:rPr>
          <w:bCs/>
        </w:rPr>
        <w:t xml:space="preserve">. It </w:t>
      </w:r>
      <w:r w:rsidRPr="001E1B8B">
        <w:rPr>
          <w:szCs w:val="24"/>
        </w:rPr>
        <w:t>gives a</w:t>
      </w:r>
      <w:r w:rsidR="00A943C4" w:rsidRPr="001E1B8B">
        <w:rPr>
          <w:szCs w:val="24"/>
        </w:rPr>
        <w:t xml:space="preserve"> thematic </w:t>
      </w:r>
      <w:r w:rsidRPr="001E1B8B">
        <w:rPr>
          <w:szCs w:val="24"/>
        </w:rPr>
        <w:t>overview</w:t>
      </w:r>
      <w:r w:rsidR="00A943C4" w:rsidRPr="001E1B8B">
        <w:rPr>
          <w:szCs w:val="24"/>
        </w:rPr>
        <w:t xml:space="preserve"> </w:t>
      </w:r>
      <w:r w:rsidRPr="001E1B8B">
        <w:rPr>
          <w:szCs w:val="24"/>
        </w:rPr>
        <w:t>of assistance provided</w:t>
      </w:r>
      <w:r w:rsidR="00A943C4" w:rsidRPr="001E1B8B">
        <w:rPr>
          <w:szCs w:val="24"/>
        </w:rPr>
        <w:t xml:space="preserve"> and the number of activities carried out</w:t>
      </w:r>
      <w:r w:rsidRPr="001E1B8B">
        <w:rPr>
          <w:szCs w:val="24"/>
        </w:rPr>
        <w:t xml:space="preserve">. </w:t>
      </w:r>
      <w:r w:rsidR="00A943C4" w:rsidRPr="001E1B8B">
        <w:rPr>
          <w:szCs w:val="24"/>
        </w:rPr>
        <w:t>D</w:t>
      </w:r>
      <w:r w:rsidRPr="001E1B8B">
        <w:rPr>
          <w:szCs w:val="24"/>
        </w:rPr>
        <w:t>ocument</w:t>
      </w:r>
      <w:r w:rsidR="001B7935" w:rsidRPr="001E1B8B">
        <w:rPr>
          <w:szCs w:val="24"/>
        </w:rPr>
        <w:t xml:space="preserve"> </w:t>
      </w:r>
      <w:hyperlink r:id="rId62" w:history="1">
        <w:r w:rsidR="001B7935" w:rsidRPr="001E1B8B">
          <w:rPr>
            <w:rStyle w:val="Hyperlink"/>
            <w:szCs w:val="24"/>
          </w:rPr>
          <w:t>TDAG-20/INF/3</w:t>
        </w:r>
      </w:hyperlink>
      <w:r w:rsidRPr="001E1B8B">
        <w:rPr>
          <w:szCs w:val="24"/>
        </w:rPr>
        <w:t xml:space="preserve"> contains </w:t>
      </w:r>
      <w:r w:rsidR="00A943C4" w:rsidRPr="001E1B8B">
        <w:rPr>
          <w:szCs w:val="24"/>
        </w:rPr>
        <w:t xml:space="preserve">a </w:t>
      </w:r>
      <w:r w:rsidRPr="001E1B8B">
        <w:rPr>
          <w:szCs w:val="24"/>
        </w:rPr>
        <w:t xml:space="preserve">summary of assistance provided to </w:t>
      </w:r>
      <w:r w:rsidR="00A943C4" w:rsidRPr="001E1B8B">
        <w:rPr>
          <w:szCs w:val="24"/>
        </w:rPr>
        <w:t>Member States</w:t>
      </w:r>
      <w:r w:rsidRPr="001E1B8B">
        <w:rPr>
          <w:szCs w:val="24"/>
        </w:rPr>
        <w:t xml:space="preserve"> on spectrum management issues by region.</w:t>
      </w:r>
    </w:p>
    <w:p w14:paraId="49784517" w14:textId="77777777" w:rsidR="00CD7D0C" w:rsidRPr="001E1B8B" w:rsidRDefault="00CD7D0C" w:rsidP="00F66DD5">
      <w:pPr>
        <w:tabs>
          <w:tab w:val="clear" w:pos="794"/>
          <w:tab w:val="clear" w:pos="1191"/>
          <w:tab w:val="clear" w:pos="1588"/>
          <w:tab w:val="clear" w:pos="1985"/>
          <w:tab w:val="left" w:pos="567"/>
        </w:tabs>
        <w:spacing w:before="60"/>
        <w:jc w:val="both"/>
        <w:rPr>
          <w:rFonts w:cstheme="minorHAnsi"/>
          <w:bCs/>
          <w:iCs/>
          <w:szCs w:val="24"/>
        </w:rPr>
      </w:pPr>
    </w:p>
    <w:tbl>
      <w:tblPr>
        <w:tblStyle w:val="TableGrid6"/>
        <w:tblW w:w="0" w:type="auto"/>
        <w:tblLook w:val="04A0" w:firstRow="1" w:lastRow="0" w:firstColumn="1" w:lastColumn="0" w:noHBand="0" w:noVBand="1"/>
      </w:tblPr>
      <w:tblGrid>
        <w:gridCol w:w="7650"/>
        <w:gridCol w:w="1700"/>
      </w:tblGrid>
      <w:tr w:rsidR="006711CA" w:rsidRPr="001E1B8B" w14:paraId="23D62A22" w14:textId="77777777" w:rsidTr="00776763">
        <w:trPr>
          <w:tblHeader/>
        </w:trPr>
        <w:tc>
          <w:tcPr>
            <w:tcW w:w="7650" w:type="dxa"/>
          </w:tcPr>
          <w:p w14:paraId="25FF5867" w14:textId="77777777" w:rsidR="006711CA" w:rsidRPr="001E1B8B" w:rsidRDefault="006711CA" w:rsidP="006711CA">
            <w:pPr>
              <w:jc w:val="center"/>
              <w:rPr>
                <w:b/>
                <w:bCs/>
              </w:rPr>
            </w:pPr>
            <w:r w:rsidRPr="001E1B8B">
              <w:rPr>
                <w:b/>
                <w:bCs/>
              </w:rPr>
              <w:lastRenderedPageBreak/>
              <w:t>Topic</w:t>
            </w:r>
          </w:p>
        </w:tc>
        <w:tc>
          <w:tcPr>
            <w:tcW w:w="1700" w:type="dxa"/>
          </w:tcPr>
          <w:p w14:paraId="4FEF211D" w14:textId="201027FC" w:rsidR="006711CA" w:rsidRPr="001E1B8B" w:rsidRDefault="006711CA" w:rsidP="006711CA">
            <w:pPr>
              <w:rPr>
                <w:b/>
                <w:bCs/>
              </w:rPr>
            </w:pPr>
            <w:r w:rsidRPr="001E1B8B">
              <w:rPr>
                <w:b/>
                <w:bCs/>
              </w:rPr>
              <w:t xml:space="preserve">Number of </w:t>
            </w:r>
            <w:r w:rsidR="00A943C4" w:rsidRPr="001E1B8B">
              <w:rPr>
                <w:b/>
                <w:bCs/>
              </w:rPr>
              <w:t>activities</w:t>
            </w:r>
          </w:p>
        </w:tc>
      </w:tr>
      <w:tr w:rsidR="006711CA" w:rsidRPr="001E1B8B" w14:paraId="03A13A49" w14:textId="77777777" w:rsidTr="0054502F">
        <w:tc>
          <w:tcPr>
            <w:tcW w:w="7650" w:type="dxa"/>
          </w:tcPr>
          <w:p w14:paraId="6A1B1099" w14:textId="26DAA40C" w:rsidR="006711CA" w:rsidRPr="001E1B8B" w:rsidRDefault="006711CA" w:rsidP="006711CA">
            <w:pPr>
              <w:keepNext/>
              <w:keepLines/>
              <w:numPr>
                <w:ilvl w:val="0"/>
                <w:numId w:val="8"/>
              </w:numPr>
              <w:tabs>
                <w:tab w:val="clear" w:pos="794"/>
                <w:tab w:val="clear" w:pos="1191"/>
                <w:tab w:val="clear" w:pos="1588"/>
                <w:tab w:val="clear" w:pos="1985"/>
              </w:tabs>
              <w:overflowPunct/>
              <w:autoSpaceDE/>
              <w:autoSpaceDN/>
              <w:adjustRightInd/>
              <w:spacing w:before="0"/>
              <w:textAlignment w:val="auto"/>
              <w:rPr>
                <w:bCs/>
                <w:sz w:val="22"/>
                <w:szCs w:val="22"/>
              </w:rPr>
            </w:pPr>
            <w:r w:rsidRPr="001E1B8B">
              <w:rPr>
                <w:bCs/>
                <w:sz w:val="22"/>
                <w:szCs w:val="22"/>
              </w:rPr>
              <w:t xml:space="preserve"> </w:t>
            </w:r>
            <w:r w:rsidRPr="001E1B8B">
              <w:rPr>
                <w:bCs/>
                <w:color w:val="000000"/>
                <w:sz w:val="22"/>
                <w:szCs w:val="22"/>
              </w:rPr>
              <w:t>Assistance in raising the awareness of national policy-makers as to the importance of effective spectrum management for a country's economic and social development</w:t>
            </w:r>
            <w:r w:rsidR="00A943C4" w:rsidRPr="001E1B8B">
              <w:rPr>
                <w:bCs/>
                <w:color w:val="000000"/>
                <w:sz w:val="22"/>
                <w:szCs w:val="22"/>
              </w:rPr>
              <w:t>.</w:t>
            </w:r>
          </w:p>
        </w:tc>
        <w:tc>
          <w:tcPr>
            <w:tcW w:w="1700" w:type="dxa"/>
          </w:tcPr>
          <w:p w14:paraId="2B58AAE7" w14:textId="77777777" w:rsidR="006711CA" w:rsidRPr="001E1B8B" w:rsidRDefault="006711CA" w:rsidP="006711CA">
            <w:pPr>
              <w:jc w:val="center"/>
              <w:rPr>
                <w:sz w:val="22"/>
                <w:szCs w:val="22"/>
              </w:rPr>
            </w:pPr>
            <w:r w:rsidRPr="001E1B8B">
              <w:rPr>
                <w:sz w:val="22"/>
                <w:szCs w:val="22"/>
              </w:rPr>
              <w:t>19</w:t>
            </w:r>
          </w:p>
        </w:tc>
      </w:tr>
      <w:tr w:rsidR="006711CA" w:rsidRPr="001E1B8B" w14:paraId="276F1DCF" w14:textId="77777777" w:rsidTr="0054502F">
        <w:trPr>
          <w:trHeight w:val="451"/>
        </w:trPr>
        <w:tc>
          <w:tcPr>
            <w:tcW w:w="7650" w:type="dxa"/>
          </w:tcPr>
          <w:p w14:paraId="5B45B83E" w14:textId="2CD42E5C" w:rsidR="006711CA" w:rsidRPr="001E1B8B" w:rsidRDefault="006711CA" w:rsidP="00776763">
            <w:pPr>
              <w:numPr>
                <w:ilvl w:val="0"/>
                <w:numId w:val="8"/>
              </w:numPr>
              <w:tabs>
                <w:tab w:val="clear" w:pos="794"/>
                <w:tab w:val="clear" w:pos="1191"/>
                <w:tab w:val="clear" w:pos="1588"/>
                <w:tab w:val="clear" w:pos="1985"/>
              </w:tabs>
              <w:overflowPunct/>
              <w:adjustRightInd/>
              <w:spacing w:before="0"/>
              <w:ind w:left="714" w:hanging="357"/>
              <w:textAlignment w:val="auto"/>
              <w:rPr>
                <w:b/>
                <w:bCs/>
                <w:sz w:val="22"/>
                <w:szCs w:val="22"/>
              </w:rPr>
            </w:pPr>
            <w:r w:rsidRPr="001E1B8B">
              <w:rPr>
                <w:bCs/>
                <w:color w:val="000000"/>
                <w:sz w:val="22"/>
                <w:szCs w:val="22"/>
              </w:rPr>
              <w:t>Training and dissemination of available ITU documentation</w:t>
            </w:r>
            <w:r w:rsidR="00A943C4" w:rsidRPr="001E1B8B">
              <w:rPr>
                <w:bCs/>
                <w:color w:val="000000"/>
                <w:sz w:val="22"/>
                <w:szCs w:val="22"/>
              </w:rPr>
              <w:t>.</w:t>
            </w:r>
          </w:p>
        </w:tc>
        <w:tc>
          <w:tcPr>
            <w:tcW w:w="1700" w:type="dxa"/>
          </w:tcPr>
          <w:p w14:paraId="1CBA056E" w14:textId="77777777" w:rsidR="006711CA" w:rsidRPr="001E1B8B" w:rsidRDefault="006711CA" w:rsidP="006711CA">
            <w:pPr>
              <w:jc w:val="center"/>
              <w:rPr>
                <w:sz w:val="22"/>
                <w:szCs w:val="22"/>
              </w:rPr>
            </w:pPr>
            <w:r w:rsidRPr="001E1B8B">
              <w:rPr>
                <w:sz w:val="22"/>
                <w:szCs w:val="22"/>
              </w:rPr>
              <w:t>22</w:t>
            </w:r>
          </w:p>
        </w:tc>
      </w:tr>
      <w:tr w:rsidR="006711CA" w:rsidRPr="001E1B8B" w14:paraId="7CDA8D58" w14:textId="77777777" w:rsidTr="0054502F">
        <w:tc>
          <w:tcPr>
            <w:tcW w:w="7650" w:type="dxa"/>
          </w:tcPr>
          <w:p w14:paraId="6CD767A9" w14:textId="63035CA1" w:rsidR="006711CA" w:rsidRPr="001E1B8B" w:rsidRDefault="006711CA" w:rsidP="00776763">
            <w:pPr>
              <w:numPr>
                <w:ilvl w:val="0"/>
                <w:numId w:val="8"/>
              </w:numPr>
              <w:tabs>
                <w:tab w:val="clear" w:pos="794"/>
                <w:tab w:val="clear" w:pos="1191"/>
                <w:tab w:val="clear" w:pos="1588"/>
                <w:tab w:val="clear" w:pos="1985"/>
              </w:tabs>
              <w:overflowPunct/>
              <w:autoSpaceDE/>
              <w:autoSpaceDN/>
              <w:adjustRightInd/>
              <w:spacing w:before="0"/>
              <w:ind w:left="714" w:hanging="357"/>
              <w:textAlignment w:val="auto"/>
              <w:rPr>
                <w:bCs/>
                <w:sz w:val="22"/>
                <w:szCs w:val="22"/>
              </w:rPr>
            </w:pPr>
            <w:r w:rsidRPr="001E1B8B">
              <w:rPr>
                <w:bCs/>
                <w:color w:val="000000"/>
                <w:sz w:val="22"/>
                <w:szCs w:val="22"/>
              </w:rPr>
              <w:t>Assistance in developing methodologies for establishing national tables of frequency allocations and spectrum redeployment</w:t>
            </w:r>
            <w:r w:rsidR="00A943C4" w:rsidRPr="001E1B8B">
              <w:rPr>
                <w:bCs/>
                <w:color w:val="000000"/>
                <w:sz w:val="22"/>
                <w:szCs w:val="22"/>
              </w:rPr>
              <w:t>.</w:t>
            </w:r>
          </w:p>
        </w:tc>
        <w:tc>
          <w:tcPr>
            <w:tcW w:w="1700" w:type="dxa"/>
          </w:tcPr>
          <w:p w14:paraId="1EB0B9F4" w14:textId="77777777" w:rsidR="006711CA" w:rsidRPr="001E1B8B" w:rsidRDefault="006711CA" w:rsidP="006711CA">
            <w:pPr>
              <w:jc w:val="center"/>
              <w:rPr>
                <w:sz w:val="22"/>
                <w:szCs w:val="22"/>
              </w:rPr>
            </w:pPr>
            <w:r w:rsidRPr="001E1B8B">
              <w:rPr>
                <w:sz w:val="22"/>
                <w:szCs w:val="22"/>
              </w:rPr>
              <w:t>10</w:t>
            </w:r>
          </w:p>
        </w:tc>
      </w:tr>
      <w:tr w:rsidR="006711CA" w:rsidRPr="001E1B8B" w14:paraId="2B479FEF" w14:textId="77777777" w:rsidTr="0054502F">
        <w:tc>
          <w:tcPr>
            <w:tcW w:w="7650" w:type="dxa"/>
          </w:tcPr>
          <w:p w14:paraId="676D62A6" w14:textId="13058B32" w:rsidR="006711CA" w:rsidRPr="001E1B8B" w:rsidRDefault="006711CA" w:rsidP="00776763">
            <w:pPr>
              <w:numPr>
                <w:ilvl w:val="0"/>
                <w:numId w:val="8"/>
              </w:numPr>
              <w:tabs>
                <w:tab w:val="clear" w:pos="794"/>
                <w:tab w:val="clear" w:pos="1191"/>
                <w:tab w:val="clear" w:pos="1588"/>
                <w:tab w:val="clear" w:pos="1985"/>
              </w:tabs>
              <w:overflowPunct/>
              <w:autoSpaceDE/>
              <w:autoSpaceDN/>
              <w:adjustRightInd/>
              <w:spacing w:before="0"/>
              <w:ind w:left="714" w:hanging="357"/>
              <w:textAlignment w:val="auto"/>
              <w:rPr>
                <w:bCs/>
                <w:sz w:val="22"/>
                <w:szCs w:val="22"/>
              </w:rPr>
            </w:pPr>
            <w:r w:rsidRPr="001E1B8B">
              <w:rPr>
                <w:bCs/>
                <w:color w:val="000000"/>
                <w:sz w:val="22"/>
                <w:szCs w:val="22"/>
              </w:rPr>
              <w:t>Assistance in setting up computerized frequency management and monitoring systems</w:t>
            </w:r>
            <w:r w:rsidR="00A943C4" w:rsidRPr="001E1B8B">
              <w:rPr>
                <w:bCs/>
                <w:color w:val="000000"/>
                <w:sz w:val="22"/>
                <w:szCs w:val="22"/>
              </w:rPr>
              <w:t>.</w:t>
            </w:r>
          </w:p>
        </w:tc>
        <w:tc>
          <w:tcPr>
            <w:tcW w:w="1700" w:type="dxa"/>
          </w:tcPr>
          <w:p w14:paraId="6A6E79E8" w14:textId="77777777" w:rsidR="006711CA" w:rsidRPr="001E1B8B" w:rsidRDefault="006711CA" w:rsidP="006711CA">
            <w:pPr>
              <w:jc w:val="center"/>
              <w:rPr>
                <w:sz w:val="22"/>
                <w:szCs w:val="22"/>
              </w:rPr>
            </w:pPr>
            <w:r w:rsidRPr="001E1B8B">
              <w:rPr>
                <w:sz w:val="22"/>
                <w:szCs w:val="22"/>
              </w:rPr>
              <w:t>8</w:t>
            </w:r>
          </w:p>
        </w:tc>
      </w:tr>
      <w:tr w:rsidR="006711CA" w:rsidRPr="001E1B8B" w14:paraId="0409E5E2" w14:textId="77777777" w:rsidTr="0054502F">
        <w:tc>
          <w:tcPr>
            <w:tcW w:w="7650" w:type="dxa"/>
          </w:tcPr>
          <w:p w14:paraId="75CF67D1" w14:textId="56B9B68F" w:rsidR="006711CA" w:rsidRPr="00AE256A" w:rsidRDefault="006711CA" w:rsidP="00776763">
            <w:pPr>
              <w:numPr>
                <w:ilvl w:val="0"/>
                <w:numId w:val="8"/>
              </w:numPr>
              <w:tabs>
                <w:tab w:val="clear" w:pos="794"/>
                <w:tab w:val="clear" w:pos="1191"/>
                <w:tab w:val="clear" w:pos="1588"/>
                <w:tab w:val="clear" w:pos="1985"/>
              </w:tabs>
              <w:overflowPunct/>
              <w:autoSpaceDE/>
              <w:autoSpaceDN/>
              <w:adjustRightInd/>
              <w:spacing w:before="0"/>
              <w:ind w:left="714" w:hanging="357"/>
              <w:textAlignment w:val="auto"/>
              <w:rPr>
                <w:bCs/>
                <w:sz w:val="22"/>
                <w:szCs w:val="22"/>
              </w:rPr>
            </w:pPr>
            <w:r w:rsidRPr="00AE256A">
              <w:rPr>
                <w:bCs/>
                <w:color w:val="000000"/>
                <w:sz w:val="22"/>
                <w:szCs w:val="22"/>
              </w:rPr>
              <w:t>Economic and financial aspects of spectrum management</w:t>
            </w:r>
            <w:r w:rsidR="00A943C4" w:rsidRPr="00AE256A">
              <w:rPr>
                <w:bCs/>
                <w:color w:val="000000"/>
                <w:sz w:val="22"/>
                <w:szCs w:val="22"/>
              </w:rPr>
              <w:t>.</w:t>
            </w:r>
          </w:p>
        </w:tc>
        <w:tc>
          <w:tcPr>
            <w:tcW w:w="1700" w:type="dxa"/>
          </w:tcPr>
          <w:p w14:paraId="30CEAE85" w14:textId="77777777" w:rsidR="006711CA" w:rsidRPr="001E1B8B" w:rsidRDefault="006711CA" w:rsidP="006711CA">
            <w:pPr>
              <w:jc w:val="center"/>
              <w:rPr>
                <w:sz w:val="22"/>
                <w:szCs w:val="22"/>
              </w:rPr>
            </w:pPr>
            <w:r w:rsidRPr="001E1B8B">
              <w:rPr>
                <w:sz w:val="22"/>
                <w:szCs w:val="22"/>
              </w:rPr>
              <w:t>12</w:t>
            </w:r>
          </w:p>
        </w:tc>
      </w:tr>
      <w:tr w:rsidR="006711CA" w:rsidRPr="001E1B8B" w14:paraId="6750F0AF" w14:textId="77777777" w:rsidTr="0054502F">
        <w:tc>
          <w:tcPr>
            <w:tcW w:w="7650" w:type="dxa"/>
          </w:tcPr>
          <w:p w14:paraId="0AC4C01C" w14:textId="2D9D6B09" w:rsidR="006711CA" w:rsidRPr="00AE256A" w:rsidRDefault="006711CA" w:rsidP="00776763">
            <w:pPr>
              <w:numPr>
                <w:ilvl w:val="0"/>
                <w:numId w:val="8"/>
              </w:numPr>
              <w:tabs>
                <w:tab w:val="clear" w:pos="794"/>
                <w:tab w:val="clear" w:pos="1191"/>
                <w:tab w:val="clear" w:pos="1588"/>
                <w:tab w:val="clear" w:pos="1985"/>
              </w:tabs>
              <w:overflowPunct/>
              <w:autoSpaceDE/>
              <w:autoSpaceDN/>
              <w:adjustRightInd/>
              <w:spacing w:before="0"/>
              <w:ind w:left="714" w:hanging="357"/>
              <w:textAlignment w:val="auto"/>
              <w:rPr>
                <w:bCs/>
                <w:sz w:val="22"/>
                <w:szCs w:val="22"/>
              </w:rPr>
            </w:pPr>
            <w:r w:rsidRPr="00AE256A">
              <w:rPr>
                <w:bCs/>
                <w:color w:val="000000"/>
                <w:sz w:val="22"/>
                <w:szCs w:val="22"/>
              </w:rPr>
              <w:t>Assistance with preparations for world radiocommunication conferences (WRC) and with follow-up and implementation of WRC decisions</w:t>
            </w:r>
            <w:r w:rsidR="00A943C4" w:rsidRPr="00AE256A">
              <w:rPr>
                <w:bCs/>
                <w:color w:val="000000"/>
                <w:sz w:val="22"/>
                <w:szCs w:val="22"/>
              </w:rPr>
              <w:t>.</w:t>
            </w:r>
          </w:p>
        </w:tc>
        <w:tc>
          <w:tcPr>
            <w:tcW w:w="1700" w:type="dxa"/>
          </w:tcPr>
          <w:p w14:paraId="390A9DB5" w14:textId="77777777" w:rsidR="006711CA" w:rsidRPr="001E1B8B" w:rsidRDefault="006711CA" w:rsidP="006711CA">
            <w:pPr>
              <w:jc w:val="center"/>
              <w:rPr>
                <w:sz w:val="22"/>
                <w:szCs w:val="22"/>
              </w:rPr>
            </w:pPr>
            <w:r w:rsidRPr="001E1B8B">
              <w:rPr>
                <w:sz w:val="22"/>
                <w:szCs w:val="22"/>
              </w:rPr>
              <w:t>18</w:t>
            </w:r>
          </w:p>
        </w:tc>
      </w:tr>
      <w:tr w:rsidR="006711CA" w:rsidRPr="001E1B8B" w14:paraId="53D2281B" w14:textId="77777777" w:rsidTr="0054502F">
        <w:tc>
          <w:tcPr>
            <w:tcW w:w="7650" w:type="dxa"/>
          </w:tcPr>
          <w:p w14:paraId="272E51CD" w14:textId="0B1FFF01" w:rsidR="006711CA" w:rsidRPr="00AE256A" w:rsidRDefault="006711CA" w:rsidP="00776763">
            <w:pPr>
              <w:numPr>
                <w:ilvl w:val="0"/>
                <w:numId w:val="8"/>
              </w:numPr>
              <w:tabs>
                <w:tab w:val="clear" w:pos="794"/>
                <w:tab w:val="clear" w:pos="1191"/>
                <w:tab w:val="clear" w:pos="1588"/>
                <w:tab w:val="clear" w:pos="1985"/>
              </w:tabs>
              <w:overflowPunct/>
              <w:autoSpaceDE/>
              <w:autoSpaceDN/>
              <w:adjustRightInd/>
              <w:spacing w:before="0"/>
              <w:ind w:left="714" w:hanging="357"/>
              <w:textAlignment w:val="auto"/>
              <w:rPr>
                <w:bCs/>
                <w:sz w:val="22"/>
                <w:szCs w:val="22"/>
              </w:rPr>
            </w:pPr>
            <w:r w:rsidRPr="00AE256A">
              <w:rPr>
                <w:bCs/>
                <w:color w:val="000000"/>
                <w:sz w:val="22"/>
                <w:szCs w:val="22"/>
              </w:rPr>
              <w:t>Assistance with participation in the work of the relevant ITU-R study groups and their working parties</w:t>
            </w:r>
            <w:r w:rsidR="00A943C4" w:rsidRPr="00AE256A">
              <w:rPr>
                <w:bCs/>
                <w:color w:val="000000"/>
                <w:sz w:val="22"/>
                <w:szCs w:val="22"/>
              </w:rPr>
              <w:t>.</w:t>
            </w:r>
          </w:p>
        </w:tc>
        <w:tc>
          <w:tcPr>
            <w:tcW w:w="1700" w:type="dxa"/>
          </w:tcPr>
          <w:p w14:paraId="3704F25A" w14:textId="77777777" w:rsidR="006711CA" w:rsidRPr="001E1B8B" w:rsidRDefault="006711CA" w:rsidP="006711CA">
            <w:pPr>
              <w:jc w:val="center"/>
              <w:rPr>
                <w:sz w:val="22"/>
                <w:szCs w:val="22"/>
              </w:rPr>
            </w:pPr>
            <w:r w:rsidRPr="001E1B8B">
              <w:rPr>
                <w:sz w:val="22"/>
                <w:szCs w:val="22"/>
              </w:rPr>
              <w:t>5</w:t>
            </w:r>
          </w:p>
        </w:tc>
      </w:tr>
      <w:tr w:rsidR="006711CA" w:rsidRPr="001E1B8B" w14:paraId="2570642D" w14:textId="77777777" w:rsidTr="0054502F">
        <w:tc>
          <w:tcPr>
            <w:tcW w:w="7650" w:type="dxa"/>
          </w:tcPr>
          <w:p w14:paraId="4059839A" w14:textId="65868ED2" w:rsidR="006711CA" w:rsidRPr="00AE256A" w:rsidRDefault="006711CA" w:rsidP="00776763">
            <w:pPr>
              <w:numPr>
                <w:ilvl w:val="0"/>
                <w:numId w:val="8"/>
              </w:numPr>
              <w:tabs>
                <w:tab w:val="clear" w:pos="794"/>
                <w:tab w:val="clear" w:pos="1191"/>
                <w:tab w:val="clear" w:pos="1588"/>
                <w:tab w:val="clear" w:pos="1985"/>
              </w:tabs>
              <w:overflowPunct/>
              <w:autoSpaceDE/>
              <w:autoSpaceDN/>
              <w:adjustRightInd/>
              <w:spacing w:before="0"/>
              <w:ind w:left="714" w:hanging="357"/>
              <w:textAlignment w:val="auto"/>
              <w:rPr>
                <w:bCs/>
                <w:sz w:val="22"/>
                <w:szCs w:val="22"/>
              </w:rPr>
            </w:pPr>
            <w:r w:rsidRPr="00AE256A">
              <w:rPr>
                <w:bCs/>
                <w:color w:val="000000"/>
                <w:sz w:val="22"/>
                <w:szCs w:val="22"/>
              </w:rPr>
              <w:t>Transition to digital terrestrial television broadcasting</w:t>
            </w:r>
            <w:r w:rsidR="00A943C4" w:rsidRPr="00AE256A">
              <w:rPr>
                <w:bCs/>
                <w:color w:val="000000"/>
                <w:sz w:val="22"/>
                <w:szCs w:val="22"/>
              </w:rPr>
              <w:t>.</w:t>
            </w:r>
          </w:p>
        </w:tc>
        <w:tc>
          <w:tcPr>
            <w:tcW w:w="1700" w:type="dxa"/>
          </w:tcPr>
          <w:p w14:paraId="451A8516" w14:textId="77777777" w:rsidR="006711CA" w:rsidRPr="001E1B8B" w:rsidRDefault="006711CA" w:rsidP="006711CA">
            <w:pPr>
              <w:jc w:val="center"/>
              <w:rPr>
                <w:sz w:val="22"/>
                <w:szCs w:val="22"/>
              </w:rPr>
            </w:pPr>
            <w:r w:rsidRPr="001E1B8B">
              <w:rPr>
                <w:sz w:val="22"/>
                <w:szCs w:val="22"/>
              </w:rPr>
              <w:t>12</w:t>
            </w:r>
          </w:p>
        </w:tc>
      </w:tr>
      <w:tr w:rsidR="006711CA" w:rsidRPr="001E1B8B" w14:paraId="268AF346" w14:textId="77777777" w:rsidTr="0054502F">
        <w:tc>
          <w:tcPr>
            <w:tcW w:w="7650" w:type="dxa"/>
          </w:tcPr>
          <w:p w14:paraId="63BFDB40" w14:textId="7621F6BC" w:rsidR="006711CA" w:rsidRPr="00AE256A" w:rsidRDefault="006711CA" w:rsidP="00776763">
            <w:pPr>
              <w:numPr>
                <w:ilvl w:val="0"/>
                <w:numId w:val="8"/>
              </w:numPr>
              <w:tabs>
                <w:tab w:val="clear" w:pos="794"/>
                <w:tab w:val="clear" w:pos="1191"/>
                <w:tab w:val="clear" w:pos="1588"/>
                <w:tab w:val="clear" w:pos="1985"/>
              </w:tabs>
              <w:overflowPunct/>
              <w:autoSpaceDE/>
              <w:autoSpaceDN/>
              <w:adjustRightInd/>
              <w:spacing w:before="0"/>
              <w:ind w:left="714" w:hanging="357"/>
              <w:textAlignment w:val="auto"/>
              <w:rPr>
                <w:bCs/>
                <w:sz w:val="22"/>
                <w:szCs w:val="22"/>
              </w:rPr>
            </w:pPr>
            <w:r w:rsidRPr="00AE256A">
              <w:rPr>
                <w:bCs/>
                <w:sz w:val="22"/>
                <w:szCs w:val="22"/>
              </w:rPr>
              <w:t xml:space="preserve"> </w:t>
            </w:r>
            <w:r w:rsidRPr="00AE256A">
              <w:rPr>
                <w:bCs/>
                <w:color w:val="000000"/>
                <w:sz w:val="22"/>
                <w:szCs w:val="22"/>
              </w:rPr>
              <w:t>Assistance in identifying the most efficient ways to utilize the digital dividend</w:t>
            </w:r>
            <w:r w:rsidR="00A943C4" w:rsidRPr="00AE256A">
              <w:rPr>
                <w:bCs/>
                <w:color w:val="000000"/>
                <w:sz w:val="22"/>
                <w:szCs w:val="22"/>
              </w:rPr>
              <w:t>.</w:t>
            </w:r>
          </w:p>
        </w:tc>
        <w:tc>
          <w:tcPr>
            <w:tcW w:w="1700" w:type="dxa"/>
          </w:tcPr>
          <w:p w14:paraId="524B1C56" w14:textId="77777777" w:rsidR="006711CA" w:rsidRPr="001E1B8B" w:rsidRDefault="006711CA" w:rsidP="006711CA">
            <w:pPr>
              <w:jc w:val="center"/>
              <w:rPr>
                <w:sz w:val="22"/>
                <w:szCs w:val="22"/>
              </w:rPr>
            </w:pPr>
            <w:r w:rsidRPr="001E1B8B">
              <w:rPr>
                <w:sz w:val="22"/>
                <w:szCs w:val="22"/>
              </w:rPr>
              <w:t>8</w:t>
            </w:r>
          </w:p>
        </w:tc>
      </w:tr>
      <w:tr w:rsidR="006711CA" w:rsidRPr="001E1B8B" w14:paraId="75D5CC95" w14:textId="77777777" w:rsidTr="0054502F">
        <w:tc>
          <w:tcPr>
            <w:tcW w:w="7650" w:type="dxa"/>
          </w:tcPr>
          <w:p w14:paraId="3BA38AB7" w14:textId="10039272" w:rsidR="006711CA" w:rsidRPr="001E1B8B" w:rsidRDefault="006711CA" w:rsidP="00776763">
            <w:pPr>
              <w:numPr>
                <w:ilvl w:val="0"/>
                <w:numId w:val="8"/>
              </w:numPr>
              <w:tabs>
                <w:tab w:val="clear" w:pos="794"/>
                <w:tab w:val="clear" w:pos="1191"/>
                <w:tab w:val="clear" w:pos="1588"/>
                <w:tab w:val="clear" w:pos="1985"/>
              </w:tabs>
              <w:overflowPunct/>
              <w:autoSpaceDE/>
              <w:autoSpaceDN/>
              <w:adjustRightInd/>
              <w:spacing w:before="0"/>
              <w:ind w:left="714" w:hanging="357"/>
              <w:textAlignment w:val="auto"/>
              <w:rPr>
                <w:bCs/>
                <w:sz w:val="22"/>
                <w:szCs w:val="22"/>
              </w:rPr>
            </w:pPr>
            <w:r w:rsidRPr="001E1B8B">
              <w:rPr>
                <w:bCs/>
                <w:sz w:val="22"/>
                <w:szCs w:val="22"/>
              </w:rPr>
              <w:t xml:space="preserve"> </w:t>
            </w:r>
            <w:r w:rsidRPr="001E1B8B">
              <w:rPr>
                <w:bCs/>
                <w:color w:val="000000"/>
                <w:sz w:val="22"/>
                <w:szCs w:val="22"/>
              </w:rPr>
              <w:t>Emerging technologies and approaches in using spectrum</w:t>
            </w:r>
            <w:r w:rsidR="00A943C4" w:rsidRPr="001E1B8B">
              <w:rPr>
                <w:bCs/>
                <w:color w:val="000000"/>
                <w:sz w:val="22"/>
                <w:szCs w:val="22"/>
              </w:rPr>
              <w:t>.</w:t>
            </w:r>
          </w:p>
        </w:tc>
        <w:tc>
          <w:tcPr>
            <w:tcW w:w="1700" w:type="dxa"/>
          </w:tcPr>
          <w:p w14:paraId="0C0D507F" w14:textId="77777777" w:rsidR="006711CA" w:rsidRPr="001E1B8B" w:rsidRDefault="006711CA" w:rsidP="006711CA">
            <w:pPr>
              <w:jc w:val="center"/>
              <w:rPr>
                <w:sz w:val="22"/>
                <w:szCs w:val="22"/>
              </w:rPr>
            </w:pPr>
            <w:r w:rsidRPr="001E1B8B">
              <w:rPr>
                <w:sz w:val="22"/>
                <w:szCs w:val="22"/>
              </w:rPr>
              <w:t>17</w:t>
            </w:r>
          </w:p>
        </w:tc>
      </w:tr>
      <w:tr w:rsidR="006711CA" w:rsidRPr="001E1B8B" w14:paraId="03B6D02D" w14:textId="77777777" w:rsidTr="0054502F">
        <w:tc>
          <w:tcPr>
            <w:tcW w:w="7650" w:type="dxa"/>
          </w:tcPr>
          <w:p w14:paraId="26167607" w14:textId="7415D489" w:rsidR="006711CA" w:rsidRPr="001E1B8B" w:rsidRDefault="006711CA" w:rsidP="00776763">
            <w:pPr>
              <w:numPr>
                <w:ilvl w:val="0"/>
                <w:numId w:val="8"/>
              </w:numPr>
              <w:tabs>
                <w:tab w:val="clear" w:pos="794"/>
                <w:tab w:val="clear" w:pos="1191"/>
                <w:tab w:val="clear" w:pos="1588"/>
                <w:tab w:val="clear" w:pos="1985"/>
              </w:tabs>
              <w:overflowPunct/>
              <w:autoSpaceDE/>
              <w:autoSpaceDN/>
              <w:adjustRightInd/>
              <w:spacing w:before="0"/>
              <w:ind w:left="714" w:hanging="357"/>
              <w:textAlignment w:val="auto"/>
              <w:rPr>
                <w:bCs/>
                <w:sz w:val="22"/>
                <w:szCs w:val="22"/>
              </w:rPr>
            </w:pPr>
            <w:r w:rsidRPr="001E1B8B">
              <w:rPr>
                <w:bCs/>
                <w:sz w:val="22"/>
                <w:szCs w:val="22"/>
              </w:rPr>
              <w:t xml:space="preserve"> </w:t>
            </w:r>
            <w:r w:rsidRPr="001E1B8B">
              <w:rPr>
                <w:bCs/>
                <w:color w:val="000000"/>
                <w:sz w:val="22"/>
                <w:szCs w:val="22"/>
              </w:rPr>
              <w:t>Innovative ways of spectrum licensing</w:t>
            </w:r>
            <w:r w:rsidR="00A943C4" w:rsidRPr="001E1B8B">
              <w:rPr>
                <w:bCs/>
                <w:color w:val="000000"/>
                <w:sz w:val="22"/>
                <w:szCs w:val="22"/>
              </w:rPr>
              <w:t>.</w:t>
            </w:r>
          </w:p>
        </w:tc>
        <w:tc>
          <w:tcPr>
            <w:tcW w:w="1700" w:type="dxa"/>
          </w:tcPr>
          <w:p w14:paraId="46BAB4CC" w14:textId="77777777" w:rsidR="006711CA" w:rsidRPr="001E1B8B" w:rsidRDefault="006711CA" w:rsidP="006711CA">
            <w:pPr>
              <w:jc w:val="center"/>
              <w:rPr>
                <w:sz w:val="22"/>
                <w:szCs w:val="22"/>
              </w:rPr>
            </w:pPr>
            <w:r w:rsidRPr="001E1B8B">
              <w:rPr>
                <w:sz w:val="22"/>
                <w:szCs w:val="22"/>
              </w:rPr>
              <w:t>7</w:t>
            </w:r>
          </w:p>
        </w:tc>
      </w:tr>
      <w:tr w:rsidR="006711CA" w:rsidRPr="001E1B8B" w14:paraId="0E6313F5" w14:textId="77777777" w:rsidTr="0054502F">
        <w:tc>
          <w:tcPr>
            <w:tcW w:w="7650" w:type="dxa"/>
          </w:tcPr>
          <w:p w14:paraId="175D0E90" w14:textId="048783A9" w:rsidR="006711CA" w:rsidRPr="001E1B8B" w:rsidRDefault="006711CA" w:rsidP="00776763">
            <w:pPr>
              <w:numPr>
                <w:ilvl w:val="0"/>
                <w:numId w:val="8"/>
              </w:numPr>
              <w:tabs>
                <w:tab w:val="clear" w:pos="794"/>
                <w:tab w:val="clear" w:pos="1191"/>
                <w:tab w:val="clear" w:pos="1588"/>
                <w:tab w:val="clear" w:pos="1985"/>
              </w:tabs>
              <w:overflowPunct/>
              <w:autoSpaceDE/>
              <w:autoSpaceDN/>
              <w:adjustRightInd/>
              <w:spacing w:before="0"/>
              <w:ind w:left="714" w:hanging="357"/>
              <w:textAlignment w:val="auto"/>
              <w:rPr>
                <w:bCs/>
                <w:sz w:val="22"/>
                <w:szCs w:val="22"/>
              </w:rPr>
            </w:pPr>
            <w:r w:rsidRPr="001E1B8B">
              <w:rPr>
                <w:bCs/>
                <w:sz w:val="22"/>
                <w:szCs w:val="22"/>
              </w:rPr>
              <w:t xml:space="preserve"> </w:t>
            </w:r>
            <w:r w:rsidRPr="001E1B8B">
              <w:rPr>
                <w:bCs/>
                <w:color w:val="000000"/>
                <w:sz w:val="22"/>
                <w:szCs w:val="22"/>
              </w:rPr>
              <w:t>Assistance with interference caused by devices in derogation of national spectrum allocations</w:t>
            </w:r>
            <w:r w:rsidR="00A943C4" w:rsidRPr="001E1B8B">
              <w:rPr>
                <w:bCs/>
                <w:color w:val="000000"/>
                <w:sz w:val="22"/>
                <w:szCs w:val="22"/>
              </w:rPr>
              <w:t>.</w:t>
            </w:r>
          </w:p>
        </w:tc>
        <w:tc>
          <w:tcPr>
            <w:tcW w:w="1700" w:type="dxa"/>
          </w:tcPr>
          <w:p w14:paraId="68047756" w14:textId="77777777" w:rsidR="006711CA" w:rsidRPr="001E1B8B" w:rsidRDefault="006711CA" w:rsidP="006711CA">
            <w:pPr>
              <w:jc w:val="center"/>
              <w:rPr>
                <w:sz w:val="22"/>
                <w:szCs w:val="22"/>
              </w:rPr>
            </w:pPr>
            <w:r w:rsidRPr="001E1B8B">
              <w:rPr>
                <w:sz w:val="22"/>
                <w:szCs w:val="22"/>
              </w:rPr>
              <w:t>2</w:t>
            </w:r>
          </w:p>
        </w:tc>
      </w:tr>
      <w:tr w:rsidR="006711CA" w:rsidRPr="001E1B8B" w14:paraId="30200771" w14:textId="77777777" w:rsidTr="0054502F">
        <w:tc>
          <w:tcPr>
            <w:tcW w:w="7650" w:type="dxa"/>
          </w:tcPr>
          <w:p w14:paraId="0A015F32" w14:textId="1DE9C62B" w:rsidR="006711CA" w:rsidRPr="001E1B8B" w:rsidRDefault="006711CA" w:rsidP="00776763">
            <w:pPr>
              <w:numPr>
                <w:ilvl w:val="0"/>
                <w:numId w:val="8"/>
              </w:numPr>
              <w:tabs>
                <w:tab w:val="clear" w:pos="794"/>
                <w:tab w:val="clear" w:pos="1191"/>
                <w:tab w:val="clear" w:pos="1588"/>
                <w:tab w:val="clear" w:pos="1985"/>
              </w:tabs>
              <w:overflowPunct/>
              <w:autoSpaceDE/>
              <w:autoSpaceDN/>
              <w:adjustRightInd/>
              <w:spacing w:before="0"/>
              <w:ind w:left="714" w:hanging="357"/>
              <w:textAlignment w:val="auto"/>
              <w:rPr>
                <w:bCs/>
                <w:sz w:val="22"/>
                <w:szCs w:val="22"/>
              </w:rPr>
            </w:pPr>
            <w:r w:rsidRPr="001E1B8B">
              <w:rPr>
                <w:bCs/>
                <w:sz w:val="22"/>
                <w:szCs w:val="22"/>
              </w:rPr>
              <w:t xml:space="preserve"> </w:t>
            </w:r>
            <w:r w:rsidRPr="001E1B8B">
              <w:rPr>
                <w:bCs/>
                <w:color w:val="000000"/>
                <w:sz w:val="22"/>
                <w:szCs w:val="22"/>
              </w:rPr>
              <w:t xml:space="preserve">Assistance in resolving seasonal interference caused by anomalous propagation of </w:t>
            </w:r>
            <w:r w:rsidR="00730D85" w:rsidRPr="001E1B8B">
              <w:rPr>
                <w:bCs/>
                <w:color w:val="000000"/>
                <w:sz w:val="22"/>
                <w:szCs w:val="22"/>
              </w:rPr>
              <w:t>radio waves</w:t>
            </w:r>
            <w:r w:rsidR="00A943C4" w:rsidRPr="001E1B8B">
              <w:rPr>
                <w:bCs/>
                <w:color w:val="000000"/>
                <w:sz w:val="22"/>
                <w:szCs w:val="22"/>
              </w:rPr>
              <w:t>.</w:t>
            </w:r>
          </w:p>
        </w:tc>
        <w:tc>
          <w:tcPr>
            <w:tcW w:w="1700" w:type="dxa"/>
          </w:tcPr>
          <w:p w14:paraId="71ADB5B0" w14:textId="77777777" w:rsidR="006711CA" w:rsidRPr="001E1B8B" w:rsidRDefault="006711CA" w:rsidP="006711CA">
            <w:pPr>
              <w:jc w:val="center"/>
              <w:rPr>
                <w:sz w:val="22"/>
                <w:szCs w:val="22"/>
              </w:rPr>
            </w:pPr>
            <w:r w:rsidRPr="001E1B8B">
              <w:rPr>
                <w:sz w:val="22"/>
                <w:szCs w:val="22"/>
              </w:rPr>
              <w:t>0</w:t>
            </w:r>
          </w:p>
        </w:tc>
      </w:tr>
      <w:tr w:rsidR="006711CA" w:rsidRPr="001E1B8B" w14:paraId="761E8BC0" w14:textId="77777777" w:rsidTr="0054502F">
        <w:tc>
          <w:tcPr>
            <w:tcW w:w="7650" w:type="dxa"/>
          </w:tcPr>
          <w:p w14:paraId="57CA401C" w14:textId="71D75E83" w:rsidR="006711CA" w:rsidRPr="001E1B8B" w:rsidRDefault="006711CA" w:rsidP="006711CA">
            <w:pPr>
              <w:keepNext/>
              <w:keepLines/>
              <w:numPr>
                <w:ilvl w:val="0"/>
                <w:numId w:val="8"/>
              </w:numPr>
              <w:tabs>
                <w:tab w:val="clear" w:pos="794"/>
                <w:tab w:val="clear" w:pos="1191"/>
                <w:tab w:val="clear" w:pos="1588"/>
                <w:tab w:val="clear" w:pos="1985"/>
              </w:tabs>
              <w:overflowPunct/>
              <w:autoSpaceDE/>
              <w:autoSpaceDN/>
              <w:adjustRightInd/>
              <w:spacing w:before="0"/>
              <w:textAlignment w:val="auto"/>
              <w:rPr>
                <w:bCs/>
                <w:sz w:val="22"/>
                <w:szCs w:val="22"/>
              </w:rPr>
            </w:pPr>
            <w:r w:rsidRPr="001E1B8B">
              <w:rPr>
                <w:bCs/>
                <w:sz w:val="22"/>
                <w:szCs w:val="22"/>
              </w:rPr>
              <w:t xml:space="preserve"> SMS4DC development and training</w:t>
            </w:r>
            <w:r w:rsidR="00A943C4" w:rsidRPr="001E1B8B">
              <w:rPr>
                <w:bCs/>
                <w:sz w:val="22"/>
                <w:szCs w:val="22"/>
              </w:rPr>
              <w:t>.</w:t>
            </w:r>
          </w:p>
        </w:tc>
        <w:tc>
          <w:tcPr>
            <w:tcW w:w="1700" w:type="dxa"/>
          </w:tcPr>
          <w:p w14:paraId="050A45A5" w14:textId="77777777" w:rsidR="006711CA" w:rsidRPr="001E1B8B" w:rsidRDefault="006711CA" w:rsidP="006711CA">
            <w:pPr>
              <w:jc w:val="center"/>
              <w:rPr>
                <w:sz w:val="22"/>
                <w:szCs w:val="22"/>
              </w:rPr>
            </w:pPr>
            <w:r w:rsidRPr="001E1B8B">
              <w:rPr>
                <w:sz w:val="22"/>
                <w:szCs w:val="22"/>
              </w:rPr>
              <w:t>7</w:t>
            </w:r>
          </w:p>
        </w:tc>
      </w:tr>
      <w:tr w:rsidR="006711CA" w:rsidRPr="001E1B8B" w14:paraId="78CA0FC7" w14:textId="77777777" w:rsidTr="0054502F">
        <w:tc>
          <w:tcPr>
            <w:tcW w:w="7650" w:type="dxa"/>
          </w:tcPr>
          <w:p w14:paraId="0CE44987" w14:textId="6E51B8F4" w:rsidR="006711CA" w:rsidRPr="001E1B8B" w:rsidRDefault="00A943C4" w:rsidP="00A943C4">
            <w:pPr>
              <w:rPr>
                <w:sz w:val="22"/>
                <w:szCs w:val="22"/>
              </w:rPr>
            </w:pPr>
            <w:r w:rsidRPr="001E1B8B">
              <w:rPr>
                <w:sz w:val="22"/>
                <w:szCs w:val="22"/>
              </w:rPr>
              <w:tab/>
            </w:r>
            <w:r w:rsidR="006711CA" w:rsidRPr="001E1B8B">
              <w:rPr>
                <w:sz w:val="22"/>
                <w:szCs w:val="22"/>
              </w:rPr>
              <w:t>Total</w:t>
            </w:r>
          </w:p>
        </w:tc>
        <w:tc>
          <w:tcPr>
            <w:tcW w:w="1700" w:type="dxa"/>
          </w:tcPr>
          <w:p w14:paraId="2CE56E6D" w14:textId="77777777" w:rsidR="006711CA" w:rsidRPr="001E1B8B" w:rsidRDefault="006711CA" w:rsidP="006711CA">
            <w:pPr>
              <w:jc w:val="center"/>
              <w:rPr>
                <w:sz w:val="22"/>
                <w:szCs w:val="22"/>
              </w:rPr>
            </w:pPr>
            <w:r w:rsidRPr="001E1B8B">
              <w:rPr>
                <w:sz w:val="22"/>
                <w:szCs w:val="22"/>
              </w:rPr>
              <w:t>147</w:t>
            </w:r>
          </w:p>
        </w:tc>
      </w:tr>
    </w:tbl>
    <w:p w14:paraId="7ACC50BB" w14:textId="23586ED4" w:rsidR="00557B8C" w:rsidRPr="001E1B8B" w:rsidRDefault="00557B8C" w:rsidP="00776763">
      <w:pPr>
        <w:keepNext/>
        <w:overflowPunct/>
        <w:autoSpaceDE/>
        <w:autoSpaceDN/>
        <w:adjustRightInd/>
      </w:pPr>
      <w:r w:rsidRPr="001E1B8B">
        <w:t>8.</w:t>
      </w:r>
      <w:r w:rsidR="00705DD6" w:rsidRPr="001E1B8B">
        <w:t>1</w:t>
      </w:r>
      <w:r w:rsidR="00BA656B" w:rsidRPr="001E1B8B">
        <w:t>0</w:t>
      </w:r>
      <w:r w:rsidRPr="001E1B8B">
        <w:t xml:space="preserve"> </w:t>
      </w:r>
      <w:r w:rsidR="001B7935" w:rsidRPr="001E1B8B">
        <w:tab/>
      </w:r>
      <w:r w:rsidRPr="001E1B8B">
        <w:rPr>
          <w:b/>
        </w:rPr>
        <w:t>B</w:t>
      </w:r>
      <w:r w:rsidR="00A943C4" w:rsidRPr="001E1B8B">
        <w:rPr>
          <w:b/>
        </w:rPr>
        <w:t>roadband wireless networks</w:t>
      </w:r>
    </w:p>
    <w:p w14:paraId="0B42177D" w14:textId="687D26DE" w:rsidR="00557B8C" w:rsidRPr="001E1B8B" w:rsidRDefault="00BA656B" w:rsidP="00557B8C">
      <w:pPr>
        <w:rPr>
          <w:rFonts w:ascii="Calibri" w:eastAsia="Calibri" w:hAnsi="Calibri" w:cs="Calibri"/>
        </w:rPr>
      </w:pPr>
      <w:r w:rsidRPr="001E1B8B">
        <w:rPr>
          <w:rFonts w:ascii="Calibri" w:eastAsia="Calibri" w:hAnsi="Calibri" w:cs="Calibri"/>
        </w:rPr>
        <w:t>In the</w:t>
      </w:r>
      <w:r w:rsidR="00557B8C" w:rsidRPr="001E1B8B">
        <w:rPr>
          <w:rFonts w:ascii="Calibri" w:eastAsia="Calibri" w:hAnsi="Calibri" w:cs="Calibri"/>
        </w:rPr>
        <w:t xml:space="preserve"> framework of the ITU/McCaw Foundatio</w:t>
      </w:r>
      <w:r w:rsidRPr="001E1B8B">
        <w:rPr>
          <w:rFonts w:ascii="Calibri" w:eastAsia="Calibri" w:hAnsi="Calibri" w:cs="Calibri"/>
        </w:rPr>
        <w:t>n project for Africa</w:t>
      </w:r>
      <w:r w:rsidR="00A943C4" w:rsidRPr="001E1B8B">
        <w:rPr>
          <w:rFonts w:ascii="Calibri" w:eastAsia="Calibri" w:hAnsi="Calibri" w:cs="Calibri"/>
        </w:rPr>
        <w:t xml:space="preserve"> region</w:t>
      </w:r>
      <w:r w:rsidRPr="001E1B8B">
        <w:rPr>
          <w:rFonts w:ascii="Calibri" w:eastAsia="Calibri" w:hAnsi="Calibri" w:cs="Calibri"/>
        </w:rPr>
        <w:t xml:space="preserve"> </w:t>
      </w:r>
      <w:r w:rsidR="00730D85" w:rsidRPr="001E1B8B">
        <w:rPr>
          <w:rFonts w:ascii="Calibri" w:eastAsia="Calibri" w:hAnsi="Calibri" w:cs="Calibri"/>
        </w:rPr>
        <w:t>countries, 14</w:t>
      </w:r>
      <w:r w:rsidR="00557B8C" w:rsidRPr="001E1B8B">
        <w:rPr>
          <w:rFonts w:ascii="Calibri" w:eastAsia="Calibri" w:hAnsi="Calibri" w:cs="Calibri"/>
        </w:rPr>
        <w:t xml:space="preserve"> schools</w:t>
      </w:r>
      <w:r w:rsidRPr="001E1B8B">
        <w:rPr>
          <w:rFonts w:ascii="Calibri" w:eastAsia="Calibri" w:hAnsi="Calibri" w:cs="Calibri"/>
        </w:rPr>
        <w:t xml:space="preserve"> in Burkina Faso were equipped</w:t>
      </w:r>
      <w:r w:rsidR="00557B8C" w:rsidRPr="001E1B8B">
        <w:rPr>
          <w:rFonts w:ascii="Calibri" w:eastAsia="Calibri" w:hAnsi="Calibri" w:cs="Calibri"/>
        </w:rPr>
        <w:t xml:space="preserve"> with computer networks, equipment</w:t>
      </w:r>
      <w:r w:rsidR="00A943C4" w:rsidRPr="001E1B8B">
        <w:rPr>
          <w:rFonts w:ascii="Calibri" w:eastAsia="Calibri" w:hAnsi="Calibri" w:cs="Calibri"/>
        </w:rPr>
        <w:t>,</w:t>
      </w:r>
      <w:r w:rsidR="00557B8C" w:rsidRPr="001E1B8B">
        <w:rPr>
          <w:rFonts w:ascii="Calibri" w:eastAsia="Calibri" w:hAnsi="Calibri" w:cs="Calibri"/>
        </w:rPr>
        <w:t xml:space="preserve"> and Internet connection to allow the introduction of e-</w:t>
      </w:r>
      <w:r w:rsidR="00A943C4" w:rsidRPr="001E1B8B">
        <w:rPr>
          <w:rFonts w:ascii="Calibri" w:eastAsia="Calibri" w:hAnsi="Calibri" w:cs="Calibri"/>
        </w:rPr>
        <w:t>e</w:t>
      </w:r>
      <w:r w:rsidR="00557B8C" w:rsidRPr="001E1B8B">
        <w:rPr>
          <w:rFonts w:ascii="Calibri" w:eastAsia="Calibri" w:hAnsi="Calibri" w:cs="Calibri"/>
        </w:rPr>
        <w:t xml:space="preserve">ducation in the education system. </w:t>
      </w:r>
    </w:p>
    <w:p w14:paraId="018BCC23" w14:textId="77777777" w:rsidR="00557B8C" w:rsidRPr="001E1B8B" w:rsidRDefault="00557B8C" w:rsidP="00557B8C">
      <w:pPr>
        <w:rPr>
          <w:rFonts w:cstheme="minorHAnsi"/>
          <w:color w:val="444444"/>
        </w:rPr>
      </w:pPr>
    </w:p>
    <w:tbl>
      <w:tblPr>
        <w:tblStyle w:val="TableGrid4"/>
        <w:tblW w:w="0" w:type="auto"/>
        <w:tblLook w:val="04A0" w:firstRow="1" w:lastRow="0" w:firstColumn="1" w:lastColumn="0" w:noHBand="0" w:noVBand="1"/>
      </w:tblPr>
      <w:tblGrid>
        <w:gridCol w:w="9629"/>
      </w:tblGrid>
      <w:tr w:rsidR="00557B8C" w:rsidRPr="001E1B8B" w14:paraId="40DEB7D3" w14:textId="77777777" w:rsidTr="0054502F">
        <w:tc>
          <w:tcPr>
            <w:tcW w:w="9629" w:type="dxa"/>
          </w:tcPr>
          <w:p w14:paraId="59B5093F" w14:textId="77777777" w:rsidR="00870BA0" w:rsidRPr="001E1B8B" w:rsidRDefault="00870BA0" w:rsidP="00870BA0">
            <w:pPr>
              <w:rPr>
                <w:b/>
              </w:rPr>
            </w:pPr>
            <w:r w:rsidRPr="001E1B8B">
              <w:rPr>
                <w:b/>
              </w:rPr>
              <w:t>REGIONAL INITIATIVES</w:t>
            </w:r>
          </w:p>
          <w:p w14:paraId="3C400FD3" w14:textId="10713098" w:rsidR="00557B8C" w:rsidRPr="001E1B8B" w:rsidRDefault="00CC140E" w:rsidP="00557B8C">
            <w:r w:rsidRPr="001E1B8B">
              <w:rPr>
                <w:rFonts w:ascii="Calibri" w:eastAsia="Calibri" w:hAnsi="Calibri" w:cs="Calibri"/>
              </w:rPr>
              <w:t>Africa</w:t>
            </w:r>
            <w:r w:rsidR="00557B8C" w:rsidRPr="001E1B8B">
              <w:rPr>
                <w:rFonts w:ascii="Calibri" w:eastAsia="Calibri" w:hAnsi="Calibri" w:cs="Calibri"/>
              </w:rPr>
              <w:t>:</w:t>
            </w:r>
            <w:r w:rsidR="00A943C4" w:rsidRPr="001E1B8B">
              <w:rPr>
                <w:rFonts w:ascii="Calibri" w:eastAsia="Calibri" w:hAnsi="Calibri" w:cs="Calibri"/>
              </w:rPr>
              <w:t xml:space="preserve"> </w:t>
            </w:r>
            <w:r w:rsidR="00557B8C" w:rsidRPr="001E1B8B">
              <w:rPr>
                <w:rFonts w:ascii="Calibri" w:eastAsia="Calibri" w:hAnsi="Calibri" w:cs="Calibri"/>
                <w:u w:val="single"/>
              </w:rPr>
              <w:t>Building digital economies and fostering innovation in Africa</w:t>
            </w:r>
          </w:p>
          <w:p w14:paraId="00ABF6BC" w14:textId="47795C88" w:rsidR="00557B8C" w:rsidRPr="001E1B8B" w:rsidRDefault="00557B8C" w:rsidP="00000112">
            <w:pPr>
              <w:pStyle w:val="ListParagraph"/>
              <w:numPr>
                <w:ilvl w:val="0"/>
                <w:numId w:val="29"/>
              </w:numPr>
              <w:ind w:left="357" w:hanging="357"/>
              <w:rPr>
                <w:rFonts w:ascii="Calibri" w:eastAsia="Calibri" w:hAnsi="Calibri" w:cs="Calibri"/>
              </w:rPr>
            </w:pPr>
            <w:r w:rsidRPr="001E1B8B">
              <w:rPr>
                <w:rFonts w:ascii="Calibri" w:eastAsia="Calibri" w:hAnsi="Calibri" w:cs="Calibri"/>
              </w:rPr>
              <w:t xml:space="preserve">The first ever </w:t>
            </w:r>
            <w:hyperlink r:id="rId63" w:history="1">
              <w:r w:rsidRPr="001E1B8B">
                <w:rPr>
                  <w:rStyle w:val="Hyperlink"/>
                  <w:rFonts w:ascii="Calibri" w:eastAsia="Calibri" w:hAnsi="Calibri" w:cs="Calibri"/>
                </w:rPr>
                <w:t>Global Refugee Forum</w:t>
              </w:r>
            </w:hyperlink>
            <w:r w:rsidRPr="001E1B8B">
              <w:rPr>
                <w:rFonts w:ascii="Calibri" w:eastAsia="Calibri" w:hAnsi="Calibri" w:cs="Calibri"/>
              </w:rPr>
              <w:t xml:space="preserve"> was held in Geneva in December</w:t>
            </w:r>
            <w:r w:rsidR="00CC140E" w:rsidRPr="001E1B8B">
              <w:rPr>
                <w:rFonts w:ascii="Calibri" w:eastAsia="Calibri" w:hAnsi="Calibri" w:cs="Calibri"/>
              </w:rPr>
              <w:t>.</w:t>
            </w:r>
            <w:r w:rsidRPr="001E1B8B">
              <w:rPr>
                <w:rFonts w:ascii="Calibri" w:eastAsia="Calibri" w:hAnsi="Calibri" w:cs="Calibri"/>
              </w:rPr>
              <w:t xml:space="preserve"> ITU, UNHCR and GSMA co-sponsored a session that explored </w:t>
            </w:r>
            <w:r w:rsidR="00A943C4" w:rsidRPr="001E1B8B">
              <w:rPr>
                <w:rFonts w:ascii="Calibri" w:eastAsia="Calibri" w:hAnsi="Calibri" w:cs="Calibri"/>
              </w:rPr>
              <w:t xml:space="preserve">the </w:t>
            </w:r>
            <w:r w:rsidRPr="001E1B8B">
              <w:rPr>
                <w:rFonts w:ascii="Calibri" w:eastAsia="Calibri" w:hAnsi="Calibri" w:cs="Calibri"/>
              </w:rPr>
              <w:t xml:space="preserve">challenges </w:t>
            </w:r>
            <w:r w:rsidR="00A943C4" w:rsidRPr="001E1B8B">
              <w:rPr>
                <w:rFonts w:ascii="Calibri" w:eastAsia="Calibri" w:hAnsi="Calibri" w:cs="Calibri"/>
              </w:rPr>
              <w:t>of</w:t>
            </w:r>
            <w:r w:rsidRPr="001E1B8B">
              <w:rPr>
                <w:rFonts w:ascii="Calibri" w:eastAsia="Calibri" w:hAnsi="Calibri" w:cs="Calibri"/>
              </w:rPr>
              <w:t xml:space="preserve"> delivering connectivity for refugees, displaced persons</w:t>
            </w:r>
            <w:r w:rsidR="00A943C4" w:rsidRPr="001E1B8B">
              <w:rPr>
                <w:rFonts w:ascii="Calibri" w:eastAsia="Calibri" w:hAnsi="Calibri" w:cs="Calibri"/>
              </w:rPr>
              <w:t>,</w:t>
            </w:r>
            <w:r w:rsidRPr="001E1B8B">
              <w:rPr>
                <w:rFonts w:ascii="Calibri" w:eastAsia="Calibri" w:hAnsi="Calibri" w:cs="Calibri"/>
              </w:rPr>
              <w:t xml:space="preserve"> and the communities that host them. The event was the culmination of close collaboration </w:t>
            </w:r>
            <w:r w:rsidR="00A943C4" w:rsidRPr="001E1B8B">
              <w:rPr>
                <w:rFonts w:ascii="Calibri" w:eastAsia="Calibri" w:hAnsi="Calibri" w:cs="Calibri"/>
              </w:rPr>
              <w:t>for</w:t>
            </w:r>
            <w:r w:rsidRPr="001E1B8B">
              <w:rPr>
                <w:rFonts w:ascii="Calibri" w:eastAsia="Calibri" w:hAnsi="Calibri" w:cs="Calibri"/>
              </w:rPr>
              <w:t xml:space="preserve"> future programme</w:t>
            </w:r>
            <w:r w:rsidR="00A943C4" w:rsidRPr="001E1B8B">
              <w:rPr>
                <w:rFonts w:ascii="Calibri" w:eastAsia="Calibri" w:hAnsi="Calibri" w:cs="Calibri"/>
              </w:rPr>
              <w:t>s</w:t>
            </w:r>
            <w:r w:rsidRPr="001E1B8B">
              <w:rPr>
                <w:rFonts w:ascii="Calibri" w:eastAsia="Calibri" w:hAnsi="Calibri" w:cs="Calibri"/>
              </w:rPr>
              <w:t xml:space="preserve"> and national projects on meaningful connectivity for refugees and their host communities in Africa. </w:t>
            </w:r>
          </w:p>
          <w:p w14:paraId="60253F0B" w14:textId="77777777" w:rsidR="0075692B" w:rsidRPr="001E1B8B" w:rsidRDefault="00CC140E" w:rsidP="0075692B">
            <w:pPr>
              <w:rPr>
                <w:rFonts w:ascii="Calibri" w:eastAsia="Calibri" w:hAnsi="Calibri" w:cs="Calibri"/>
              </w:rPr>
            </w:pPr>
            <w:r w:rsidRPr="001E1B8B">
              <w:rPr>
                <w:rFonts w:ascii="Calibri" w:eastAsia="Calibri" w:hAnsi="Calibri" w:cs="Calibri"/>
              </w:rPr>
              <w:t>Asia-Pacific</w:t>
            </w:r>
            <w:r w:rsidR="0075692B" w:rsidRPr="001E1B8B">
              <w:rPr>
                <w:rFonts w:ascii="Calibri" w:eastAsia="Calibri" w:hAnsi="Calibri" w:cs="Calibri"/>
              </w:rPr>
              <w:t xml:space="preserve">: </w:t>
            </w:r>
            <w:r w:rsidR="0075692B" w:rsidRPr="001E1B8B">
              <w:rPr>
                <w:rFonts w:ascii="Calibri" w:eastAsia="Calibri" w:hAnsi="Calibri" w:cs="Calibri"/>
                <w:u w:val="single"/>
              </w:rPr>
              <w:t>Fostering development of infrastructure to enhance digital connectivity</w:t>
            </w:r>
          </w:p>
          <w:p w14:paraId="0FF08468" w14:textId="26D4914A" w:rsidR="0075692B" w:rsidRPr="001E1B8B" w:rsidRDefault="0075692B" w:rsidP="00000112">
            <w:pPr>
              <w:pStyle w:val="ListParagraph"/>
              <w:numPr>
                <w:ilvl w:val="0"/>
                <w:numId w:val="29"/>
              </w:numPr>
              <w:ind w:left="357" w:hanging="357"/>
              <w:rPr>
                <w:rFonts w:ascii="Calibri" w:eastAsia="Calibri" w:hAnsi="Calibri" w:cs="Calibri"/>
              </w:rPr>
            </w:pPr>
            <w:r w:rsidRPr="001E1B8B">
              <w:rPr>
                <w:rFonts w:ascii="Calibri" w:eastAsia="Calibri" w:hAnsi="Calibri" w:cs="Calibri"/>
              </w:rPr>
              <w:t xml:space="preserve">As part of satellite connectivity project, ITU provided 35 Ku band satellite connectivity equipment to </w:t>
            </w:r>
            <w:r w:rsidR="00A943C4" w:rsidRPr="001E1B8B">
              <w:rPr>
                <w:rFonts w:ascii="Calibri" w:eastAsia="Calibri" w:hAnsi="Calibri" w:cs="Calibri"/>
              </w:rPr>
              <w:t>seven</w:t>
            </w:r>
            <w:r w:rsidRPr="001E1B8B">
              <w:rPr>
                <w:rFonts w:ascii="Calibri" w:eastAsia="Calibri" w:hAnsi="Calibri" w:cs="Calibri"/>
              </w:rPr>
              <w:t xml:space="preserve"> Pacific Islands countries (Fiji, Kiribati, </w:t>
            </w:r>
            <w:r w:rsidR="00A943C4" w:rsidRPr="001E1B8B">
              <w:rPr>
                <w:rFonts w:ascii="Calibri" w:eastAsia="Calibri" w:hAnsi="Calibri" w:cs="Calibri"/>
              </w:rPr>
              <w:t>Papua New Guinea</w:t>
            </w:r>
            <w:r w:rsidRPr="001E1B8B">
              <w:rPr>
                <w:rFonts w:ascii="Calibri" w:eastAsia="Calibri" w:hAnsi="Calibri" w:cs="Calibri"/>
              </w:rPr>
              <w:t xml:space="preserve">, </w:t>
            </w:r>
            <w:r w:rsidR="00A943C4" w:rsidRPr="001E1B8B">
              <w:rPr>
                <w:rFonts w:ascii="Calibri" w:eastAsia="Calibri" w:hAnsi="Calibri" w:cs="Calibri"/>
              </w:rPr>
              <w:t xml:space="preserve">Samoa, </w:t>
            </w:r>
            <w:r w:rsidRPr="001E1B8B">
              <w:rPr>
                <w:rFonts w:ascii="Calibri" w:eastAsia="Calibri" w:hAnsi="Calibri" w:cs="Calibri"/>
              </w:rPr>
              <w:t>Tonga</w:t>
            </w:r>
            <w:r w:rsidR="00A943C4" w:rsidRPr="001E1B8B">
              <w:rPr>
                <w:rFonts w:ascii="Calibri" w:eastAsia="Calibri" w:hAnsi="Calibri" w:cs="Calibri"/>
              </w:rPr>
              <w:t>,</w:t>
            </w:r>
            <w:r w:rsidRPr="001E1B8B">
              <w:rPr>
                <w:rFonts w:ascii="Calibri" w:eastAsia="Calibri" w:hAnsi="Calibri" w:cs="Calibri"/>
              </w:rPr>
              <w:t xml:space="preserve"> Tuvalu</w:t>
            </w:r>
            <w:r w:rsidR="00D6683D">
              <w:rPr>
                <w:rFonts w:ascii="Calibri" w:eastAsia="Calibri" w:hAnsi="Calibri" w:cs="Calibri"/>
              </w:rPr>
              <w:t>,</w:t>
            </w:r>
            <w:r w:rsidR="00D6683D" w:rsidRPr="001E1B8B">
              <w:rPr>
                <w:rFonts w:ascii="Calibri" w:eastAsia="Calibri" w:hAnsi="Calibri" w:cs="Calibri"/>
              </w:rPr>
              <w:t xml:space="preserve"> and Vanuatu</w:t>
            </w:r>
            <w:r w:rsidRPr="001E1B8B">
              <w:rPr>
                <w:rFonts w:ascii="Calibri" w:eastAsia="Calibri" w:hAnsi="Calibri" w:cs="Calibri"/>
              </w:rPr>
              <w:t xml:space="preserve">). </w:t>
            </w:r>
            <w:r w:rsidR="00CC140E" w:rsidRPr="001E1B8B">
              <w:rPr>
                <w:rFonts w:ascii="Calibri" w:eastAsia="Calibri" w:hAnsi="Calibri" w:cs="Calibri"/>
              </w:rPr>
              <w:t>The</w:t>
            </w:r>
            <w:r w:rsidRPr="001E1B8B">
              <w:rPr>
                <w:rFonts w:ascii="Calibri" w:eastAsia="Calibri" w:hAnsi="Calibri" w:cs="Calibri"/>
              </w:rPr>
              <w:t xml:space="preserve"> equipment </w:t>
            </w:r>
            <w:r w:rsidR="00CC140E" w:rsidRPr="001E1B8B">
              <w:rPr>
                <w:rFonts w:ascii="Calibri" w:eastAsia="Calibri" w:hAnsi="Calibri" w:cs="Calibri"/>
              </w:rPr>
              <w:t>was</w:t>
            </w:r>
            <w:r w:rsidRPr="001E1B8B">
              <w:rPr>
                <w:rFonts w:ascii="Calibri" w:eastAsia="Calibri" w:hAnsi="Calibri" w:cs="Calibri"/>
              </w:rPr>
              <w:t xml:space="preserve"> deployed </w:t>
            </w:r>
            <w:r w:rsidR="00A943C4" w:rsidRPr="001E1B8B">
              <w:rPr>
                <w:rFonts w:ascii="Calibri" w:eastAsia="Calibri" w:hAnsi="Calibri" w:cs="Calibri"/>
              </w:rPr>
              <w:t>to</w:t>
            </w:r>
            <w:r w:rsidRPr="001E1B8B">
              <w:rPr>
                <w:rFonts w:ascii="Calibri" w:eastAsia="Calibri" w:hAnsi="Calibri" w:cs="Calibri"/>
              </w:rPr>
              <w:t xml:space="preserve"> remote areas. </w:t>
            </w:r>
          </w:p>
          <w:p w14:paraId="19144EF1" w14:textId="4CD7081E" w:rsidR="0075692B" w:rsidRPr="001E1B8B" w:rsidRDefault="0075692B" w:rsidP="00000112">
            <w:pPr>
              <w:pStyle w:val="ListParagraph"/>
              <w:numPr>
                <w:ilvl w:val="0"/>
                <w:numId w:val="29"/>
              </w:numPr>
              <w:ind w:left="357" w:hanging="357"/>
              <w:rPr>
                <w:rFonts w:ascii="Calibri" w:eastAsia="Calibri" w:hAnsi="Calibri" w:cs="Calibri"/>
              </w:rPr>
            </w:pPr>
            <w:r w:rsidRPr="001E1B8B">
              <w:rPr>
                <w:rFonts w:ascii="Calibri" w:eastAsia="Calibri" w:hAnsi="Calibri" w:cs="Calibri"/>
              </w:rPr>
              <w:lastRenderedPageBreak/>
              <w:t xml:space="preserve">Specialized assistance was provided to Mongolia to review </w:t>
            </w:r>
            <w:r w:rsidR="00CC140E" w:rsidRPr="001E1B8B">
              <w:rPr>
                <w:rFonts w:ascii="Calibri" w:eastAsia="Calibri" w:hAnsi="Calibri" w:cs="Calibri"/>
              </w:rPr>
              <w:t xml:space="preserve">the </w:t>
            </w:r>
            <w:r w:rsidRPr="001E1B8B">
              <w:rPr>
                <w:rFonts w:ascii="Calibri" w:eastAsia="Calibri" w:hAnsi="Calibri" w:cs="Calibri"/>
              </w:rPr>
              <w:t xml:space="preserve">national </w:t>
            </w:r>
            <w:r w:rsidR="00A943C4" w:rsidRPr="001E1B8B">
              <w:rPr>
                <w:rFonts w:ascii="Calibri" w:eastAsia="Calibri" w:hAnsi="Calibri" w:cs="Calibri"/>
              </w:rPr>
              <w:t>radio frequency</w:t>
            </w:r>
            <w:r w:rsidRPr="001E1B8B">
              <w:rPr>
                <w:rFonts w:ascii="Calibri" w:eastAsia="Calibri" w:hAnsi="Calibri" w:cs="Calibri"/>
              </w:rPr>
              <w:t xml:space="preserve"> spectrum charging regime. A new fee charging formula was developed in order to compensate the effects of inflation and encourage innovative use of </w:t>
            </w:r>
            <w:r w:rsidR="00F62110" w:rsidRPr="001E1B8B">
              <w:rPr>
                <w:rFonts w:ascii="Calibri" w:eastAsia="Calibri" w:hAnsi="Calibri" w:cs="Calibri"/>
              </w:rPr>
              <w:t>this</w:t>
            </w:r>
            <w:r w:rsidRPr="001E1B8B">
              <w:rPr>
                <w:rFonts w:ascii="Calibri" w:eastAsia="Calibri" w:hAnsi="Calibri" w:cs="Calibri"/>
              </w:rPr>
              <w:t xml:space="preserve"> resource.</w:t>
            </w:r>
          </w:p>
          <w:p w14:paraId="3B254021" w14:textId="177F8125" w:rsidR="0075692B" w:rsidRPr="001E1B8B" w:rsidRDefault="0075692B" w:rsidP="00000112">
            <w:pPr>
              <w:pStyle w:val="ListParagraph"/>
              <w:numPr>
                <w:ilvl w:val="0"/>
                <w:numId w:val="29"/>
              </w:numPr>
              <w:ind w:left="357" w:hanging="357"/>
              <w:rPr>
                <w:rFonts w:ascii="Calibri" w:eastAsia="Calibri" w:hAnsi="Calibri" w:cs="Calibri"/>
              </w:rPr>
            </w:pPr>
            <w:r w:rsidRPr="001E1B8B">
              <w:rPr>
                <w:rFonts w:ascii="Calibri" w:eastAsia="Calibri" w:hAnsi="Calibri" w:cs="Calibri"/>
              </w:rPr>
              <w:t xml:space="preserve">Assistance was provided to Solomon Islands and Vanuatu to develop </w:t>
            </w:r>
            <w:r w:rsidR="00D6683D">
              <w:rPr>
                <w:rFonts w:ascii="Calibri" w:eastAsia="Calibri" w:hAnsi="Calibri" w:cs="Calibri"/>
              </w:rPr>
              <w:t xml:space="preserve">a </w:t>
            </w:r>
            <w:r w:rsidR="00F62110" w:rsidRPr="001E1B8B">
              <w:rPr>
                <w:rFonts w:ascii="Calibri" w:eastAsia="Calibri" w:hAnsi="Calibri" w:cs="Calibri"/>
              </w:rPr>
              <w:t>n</w:t>
            </w:r>
            <w:r w:rsidRPr="001E1B8B">
              <w:rPr>
                <w:rFonts w:ascii="Calibri" w:eastAsia="Calibri" w:hAnsi="Calibri" w:cs="Calibri"/>
              </w:rPr>
              <w:t xml:space="preserve">ational </w:t>
            </w:r>
            <w:r w:rsidR="00F62110" w:rsidRPr="001E1B8B">
              <w:rPr>
                <w:rFonts w:ascii="Calibri" w:eastAsia="Calibri" w:hAnsi="Calibri" w:cs="Calibri"/>
              </w:rPr>
              <w:t>t</w:t>
            </w:r>
            <w:r w:rsidRPr="001E1B8B">
              <w:rPr>
                <w:rFonts w:ascii="Calibri" w:eastAsia="Calibri" w:hAnsi="Calibri" w:cs="Calibri"/>
              </w:rPr>
              <w:t xml:space="preserve">ype </w:t>
            </w:r>
            <w:r w:rsidR="00F62110" w:rsidRPr="001E1B8B">
              <w:rPr>
                <w:rFonts w:ascii="Calibri" w:eastAsia="Calibri" w:hAnsi="Calibri" w:cs="Calibri"/>
              </w:rPr>
              <w:t>a</w:t>
            </w:r>
            <w:r w:rsidRPr="001E1B8B">
              <w:rPr>
                <w:rFonts w:ascii="Calibri" w:eastAsia="Calibri" w:hAnsi="Calibri" w:cs="Calibri"/>
              </w:rPr>
              <w:t>pproval regime for short</w:t>
            </w:r>
            <w:r w:rsidR="00F62110" w:rsidRPr="001E1B8B">
              <w:rPr>
                <w:rFonts w:ascii="Calibri" w:eastAsia="Calibri" w:hAnsi="Calibri" w:cs="Calibri"/>
              </w:rPr>
              <w:t>-r</w:t>
            </w:r>
            <w:r w:rsidRPr="001E1B8B">
              <w:rPr>
                <w:rFonts w:ascii="Calibri" w:eastAsia="Calibri" w:hAnsi="Calibri" w:cs="Calibri"/>
              </w:rPr>
              <w:t xml:space="preserve">ange wireless </w:t>
            </w:r>
            <w:r w:rsidR="00F62110" w:rsidRPr="001E1B8B">
              <w:rPr>
                <w:rFonts w:ascii="Calibri" w:eastAsia="Calibri" w:hAnsi="Calibri" w:cs="Calibri"/>
              </w:rPr>
              <w:t>d</w:t>
            </w:r>
            <w:r w:rsidRPr="001E1B8B">
              <w:rPr>
                <w:rFonts w:ascii="Calibri" w:eastAsia="Calibri" w:hAnsi="Calibri" w:cs="Calibri"/>
              </w:rPr>
              <w:t>evices</w:t>
            </w:r>
          </w:p>
          <w:p w14:paraId="1F19FDE5" w14:textId="21E4EF46" w:rsidR="0075692B" w:rsidRPr="001E1B8B" w:rsidRDefault="0075692B" w:rsidP="00000112">
            <w:pPr>
              <w:pStyle w:val="ListParagraph"/>
              <w:numPr>
                <w:ilvl w:val="0"/>
                <w:numId w:val="29"/>
              </w:numPr>
              <w:ind w:left="357" w:hanging="357"/>
              <w:rPr>
                <w:rFonts w:ascii="Calibri" w:eastAsia="Calibri" w:hAnsi="Calibri" w:cs="Calibri"/>
              </w:rPr>
            </w:pPr>
            <w:r w:rsidRPr="001E1B8B">
              <w:rPr>
                <w:rFonts w:ascii="Calibri" w:eastAsia="Calibri" w:hAnsi="Calibri" w:cs="Calibri"/>
              </w:rPr>
              <w:t xml:space="preserve">More than 15 workshops and trainings were carried out to raise awareness and build skills on spectrum management, </w:t>
            </w:r>
            <w:r w:rsidR="00F62110" w:rsidRPr="001E1B8B">
              <w:rPr>
                <w:rFonts w:ascii="Calibri" w:eastAsia="Calibri" w:hAnsi="Calibri" w:cs="Calibri"/>
              </w:rPr>
              <w:t>AI</w:t>
            </w:r>
            <w:r w:rsidRPr="001E1B8B">
              <w:rPr>
                <w:rFonts w:ascii="Calibri" w:eastAsia="Calibri" w:hAnsi="Calibri" w:cs="Calibri"/>
              </w:rPr>
              <w:t xml:space="preserve">, DLTs, </w:t>
            </w:r>
            <w:r w:rsidR="00F62110" w:rsidRPr="001E1B8B">
              <w:rPr>
                <w:rFonts w:ascii="Calibri" w:eastAsia="Calibri" w:hAnsi="Calibri" w:cs="Calibri"/>
              </w:rPr>
              <w:t>b</w:t>
            </w:r>
            <w:r w:rsidRPr="001E1B8B">
              <w:rPr>
                <w:rFonts w:ascii="Calibri" w:eastAsia="Calibri" w:hAnsi="Calibri" w:cs="Calibri"/>
              </w:rPr>
              <w:t xml:space="preserve">roadband, 5G, </w:t>
            </w:r>
            <w:r w:rsidR="00F62110" w:rsidRPr="001E1B8B">
              <w:rPr>
                <w:rFonts w:ascii="Calibri" w:eastAsia="Calibri" w:hAnsi="Calibri" w:cs="Calibri"/>
              </w:rPr>
              <w:t>c</w:t>
            </w:r>
            <w:r w:rsidRPr="001E1B8B">
              <w:rPr>
                <w:rFonts w:ascii="Calibri" w:eastAsia="Calibri" w:hAnsi="Calibri" w:cs="Calibri"/>
              </w:rPr>
              <w:t xml:space="preserve">onformity </w:t>
            </w:r>
            <w:r w:rsidR="00F62110" w:rsidRPr="001E1B8B">
              <w:rPr>
                <w:rFonts w:ascii="Calibri" w:eastAsia="Calibri" w:hAnsi="Calibri" w:cs="Calibri"/>
              </w:rPr>
              <w:t>and i</w:t>
            </w:r>
            <w:r w:rsidRPr="001E1B8B">
              <w:rPr>
                <w:rFonts w:ascii="Calibri" w:eastAsia="Calibri" w:hAnsi="Calibri" w:cs="Calibri"/>
              </w:rPr>
              <w:t xml:space="preserve">nteroperability, NGN, </w:t>
            </w:r>
            <w:r w:rsidR="00F62110" w:rsidRPr="001E1B8B">
              <w:rPr>
                <w:rFonts w:ascii="Calibri" w:eastAsia="Calibri" w:hAnsi="Calibri" w:cs="Calibri"/>
              </w:rPr>
              <w:t>m</w:t>
            </w:r>
            <w:r w:rsidRPr="001E1B8B">
              <w:rPr>
                <w:rFonts w:ascii="Calibri" w:eastAsia="Calibri" w:hAnsi="Calibri" w:cs="Calibri"/>
              </w:rPr>
              <w:t>obile planning and security, I</w:t>
            </w:r>
            <w:r w:rsidR="00F62110" w:rsidRPr="001E1B8B">
              <w:rPr>
                <w:rFonts w:ascii="Calibri" w:eastAsia="Calibri" w:hAnsi="Calibri" w:cs="Calibri"/>
              </w:rPr>
              <w:t>o</w:t>
            </w:r>
            <w:r w:rsidRPr="001E1B8B">
              <w:rPr>
                <w:rFonts w:ascii="Calibri" w:eastAsia="Calibri" w:hAnsi="Calibri" w:cs="Calibri"/>
              </w:rPr>
              <w:t>T security, digital transformation, broadcasting amongst others.</w:t>
            </w:r>
          </w:p>
          <w:p w14:paraId="432DEDBE" w14:textId="5AA12E06" w:rsidR="0075692B" w:rsidRPr="001E1B8B" w:rsidRDefault="00F62110" w:rsidP="00000112">
            <w:pPr>
              <w:pStyle w:val="ListParagraph"/>
              <w:numPr>
                <w:ilvl w:val="0"/>
                <w:numId w:val="29"/>
              </w:numPr>
              <w:ind w:left="357" w:hanging="357"/>
              <w:rPr>
                <w:rFonts w:ascii="Calibri" w:eastAsia="Calibri" w:hAnsi="Calibri" w:cs="Calibri"/>
              </w:rPr>
            </w:pPr>
            <w:r w:rsidRPr="001E1B8B">
              <w:rPr>
                <w:rFonts w:ascii="Calibri" w:eastAsia="Calibri" w:hAnsi="Calibri" w:cs="Calibri"/>
              </w:rPr>
              <w:t>T</w:t>
            </w:r>
            <w:r w:rsidR="0075692B" w:rsidRPr="001E1B8B">
              <w:rPr>
                <w:rFonts w:ascii="Calibri" w:eastAsia="Calibri" w:hAnsi="Calibri" w:cs="Calibri"/>
              </w:rPr>
              <w:t>echnical training on Spectrum Management System for Developing Countries (SMS4DC) was conducted in Vientiane, Lao PDR</w:t>
            </w:r>
            <w:r w:rsidRPr="001E1B8B">
              <w:rPr>
                <w:rFonts w:ascii="Calibri" w:eastAsia="Calibri" w:hAnsi="Calibri" w:cs="Calibri"/>
              </w:rPr>
              <w:t>.</w:t>
            </w:r>
          </w:p>
          <w:p w14:paraId="54066AAA" w14:textId="5571B8DA" w:rsidR="0075692B" w:rsidRPr="001E1B8B" w:rsidRDefault="0075692B" w:rsidP="00000112">
            <w:pPr>
              <w:pStyle w:val="ListParagraph"/>
              <w:numPr>
                <w:ilvl w:val="0"/>
                <w:numId w:val="29"/>
              </w:numPr>
              <w:ind w:left="357" w:hanging="357"/>
              <w:rPr>
                <w:rFonts w:ascii="Calibri" w:eastAsia="Calibri" w:hAnsi="Calibri" w:cs="Calibri"/>
              </w:rPr>
            </w:pPr>
            <w:r w:rsidRPr="001E1B8B">
              <w:rPr>
                <w:rFonts w:ascii="Calibri" w:eastAsia="Calibri" w:hAnsi="Calibri" w:cs="Calibri"/>
              </w:rPr>
              <w:t>Viet</w:t>
            </w:r>
            <w:r w:rsidR="00F62110" w:rsidRPr="001E1B8B">
              <w:rPr>
                <w:rFonts w:ascii="Calibri" w:eastAsia="Calibri" w:hAnsi="Calibri" w:cs="Calibri"/>
              </w:rPr>
              <w:t xml:space="preserve"> N</w:t>
            </w:r>
            <w:r w:rsidRPr="001E1B8B">
              <w:rPr>
                <w:rFonts w:ascii="Calibri" w:eastAsia="Calibri" w:hAnsi="Calibri" w:cs="Calibri"/>
              </w:rPr>
              <w:t xml:space="preserve">am was assisted in amending its </w:t>
            </w:r>
            <w:r w:rsidR="00F62110" w:rsidRPr="001E1B8B">
              <w:rPr>
                <w:rFonts w:ascii="Calibri" w:eastAsia="Calibri" w:hAnsi="Calibri" w:cs="Calibri"/>
              </w:rPr>
              <w:t>n</w:t>
            </w:r>
            <w:r w:rsidRPr="001E1B8B">
              <w:rPr>
                <w:rFonts w:ascii="Calibri" w:eastAsia="Calibri" w:hAnsi="Calibri" w:cs="Calibri"/>
              </w:rPr>
              <w:t xml:space="preserve">ational </w:t>
            </w:r>
            <w:r w:rsidR="00F62110" w:rsidRPr="001E1B8B">
              <w:rPr>
                <w:rFonts w:ascii="Calibri" w:eastAsia="Calibri" w:hAnsi="Calibri" w:cs="Calibri"/>
              </w:rPr>
              <w:t>l</w:t>
            </w:r>
            <w:r w:rsidRPr="001E1B8B">
              <w:rPr>
                <w:rFonts w:ascii="Calibri" w:eastAsia="Calibri" w:hAnsi="Calibri" w:cs="Calibri"/>
              </w:rPr>
              <w:t xml:space="preserve">aws on </w:t>
            </w:r>
            <w:r w:rsidR="00F62110" w:rsidRPr="001E1B8B">
              <w:rPr>
                <w:rFonts w:ascii="Calibri" w:eastAsia="Calibri" w:hAnsi="Calibri" w:cs="Calibri"/>
              </w:rPr>
              <w:t>f</w:t>
            </w:r>
            <w:r w:rsidRPr="001E1B8B">
              <w:rPr>
                <w:rFonts w:ascii="Calibri" w:eastAsia="Calibri" w:hAnsi="Calibri" w:cs="Calibri"/>
              </w:rPr>
              <w:t xml:space="preserve">requencies and with the associated amendments to the laws on </w:t>
            </w:r>
            <w:r w:rsidR="00F62110" w:rsidRPr="001E1B8B">
              <w:rPr>
                <w:rFonts w:ascii="Calibri" w:eastAsia="Calibri" w:hAnsi="Calibri" w:cs="Calibri"/>
              </w:rPr>
              <w:t>t</w:t>
            </w:r>
            <w:r w:rsidRPr="001E1B8B">
              <w:rPr>
                <w:rFonts w:ascii="Calibri" w:eastAsia="Calibri" w:hAnsi="Calibri" w:cs="Calibri"/>
              </w:rPr>
              <w:t>elecommunication. The study also included a comprehensive IMT spectrum roadmap.</w:t>
            </w:r>
          </w:p>
          <w:p w14:paraId="1536D107" w14:textId="77777777" w:rsidR="00391107" w:rsidRPr="001E1B8B" w:rsidRDefault="00CC140E" w:rsidP="00391107">
            <w:pPr>
              <w:rPr>
                <w:rFonts w:ascii="Calibri" w:eastAsia="Calibri" w:hAnsi="Calibri" w:cs="Calibri"/>
              </w:rPr>
            </w:pPr>
            <w:r w:rsidRPr="001E1B8B">
              <w:rPr>
                <w:rFonts w:ascii="Calibri" w:eastAsia="Calibri" w:hAnsi="Calibri" w:cs="Calibri"/>
              </w:rPr>
              <w:t>Americas</w:t>
            </w:r>
            <w:r w:rsidR="00391107" w:rsidRPr="001E1B8B">
              <w:rPr>
                <w:rFonts w:ascii="Calibri" w:eastAsia="Calibri" w:hAnsi="Calibri" w:cs="Calibri"/>
              </w:rPr>
              <w:t xml:space="preserve">: </w:t>
            </w:r>
            <w:r w:rsidR="00391107" w:rsidRPr="001E1B8B">
              <w:rPr>
                <w:rFonts w:ascii="Calibri" w:eastAsia="Calibri" w:hAnsi="Calibri" w:cs="Calibri"/>
                <w:u w:val="single"/>
              </w:rPr>
              <w:t>Spectrum management and transition to digital broadcasting</w:t>
            </w:r>
            <w:r w:rsidR="00391107" w:rsidRPr="001E1B8B">
              <w:rPr>
                <w:rFonts w:ascii="Calibri" w:eastAsia="Calibri" w:hAnsi="Calibri" w:cs="Calibri"/>
              </w:rPr>
              <w:t xml:space="preserve"> </w:t>
            </w:r>
          </w:p>
          <w:p w14:paraId="72FDC824" w14:textId="354BD2D1" w:rsidR="00391107" w:rsidRPr="001E1B8B" w:rsidRDefault="00391107" w:rsidP="00000112">
            <w:pPr>
              <w:pStyle w:val="ListParagraph"/>
              <w:numPr>
                <w:ilvl w:val="0"/>
                <w:numId w:val="30"/>
              </w:numPr>
              <w:ind w:left="357" w:hanging="357"/>
              <w:rPr>
                <w:rFonts w:ascii="Calibri" w:eastAsia="Calibri" w:hAnsi="Calibri" w:cs="Calibri"/>
              </w:rPr>
            </w:pPr>
            <w:r w:rsidRPr="001E1B8B">
              <w:rPr>
                <w:rFonts w:ascii="Calibri" w:eastAsia="Calibri" w:hAnsi="Calibri" w:cs="Calibri"/>
              </w:rPr>
              <w:t xml:space="preserve">A regional </w:t>
            </w:r>
            <w:r w:rsidR="00F62110" w:rsidRPr="001E1B8B">
              <w:rPr>
                <w:rFonts w:ascii="Calibri" w:eastAsia="Calibri" w:hAnsi="Calibri" w:cs="Calibri"/>
              </w:rPr>
              <w:t>s</w:t>
            </w:r>
            <w:r w:rsidRPr="001E1B8B">
              <w:rPr>
                <w:rFonts w:ascii="Calibri" w:eastAsia="Calibri" w:hAnsi="Calibri" w:cs="Calibri"/>
              </w:rPr>
              <w:t xml:space="preserve">pectrum </w:t>
            </w:r>
            <w:r w:rsidR="00F62110" w:rsidRPr="001E1B8B">
              <w:rPr>
                <w:rFonts w:ascii="Calibri" w:eastAsia="Calibri" w:hAnsi="Calibri" w:cs="Calibri"/>
              </w:rPr>
              <w:t>m</w:t>
            </w:r>
            <w:r w:rsidRPr="001E1B8B">
              <w:rPr>
                <w:rFonts w:ascii="Calibri" w:eastAsia="Calibri" w:hAnsi="Calibri" w:cs="Calibri"/>
              </w:rPr>
              <w:t xml:space="preserve">anagement </w:t>
            </w:r>
            <w:r w:rsidR="00F62110" w:rsidRPr="001E1B8B">
              <w:rPr>
                <w:rFonts w:ascii="Calibri" w:eastAsia="Calibri" w:hAnsi="Calibri" w:cs="Calibri"/>
              </w:rPr>
              <w:t>t</w:t>
            </w:r>
            <w:r w:rsidRPr="001E1B8B">
              <w:rPr>
                <w:rFonts w:ascii="Calibri" w:eastAsia="Calibri" w:hAnsi="Calibri" w:cs="Calibri"/>
              </w:rPr>
              <w:t xml:space="preserve">raining </w:t>
            </w:r>
            <w:r w:rsidR="00F62110" w:rsidRPr="001E1B8B">
              <w:rPr>
                <w:rFonts w:ascii="Calibri" w:eastAsia="Calibri" w:hAnsi="Calibri" w:cs="Calibri"/>
              </w:rPr>
              <w:t>s</w:t>
            </w:r>
            <w:r w:rsidRPr="001E1B8B">
              <w:rPr>
                <w:rFonts w:ascii="Calibri" w:eastAsia="Calibri" w:hAnsi="Calibri" w:cs="Calibri"/>
              </w:rPr>
              <w:t>eminar for the</w:t>
            </w:r>
            <w:r w:rsidR="00CC140E" w:rsidRPr="001E1B8B">
              <w:rPr>
                <w:rFonts w:ascii="Calibri" w:eastAsia="Calibri" w:hAnsi="Calibri" w:cs="Calibri"/>
              </w:rPr>
              <w:t xml:space="preserve"> Caribbean was organized to </w:t>
            </w:r>
            <w:r w:rsidRPr="001E1B8B">
              <w:rPr>
                <w:rFonts w:ascii="Calibri" w:eastAsia="Calibri" w:hAnsi="Calibri" w:cs="Calibri"/>
              </w:rPr>
              <w:t xml:space="preserve">improve the level and speed of ICT connectivity in countries within the region. </w:t>
            </w:r>
          </w:p>
          <w:p w14:paraId="0CF3FBAD" w14:textId="7DBC313E" w:rsidR="00391107" w:rsidRPr="001E1B8B" w:rsidRDefault="00CC140E" w:rsidP="00000112">
            <w:pPr>
              <w:pStyle w:val="ListParagraph"/>
              <w:numPr>
                <w:ilvl w:val="0"/>
                <w:numId w:val="30"/>
              </w:numPr>
              <w:ind w:left="357" w:hanging="357"/>
              <w:rPr>
                <w:rFonts w:ascii="Calibri" w:eastAsia="Calibri" w:hAnsi="Calibri" w:cs="Calibri"/>
              </w:rPr>
            </w:pPr>
            <w:r w:rsidRPr="001E1B8B">
              <w:rPr>
                <w:rFonts w:ascii="Calibri" w:eastAsia="Calibri" w:hAnsi="Calibri" w:cs="Calibri"/>
              </w:rPr>
              <w:t>Technical and special a</w:t>
            </w:r>
            <w:r w:rsidR="00391107" w:rsidRPr="001E1B8B">
              <w:rPr>
                <w:rFonts w:ascii="Calibri" w:eastAsia="Calibri" w:hAnsi="Calibri" w:cs="Calibri"/>
              </w:rPr>
              <w:t xml:space="preserve">ssistance </w:t>
            </w:r>
            <w:r w:rsidRPr="001E1B8B">
              <w:rPr>
                <w:rFonts w:ascii="Calibri" w:eastAsia="Calibri" w:hAnsi="Calibri" w:cs="Calibri"/>
              </w:rPr>
              <w:t xml:space="preserve">was provided </w:t>
            </w:r>
            <w:r w:rsidR="00391107" w:rsidRPr="001E1B8B">
              <w:rPr>
                <w:rFonts w:ascii="Calibri" w:eastAsia="Calibri" w:hAnsi="Calibri" w:cs="Calibri"/>
              </w:rPr>
              <w:t xml:space="preserve">to the Ministry of Science, Energy and Technology and the Spectrum Management Authority of Jamaica for the </w:t>
            </w:r>
            <w:r w:rsidR="00F62110" w:rsidRPr="001E1B8B">
              <w:rPr>
                <w:rFonts w:ascii="Calibri" w:eastAsia="Calibri" w:hAnsi="Calibri" w:cs="Calibri"/>
              </w:rPr>
              <w:t>d</w:t>
            </w:r>
            <w:r w:rsidR="00391107" w:rsidRPr="001E1B8B">
              <w:rPr>
                <w:rFonts w:ascii="Calibri" w:eastAsia="Calibri" w:hAnsi="Calibri" w:cs="Calibri"/>
              </w:rPr>
              <w:t xml:space="preserve">evelopment of a </w:t>
            </w:r>
            <w:r w:rsidR="00F62110" w:rsidRPr="001E1B8B">
              <w:rPr>
                <w:rFonts w:ascii="Calibri" w:eastAsia="Calibri" w:hAnsi="Calibri" w:cs="Calibri"/>
              </w:rPr>
              <w:t>n</w:t>
            </w:r>
            <w:r w:rsidR="00391107" w:rsidRPr="001E1B8B">
              <w:rPr>
                <w:rFonts w:ascii="Calibri" w:eastAsia="Calibri" w:hAnsi="Calibri" w:cs="Calibri"/>
              </w:rPr>
              <w:t xml:space="preserve">ational </w:t>
            </w:r>
            <w:r w:rsidR="00F62110" w:rsidRPr="001E1B8B">
              <w:rPr>
                <w:rFonts w:ascii="Calibri" w:eastAsia="Calibri" w:hAnsi="Calibri" w:cs="Calibri"/>
              </w:rPr>
              <w:t>s</w:t>
            </w:r>
            <w:r w:rsidR="00391107" w:rsidRPr="001E1B8B">
              <w:rPr>
                <w:rFonts w:ascii="Calibri" w:eastAsia="Calibri" w:hAnsi="Calibri" w:cs="Calibri"/>
              </w:rPr>
              <w:t xml:space="preserve">pectrum </w:t>
            </w:r>
            <w:r w:rsidR="00F62110" w:rsidRPr="001E1B8B">
              <w:rPr>
                <w:rFonts w:ascii="Calibri" w:eastAsia="Calibri" w:hAnsi="Calibri" w:cs="Calibri"/>
              </w:rPr>
              <w:t>l</w:t>
            </w:r>
            <w:r w:rsidR="00391107" w:rsidRPr="001E1B8B">
              <w:rPr>
                <w:rFonts w:ascii="Calibri" w:eastAsia="Calibri" w:hAnsi="Calibri" w:cs="Calibri"/>
              </w:rPr>
              <w:t>icen</w:t>
            </w:r>
            <w:r w:rsidR="00D6683D">
              <w:rPr>
                <w:rFonts w:ascii="Calibri" w:eastAsia="Calibri" w:hAnsi="Calibri" w:cs="Calibri"/>
              </w:rPr>
              <w:t>c</w:t>
            </w:r>
            <w:r w:rsidR="00391107" w:rsidRPr="001E1B8B">
              <w:rPr>
                <w:rFonts w:ascii="Calibri" w:eastAsia="Calibri" w:hAnsi="Calibri" w:cs="Calibri"/>
              </w:rPr>
              <w:t xml:space="preserve">e </w:t>
            </w:r>
            <w:r w:rsidR="00F62110" w:rsidRPr="001E1B8B">
              <w:rPr>
                <w:rFonts w:ascii="Calibri" w:eastAsia="Calibri" w:hAnsi="Calibri" w:cs="Calibri"/>
              </w:rPr>
              <w:t>f</w:t>
            </w:r>
            <w:r w:rsidR="00391107" w:rsidRPr="001E1B8B">
              <w:rPr>
                <w:rFonts w:ascii="Calibri" w:eastAsia="Calibri" w:hAnsi="Calibri" w:cs="Calibri"/>
              </w:rPr>
              <w:t xml:space="preserve">ramework for Jamaica to improve ICT connectivity in the country. </w:t>
            </w:r>
          </w:p>
          <w:p w14:paraId="070AD339" w14:textId="37BA0E96" w:rsidR="0075692B" w:rsidRPr="001E1B8B" w:rsidRDefault="006E063C" w:rsidP="00557B8C">
            <w:pPr>
              <w:rPr>
                <w:rFonts w:ascii="Calibri" w:eastAsia="Calibri" w:hAnsi="Calibri" w:cs="Calibri"/>
              </w:rPr>
            </w:pPr>
            <w:r w:rsidRPr="001E1B8B">
              <w:rPr>
                <w:rFonts w:ascii="Calibri" w:eastAsia="Calibri" w:hAnsi="Calibri" w:cs="Calibri"/>
              </w:rPr>
              <w:t xml:space="preserve">Europe: </w:t>
            </w:r>
            <w:r w:rsidRPr="001E1B8B">
              <w:rPr>
                <w:rFonts w:ascii="Calibri" w:eastAsia="Calibri" w:hAnsi="Calibri" w:cs="Calibri"/>
                <w:u w:val="single"/>
              </w:rPr>
              <w:t>Broadband infrastructure, broadcasting</w:t>
            </w:r>
            <w:r w:rsidR="00D6683D">
              <w:rPr>
                <w:rFonts w:ascii="Calibri" w:eastAsia="Calibri" w:hAnsi="Calibri" w:cs="Calibri"/>
                <w:u w:val="single"/>
              </w:rPr>
              <w:t>,</w:t>
            </w:r>
            <w:r w:rsidRPr="001E1B8B">
              <w:rPr>
                <w:rFonts w:ascii="Calibri" w:eastAsia="Calibri" w:hAnsi="Calibri" w:cs="Calibri"/>
                <w:u w:val="single"/>
              </w:rPr>
              <w:t xml:space="preserve"> and spectrum management</w:t>
            </w:r>
          </w:p>
          <w:p w14:paraId="0C9C1E5C" w14:textId="3683D0F4" w:rsidR="006E063C" w:rsidRPr="001E1B8B" w:rsidRDefault="006E063C" w:rsidP="00000112">
            <w:pPr>
              <w:pStyle w:val="ListParagraph"/>
              <w:numPr>
                <w:ilvl w:val="0"/>
                <w:numId w:val="30"/>
              </w:numPr>
              <w:ind w:left="357" w:hanging="357"/>
              <w:rPr>
                <w:rFonts w:ascii="Calibri" w:eastAsia="Calibri" w:hAnsi="Calibri" w:cs="Calibri"/>
              </w:rPr>
            </w:pPr>
            <w:r w:rsidRPr="001E1B8B">
              <w:rPr>
                <w:rFonts w:ascii="Calibri" w:eastAsia="Calibri" w:hAnsi="Calibri" w:cs="Calibri"/>
              </w:rPr>
              <w:t xml:space="preserve">The </w:t>
            </w:r>
            <w:r w:rsidR="00F62110" w:rsidRPr="001E1B8B">
              <w:rPr>
                <w:rFonts w:ascii="Calibri" w:eastAsia="Calibri" w:hAnsi="Calibri" w:cs="Calibri"/>
              </w:rPr>
              <w:t>third</w:t>
            </w:r>
            <w:r w:rsidRPr="001E1B8B">
              <w:rPr>
                <w:rFonts w:ascii="Calibri" w:eastAsia="Calibri" w:hAnsi="Calibri" w:cs="Calibri"/>
              </w:rPr>
              <w:t xml:space="preserve"> </w:t>
            </w:r>
            <w:r w:rsidR="00F62110" w:rsidRPr="001E1B8B">
              <w:rPr>
                <w:rFonts w:ascii="Calibri" w:eastAsia="Calibri" w:hAnsi="Calibri" w:cs="Calibri"/>
              </w:rPr>
              <w:t>a</w:t>
            </w:r>
            <w:r w:rsidRPr="001E1B8B">
              <w:rPr>
                <w:rFonts w:ascii="Calibri" w:eastAsia="Calibri" w:hAnsi="Calibri" w:cs="Calibri"/>
              </w:rPr>
              <w:t xml:space="preserve">nnual CIS </w:t>
            </w:r>
            <w:r w:rsidR="00F62110" w:rsidRPr="001E1B8B">
              <w:rPr>
                <w:rFonts w:ascii="Calibri" w:eastAsia="Calibri" w:hAnsi="Calibri" w:cs="Calibri"/>
              </w:rPr>
              <w:t xml:space="preserve">region </w:t>
            </w:r>
            <w:r w:rsidRPr="001E1B8B">
              <w:rPr>
                <w:rFonts w:ascii="Calibri" w:eastAsia="Calibri" w:hAnsi="Calibri" w:cs="Calibri"/>
              </w:rPr>
              <w:t xml:space="preserve">and CEE </w:t>
            </w:r>
            <w:r w:rsidR="00F62110" w:rsidRPr="001E1B8B">
              <w:rPr>
                <w:rFonts w:ascii="Calibri" w:eastAsia="Calibri" w:hAnsi="Calibri" w:cs="Calibri"/>
              </w:rPr>
              <w:t>s</w:t>
            </w:r>
            <w:r w:rsidRPr="001E1B8B">
              <w:rPr>
                <w:rFonts w:ascii="Calibri" w:eastAsia="Calibri" w:hAnsi="Calibri" w:cs="Calibri"/>
              </w:rPr>
              <w:t xml:space="preserve">pectrum </w:t>
            </w:r>
            <w:r w:rsidR="00F62110" w:rsidRPr="001E1B8B">
              <w:rPr>
                <w:rFonts w:ascii="Calibri" w:eastAsia="Calibri" w:hAnsi="Calibri" w:cs="Calibri"/>
              </w:rPr>
              <w:t>m</w:t>
            </w:r>
            <w:r w:rsidRPr="001E1B8B">
              <w:rPr>
                <w:rFonts w:ascii="Calibri" w:eastAsia="Calibri" w:hAnsi="Calibri" w:cs="Calibri"/>
              </w:rPr>
              <w:t xml:space="preserve">anagement </w:t>
            </w:r>
            <w:r w:rsidR="00F62110" w:rsidRPr="001E1B8B">
              <w:rPr>
                <w:rFonts w:ascii="Calibri" w:eastAsia="Calibri" w:hAnsi="Calibri" w:cs="Calibri"/>
              </w:rPr>
              <w:t>c</w:t>
            </w:r>
            <w:r w:rsidRPr="001E1B8B">
              <w:rPr>
                <w:rFonts w:ascii="Calibri" w:eastAsia="Calibri" w:hAnsi="Calibri" w:cs="Calibri"/>
              </w:rPr>
              <w:t xml:space="preserve">onference and ITU </w:t>
            </w:r>
            <w:r w:rsidR="00F62110" w:rsidRPr="001E1B8B">
              <w:rPr>
                <w:rFonts w:ascii="Calibri" w:eastAsia="Calibri" w:hAnsi="Calibri" w:cs="Calibri"/>
              </w:rPr>
              <w:t>w</w:t>
            </w:r>
            <w:r w:rsidRPr="001E1B8B">
              <w:rPr>
                <w:rFonts w:ascii="Calibri" w:eastAsia="Calibri" w:hAnsi="Calibri" w:cs="Calibri"/>
              </w:rPr>
              <w:t>orkshop</w:t>
            </w:r>
            <w:r w:rsidR="00F62110" w:rsidRPr="001E1B8B">
              <w:rPr>
                <w:rFonts w:ascii="Calibri" w:eastAsia="Calibri" w:hAnsi="Calibri" w:cs="Calibri"/>
              </w:rPr>
              <w:t xml:space="preserve"> on h</w:t>
            </w:r>
            <w:r w:rsidRPr="001E1B8B">
              <w:rPr>
                <w:rFonts w:ascii="Calibri" w:eastAsia="Calibri" w:hAnsi="Calibri" w:cs="Calibri"/>
              </w:rPr>
              <w:t>ow to achieve interference</w:t>
            </w:r>
            <w:r w:rsidR="00256858">
              <w:rPr>
                <w:rFonts w:ascii="Calibri" w:eastAsia="Calibri" w:hAnsi="Calibri" w:cs="Calibri"/>
              </w:rPr>
              <w:t>-</w:t>
            </w:r>
            <w:r w:rsidRPr="001E1B8B">
              <w:rPr>
                <w:rFonts w:ascii="Calibri" w:eastAsia="Calibri" w:hAnsi="Calibri" w:cs="Calibri"/>
              </w:rPr>
              <w:t>free communication at the current technological stage was held in Minsk, Belarus</w:t>
            </w:r>
            <w:r w:rsidR="00F62110" w:rsidRPr="001E1B8B">
              <w:rPr>
                <w:rFonts w:ascii="Calibri" w:eastAsia="Calibri" w:hAnsi="Calibri" w:cs="Calibri"/>
              </w:rPr>
              <w:t>.</w:t>
            </w:r>
          </w:p>
          <w:p w14:paraId="04CE6FFC" w14:textId="79F40245" w:rsidR="006E063C" w:rsidRPr="001E1B8B" w:rsidRDefault="00DB5F8B" w:rsidP="00000112">
            <w:pPr>
              <w:pStyle w:val="ListParagraph"/>
              <w:numPr>
                <w:ilvl w:val="0"/>
                <w:numId w:val="30"/>
              </w:numPr>
              <w:ind w:left="357" w:hanging="357"/>
              <w:rPr>
                <w:rFonts w:ascii="Calibri" w:eastAsia="Calibri" w:hAnsi="Calibri" w:cs="Calibri"/>
              </w:rPr>
            </w:pPr>
            <w:r w:rsidRPr="001E1B8B">
              <w:rPr>
                <w:rFonts w:ascii="Calibri" w:eastAsia="Calibri" w:hAnsi="Calibri" w:cs="Calibri"/>
              </w:rPr>
              <w:t>A series of workshops and seminars were organized to discuss the future of television, the mapping of terrestrial broadband infrastructure and services, digital economy</w:t>
            </w:r>
            <w:r w:rsidR="00256858">
              <w:rPr>
                <w:rFonts w:ascii="Calibri" w:eastAsia="Calibri" w:hAnsi="Calibri" w:cs="Calibri"/>
              </w:rPr>
              <w:t>,</w:t>
            </w:r>
            <w:r w:rsidRPr="001E1B8B">
              <w:rPr>
                <w:rFonts w:ascii="Calibri" w:eastAsia="Calibri" w:hAnsi="Calibri" w:cs="Calibri"/>
              </w:rPr>
              <w:t xml:space="preserve"> and radiocommunication matters.   </w:t>
            </w:r>
          </w:p>
          <w:p w14:paraId="6B0BB10A" w14:textId="7853BA99" w:rsidR="00774E2B" w:rsidRPr="001E1B8B" w:rsidRDefault="00F62110" w:rsidP="00000112">
            <w:pPr>
              <w:pStyle w:val="ListParagraph"/>
              <w:numPr>
                <w:ilvl w:val="0"/>
                <w:numId w:val="30"/>
              </w:numPr>
              <w:ind w:left="357" w:hanging="357"/>
              <w:rPr>
                <w:rFonts w:ascii="Calibri" w:eastAsia="Calibri" w:hAnsi="Calibri" w:cs="Calibri"/>
              </w:rPr>
            </w:pPr>
            <w:r w:rsidRPr="001E1B8B">
              <w:rPr>
                <w:rFonts w:ascii="Calibri" w:eastAsia="Calibri" w:hAnsi="Calibri" w:cs="Calibri"/>
              </w:rPr>
              <w:t xml:space="preserve">A </w:t>
            </w:r>
            <w:r w:rsidR="00774E2B" w:rsidRPr="001E1B8B">
              <w:rPr>
                <w:rFonts w:ascii="Calibri" w:eastAsia="Calibri" w:hAnsi="Calibri" w:cs="Calibri"/>
              </w:rPr>
              <w:t xml:space="preserve">5G Techritory </w:t>
            </w:r>
            <w:r w:rsidRPr="001E1B8B">
              <w:rPr>
                <w:rFonts w:ascii="Calibri" w:eastAsia="Calibri" w:hAnsi="Calibri" w:cs="Calibri"/>
              </w:rPr>
              <w:t xml:space="preserve">meeting </w:t>
            </w:r>
            <w:r w:rsidR="00774E2B" w:rsidRPr="001E1B8B">
              <w:rPr>
                <w:rFonts w:ascii="Calibri" w:eastAsia="Calibri" w:hAnsi="Calibri" w:cs="Calibri"/>
              </w:rPr>
              <w:t xml:space="preserve">for Baltic </w:t>
            </w:r>
            <w:r w:rsidR="006E3EE7" w:rsidRPr="001E1B8B">
              <w:rPr>
                <w:rFonts w:ascii="Calibri" w:eastAsia="Calibri" w:hAnsi="Calibri" w:cs="Calibri"/>
              </w:rPr>
              <w:t>S</w:t>
            </w:r>
            <w:r w:rsidR="00774E2B" w:rsidRPr="001E1B8B">
              <w:rPr>
                <w:rFonts w:ascii="Calibri" w:eastAsia="Calibri" w:hAnsi="Calibri" w:cs="Calibri"/>
              </w:rPr>
              <w:t>tates was held in Riga, Estonia, and supported by ITU as the sub</w:t>
            </w:r>
            <w:r w:rsidR="00FC7C66" w:rsidRPr="001E1B8B">
              <w:rPr>
                <w:rFonts w:ascii="Calibri" w:eastAsia="Calibri" w:hAnsi="Calibri" w:cs="Calibri"/>
              </w:rPr>
              <w:t>-</w:t>
            </w:r>
            <w:r w:rsidR="00774E2B" w:rsidRPr="001E1B8B">
              <w:rPr>
                <w:rFonts w:ascii="Calibri" w:eastAsia="Calibri" w:hAnsi="Calibri" w:cs="Calibri"/>
              </w:rPr>
              <w:t>regional platform for cooperation</w:t>
            </w:r>
            <w:r w:rsidRPr="001E1B8B">
              <w:rPr>
                <w:rFonts w:ascii="Calibri" w:eastAsia="Calibri" w:hAnsi="Calibri" w:cs="Calibri"/>
              </w:rPr>
              <w:t>.</w:t>
            </w:r>
          </w:p>
          <w:p w14:paraId="3A93C126" w14:textId="33C0A60C" w:rsidR="006E063C" w:rsidRPr="001E1B8B" w:rsidRDefault="00DB5F8B" w:rsidP="00092D14">
            <w:pPr>
              <w:pStyle w:val="ListParagraph"/>
              <w:keepNext/>
              <w:numPr>
                <w:ilvl w:val="0"/>
                <w:numId w:val="30"/>
              </w:numPr>
              <w:ind w:left="357" w:hanging="357"/>
              <w:rPr>
                <w:rFonts w:ascii="Calibri" w:eastAsia="Calibri" w:hAnsi="Calibri" w:cs="Calibri"/>
              </w:rPr>
            </w:pPr>
            <w:r w:rsidRPr="001E1B8B">
              <w:rPr>
                <w:rFonts w:ascii="Calibri" w:eastAsia="Calibri" w:hAnsi="Calibri" w:cs="Calibri"/>
              </w:rPr>
              <w:t>A s</w:t>
            </w:r>
            <w:r w:rsidR="00774E2B" w:rsidRPr="001E1B8B">
              <w:rPr>
                <w:rFonts w:ascii="Calibri" w:eastAsia="Calibri" w:hAnsi="Calibri" w:cs="Calibri"/>
              </w:rPr>
              <w:t xml:space="preserve">pecial regional engagement initiative was launched to enhance </w:t>
            </w:r>
            <w:r w:rsidR="00300AB2" w:rsidRPr="001E1B8B">
              <w:rPr>
                <w:rFonts w:ascii="Calibri" w:eastAsia="Calibri" w:hAnsi="Calibri" w:cs="Calibri"/>
              </w:rPr>
              <w:t xml:space="preserve">the </w:t>
            </w:r>
            <w:r w:rsidR="00774E2B" w:rsidRPr="001E1B8B">
              <w:rPr>
                <w:rFonts w:ascii="Calibri" w:eastAsia="Calibri" w:hAnsi="Calibri" w:cs="Calibri"/>
              </w:rPr>
              <w:t xml:space="preserve">dataset of the </w:t>
            </w:r>
            <w:r w:rsidR="006E063C" w:rsidRPr="001E1B8B">
              <w:rPr>
                <w:rFonts w:ascii="Calibri" w:eastAsia="Calibri" w:hAnsi="Calibri" w:cs="Calibri"/>
              </w:rPr>
              <w:t xml:space="preserve">ITU </w:t>
            </w:r>
            <w:r w:rsidR="00300AB2" w:rsidRPr="001E1B8B">
              <w:rPr>
                <w:rFonts w:ascii="Calibri" w:eastAsia="Calibri" w:hAnsi="Calibri" w:cs="Calibri"/>
              </w:rPr>
              <w:t>i</w:t>
            </w:r>
            <w:r w:rsidR="006E063C" w:rsidRPr="001E1B8B">
              <w:rPr>
                <w:rFonts w:ascii="Calibri" w:eastAsia="Calibri" w:hAnsi="Calibri" w:cs="Calibri"/>
              </w:rPr>
              <w:t xml:space="preserve">nteractive </w:t>
            </w:r>
            <w:r w:rsidR="00300AB2" w:rsidRPr="001E1B8B">
              <w:rPr>
                <w:rFonts w:ascii="Calibri" w:eastAsia="Calibri" w:hAnsi="Calibri" w:cs="Calibri"/>
              </w:rPr>
              <w:t>t</w:t>
            </w:r>
            <w:r w:rsidR="006E063C" w:rsidRPr="001E1B8B">
              <w:rPr>
                <w:rFonts w:ascii="Calibri" w:eastAsia="Calibri" w:hAnsi="Calibri" w:cs="Calibri"/>
              </w:rPr>
              <w:t xml:space="preserve">ransmission </w:t>
            </w:r>
            <w:r w:rsidR="00300AB2" w:rsidRPr="001E1B8B">
              <w:rPr>
                <w:rFonts w:ascii="Calibri" w:eastAsia="Calibri" w:hAnsi="Calibri" w:cs="Calibri"/>
              </w:rPr>
              <w:t>m</w:t>
            </w:r>
            <w:r w:rsidR="006E063C" w:rsidRPr="001E1B8B">
              <w:rPr>
                <w:rFonts w:ascii="Calibri" w:eastAsia="Calibri" w:hAnsi="Calibri" w:cs="Calibri"/>
              </w:rPr>
              <w:t>aps</w:t>
            </w:r>
            <w:r w:rsidR="00F62110" w:rsidRPr="001E1B8B">
              <w:rPr>
                <w:rFonts w:ascii="Calibri" w:eastAsia="Calibri" w:hAnsi="Calibri" w:cs="Calibri"/>
              </w:rPr>
              <w:t>.</w:t>
            </w:r>
          </w:p>
          <w:p w14:paraId="516593AA" w14:textId="58DA5D5B" w:rsidR="006E063C" w:rsidRPr="001E1B8B" w:rsidRDefault="00300AB2" w:rsidP="00882D5E">
            <w:pPr>
              <w:pStyle w:val="ListParagraph"/>
              <w:numPr>
                <w:ilvl w:val="0"/>
                <w:numId w:val="30"/>
              </w:numPr>
              <w:spacing w:after="120"/>
              <w:ind w:left="357" w:hanging="357"/>
              <w:rPr>
                <w:rFonts w:cstheme="minorBidi"/>
                <w:color w:val="444444"/>
              </w:rPr>
            </w:pPr>
            <w:r w:rsidRPr="001E1B8B">
              <w:rPr>
                <w:rFonts w:ascii="Calibri" w:eastAsia="Calibri" w:hAnsi="Calibri" w:cs="Calibri"/>
              </w:rPr>
              <w:t>A re</w:t>
            </w:r>
            <w:r w:rsidR="006E063C" w:rsidRPr="001E1B8B">
              <w:rPr>
                <w:rFonts w:ascii="Calibri" w:eastAsia="Calibri" w:hAnsi="Calibri" w:cs="Calibri"/>
              </w:rPr>
              <w:t xml:space="preserve">gional </w:t>
            </w:r>
            <w:r w:rsidRPr="001E1B8B">
              <w:rPr>
                <w:rFonts w:ascii="Calibri" w:eastAsia="Calibri" w:hAnsi="Calibri" w:cs="Calibri"/>
              </w:rPr>
              <w:t>i</w:t>
            </w:r>
            <w:r w:rsidR="006E063C" w:rsidRPr="001E1B8B">
              <w:rPr>
                <w:rFonts w:ascii="Calibri" w:eastAsia="Calibri" w:hAnsi="Calibri" w:cs="Calibri"/>
              </w:rPr>
              <w:t xml:space="preserve">nitiative </w:t>
            </w:r>
            <w:r w:rsidRPr="001E1B8B">
              <w:rPr>
                <w:rFonts w:ascii="Calibri" w:eastAsia="Calibri" w:hAnsi="Calibri" w:cs="Calibri"/>
              </w:rPr>
              <w:t>p</w:t>
            </w:r>
            <w:r w:rsidR="006E063C" w:rsidRPr="001E1B8B">
              <w:rPr>
                <w:rFonts w:ascii="Calibri" w:eastAsia="Calibri" w:hAnsi="Calibri" w:cs="Calibri"/>
              </w:rPr>
              <w:t>roject</w:t>
            </w:r>
            <w:r w:rsidR="00774E2B" w:rsidRPr="001E1B8B">
              <w:rPr>
                <w:rFonts w:ascii="Calibri" w:eastAsia="Calibri" w:hAnsi="Calibri" w:cs="Calibri"/>
              </w:rPr>
              <w:t xml:space="preserve"> on </w:t>
            </w:r>
            <w:r w:rsidR="00FC7C66" w:rsidRPr="001E1B8B">
              <w:rPr>
                <w:rFonts w:ascii="Calibri" w:eastAsia="Calibri" w:hAnsi="Calibri" w:cs="Calibri"/>
                <w:i/>
              </w:rPr>
              <w:t>s</w:t>
            </w:r>
            <w:r w:rsidR="006E063C" w:rsidRPr="001E1B8B">
              <w:rPr>
                <w:rFonts w:ascii="Calibri" w:eastAsia="Calibri" w:hAnsi="Calibri" w:cs="Calibri"/>
                <w:i/>
              </w:rPr>
              <w:t xml:space="preserve">upporting of </w:t>
            </w:r>
            <w:r w:rsidR="00FC7C66" w:rsidRPr="001E1B8B">
              <w:rPr>
                <w:rFonts w:ascii="Calibri" w:eastAsia="Calibri" w:hAnsi="Calibri" w:cs="Calibri"/>
                <w:i/>
              </w:rPr>
              <w:t>i</w:t>
            </w:r>
            <w:r w:rsidR="006E063C" w:rsidRPr="001E1B8B">
              <w:rPr>
                <w:rFonts w:ascii="Calibri" w:eastAsia="Calibri" w:hAnsi="Calibri" w:cs="Calibri"/>
                <w:i/>
              </w:rPr>
              <w:t xml:space="preserve">nvestment </w:t>
            </w:r>
            <w:r w:rsidR="00FC7C66" w:rsidRPr="001E1B8B">
              <w:rPr>
                <w:rFonts w:ascii="Calibri" w:eastAsia="Calibri" w:hAnsi="Calibri" w:cs="Calibri"/>
                <w:i/>
              </w:rPr>
              <w:t>o</w:t>
            </w:r>
            <w:r w:rsidR="006E063C" w:rsidRPr="001E1B8B">
              <w:rPr>
                <w:rFonts w:ascii="Calibri" w:eastAsia="Calibri" w:hAnsi="Calibri" w:cs="Calibri"/>
                <w:i/>
              </w:rPr>
              <w:t xml:space="preserve">pportunity </w:t>
            </w:r>
            <w:r w:rsidR="00FC7C66" w:rsidRPr="001E1B8B">
              <w:rPr>
                <w:rFonts w:ascii="Calibri" w:eastAsia="Calibri" w:hAnsi="Calibri" w:cs="Calibri"/>
                <w:i/>
              </w:rPr>
              <w:t>m</w:t>
            </w:r>
            <w:r w:rsidR="006E063C" w:rsidRPr="001E1B8B">
              <w:rPr>
                <w:rFonts w:ascii="Calibri" w:eastAsia="Calibri" w:hAnsi="Calibri" w:cs="Calibri"/>
                <w:i/>
              </w:rPr>
              <w:t xml:space="preserve">apping </w:t>
            </w:r>
            <w:r w:rsidR="00FC7C66" w:rsidRPr="001E1B8B">
              <w:rPr>
                <w:rFonts w:ascii="Calibri" w:eastAsia="Calibri" w:hAnsi="Calibri" w:cs="Calibri"/>
                <w:i/>
              </w:rPr>
              <w:t>s</w:t>
            </w:r>
            <w:r w:rsidR="006E063C" w:rsidRPr="001E1B8B">
              <w:rPr>
                <w:rFonts w:ascii="Calibri" w:eastAsia="Calibri" w:hAnsi="Calibri" w:cs="Calibri"/>
                <w:i/>
              </w:rPr>
              <w:t>ystems</w:t>
            </w:r>
            <w:r w:rsidR="00774E2B" w:rsidRPr="001E1B8B">
              <w:rPr>
                <w:rFonts w:ascii="Calibri" w:eastAsia="Calibri" w:hAnsi="Calibri" w:cs="Calibri"/>
                <w:i/>
              </w:rPr>
              <w:t xml:space="preserve"> </w:t>
            </w:r>
            <w:r w:rsidR="006E063C" w:rsidRPr="001E1B8B">
              <w:rPr>
                <w:rFonts w:ascii="Calibri" w:eastAsia="Calibri" w:hAnsi="Calibri" w:cs="Calibri"/>
                <w:i/>
              </w:rPr>
              <w:t xml:space="preserve">in </w:t>
            </w:r>
            <w:r w:rsidR="00FC7C66" w:rsidRPr="001E1B8B">
              <w:rPr>
                <w:rFonts w:ascii="Calibri" w:eastAsia="Calibri" w:hAnsi="Calibri" w:cs="Calibri"/>
                <w:i/>
              </w:rPr>
              <w:t>b</w:t>
            </w:r>
            <w:r w:rsidR="006E063C" w:rsidRPr="001E1B8B">
              <w:rPr>
                <w:rFonts w:ascii="Calibri" w:eastAsia="Calibri" w:hAnsi="Calibri" w:cs="Calibri"/>
                <w:i/>
              </w:rPr>
              <w:t xml:space="preserve">roadband </w:t>
            </w:r>
            <w:r w:rsidR="00FC7C66" w:rsidRPr="001E1B8B">
              <w:rPr>
                <w:rFonts w:ascii="Calibri" w:eastAsia="Calibri" w:hAnsi="Calibri" w:cs="Calibri"/>
                <w:i/>
              </w:rPr>
              <w:t>i</w:t>
            </w:r>
            <w:r w:rsidR="006E063C" w:rsidRPr="001E1B8B">
              <w:rPr>
                <w:rFonts w:ascii="Calibri" w:eastAsia="Calibri" w:hAnsi="Calibri" w:cs="Calibri"/>
                <w:i/>
              </w:rPr>
              <w:t xml:space="preserve">nfrastructure for </w:t>
            </w:r>
            <w:r w:rsidR="00FC7C66" w:rsidRPr="001E1B8B">
              <w:rPr>
                <w:rFonts w:ascii="Calibri" w:eastAsia="Calibri" w:hAnsi="Calibri" w:cs="Calibri"/>
                <w:i/>
              </w:rPr>
              <w:t>s</w:t>
            </w:r>
            <w:r w:rsidR="006E063C" w:rsidRPr="001E1B8B">
              <w:rPr>
                <w:rFonts w:ascii="Calibri" w:eastAsia="Calibri" w:hAnsi="Calibri" w:cs="Calibri"/>
                <w:i/>
              </w:rPr>
              <w:t>outh</w:t>
            </w:r>
            <w:r w:rsidR="00FC7C66" w:rsidRPr="001E1B8B">
              <w:rPr>
                <w:rFonts w:ascii="Calibri" w:eastAsia="Calibri" w:hAnsi="Calibri" w:cs="Calibri"/>
                <w:i/>
              </w:rPr>
              <w:t xml:space="preserve"> </w:t>
            </w:r>
            <w:r w:rsidR="006E3EE7" w:rsidRPr="001E1B8B">
              <w:rPr>
                <w:rFonts w:ascii="Calibri" w:eastAsia="Calibri" w:hAnsi="Calibri" w:cs="Calibri"/>
                <w:i/>
              </w:rPr>
              <w:t>E</w:t>
            </w:r>
            <w:r w:rsidR="006E063C" w:rsidRPr="001E1B8B">
              <w:rPr>
                <w:rFonts w:ascii="Calibri" w:eastAsia="Calibri" w:hAnsi="Calibri" w:cs="Calibri"/>
                <w:i/>
              </w:rPr>
              <w:t>astern Europe</w:t>
            </w:r>
            <w:r w:rsidR="00774E2B" w:rsidRPr="001E1B8B">
              <w:rPr>
                <w:rFonts w:ascii="Calibri" w:eastAsia="Calibri" w:hAnsi="Calibri" w:cs="Calibri"/>
              </w:rPr>
              <w:t xml:space="preserve"> was developed.</w:t>
            </w:r>
          </w:p>
        </w:tc>
      </w:tr>
    </w:tbl>
    <w:p w14:paraId="1A61D117" w14:textId="77777777" w:rsidR="00557B8C" w:rsidRPr="001E1B8B" w:rsidRDefault="00557B8C" w:rsidP="00557B8C">
      <w:pPr>
        <w:shd w:val="clear" w:color="auto" w:fill="FFFFFF"/>
        <w:tabs>
          <w:tab w:val="clear" w:pos="794"/>
          <w:tab w:val="clear" w:pos="1191"/>
          <w:tab w:val="clear" w:pos="1588"/>
          <w:tab w:val="clear" w:pos="1985"/>
        </w:tabs>
        <w:overflowPunct/>
        <w:autoSpaceDE/>
        <w:autoSpaceDN/>
        <w:adjustRightInd/>
        <w:rPr>
          <w:rFonts w:cstheme="minorHAnsi"/>
          <w:szCs w:val="24"/>
        </w:rPr>
      </w:pPr>
    </w:p>
    <w:tbl>
      <w:tblPr>
        <w:tblStyle w:val="TableGrid4"/>
        <w:tblW w:w="0" w:type="auto"/>
        <w:tblLook w:val="04A0" w:firstRow="1" w:lastRow="0" w:firstColumn="1" w:lastColumn="0" w:noHBand="0" w:noVBand="1"/>
      </w:tblPr>
      <w:tblGrid>
        <w:gridCol w:w="9629"/>
      </w:tblGrid>
      <w:tr w:rsidR="00557B8C" w:rsidRPr="001E1B8B" w14:paraId="3B9EFEB3" w14:textId="77777777" w:rsidTr="0054502F">
        <w:tc>
          <w:tcPr>
            <w:tcW w:w="9629" w:type="dxa"/>
          </w:tcPr>
          <w:p w14:paraId="359F1408" w14:textId="77777777" w:rsidR="00557B8C" w:rsidRPr="001E1B8B" w:rsidRDefault="00557B8C" w:rsidP="00557B8C">
            <w:pPr>
              <w:keepNext/>
              <w:shd w:val="clear" w:color="auto" w:fill="FFFFFF" w:themeFill="background1"/>
              <w:tabs>
                <w:tab w:val="clear" w:pos="794"/>
                <w:tab w:val="clear" w:pos="1191"/>
                <w:tab w:val="clear" w:pos="1588"/>
                <w:tab w:val="clear" w:pos="1985"/>
              </w:tabs>
              <w:overflowPunct/>
              <w:autoSpaceDE/>
              <w:autoSpaceDN/>
              <w:adjustRightInd/>
              <w:rPr>
                <w:rFonts w:cstheme="minorBidi"/>
                <w:b/>
                <w:bCs/>
                <w:szCs w:val="24"/>
              </w:rPr>
            </w:pPr>
            <w:r w:rsidRPr="001E1B8B">
              <w:rPr>
                <w:rFonts w:cstheme="minorBidi"/>
                <w:b/>
                <w:bCs/>
                <w:szCs w:val="24"/>
              </w:rPr>
              <w:lastRenderedPageBreak/>
              <w:t>STUDY GROUPS</w:t>
            </w:r>
          </w:p>
          <w:p w14:paraId="32D044FC" w14:textId="73D57960" w:rsidR="00B014A3" w:rsidRPr="001E1B8B" w:rsidRDefault="00B014A3" w:rsidP="00B014A3">
            <w:pPr>
              <w:keepNext/>
              <w:rPr>
                <w:rFonts w:ascii="Calibri" w:eastAsia="Calibri" w:hAnsi="Calibri" w:cs="Calibri"/>
              </w:rPr>
            </w:pPr>
            <w:r w:rsidRPr="001E1B8B">
              <w:rPr>
                <w:rFonts w:ascii="Calibri" w:eastAsia="Calibri" w:hAnsi="Calibri" w:cs="Calibri"/>
              </w:rPr>
              <w:t>The</w:t>
            </w:r>
            <w:r w:rsidRPr="001E1B8B">
              <w:rPr>
                <w:rFonts w:ascii="Calibri" w:eastAsia="Calibri" w:hAnsi="Calibri" w:cs="Calibri"/>
                <w:b/>
                <w:bCs/>
              </w:rPr>
              <w:t xml:space="preserve"> first annual delivera</w:t>
            </w:r>
            <w:r w:rsidRPr="001E1B8B">
              <w:rPr>
                <w:rFonts w:eastAsiaTheme="minorEastAsia" w:cstheme="minorBidi"/>
                <w:b/>
                <w:bCs/>
              </w:rPr>
              <w:t>ble from the ITU-D study groups</w:t>
            </w:r>
            <w:r w:rsidRPr="001E1B8B">
              <w:rPr>
                <w:rFonts w:eastAsiaTheme="minorEastAsia" w:cstheme="minorBidi"/>
              </w:rPr>
              <w:t xml:space="preserve"> entitled </w:t>
            </w:r>
            <w:hyperlink r:id="rId64">
              <w:r w:rsidRPr="00AA0599">
                <w:rPr>
                  <w:rStyle w:val="Hyperlink"/>
                  <w:rFonts w:eastAsiaTheme="minorEastAsia" w:cstheme="minorBidi"/>
                </w:rPr>
                <w:t>Trends in new broadcasting technologies, services and applications</w:t>
              </w:r>
            </w:hyperlink>
            <w:r w:rsidRPr="001E1B8B">
              <w:rPr>
                <w:rFonts w:eastAsiaTheme="minorEastAsia" w:cstheme="minorBidi"/>
              </w:rPr>
              <w:t xml:space="preserve"> (Question 2/1) was released during the ITU-D Study Group 1 meeting. The deliverable provides the latest trends in broadcasting including n</w:t>
            </w:r>
            <w:r w:rsidRPr="001E1B8B">
              <w:rPr>
                <w:rFonts w:ascii="Calibri" w:eastAsia="Calibri" w:hAnsi="Calibri" w:cs="Calibri"/>
              </w:rPr>
              <w:t>ew service scenarios based on latest technologies, highlights of the work being carried out in ITU-T and through recent events, as well as economic and regulatory impacts for end-users, stakeholders and regulatory bodies.</w:t>
            </w:r>
          </w:p>
          <w:p w14:paraId="7AF3355C" w14:textId="3C12AEE6" w:rsidR="00B014A3" w:rsidRPr="001E1B8B" w:rsidRDefault="00B014A3" w:rsidP="00B014A3">
            <w:pPr>
              <w:keepNext/>
              <w:rPr>
                <w:rFonts w:ascii="Calibri" w:eastAsia="Calibri" w:hAnsi="Calibri" w:cs="Calibri"/>
              </w:rPr>
            </w:pPr>
            <w:r w:rsidRPr="001E1B8B">
              <w:t xml:space="preserve">Two workshops that were held in conjunction with the ITU-D Study Group 1 Rapporteur Group meetings in September 2019 shared some interesting findings. The </w:t>
            </w:r>
            <w:hyperlink r:id="rId65">
              <w:r w:rsidRPr="00AA0599">
                <w:rPr>
                  <w:rStyle w:val="Hyperlink"/>
                </w:rPr>
                <w:t>workshop on rural connectivity</w:t>
              </w:r>
            </w:hyperlink>
            <w:r w:rsidRPr="001E1B8B">
              <w:t xml:space="preserve"> brought forth key challenges, such as costs</w:t>
            </w:r>
            <w:r w:rsidR="00506FA1">
              <w:t xml:space="preserve">, </w:t>
            </w:r>
            <w:r w:rsidRPr="001E1B8B">
              <w:t xml:space="preserve">to connecting people in rural areas, noting further that the barrier to connecting the unconnected is not, as one may think, spectrum or coverage. The </w:t>
            </w:r>
            <w:hyperlink r:id="rId66">
              <w:r w:rsidRPr="00AA0599">
                <w:rPr>
                  <w:rStyle w:val="Hyperlink"/>
                </w:rPr>
                <w:t>workshop on the implementation of broadband projects</w:t>
              </w:r>
            </w:hyperlink>
            <w:r w:rsidRPr="001E1B8B">
              <w:t xml:space="preserve"> shared evidence, success stories and challenges encountered from such projects in all geographical regions. The presentations are shared on the respective workshop websites.</w:t>
            </w:r>
          </w:p>
          <w:p w14:paraId="5F530501" w14:textId="697EB397" w:rsidR="00B014A3" w:rsidRPr="001E1B8B" w:rsidRDefault="00B014A3" w:rsidP="00B014A3">
            <w:pPr>
              <w:keepNext/>
            </w:pPr>
            <w:r w:rsidRPr="001E1B8B">
              <w:rPr>
                <w:rFonts w:cstheme="minorBidi"/>
              </w:rPr>
              <w:t xml:space="preserve">A workshop on </w:t>
            </w:r>
            <w:r w:rsidRPr="00506FA1">
              <w:rPr>
                <w:rFonts w:cstheme="minorBidi"/>
                <w:i/>
                <w:iCs/>
              </w:rPr>
              <w:t xml:space="preserve">ICT </w:t>
            </w:r>
            <w:r w:rsidR="00FC7C66" w:rsidRPr="00506FA1">
              <w:rPr>
                <w:rFonts w:cstheme="minorBidi"/>
                <w:i/>
                <w:iCs/>
              </w:rPr>
              <w:t>c</w:t>
            </w:r>
            <w:r w:rsidRPr="00506FA1">
              <w:rPr>
                <w:rFonts w:cstheme="minorBidi"/>
                <w:i/>
                <w:iCs/>
              </w:rPr>
              <w:t xml:space="preserve">onformance and </w:t>
            </w:r>
            <w:r w:rsidR="00FC7C66" w:rsidRPr="00506FA1">
              <w:rPr>
                <w:rFonts w:cstheme="minorBidi"/>
                <w:i/>
                <w:iCs/>
              </w:rPr>
              <w:t>i</w:t>
            </w:r>
            <w:r w:rsidRPr="00506FA1">
              <w:rPr>
                <w:rFonts w:cstheme="minorBidi"/>
                <w:i/>
                <w:iCs/>
              </w:rPr>
              <w:t>nteroperability: challenges for developing countries</w:t>
            </w:r>
            <w:r w:rsidRPr="001E1B8B">
              <w:rPr>
                <w:rFonts w:cstheme="minorBidi"/>
              </w:rPr>
              <w:t xml:space="preserve"> was organized in conjunction with ITU-D Study Group </w:t>
            </w:r>
            <w:r w:rsidR="00A47ED5" w:rsidRPr="001E1B8B">
              <w:rPr>
                <w:rFonts w:cstheme="minorBidi"/>
              </w:rPr>
              <w:t>(</w:t>
            </w:r>
            <w:r w:rsidRPr="001E1B8B">
              <w:rPr>
                <w:rFonts w:cstheme="minorBidi"/>
              </w:rPr>
              <w:t xml:space="preserve">2 Question 4/2 </w:t>
            </w:r>
            <w:r w:rsidRPr="00A47ED5">
              <w:rPr>
                <w:rFonts w:cstheme="minorBidi"/>
                <w:i/>
                <w:iCs/>
              </w:rPr>
              <w:t>Assistance to developing countries for implementing conformance and interoperability (C&amp;I) programmes and combating counterfeit ICT equipment and theft of mobile devices</w:t>
            </w:r>
            <w:r w:rsidRPr="001E1B8B">
              <w:rPr>
                <w:rFonts w:cstheme="minorBidi"/>
              </w:rPr>
              <w:t xml:space="preserve">). This event explored </w:t>
            </w:r>
            <w:r w:rsidRPr="001E1B8B">
              <w:t>and proposed solutions</w:t>
            </w:r>
            <w:r w:rsidR="00506FA1">
              <w:t xml:space="preserve"> for</w:t>
            </w:r>
            <w:r w:rsidRPr="001E1B8B">
              <w:t>: ICT products as SDGs enablers, innovative collaboration, and new technologies (especially IoT)</w:t>
            </w:r>
            <w:r w:rsidRPr="001E1B8B">
              <w:rPr>
                <w:rFonts w:cstheme="minorBidi"/>
              </w:rPr>
              <w:t xml:space="preserve">. </w:t>
            </w:r>
            <w:r w:rsidRPr="001E1B8B">
              <w:rPr>
                <w:rFonts w:eastAsia="Calibri" w:cstheme="minorBidi"/>
              </w:rPr>
              <w:t xml:space="preserve">The content exchanged and lessons learned during the workshop will be used as input to the </w:t>
            </w:r>
            <w:r w:rsidR="00FC7C66" w:rsidRPr="001E1B8B">
              <w:rPr>
                <w:rFonts w:eastAsia="Calibri" w:cstheme="minorBidi"/>
              </w:rPr>
              <w:t>f</w:t>
            </w:r>
            <w:r w:rsidRPr="001E1B8B">
              <w:rPr>
                <w:rFonts w:eastAsia="Calibri" w:cstheme="minorBidi"/>
              </w:rPr>
              <w:t xml:space="preserve">inal </w:t>
            </w:r>
            <w:r w:rsidR="00FC7C66" w:rsidRPr="001E1B8B">
              <w:rPr>
                <w:rFonts w:eastAsia="Calibri" w:cstheme="minorBidi"/>
              </w:rPr>
              <w:t>r</w:t>
            </w:r>
            <w:r w:rsidRPr="001E1B8B">
              <w:rPr>
                <w:rFonts w:eastAsia="Calibri" w:cstheme="minorBidi"/>
              </w:rPr>
              <w:t xml:space="preserve">eport of Question 4/2. The workshop programme and presentations can be accessed at the following </w:t>
            </w:r>
            <w:hyperlink r:id="rId67" w:history="1">
              <w:r w:rsidRPr="001E1B8B">
                <w:rPr>
                  <w:rStyle w:val="Hyperlink"/>
                  <w:rFonts w:eastAsia="Calibri" w:cstheme="minorHAnsi"/>
                </w:rPr>
                <w:t>link</w:t>
              </w:r>
            </w:hyperlink>
            <w:r w:rsidRPr="001E1B8B">
              <w:rPr>
                <w:rFonts w:eastAsia="Calibri" w:cstheme="minorHAnsi"/>
              </w:rPr>
              <w:t>.</w:t>
            </w:r>
          </w:p>
          <w:p w14:paraId="0EF3D780" w14:textId="0B93C4B0" w:rsidR="00BE7966" w:rsidRPr="001E1B8B" w:rsidRDefault="00B014A3" w:rsidP="00493BD3">
            <w:pPr>
              <w:keepNext/>
              <w:shd w:val="clear" w:color="auto" w:fill="FFFFFF" w:themeFill="background1"/>
              <w:tabs>
                <w:tab w:val="clear" w:pos="794"/>
                <w:tab w:val="clear" w:pos="1191"/>
                <w:tab w:val="clear" w:pos="1588"/>
                <w:tab w:val="clear" w:pos="1985"/>
              </w:tabs>
              <w:overflowPunct/>
              <w:autoSpaceDE/>
              <w:autoSpaceDN/>
              <w:adjustRightInd/>
              <w:spacing w:after="120"/>
              <w:rPr>
                <w:rFonts w:cstheme="minorBidi"/>
                <w:szCs w:val="24"/>
              </w:rPr>
            </w:pPr>
            <w:r w:rsidRPr="001E1B8B">
              <w:rPr>
                <w:rFonts w:ascii="Calibri" w:eastAsia="Calibri" w:hAnsi="Calibri" w:cs="Calibri"/>
              </w:rPr>
              <w:t>A tutorial on AI and emerging technolo</w:t>
            </w:r>
            <w:r w:rsidRPr="001E1B8B">
              <w:rPr>
                <w:rFonts w:cstheme="minorBidi"/>
              </w:rPr>
              <w:t>gies (</w:t>
            </w:r>
            <w:hyperlink r:id="rId68" w:history="1">
              <w:r w:rsidRPr="001E1B8B">
                <w:rPr>
                  <w:rStyle w:val="Hyperlink"/>
                  <w:rFonts w:eastAsiaTheme="minorEastAsia" w:cstheme="minorBidi"/>
                </w:rPr>
                <w:t>https://www.itu.int/en/ITU-D/Study-Groups/2018-2021/Pages/meetings/tutorial_AI_oct19.aspx</w:t>
              </w:r>
            </w:hyperlink>
            <w:r w:rsidRPr="001E1B8B">
              <w:rPr>
                <w:rFonts w:ascii="Calibri" w:eastAsia="Calibri" w:hAnsi="Calibri" w:cs="Calibri"/>
              </w:rPr>
              <w:t xml:space="preserve">), held at ITU in conjunction with ITU-D study group rapporteur group meetings, enabled ITU </w:t>
            </w:r>
            <w:r w:rsidR="00FC7C66" w:rsidRPr="001E1B8B">
              <w:rPr>
                <w:rFonts w:ascii="Calibri" w:eastAsia="Calibri" w:hAnsi="Calibri" w:cs="Calibri"/>
              </w:rPr>
              <w:t>M</w:t>
            </w:r>
            <w:r w:rsidRPr="001E1B8B">
              <w:rPr>
                <w:rFonts w:ascii="Calibri" w:eastAsia="Calibri" w:hAnsi="Calibri" w:cs="Calibri"/>
              </w:rPr>
              <w:t>ember</w:t>
            </w:r>
            <w:r w:rsidR="00FC7C66" w:rsidRPr="001E1B8B">
              <w:rPr>
                <w:rFonts w:ascii="Calibri" w:eastAsia="Calibri" w:hAnsi="Calibri" w:cs="Calibri"/>
              </w:rPr>
              <w:t xml:space="preserve"> States, Sector Members,</w:t>
            </w:r>
            <w:r w:rsidRPr="001E1B8B">
              <w:rPr>
                <w:rFonts w:ascii="Calibri" w:eastAsia="Calibri" w:hAnsi="Calibri" w:cs="Calibri"/>
              </w:rPr>
              <w:t xml:space="preserve"> and ITU staff to learn more about what AI is and what it is not, as well as the opportunities and challenges. Trainers and speakers from academia, the private sector and government agencies shared their insights, while the discussions highlighted some of the questions regarding intellectual property rights, ethics and accountability that remain to be addressed. The presentations are shared on the </w:t>
            </w:r>
            <w:hyperlink r:id="rId69">
              <w:r w:rsidRPr="001E1B8B">
                <w:rPr>
                  <w:rStyle w:val="Hyperlink"/>
                  <w:rFonts w:ascii="Calibri" w:eastAsia="Calibri" w:hAnsi="Calibri" w:cs="Calibri"/>
                </w:rPr>
                <w:t>website</w:t>
              </w:r>
            </w:hyperlink>
            <w:r w:rsidRPr="001E1B8B">
              <w:rPr>
                <w:rFonts w:ascii="Calibri" w:eastAsia="Calibri" w:hAnsi="Calibri" w:cs="Calibri"/>
              </w:rPr>
              <w:t xml:space="preserve">. </w:t>
            </w:r>
          </w:p>
        </w:tc>
      </w:tr>
    </w:tbl>
    <w:p w14:paraId="5D9DF184" w14:textId="4B7EBE19" w:rsidR="009A30A6" w:rsidRPr="001E1B8B" w:rsidRDefault="00643D89" w:rsidP="00563C28">
      <w:pPr>
        <w:keepNext/>
        <w:spacing w:before="240"/>
        <w:rPr>
          <w:b/>
          <w:bCs/>
        </w:rPr>
      </w:pPr>
      <w:r w:rsidRPr="001E1B8B">
        <w:rPr>
          <w:b/>
          <w:bCs/>
        </w:rPr>
        <w:t>9</w:t>
      </w:r>
      <w:r w:rsidR="009A30A6" w:rsidRPr="001E1B8B">
        <w:rPr>
          <w:b/>
          <w:bCs/>
        </w:rPr>
        <w:t>.</w:t>
      </w:r>
      <w:r w:rsidR="009A30A6" w:rsidRPr="001E1B8B">
        <w:rPr>
          <w:b/>
          <w:bCs/>
        </w:rPr>
        <w:tab/>
      </w:r>
      <w:r w:rsidRPr="001E1B8B">
        <w:rPr>
          <w:b/>
          <w:bCs/>
        </w:rPr>
        <w:t>P</w:t>
      </w:r>
      <w:r w:rsidR="0021796F" w:rsidRPr="001E1B8B">
        <w:rPr>
          <w:b/>
          <w:bCs/>
        </w:rPr>
        <w:t>olicy and regulation</w:t>
      </w:r>
      <w:r w:rsidR="008C0718" w:rsidRPr="001E1B8B">
        <w:rPr>
          <w:b/>
          <w:bCs/>
        </w:rPr>
        <w:t xml:space="preserve">: </w:t>
      </w:r>
      <w:r w:rsidR="0021796F" w:rsidRPr="001E1B8B">
        <w:rPr>
          <w:b/>
          <w:bCs/>
        </w:rPr>
        <w:t>S</w:t>
      </w:r>
      <w:r w:rsidR="008C0718" w:rsidRPr="001E1B8B">
        <w:rPr>
          <w:b/>
          <w:bCs/>
        </w:rPr>
        <w:t>upporting</w:t>
      </w:r>
      <w:r w:rsidR="00AE67E7">
        <w:rPr>
          <w:b/>
          <w:bCs/>
        </w:rPr>
        <w:t xml:space="preserve"> </w:t>
      </w:r>
      <w:r w:rsidR="00AE67E7" w:rsidRPr="00AE67E7">
        <w:rPr>
          <w:b/>
          <w:bCs/>
        </w:rPr>
        <w:t>collaborative</w:t>
      </w:r>
      <w:r w:rsidR="008C0718" w:rsidRPr="001E1B8B">
        <w:rPr>
          <w:b/>
          <w:bCs/>
        </w:rPr>
        <w:t xml:space="preserve"> </w:t>
      </w:r>
      <w:r w:rsidR="00BD797C" w:rsidRPr="001E1B8B">
        <w:rPr>
          <w:b/>
          <w:bCs/>
        </w:rPr>
        <w:t xml:space="preserve">policy and regulatory frameworks for digital market development and user well-being </w:t>
      </w:r>
    </w:p>
    <w:p w14:paraId="0F4742A7" w14:textId="3EED519B" w:rsidR="00643D89" w:rsidRPr="001E1B8B" w:rsidRDefault="001C1B7C" w:rsidP="00DC03AE">
      <w:pPr>
        <w:keepNext/>
        <w:rPr>
          <w:bCs/>
        </w:rPr>
      </w:pPr>
      <w:r w:rsidRPr="001E1B8B">
        <w:rPr>
          <w:bCs/>
        </w:rPr>
        <w:t>9.1</w:t>
      </w:r>
      <w:r w:rsidRPr="001E1B8B">
        <w:rPr>
          <w:bCs/>
        </w:rPr>
        <w:tab/>
      </w:r>
      <w:r w:rsidR="00643D89" w:rsidRPr="001E1B8B">
        <w:rPr>
          <w:b/>
          <w:bCs/>
        </w:rPr>
        <w:t>GSR-19</w:t>
      </w:r>
    </w:p>
    <w:p w14:paraId="3BD4B126" w14:textId="0E1C5745" w:rsidR="001544B3" w:rsidRPr="001E1B8B" w:rsidRDefault="001544B3" w:rsidP="001544B3">
      <w:r w:rsidRPr="001E1B8B">
        <w:t xml:space="preserve">The 19th edition of the </w:t>
      </w:r>
      <w:hyperlink r:id="rId70" w:history="1">
        <w:r w:rsidRPr="001E1B8B">
          <w:rPr>
            <w:color w:val="0000FF" w:themeColor="hyperlink"/>
            <w:u w:val="single"/>
          </w:rPr>
          <w:t>Global Symposium for Regulators (GSR-19)</w:t>
        </w:r>
      </w:hyperlink>
      <w:r w:rsidRPr="001E1B8B">
        <w:t xml:space="preserve">, held in Port Vila, Vanuatu, from 9 to 12 July, attracted over 325 participants including </w:t>
      </w:r>
      <w:r w:rsidR="0021796F" w:rsidRPr="001E1B8B">
        <w:t>g</w:t>
      </w:r>
      <w:r w:rsidRPr="001E1B8B">
        <w:t xml:space="preserve">overnment </w:t>
      </w:r>
      <w:r w:rsidR="0021796F" w:rsidRPr="001E1B8B">
        <w:t>m</w:t>
      </w:r>
      <w:r w:rsidRPr="001E1B8B">
        <w:t xml:space="preserve">inisters, </w:t>
      </w:r>
      <w:r w:rsidR="0021796F" w:rsidRPr="001E1B8B">
        <w:t>h</w:t>
      </w:r>
      <w:r w:rsidRPr="001E1B8B">
        <w:t xml:space="preserve">eads of </w:t>
      </w:r>
      <w:r w:rsidR="0021796F" w:rsidRPr="001E1B8B">
        <w:t>r</w:t>
      </w:r>
      <w:r w:rsidRPr="001E1B8B">
        <w:t xml:space="preserve">egulatory </w:t>
      </w:r>
      <w:r w:rsidR="0021796F" w:rsidRPr="001E1B8B">
        <w:t>a</w:t>
      </w:r>
      <w:r w:rsidRPr="001E1B8B">
        <w:t>uthorities</w:t>
      </w:r>
      <w:r w:rsidR="0021796F" w:rsidRPr="001E1B8B">
        <w:t>,</w:t>
      </w:r>
      <w:r w:rsidRPr="001E1B8B">
        <w:t xml:space="preserve"> and industry executives from 64 countries. Chaired by Mr Brian Winji, Chairman of the Telecommunications, Radiocommunications and Broadcasting Regulator of the Republic of Vanuatu, the theme of GSR-19 was </w:t>
      </w:r>
      <w:r w:rsidR="0021796F" w:rsidRPr="001E1B8B">
        <w:rPr>
          <w:i/>
          <w:iCs/>
        </w:rPr>
        <w:t>I</w:t>
      </w:r>
      <w:r w:rsidRPr="001E1B8B">
        <w:rPr>
          <w:i/>
          <w:iCs/>
        </w:rPr>
        <w:t>nclusive connectivity: The future of regulation</w:t>
      </w:r>
      <w:r w:rsidRPr="001E1B8B">
        <w:t xml:space="preserve">. GSR-19 adopted the </w:t>
      </w:r>
      <w:r w:rsidR="0021796F" w:rsidRPr="001E1B8B">
        <w:t>b</w:t>
      </w:r>
      <w:r w:rsidRPr="001E1B8B">
        <w:t xml:space="preserve">est </w:t>
      </w:r>
      <w:r w:rsidR="0021796F" w:rsidRPr="001E1B8B">
        <w:t>p</w:t>
      </w:r>
      <w:r w:rsidRPr="001E1B8B">
        <w:t xml:space="preserve">ractice </w:t>
      </w:r>
      <w:r w:rsidR="0021796F" w:rsidRPr="001E1B8B">
        <w:t>g</w:t>
      </w:r>
      <w:r w:rsidRPr="001E1B8B">
        <w:t xml:space="preserve">uidelines on fast-forwarding digital connectivity for all. The guidelines support spreading last mile networks to allow everyone to participate in the digital economy and benefit from digital transformation. </w:t>
      </w:r>
    </w:p>
    <w:p w14:paraId="699CC649" w14:textId="4CFDB00D" w:rsidR="00643D89" w:rsidRPr="001E1B8B" w:rsidRDefault="001C1B7C" w:rsidP="00DC03AE">
      <w:pPr>
        <w:keepNext/>
        <w:rPr>
          <w:bCs/>
        </w:rPr>
      </w:pPr>
      <w:r w:rsidRPr="001E1B8B">
        <w:rPr>
          <w:bCs/>
        </w:rPr>
        <w:lastRenderedPageBreak/>
        <w:t>9.2</w:t>
      </w:r>
      <w:r w:rsidRPr="001E1B8B">
        <w:rPr>
          <w:bCs/>
        </w:rPr>
        <w:tab/>
      </w:r>
      <w:r w:rsidR="00643D89" w:rsidRPr="001E1B8B">
        <w:rPr>
          <w:b/>
          <w:bCs/>
        </w:rPr>
        <w:t>T</w:t>
      </w:r>
      <w:r w:rsidR="0021796F" w:rsidRPr="001E1B8B">
        <w:rPr>
          <w:b/>
          <w:bCs/>
        </w:rPr>
        <w:t>he positive impact of broadband</w:t>
      </w:r>
    </w:p>
    <w:p w14:paraId="3E6FC34C" w14:textId="75043373" w:rsidR="005C26EA" w:rsidRPr="001E1B8B" w:rsidRDefault="005C26EA" w:rsidP="005C26EA">
      <w:r w:rsidRPr="001E1B8B">
        <w:t xml:space="preserve">A series of reports quantified the positive economic impact of broadband, digital transformation and the interplay of ICT regulation both at </w:t>
      </w:r>
      <w:hyperlink r:id="rId71" w:history="1">
        <w:r w:rsidRPr="001E1B8B">
          <w:rPr>
            <w:rStyle w:val="Hyperlink"/>
          </w:rPr>
          <w:t>regional and global level</w:t>
        </w:r>
        <w:r w:rsidR="0021796F" w:rsidRPr="001E1B8B">
          <w:rPr>
            <w:rStyle w:val="Hyperlink"/>
          </w:rPr>
          <w:t>s</w:t>
        </w:r>
      </w:hyperlink>
      <w:r w:rsidRPr="001E1B8B">
        <w:t>.</w:t>
      </w:r>
      <w:r w:rsidRPr="001E1B8B">
        <w:rPr>
          <w:bCs/>
        </w:rPr>
        <w:t xml:space="preserve"> </w:t>
      </w:r>
      <w:r w:rsidRPr="001E1B8B">
        <w:t xml:space="preserve">The main outcomes from the econometric </w:t>
      </w:r>
      <w:r w:rsidR="00495118" w:rsidRPr="001E1B8B">
        <w:t>modelling</w:t>
      </w:r>
      <w:r w:rsidRPr="001E1B8B">
        <w:t xml:space="preserve"> by region suggest that, an increase of 10 per cent in mobile broadband penetration would yield an increase in 2.5 per cent in GDP per capita in the</w:t>
      </w:r>
      <w:r w:rsidRPr="001E1B8B">
        <w:rPr>
          <w:bCs/>
        </w:rPr>
        <w:t xml:space="preserve"> </w:t>
      </w:r>
      <w:hyperlink r:id="rId72" w:history="1">
        <w:r w:rsidRPr="001E1B8B">
          <w:rPr>
            <w:rStyle w:val="Hyperlink"/>
            <w:bCs/>
          </w:rPr>
          <w:t>Africa region</w:t>
        </w:r>
      </w:hyperlink>
      <w:r w:rsidRPr="001E1B8B">
        <w:rPr>
          <w:bCs/>
        </w:rPr>
        <w:t xml:space="preserve">, while the increase </w:t>
      </w:r>
      <w:r w:rsidRPr="001E1B8B">
        <w:t>in GDP per capita</w:t>
      </w:r>
      <w:r w:rsidRPr="001E1B8B">
        <w:rPr>
          <w:bCs/>
        </w:rPr>
        <w:t xml:space="preserve"> would be of</w:t>
      </w:r>
      <w:r w:rsidRPr="001E1B8B">
        <w:t xml:space="preserve"> 1.9 per cent </w:t>
      </w:r>
      <w:r w:rsidRPr="001E1B8B">
        <w:rPr>
          <w:bCs/>
        </w:rPr>
        <w:t>i</w:t>
      </w:r>
      <w:r w:rsidRPr="001E1B8B">
        <w:t>n the</w:t>
      </w:r>
      <w:r w:rsidRPr="001E1B8B">
        <w:rPr>
          <w:bCs/>
        </w:rPr>
        <w:t xml:space="preserve"> </w:t>
      </w:r>
      <w:hyperlink r:id="rId73" w:history="1">
        <w:r w:rsidRPr="001E1B8B">
          <w:rPr>
            <w:rStyle w:val="Hyperlink"/>
            <w:bCs/>
          </w:rPr>
          <w:t>Americas region</w:t>
        </w:r>
      </w:hyperlink>
      <w:r w:rsidRPr="001E1B8B">
        <w:rPr>
          <w:bCs/>
        </w:rPr>
        <w:t xml:space="preserve">, </w:t>
      </w:r>
      <w:r w:rsidRPr="001E1B8B">
        <w:t xml:space="preserve">1.81 per cent in the </w:t>
      </w:r>
      <w:r w:rsidRPr="001E1B8B">
        <w:rPr>
          <w:bCs/>
        </w:rPr>
        <w:t>Arab States region, 0.51 per cent i</w:t>
      </w:r>
      <w:r w:rsidRPr="001E1B8B">
        <w:t xml:space="preserve">n the </w:t>
      </w:r>
      <w:hyperlink r:id="rId74" w:history="1">
        <w:r w:rsidRPr="001E1B8B">
          <w:rPr>
            <w:rStyle w:val="Hyperlink"/>
            <w:bCs/>
          </w:rPr>
          <w:t>Asia-Pacific region</w:t>
        </w:r>
      </w:hyperlink>
      <w:r w:rsidRPr="001E1B8B">
        <w:t xml:space="preserve">, 1.25 per cent in CIS </w:t>
      </w:r>
      <w:r w:rsidR="0021796F" w:rsidRPr="001E1B8B">
        <w:t xml:space="preserve">region, </w:t>
      </w:r>
      <w:r w:rsidRPr="001E1B8B">
        <w:t xml:space="preserve">and 2.1 per cent in the </w:t>
      </w:r>
      <w:r w:rsidRPr="001E1B8B">
        <w:rPr>
          <w:bCs/>
        </w:rPr>
        <w:t>Europe region</w:t>
      </w:r>
      <w:r w:rsidRPr="001E1B8B">
        <w:t>. In addition, the findings of the regional studies suggest that pricing remains a key enabler for adoption of broadband. A 10 per cent drop in prices will boost adoption by more than three per cent in Africa and the Americas</w:t>
      </w:r>
      <w:r w:rsidR="00A62369">
        <w:t xml:space="preserve"> regions</w:t>
      </w:r>
      <w:r w:rsidRPr="001E1B8B">
        <w:t>.</w:t>
      </w:r>
    </w:p>
    <w:p w14:paraId="6C10F89E" w14:textId="77F73F12" w:rsidR="002105CD" w:rsidRPr="001E1B8B" w:rsidRDefault="002105CD" w:rsidP="002105CD">
      <w:r w:rsidRPr="001E1B8B">
        <w:t xml:space="preserve">The ITU report from the Working Group of the Broadband Commission on the Digital Infrastructure Moonshot for Africa entitled </w:t>
      </w:r>
      <w:hyperlink r:id="rId75" w:history="1">
        <w:r w:rsidRPr="001E1B8B">
          <w:rPr>
            <w:rStyle w:val="Hyperlink"/>
            <w:i/>
          </w:rPr>
          <w:t>Connecting Africa Through Broadband A strategy for doubling connectivity by 2021 and reaching universal access by 2030</w:t>
        </w:r>
        <w:r w:rsidRPr="001E1B8B">
          <w:rPr>
            <w:rStyle w:val="Hyperlink"/>
          </w:rPr>
          <w:t xml:space="preserve"> </w:t>
        </w:r>
      </w:hyperlink>
      <w:r w:rsidRPr="001E1B8B">
        <w:t>benefitted from substantive contributions from ITU. The report attempt</w:t>
      </w:r>
      <w:r w:rsidR="00A62369">
        <w:t>s</w:t>
      </w:r>
      <w:r w:rsidRPr="001E1B8B">
        <w:t xml:space="preserve"> to quantify the cost of bridging the broadband gap in Africa, providing a roadmap and action plan for reaching universal broadband connectivity in the region by 2030.</w:t>
      </w:r>
    </w:p>
    <w:p w14:paraId="60A42036" w14:textId="1841048D" w:rsidR="00ED68DF" w:rsidRPr="001E1B8B" w:rsidRDefault="00ED68DF" w:rsidP="00776763">
      <w:pPr>
        <w:keepNext/>
        <w:shd w:val="clear" w:color="auto" w:fill="FFFFFF"/>
        <w:tabs>
          <w:tab w:val="clear" w:pos="794"/>
          <w:tab w:val="clear" w:pos="1191"/>
          <w:tab w:val="clear" w:pos="1588"/>
          <w:tab w:val="clear" w:pos="1985"/>
        </w:tabs>
        <w:overflowPunct/>
        <w:autoSpaceDE/>
        <w:autoSpaceDN/>
        <w:adjustRightInd/>
        <w:rPr>
          <w:rFonts w:cstheme="minorHAnsi"/>
          <w:b/>
          <w:szCs w:val="24"/>
        </w:rPr>
      </w:pPr>
      <w:r w:rsidRPr="001E1B8B">
        <w:rPr>
          <w:rFonts w:cstheme="minorHAnsi"/>
          <w:szCs w:val="24"/>
        </w:rPr>
        <w:t>9.3</w:t>
      </w:r>
      <w:r w:rsidRPr="001E1B8B">
        <w:rPr>
          <w:rFonts w:cstheme="minorHAnsi"/>
          <w:szCs w:val="24"/>
        </w:rPr>
        <w:tab/>
      </w:r>
      <w:r w:rsidR="00554497" w:rsidRPr="001E1B8B">
        <w:rPr>
          <w:rFonts w:cstheme="minorHAnsi"/>
          <w:b/>
          <w:bCs/>
          <w:szCs w:val="24"/>
        </w:rPr>
        <w:t>ITU</w:t>
      </w:r>
      <w:r w:rsidR="00554497" w:rsidRPr="001E1B8B">
        <w:rPr>
          <w:rFonts w:cstheme="minorHAnsi"/>
          <w:szCs w:val="24"/>
        </w:rPr>
        <w:t xml:space="preserve"> </w:t>
      </w:r>
      <w:r w:rsidRPr="001E1B8B">
        <w:rPr>
          <w:rFonts w:cstheme="minorHAnsi"/>
          <w:b/>
          <w:szCs w:val="24"/>
        </w:rPr>
        <w:t>ICT</w:t>
      </w:r>
      <w:r w:rsidR="0021796F" w:rsidRPr="001E1B8B">
        <w:rPr>
          <w:rFonts w:cstheme="minorHAnsi"/>
          <w:b/>
          <w:szCs w:val="24"/>
        </w:rPr>
        <w:t xml:space="preserve"> </w:t>
      </w:r>
      <w:r w:rsidR="008E663D" w:rsidRPr="001E1B8B">
        <w:rPr>
          <w:rFonts w:cstheme="minorHAnsi"/>
          <w:b/>
          <w:szCs w:val="24"/>
        </w:rPr>
        <w:t>R</w:t>
      </w:r>
      <w:r w:rsidR="0021796F" w:rsidRPr="001E1B8B">
        <w:rPr>
          <w:rFonts w:cstheme="minorHAnsi"/>
          <w:b/>
          <w:szCs w:val="24"/>
        </w:rPr>
        <w:t xml:space="preserve">egulatory </w:t>
      </w:r>
      <w:r w:rsidR="00554497" w:rsidRPr="001E1B8B">
        <w:rPr>
          <w:rFonts w:cstheme="minorHAnsi"/>
          <w:b/>
          <w:szCs w:val="24"/>
        </w:rPr>
        <w:t>T</w:t>
      </w:r>
      <w:r w:rsidR="0021796F" w:rsidRPr="001E1B8B">
        <w:rPr>
          <w:rFonts w:cstheme="minorHAnsi"/>
          <w:b/>
          <w:szCs w:val="24"/>
        </w:rPr>
        <w:t>racker and global ICT regulatory outlook report</w:t>
      </w:r>
    </w:p>
    <w:p w14:paraId="13749D26" w14:textId="61543627" w:rsidR="00ED68DF" w:rsidRPr="001E1B8B" w:rsidRDefault="00ED68DF" w:rsidP="005B3C27">
      <w:pPr>
        <w:rPr>
          <w:rFonts w:cstheme="minorHAnsi"/>
          <w:szCs w:val="24"/>
        </w:rPr>
      </w:pPr>
      <w:r w:rsidRPr="001E1B8B">
        <w:rPr>
          <w:rFonts w:cstheme="minorHAnsi"/>
          <w:color w:val="333333"/>
          <w:szCs w:val="24"/>
          <w:shd w:val="clear" w:color="auto" w:fill="FFFFFF"/>
        </w:rPr>
        <w:t xml:space="preserve">The </w:t>
      </w:r>
      <w:r w:rsidR="00554497" w:rsidRPr="001E1B8B">
        <w:rPr>
          <w:rFonts w:cstheme="minorHAnsi"/>
          <w:color w:val="333333"/>
          <w:szCs w:val="24"/>
          <w:shd w:val="clear" w:color="auto" w:fill="FFFFFF"/>
        </w:rPr>
        <w:t xml:space="preserve">ITU </w:t>
      </w:r>
      <w:hyperlink r:id="rId76" w:anchor="/tracker-by-country/regulatory-tracker/2018" w:history="1">
        <w:r w:rsidRPr="001E1B8B">
          <w:rPr>
            <w:rStyle w:val="Hyperlink"/>
            <w:rFonts w:cstheme="minorHAnsi"/>
            <w:szCs w:val="24"/>
            <w:shd w:val="clear" w:color="auto" w:fill="FFFFFF"/>
          </w:rPr>
          <w:t>ICT Regulatory Tracker</w:t>
        </w:r>
      </w:hyperlink>
      <w:r w:rsidRPr="001E1B8B">
        <w:rPr>
          <w:rFonts w:cstheme="minorHAnsi"/>
          <w:color w:val="333333"/>
          <w:szCs w:val="24"/>
          <w:shd w:val="clear" w:color="auto" w:fill="FFFFFF"/>
        </w:rPr>
        <w:t xml:space="preserve"> </w:t>
      </w:r>
      <w:r w:rsidR="00BD797C" w:rsidRPr="001E1B8B">
        <w:rPr>
          <w:rFonts w:cstheme="minorHAnsi"/>
          <w:color w:val="333333"/>
          <w:szCs w:val="24"/>
          <w:shd w:val="clear" w:color="auto" w:fill="FFFFFF"/>
        </w:rPr>
        <w:t xml:space="preserve">was </w:t>
      </w:r>
      <w:r w:rsidR="005B3C27" w:rsidRPr="001E1B8B">
        <w:rPr>
          <w:rFonts w:cstheme="minorHAnsi"/>
          <w:color w:val="333333"/>
          <w:szCs w:val="24"/>
          <w:shd w:val="clear" w:color="auto" w:fill="FFFFFF"/>
        </w:rPr>
        <w:t xml:space="preserve">published </w:t>
      </w:r>
      <w:r w:rsidR="00BD797C" w:rsidRPr="001E1B8B">
        <w:rPr>
          <w:rFonts w:cstheme="minorHAnsi"/>
          <w:color w:val="333333"/>
          <w:szCs w:val="24"/>
          <w:shd w:val="clear" w:color="auto" w:fill="FFFFFF"/>
        </w:rPr>
        <w:t xml:space="preserve">to help inform key policy decisions. </w:t>
      </w:r>
      <w:r w:rsidR="00554497" w:rsidRPr="001E1B8B">
        <w:rPr>
          <w:rFonts w:cstheme="minorHAnsi"/>
          <w:szCs w:val="24"/>
        </w:rPr>
        <w:t xml:space="preserve">It </w:t>
      </w:r>
      <w:r w:rsidRPr="001E1B8B">
        <w:rPr>
          <w:rFonts w:cstheme="minorHAnsi"/>
          <w:szCs w:val="24"/>
        </w:rPr>
        <w:t xml:space="preserve">is composed of </w:t>
      </w:r>
      <w:r w:rsidR="00427FD0" w:rsidRPr="001E1B8B">
        <w:rPr>
          <w:rFonts w:cstheme="minorHAnsi"/>
          <w:szCs w:val="24"/>
        </w:rPr>
        <w:t xml:space="preserve">50 indicators </w:t>
      </w:r>
      <w:r w:rsidRPr="001E1B8B">
        <w:rPr>
          <w:rFonts w:cstheme="minorHAnsi"/>
          <w:szCs w:val="24"/>
        </w:rPr>
        <w:t>grouped into four pillars: regulatory authority, regulatory mandate, regulatory regime</w:t>
      </w:r>
      <w:r w:rsidR="00554497" w:rsidRPr="001E1B8B">
        <w:rPr>
          <w:rFonts w:cstheme="minorHAnsi"/>
          <w:szCs w:val="24"/>
        </w:rPr>
        <w:t>,</w:t>
      </w:r>
      <w:r w:rsidRPr="001E1B8B">
        <w:rPr>
          <w:rFonts w:cstheme="minorHAnsi"/>
          <w:szCs w:val="24"/>
        </w:rPr>
        <w:t xml:space="preserve"> and competition frameworks</w:t>
      </w:r>
      <w:r w:rsidR="00554497" w:rsidRPr="001E1B8B">
        <w:rPr>
          <w:rFonts w:cstheme="minorHAnsi"/>
          <w:szCs w:val="24"/>
        </w:rPr>
        <w:t>,</w:t>
      </w:r>
      <w:r w:rsidRPr="001E1B8B">
        <w:rPr>
          <w:rFonts w:cstheme="minorHAnsi"/>
          <w:szCs w:val="24"/>
        </w:rPr>
        <w:t xml:space="preserve"> and data is available for the period from 2007 through 2018. </w:t>
      </w:r>
    </w:p>
    <w:p w14:paraId="7BBD72FF" w14:textId="6D5F1F7B" w:rsidR="00ED68DF" w:rsidRPr="001E1B8B" w:rsidRDefault="00BD797C" w:rsidP="00AA0599">
      <w:pPr>
        <w:keepNext/>
        <w:shd w:val="clear" w:color="auto" w:fill="FFFFFF"/>
        <w:tabs>
          <w:tab w:val="clear" w:pos="794"/>
          <w:tab w:val="clear" w:pos="1191"/>
          <w:tab w:val="clear" w:pos="1588"/>
          <w:tab w:val="clear" w:pos="1985"/>
        </w:tabs>
        <w:overflowPunct/>
        <w:autoSpaceDE/>
        <w:autoSpaceDN/>
        <w:adjustRightInd/>
        <w:rPr>
          <w:rFonts w:cstheme="minorHAnsi"/>
          <w:szCs w:val="24"/>
        </w:rPr>
      </w:pPr>
      <w:r w:rsidRPr="001E1B8B">
        <w:rPr>
          <w:rFonts w:cstheme="minorHAnsi"/>
          <w:szCs w:val="24"/>
        </w:rPr>
        <w:t>9.</w:t>
      </w:r>
      <w:r w:rsidR="005B3C27" w:rsidRPr="001E1B8B">
        <w:rPr>
          <w:rFonts w:cstheme="minorHAnsi"/>
          <w:szCs w:val="24"/>
        </w:rPr>
        <w:t>4</w:t>
      </w:r>
      <w:r w:rsidR="00ED68DF" w:rsidRPr="001E1B8B">
        <w:rPr>
          <w:rFonts w:cstheme="minorHAnsi"/>
          <w:szCs w:val="24"/>
        </w:rPr>
        <w:tab/>
      </w:r>
      <w:r w:rsidR="00ED68DF" w:rsidRPr="001E1B8B">
        <w:rPr>
          <w:rFonts w:cstheme="minorHAnsi"/>
          <w:b/>
          <w:szCs w:val="24"/>
        </w:rPr>
        <w:t>C</w:t>
      </w:r>
      <w:r w:rsidR="00554497" w:rsidRPr="001E1B8B">
        <w:rPr>
          <w:rFonts w:cstheme="minorHAnsi"/>
          <w:b/>
          <w:szCs w:val="24"/>
        </w:rPr>
        <w:t xml:space="preserve">ollaborative regulation benchmark and tools </w:t>
      </w:r>
    </w:p>
    <w:p w14:paraId="2DF1A9AF" w14:textId="46C80D2B" w:rsidR="00ED68DF" w:rsidRPr="001E1B8B" w:rsidRDefault="00ED68DF" w:rsidP="00ED68DF">
      <w:r w:rsidRPr="001E1B8B">
        <w:t xml:space="preserve">The </w:t>
      </w:r>
      <w:hyperlink r:id="rId77" w:history="1">
        <w:r w:rsidRPr="001E1B8B">
          <w:rPr>
            <w:rStyle w:val="Hyperlink"/>
          </w:rPr>
          <w:t>G5 Benchmark</w:t>
        </w:r>
      </w:hyperlink>
      <w:r w:rsidRPr="001E1B8B">
        <w:t xml:space="preserve"> was launched at GSR-19 as a new tool that models regulatory set-up and tools</w:t>
      </w:r>
      <w:r w:rsidR="00A62369">
        <w:t>,</w:t>
      </w:r>
      <w:r w:rsidRPr="001E1B8B">
        <w:t xml:space="preserve"> and proposes collaborative, cross-sector solutions to fast-track effective regulation for digital transformation. Based on a sound methodology and robust data, it highlights shortcomings in existing policy frameworks for the digital transformation and provides a roadmap for further regulatory reform. The </w:t>
      </w:r>
      <w:r w:rsidR="00554497" w:rsidRPr="001E1B8B">
        <w:t xml:space="preserve">G5 </w:t>
      </w:r>
      <w:r w:rsidRPr="001E1B8B">
        <w:t xml:space="preserve">Benchmark covers 80 countries in all regions, with 2018-2019 data. According to the analysis based on the Benchmark and the ICT Regulatory Tracker, nine out of ten countries are still regulating ICTs as a separate economic sector. </w:t>
      </w:r>
      <w:r w:rsidR="00C66D32">
        <w:t>A</w:t>
      </w:r>
      <w:r w:rsidRPr="001E1B8B">
        <w:t xml:space="preserve"> vanguard of 16</w:t>
      </w:r>
      <w:r w:rsidRPr="001E1B8B">
        <w:rPr>
          <w:i/>
        </w:rPr>
        <w:t xml:space="preserve"> </w:t>
      </w:r>
      <w:r w:rsidRPr="001E1B8B">
        <w:t>countries have achieved the fifth generation, collaborative regulation and now have holistic, forward-looking regulatory frameworks in place</w:t>
      </w:r>
      <w:r w:rsidRPr="001E1B8B">
        <w:rPr>
          <w:i/>
        </w:rPr>
        <w:t xml:space="preserve"> </w:t>
      </w:r>
      <w:r w:rsidRPr="001E1B8B">
        <w:t>set to enable digital transformation across their economies. Europe ranks first of the regions, boasting ten of 16 global G5 champions. The six countries outside Europe now joining the G5 cadre are Brazil, Canada, Kenya, Morocco, Japan</w:t>
      </w:r>
      <w:r w:rsidR="00554497" w:rsidRPr="001E1B8B">
        <w:t>,</w:t>
      </w:r>
      <w:r w:rsidRPr="001E1B8B">
        <w:t xml:space="preserve"> and Singapore. </w:t>
      </w:r>
    </w:p>
    <w:p w14:paraId="2B075A98" w14:textId="1C25A186" w:rsidR="00ED68DF" w:rsidRPr="001E1B8B" w:rsidRDefault="00ED68DF">
      <w:pPr>
        <w:keepNext/>
        <w:shd w:val="clear" w:color="auto" w:fill="FFFFFF"/>
        <w:tabs>
          <w:tab w:val="clear" w:pos="794"/>
          <w:tab w:val="clear" w:pos="1191"/>
          <w:tab w:val="clear" w:pos="1588"/>
          <w:tab w:val="clear" w:pos="1985"/>
        </w:tabs>
        <w:overflowPunct/>
        <w:autoSpaceDE/>
        <w:autoSpaceDN/>
        <w:adjustRightInd/>
        <w:rPr>
          <w:rFonts w:cstheme="minorHAnsi"/>
          <w:szCs w:val="24"/>
        </w:rPr>
      </w:pPr>
      <w:r w:rsidRPr="001E1B8B">
        <w:rPr>
          <w:rFonts w:cstheme="minorHAnsi"/>
          <w:szCs w:val="24"/>
        </w:rPr>
        <w:t>9.</w:t>
      </w:r>
      <w:r w:rsidR="005B3C27" w:rsidRPr="001E1B8B">
        <w:rPr>
          <w:rFonts w:cstheme="minorHAnsi"/>
          <w:szCs w:val="24"/>
        </w:rPr>
        <w:t>5</w:t>
      </w:r>
      <w:r w:rsidRPr="001E1B8B">
        <w:rPr>
          <w:rFonts w:cstheme="minorHAnsi"/>
          <w:szCs w:val="24"/>
        </w:rPr>
        <w:tab/>
      </w:r>
      <w:r w:rsidRPr="001E1B8B">
        <w:rPr>
          <w:rFonts w:cstheme="minorHAnsi"/>
          <w:b/>
          <w:szCs w:val="24"/>
        </w:rPr>
        <w:t>R</w:t>
      </w:r>
      <w:r w:rsidR="00554497" w:rsidRPr="001E1B8B">
        <w:rPr>
          <w:rFonts w:cstheme="minorHAnsi"/>
          <w:b/>
          <w:szCs w:val="24"/>
        </w:rPr>
        <w:t>egulatory training</w:t>
      </w:r>
    </w:p>
    <w:p w14:paraId="542B3FA7" w14:textId="77777777" w:rsidR="00ED68DF" w:rsidRPr="001E1B8B" w:rsidRDefault="00ED68DF" w:rsidP="00ED68DF">
      <w:r w:rsidRPr="001E1B8B">
        <w:t xml:space="preserve">A series of training sessions were held for regulators to address digital policy and regulation and market developments and collaborative regulatory approaches for digital transformation. </w:t>
      </w:r>
    </w:p>
    <w:p w14:paraId="1A35B99E" w14:textId="16F61F73" w:rsidR="00ED68DF" w:rsidRPr="001E1B8B" w:rsidRDefault="00ED68DF" w:rsidP="00ED68DF">
      <w:pPr>
        <w:rPr>
          <w:bCs/>
        </w:rPr>
      </w:pPr>
      <w:r w:rsidRPr="001E1B8B">
        <w:t>Within the framework of the ITU Academy, GSMA offered a ‘taster’ training session for policy</w:t>
      </w:r>
      <w:r w:rsidR="008561CB" w:rsidRPr="001E1B8B">
        <w:t>-</w:t>
      </w:r>
      <w:r w:rsidRPr="001E1B8B">
        <w:t xml:space="preserve">makers and regulators on </w:t>
      </w:r>
      <w:r w:rsidR="00554497" w:rsidRPr="001E1B8B">
        <w:t>c</w:t>
      </w:r>
      <w:r w:rsidRPr="001E1B8B">
        <w:t xml:space="preserve">ompetition policy in the ICT/ mobile sector at GSR-19. The session provided a half-day introduction to the topic, based on content from the </w:t>
      </w:r>
      <w:r w:rsidR="00554497" w:rsidRPr="001E1B8B">
        <w:t>United Kingdom</w:t>
      </w:r>
      <w:r w:rsidRPr="001E1B8B">
        <w:t xml:space="preserve"> Telecoms Academy-accredited two-day course, </w:t>
      </w:r>
      <w:r w:rsidRPr="00C66D32">
        <w:rPr>
          <w:i/>
          <w:iCs/>
        </w:rPr>
        <w:t>Competition Policy in the Digital Age</w:t>
      </w:r>
      <w:r w:rsidRPr="001E1B8B">
        <w:t>, which was offered as an online course to policy</w:t>
      </w:r>
      <w:r w:rsidR="008561CB" w:rsidRPr="001E1B8B">
        <w:t>-</w:t>
      </w:r>
      <w:r w:rsidRPr="001E1B8B">
        <w:t>makers and regulators through the ITU Academy in 2019.</w:t>
      </w:r>
    </w:p>
    <w:p w14:paraId="1A1EB4F9" w14:textId="183149CF" w:rsidR="00ED68DF" w:rsidRPr="001E1B8B" w:rsidRDefault="00ED68DF" w:rsidP="00776763">
      <w:r w:rsidRPr="001E1B8B">
        <w:rPr>
          <w:bCs/>
        </w:rPr>
        <w:t>ITU, USTTI</w:t>
      </w:r>
      <w:r w:rsidR="008E663D" w:rsidRPr="001E1B8B">
        <w:rPr>
          <w:bCs/>
        </w:rPr>
        <w:t>,</w:t>
      </w:r>
      <w:r w:rsidRPr="001E1B8B">
        <w:rPr>
          <w:bCs/>
        </w:rPr>
        <w:t xml:space="preserve"> and World Bank Group (WBG) collaborated to conduct a </w:t>
      </w:r>
      <w:r w:rsidR="00033F9D" w:rsidRPr="001E1B8B">
        <w:rPr>
          <w:bCs/>
        </w:rPr>
        <w:t>regulatory best practice</w:t>
      </w:r>
      <w:r w:rsidRPr="001E1B8B">
        <w:rPr>
          <w:bCs/>
        </w:rPr>
        <w:t xml:space="preserve"> training in Nairobi, Kenya, for officials from </w:t>
      </w:r>
      <w:r w:rsidR="00554497" w:rsidRPr="001E1B8B">
        <w:rPr>
          <w:bCs/>
        </w:rPr>
        <w:t xml:space="preserve">Eswatini, </w:t>
      </w:r>
      <w:r w:rsidRPr="001E1B8B">
        <w:rPr>
          <w:bCs/>
        </w:rPr>
        <w:t xml:space="preserve">Ethiopia, </w:t>
      </w:r>
      <w:r w:rsidR="00554497" w:rsidRPr="001E1B8B">
        <w:rPr>
          <w:bCs/>
        </w:rPr>
        <w:t xml:space="preserve">Kenya, Somalia, </w:t>
      </w:r>
      <w:r w:rsidRPr="001E1B8B">
        <w:rPr>
          <w:bCs/>
        </w:rPr>
        <w:t xml:space="preserve">South Sudan, and </w:t>
      </w:r>
      <w:r w:rsidRPr="001E1B8B">
        <w:rPr>
          <w:bCs/>
        </w:rPr>
        <w:lastRenderedPageBreak/>
        <w:t>Sierra Leone. With important support from the Communications Authority of Kenya and the African Telecommunications Union (ATU), the three-day program</w:t>
      </w:r>
      <w:r w:rsidR="00E01016" w:rsidRPr="001E1B8B">
        <w:rPr>
          <w:bCs/>
        </w:rPr>
        <w:t>me</w:t>
      </w:r>
      <w:r w:rsidRPr="001E1B8B">
        <w:rPr>
          <w:bCs/>
        </w:rPr>
        <w:t xml:space="preserve"> addressed the role of an independent communications regulator, licensing frameworks and regulatory best practices that spur investment. </w:t>
      </w:r>
    </w:p>
    <w:p w14:paraId="27116E61" w14:textId="6AB26094" w:rsidR="00F1178B" w:rsidRPr="001E1B8B" w:rsidRDefault="00F1178B">
      <w:pPr>
        <w:keepNext/>
        <w:overflowPunct/>
        <w:autoSpaceDE/>
        <w:autoSpaceDN/>
        <w:adjustRightInd/>
      </w:pPr>
      <w:r w:rsidRPr="001E1B8B">
        <w:rPr>
          <w:rFonts w:ascii="Calibri" w:eastAsia="Calibri" w:hAnsi="Calibri" w:cs="Calibri"/>
        </w:rPr>
        <w:t>9.</w:t>
      </w:r>
      <w:r w:rsidR="005B3C27" w:rsidRPr="001E1B8B">
        <w:rPr>
          <w:rFonts w:ascii="Calibri" w:eastAsia="Calibri" w:hAnsi="Calibri" w:cs="Calibri"/>
        </w:rPr>
        <w:t>6</w:t>
      </w:r>
      <w:r w:rsidR="000E6693" w:rsidRPr="001E1B8B">
        <w:rPr>
          <w:rFonts w:ascii="Calibri" w:eastAsia="Calibri" w:hAnsi="Calibri" w:cs="Calibri"/>
        </w:rPr>
        <w:tab/>
      </w:r>
      <w:r w:rsidRPr="001E1B8B">
        <w:rPr>
          <w:rFonts w:ascii="Calibri" w:eastAsia="Calibri" w:hAnsi="Calibri" w:cs="Calibri"/>
          <w:b/>
        </w:rPr>
        <w:t>C</w:t>
      </w:r>
      <w:r w:rsidR="000E6693" w:rsidRPr="001E1B8B">
        <w:rPr>
          <w:rFonts w:ascii="Calibri" w:eastAsia="Calibri" w:hAnsi="Calibri" w:cs="Calibri"/>
          <w:b/>
        </w:rPr>
        <w:t>onsumer protection</w:t>
      </w:r>
    </w:p>
    <w:p w14:paraId="62C4425F" w14:textId="566E558C" w:rsidR="00F1178B" w:rsidRPr="001E1B8B" w:rsidRDefault="00F1178B" w:rsidP="00F1178B">
      <w:pPr>
        <w:rPr>
          <w:rFonts w:ascii="Calibri" w:eastAsia="Calibri" w:hAnsi="Calibri" w:cs="Calibri"/>
          <w:szCs w:val="24"/>
        </w:rPr>
      </w:pPr>
      <w:r w:rsidRPr="001E1B8B">
        <w:rPr>
          <w:rFonts w:ascii="Calibri" w:eastAsia="Calibri" w:hAnsi="Calibri" w:cs="Calibri"/>
          <w:szCs w:val="24"/>
        </w:rPr>
        <w:t xml:space="preserve">The Digital Consumer Forum for Africa 2019 focusing on </w:t>
      </w:r>
      <w:r w:rsidR="000E6693" w:rsidRPr="001E1B8B">
        <w:rPr>
          <w:rFonts w:ascii="Calibri" w:eastAsia="Calibri" w:hAnsi="Calibri" w:cs="Calibri"/>
          <w:szCs w:val="24"/>
        </w:rPr>
        <w:t>d</w:t>
      </w:r>
      <w:r w:rsidRPr="001E1B8B">
        <w:rPr>
          <w:rFonts w:ascii="Calibri" w:eastAsia="Calibri" w:hAnsi="Calibri" w:cs="Calibri"/>
          <w:szCs w:val="24"/>
        </w:rPr>
        <w:t xml:space="preserve">ata </w:t>
      </w:r>
      <w:r w:rsidR="000E6693" w:rsidRPr="001E1B8B">
        <w:rPr>
          <w:rFonts w:ascii="Calibri" w:eastAsia="Calibri" w:hAnsi="Calibri" w:cs="Calibri"/>
          <w:szCs w:val="24"/>
        </w:rPr>
        <w:t>p</w:t>
      </w:r>
      <w:r w:rsidRPr="001E1B8B">
        <w:rPr>
          <w:rFonts w:ascii="Calibri" w:eastAsia="Calibri" w:hAnsi="Calibri" w:cs="Calibri"/>
          <w:szCs w:val="24"/>
        </w:rPr>
        <w:t xml:space="preserve">rotection, </w:t>
      </w:r>
      <w:r w:rsidR="000E6693" w:rsidRPr="001E1B8B">
        <w:rPr>
          <w:rFonts w:ascii="Calibri" w:eastAsia="Calibri" w:hAnsi="Calibri" w:cs="Calibri"/>
          <w:szCs w:val="24"/>
        </w:rPr>
        <w:t>c</w:t>
      </w:r>
      <w:r w:rsidRPr="001E1B8B">
        <w:rPr>
          <w:rFonts w:ascii="Calibri" w:eastAsia="Calibri" w:hAnsi="Calibri" w:cs="Calibri"/>
          <w:szCs w:val="24"/>
        </w:rPr>
        <w:t xml:space="preserve">onsumer </w:t>
      </w:r>
      <w:r w:rsidR="000E6693" w:rsidRPr="001E1B8B">
        <w:rPr>
          <w:rFonts w:ascii="Calibri" w:eastAsia="Calibri" w:hAnsi="Calibri" w:cs="Calibri"/>
          <w:szCs w:val="24"/>
        </w:rPr>
        <w:t>p</w:t>
      </w:r>
      <w:r w:rsidRPr="001E1B8B">
        <w:rPr>
          <w:rFonts w:ascii="Calibri" w:eastAsia="Calibri" w:hAnsi="Calibri" w:cs="Calibri"/>
          <w:szCs w:val="24"/>
        </w:rPr>
        <w:t xml:space="preserve">rivacy, </w:t>
      </w:r>
      <w:r w:rsidR="000E6693" w:rsidRPr="001E1B8B">
        <w:rPr>
          <w:rFonts w:ascii="Calibri" w:eastAsia="Calibri" w:hAnsi="Calibri" w:cs="Calibri"/>
          <w:szCs w:val="24"/>
        </w:rPr>
        <w:t>t</w:t>
      </w:r>
      <w:r w:rsidRPr="001E1B8B">
        <w:rPr>
          <w:rFonts w:ascii="Calibri" w:eastAsia="Calibri" w:hAnsi="Calibri" w:cs="Calibri"/>
          <w:szCs w:val="24"/>
        </w:rPr>
        <w:t xml:space="preserve">rust, </w:t>
      </w:r>
      <w:r w:rsidR="000E6693" w:rsidRPr="001E1B8B">
        <w:rPr>
          <w:rFonts w:ascii="Calibri" w:eastAsia="Calibri" w:hAnsi="Calibri" w:cs="Calibri"/>
          <w:szCs w:val="24"/>
        </w:rPr>
        <w:t>and s</w:t>
      </w:r>
      <w:r w:rsidRPr="001E1B8B">
        <w:rPr>
          <w:rFonts w:ascii="Calibri" w:eastAsia="Calibri" w:hAnsi="Calibri" w:cs="Calibri"/>
          <w:szCs w:val="24"/>
        </w:rPr>
        <w:t>ecurity</w:t>
      </w:r>
      <w:r w:rsidR="000E6693" w:rsidRPr="001E1B8B">
        <w:rPr>
          <w:rFonts w:ascii="Calibri" w:eastAsia="Calibri" w:hAnsi="Calibri" w:cs="Calibri"/>
          <w:szCs w:val="24"/>
        </w:rPr>
        <w:t xml:space="preserve"> was </w:t>
      </w:r>
      <w:r w:rsidRPr="001E1B8B">
        <w:rPr>
          <w:rFonts w:ascii="Calibri" w:eastAsia="Calibri" w:hAnsi="Calibri" w:cs="Calibri"/>
          <w:szCs w:val="24"/>
        </w:rPr>
        <w:t>held in Eswatini</w:t>
      </w:r>
      <w:r w:rsidR="000E6693" w:rsidRPr="001E1B8B">
        <w:rPr>
          <w:rFonts w:ascii="Calibri" w:eastAsia="Calibri" w:hAnsi="Calibri" w:cs="Calibri"/>
          <w:szCs w:val="24"/>
        </w:rPr>
        <w:t xml:space="preserve"> and</w:t>
      </w:r>
      <w:r w:rsidRPr="001E1B8B">
        <w:rPr>
          <w:rFonts w:ascii="Calibri" w:eastAsia="Calibri" w:hAnsi="Calibri" w:cs="Calibri"/>
          <w:szCs w:val="24"/>
        </w:rPr>
        <w:t xml:space="preserve"> adopted a set of recommendations and best practice guidelines for policy and regulators in </w:t>
      </w:r>
      <w:r w:rsidR="000E6693" w:rsidRPr="001E1B8B">
        <w:rPr>
          <w:rFonts w:ascii="Calibri" w:eastAsia="Calibri" w:hAnsi="Calibri" w:cs="Calibri"/>
          <w:szCs w:val="24"/>
        </w:rPr>
        <w:t xml:space="preserve">the </w:t>
      </w:r>
      <w:r w:rsidRPr="001E1B8B">
        <w:rPr>
          <w:rFonts w:ascii="Calibri" w:eastAsia="Calibri" w:hAnsi="Calibri" w:cs="Calibri"/>
          <w:szCs w:val="24"/>
        </w:rPr>
        <w:t>Africa</w:t>
      </w:r>
      <w:r w:rsidR="000E6693" w:rsidRPr="001E1B8B">
        <w:rPr>
          <w:rFonts w:ascii="Calibri" w:eastAsia="Calibri" w:hAnsi="Calibri" w:cs="Calibri"/>
          <w:szCs w:val="24"/>
        </w:rPr>
        <w:t xml:space="preserve"> region</w:t>
      </w:r>
      <w:r w:rsidRPr="001E1B8B">
        <w:rPr>
          <w:rFonts w:ascii="Calibri" w:eastAsia="Calibri" w:hAnsi="Calibri" w:cs="Calibri"/>
          <w:szCs w:val="24"/>
        </w:rPr>
        <w:t xml:space="preserve">. The </w:t>
      </w:r>
      <w:r w:rsidR="0079040C" w:rsidRPr="001E1B8B">
        <w:rPr>
          <w:rFonts w:ascii="Calibri" w:eastAsia="Calibri" w:hAnsi="Calibri" w:cs="Calibri"/>
          <w:szCs w:val="24"/>
        </w:rPr>
        <w:t>f</w:t>
      </w:r>
      <w:r w:rsidRPr="001E1B8B">
        <w:rPr>
          <w:rFonts w:ascii="Calibri" w:eastAsia="Calibri" w:hAnsi="Calibri" w:cs="Calibri"/>
          <w:szCs w:val="24"/>
        </w:rPr>
        <w:t xml:space="preserve">orum preceded a workshop on collaborative approaches for </w:t>
      </w:r>
      <w:r w:rsidR="0079040C" w:rsidRPr="001E1B8B">
        <w:rPr>
          <w:rFonts w:ascii="Calibri" w:eastAsia="Calibri" w:hAnsi="Calibri" w:cs="Calibri"/>
          <w:szCs w:val="24"/>
        </w:rPr>
        <w:t>c</w:t>
      </w:r>
      <w:r w:rsidRPr="001E1B8B">
        <w:rPr>
          <w:rFonts w:ascii="Calibri" w:eastAsia="Calibri" w:hAnsi="Calibri" w:cs="Calibri"/>
          <w:szCs w:val="24"/>
        </w:rPr>
        <w:t xml:space="preserve">onsumer </w:t>
      </w:r>
      <w:r w:rsidR="0079040C" w:rsidRPr="001E1B8B">
        <w:rPr>
          <w:rFonts w:ascii="Calibri" w:eastAsia="Calibri" w:hAnsi="Calibri" w:cs="Calibri"/>
          <w:szCs w:val="24"/>
        </w:rPr>
        <w:t>p</w:t>
      </w:r>
      <w:r w:rsidRPr="001E1B8B">
        <w:rPr>
          <w:rFonts w:ascii="Calibri" w:eastAsia="Calibri" w:hAnsi="Calibri" w:cs="Calibri"/>
          <w:szCs w:val="24"/>
        </w:rPr>
        <w:t xml:space="preserve">rotection for </w:t>
      </w:r>
      <w:r w:rsidR="0079040C" w:rsidRPr="001E1B8B">
        <w:rPr>
          <w:rFonts w:ascii="Calibri" w:eastAsia="Calibri" w:hAnsi="Calibri" w:cs="Calibri"/>
          <w:szCs w:val="24"/>
        </w:rPr>
        <w:t>d</w:t>
      </w:r>
      <w:r w:rsidRPr="001E1B8B">
        <w:rPr>
          <w:rFonts w:ascii="Calibri" w:eastAsia="Calibri" w:hAnsi="Calibri" w:cs="Calibri"/>
          <w:szCs w:val="24"/>
        </w:rPr>
        <w:t xml:space="preserve">igital </w:t>
      </w:r>
      <w:r w:rsidR="0079040C" w:rsidRPr="001E1B8B">
        <w:rPr>
          <w:rFonts w:ascii="Calibri" w:eastAsia="Calibri" w:hAnsi="Calibri" w:cs="Calibri"/>
          <w:szCs w:val="24"/>
        </w:rPr>
        <w:t>f</w:t>
      </w:r>
      <w:r w:rsidRPr="001E1B8B">
        <w:rPr>
          <w:rFonts w:ascii="Calibri" w:eastAsia="Calibri" w:hAnsi="Calibri" w:cs="Calibri"/>
          <w:szCs w:val="24"/>
        </w:rPr>
        <w:t xml:space="preserve">inancial </w:t>
      </w:r>
      <w:r w:rsidR="0079040C" w:rsidRPr="001E1B8B">
        <w:rPr>
          <w:rFonts w:ascii="Calibri" w:eastAsia="Calibri" w:hAnsi="Calibri" w:cs="Calibri"/>
          <w:szCs w:val="24"/>
        </w:rPr>
        <w:t>i</w:t>
      </w:r>
      <w:r w:rsidRPr="001E1B8B">
        <w:rPr>
          <w:rFonts w:ascii="Calibri" w:eastAsia="Calibri" w:hAnsi="Calibri" w:cs="Calibri"/>
          <w:szCs w:val="24"/>
        </w:rPr>
        <w:t xml:space="preserve">nclusion with participation from a range of stakeholders representing the finance, insurance, local government and academia, among others. </w:t>
      </w:r>
    </w:p>
    <w:p w14:paraId="0913306B" w14:textId="582FF1DE" w:rsidR="005B3C27" w:rsidRPr="001E1B8B" w:rsidRDefault="005B3C27" w:rsidP="006E3EE7">
      <w:pPr>
        <w:keepNext/>
        <w:overflowPunct/>
        <w:autoSpaceDE/>
        <w:autoSpaceDN/>
        <w:adjustRightInd/>
        <w:rPr>
          <w:rFonts w:ascii="Calibri" w:eastAsia="Calibri" w:hAnsi="Calibri" w:cs="Calibri"/>
          <w:b/>
          <w:bCs/>
          <w:szCs w:val="24"/>
        </w:rPr>
      </w:pPr>
      <w:r w:rsidRPr="001E1B8B">
        <w:rPr>
          <w:rFonts w:ascii="Calibri" w:eastAsia="Calibri" w:hAnsi="Calibri" w:cs="Calibri"/>
          <w:szCs w:val="24"/>
        </w:rPr>
        <w:t>9.7</w:t>
      </w:r>
      <w:r w:rsidRPr="001E1B8B">
        <w:rPr>
          <w:rFonts w:ascii="Calibri" w:eastAsia="Calibri" w:hAnsi="Calibri" w:cs="Calibri"/>
          <w:szCs w:val="24"/>
        </w:rPr>
        <w:tab/>
      </w:r>
      <w:r w:rsidRPr="001E1B8B">
        <w:rPr>
          <w:rFonts w:ascii="Calibri" w:eastAsia="Calibri" w:hAnsi="Calibri" w:cs="Calibri"/>
          <w:b/>
          <w:bCs/>
          <w:szCs w:val="24"/>
        </w:rPr>
        <w:t>Financial Inclusion Global Initiative (FIGI)</w:t>
      </w:r>
    </w:p>
    <w:p w14:paraId="55154B6E" w14:textId="04CAEADB" w:rsidR="005B3C27" w:rsidRPr="001E1B8B" w:rsidRDefault="005B3C27" w:rsidP="00C66D32">
      <w:pPr>
        <w:rPr>
          <w:rFonts w:ascii="Calibri" w:hAnsi="Calibri" w:cs="Calibri"/>
          <w:color w:val="000000"/>
          <w:szCs w:val="24"/>
        </w:rPr>
      </w:pPr>
      <w:r w:rsidRPr="001E1B8B">
        <w:rPr>
          <w:rFonts w:ascii="Calibri" w:eastAsia="Calibri" w:hAnsi="Calibri" w:cs="Calibri"/>
          <w:szCs w:val="24"/>
        </w:rPr>
        <w:t xml:space="preserve">Assistance was provided on how to leverage ICTs for digital financial inclusion in China, </w:t>
      </w:r>
      <w:r w:rsidR="00C66D32" w:rsidRPr="001E1B8B">
        <w:rPr>
          <w:rFonts w:ascii="Calibri" w:eastAsia="Calibri" w:hAnsi="Calibri" w:cs="Calibri"/>
          <w:szCs w:val="24"/>
        </w:rPr>
        <w:t>Egypt</w:t>
      </w:r>
      <w:r w:rsidR="00C66D32">
        <w:rPr>
          <w:rFonts w:ascii="Calibri" w:eastAsia="Calibri" w:hAnsi="Calibri" w:cs="Calibri"/>
          <w:szCs w:val="24"/>
        </w:rPr>
        <w:t>,</w:t>
      </w:r>
      <w:r w:rsidR="00C66D32" w:rsidRPr="001E1B8B">
        <w:rPr>
          <w:rFonts w:ascii="Calibri" w:eastAsia="Calibri" w:hAnsi="Calibri" w:cs="Calibri"/>
          <w:szCs w:val="24"/>
        </w:rPr>
        <w:t xml:space="preserve"> and </w:t>
      </w:r>
      <w:r w:rsidRPr="001E1B8B">
        <w:rPr>
          <w:rFonts w:ascii="Calibri" w:eastAsia="Calibri" w:hAnsi="Calibri" w:cs="Calibri"/>
          <w:szCs w:val="24"/>
        </w:rPr>
        <w:t>Mexico</w:t>
      </w:r>
      <w:r w:rsidR="00C66D32">
        <w:rPr>
          <w:rFonts w:ascii="Calibri" w:eastAsia="Calibri" w:hAnsi="Calibri" w:cs="Calibri"/>
          <w:szCs w:val="24"/>
        </w:rPr>
        <w:t>,</w:t>
      </w:r>
      <w:r w:rsidRPr="001E1B8B">
        <w:rPr>
          <w:rFonts w:ascii="Calibri" w:eastAsia="Calibri" w:hAnsi="Calibri" w:cs="Calibri"/>
          <w:szCs w:val="24"/>
        </w:rPr>
        <w:t xml:space="preserve"> under the Financial Inclusion Global Initiative, a 3-year initiative led by the ITU, the World Bank Group</w:t>
      </w:r>
      <w:r w:rsidR="00C66D32">
        <w:rPr>
          <w:rFonts w:ascii="Calibri" w:eastAsia="Calibri" w:hAnsi="Calibri" w:cs="Calibri"/>
          <w:szCs w:val="24"/>
        </w:rPr>
        <w:t>,</w:t>
      </w:r>
      <w:r w:rsidRPr="001E1B8B">
        <w:rPr>
          <w:rFonts w:ascii="Calibri" w:eastAsia="Calibri" w:hAnsi="Calibri" w:cs="Calibri"/>
          <w:szCs w:val="24"/>
        </w:rPr>
        <w:t xml:space="preserve"> the Committee on Payments and Market Infrastructures</w:t>
      </w:r>
      <w:r w:rsidR="00C66D32">
        <w:rPr>
          <w:rFonts w:ascii="Calibri" w:eastAsia="Calibri" w:hAnsi="Calibri" w:cs="Calibri"/>
          <w:szCs w:val="24"/>
        </w:rPr>
        <w:t xml:space="preserve"> </w:t>
      </w:r>
      <w:r w:rsidRPr="001E1B8B">
        <w:rPr>
          <w:rFonts w:ascii="Calibri" w:eastAsia="Calibri" w:hAnsi="Calibri" w:cs="Calibri"/>
          <w:szCs w:val="24"/>
        </w:rPr>
        <w:t xml:space="preserve">(CPMI), and supported by the Bill and Melinda Gates Foundation.  Activities have focused on providing a gap analysis for Egypt on needs to foster a secure resilient infrastructure for ICTs, </w:t>
      </w:r>
      <w:r w:rsidRPr="001E1B8B">
        <w:rPr>
          <w:rFonts w:ascii="Calibri" w:hAnsi="Calibri" w:cs="Calibri"/>
          <w:color w:val="000000"/>
          <w:szCs w:val="24"/>
        </w:rPr>
        <w:t>mapping of infrastructure in Mexico, defining pilot projects to leverage ICTs to foster digital financial services to eradicate poverty in China, and defining and putting into place collaborative regulatory mechanisms to underpin a whole</w:t>
      </w:r>
      <w:r w:rsidR="00C66D32">
        <w:rPr>
          <w:rFonts w:ascii="Calibri" w:hAnsi="Calibri" w:cs="Calibri"/>
          <w:color w:val="000000"/>
          <w:szCs w:val="24"/>
        </w:rPr>
        <w:t>-</w:t>
      </w:r>
      <w:r w:rsidRPr="001E1B8B">
        <w:rPr>
          <w:rFonts w:ascii="Calibri" w:hAnsi="Calibri" w:cs="Calibri"/>
          <w:color w:val="000000"/>
          <w:szCs w:val="24"/>
        </w:rPr>
        <w:t>of</w:t>
      </w:r>
      <w:r w:rsidR="00C66D32">
        <w:rPr>
          <w:rFonts w:ascii="Calibri" w:hAnsi="Calibri" w:cs="Calibri"/>
          <w:color w:val="000000"/>
          <w:szCs w:val="24"/>
        </w:rPr>
        <w:t>-</w:t>
      </w:r>
      <w:r w:rsidRPr="001E1B8B">
        <w:rPr>
          <w:rFonts w:ascii="Calibri" w:hAnsi="Calibri" w:cs="Calibri"/>
          <w:color w:val="000000"/>
          <w:szCs w:val="24"/>
        </w:rPr>
        <w:t>government approach in Mexico.</w:t>
      </w:r>
    </w:p>
    <w:p w14:paraId="2CFBAAFB" w14:textId="425EC543" w:rsidR="005B3C27" w:rsidRPr="001E1B8B" w:rsidRDefault="005B3C27" w:rsidP="006E3EE7">
      <w:pPr>
        <w:keepNext/>
        <w:overflowPunct/>
        <w:autoSpaceDE/>
        <w:autoSpaceDN/>
        <w:adjustRightInd/>
        <w:rPr>
          <w:rFonts w:ascii="Calibri" w:eastAsia="Calibri" w:hAnsi="Calibri" w:cs="Calibri"/>
          <w:b/>
          <w:bCs/>
          <w:szCs w:val="24"/>
        </w:rPr>
      </w:pPr>
      <w:r w:rsidRPr="001E1B8B">
        <w:rPr>
          <w:rFonts w:ascii="Calibri" w:eastAsia="Calibri" w:hAnsi="Calibri" w:cs="Calibri"/>
          <w:szCs w:val="24"/>
        </w:rPr>
        <w:t>9.8</w:t>
      </w:r>
      <w:r w:rsidRPr="001E1B8B">
        <w:rPr>
          <w:rFonts w:ascii="Calibri" w:eastAsia="Calibri" w:hAnsi="Calibri" w:cs="Calibri"/>
          <w:szCs w:val="24"/>
        </w:rPr>
        <w:tab/>
      </w:r>
      <w:r w:rsidRPr="001E1B8B">
        <w:rPr>
          <w:rFonts w:ascii="Calibri" w:eastAsia="Calibri" w:hAnsi="Calibri" w:cs="Calibri"/>
          <w:b/>
          <w:bCs/>
          <w:szCs w:val="24"/>
        </w:rPr>
        <w:t>European Union/African Union Digital Economy Task Force Recommendations</w:t>
      </w:r>
    </w:p>
    <w:p w14:paraId="4DDB27DD" w14:textId="2A0566E1" w:rsidR="005B3C27" w:rsidRPr="001E1B8B" w:rsidRDefault="00576330" w:rsidP="005B3C27">
      <w:pPr>
        <w:rPr>
          <w:rFonts w:ascii="Calibri" w:eastAsia="Calibri" w:hAnsi="Calibri" w:cs="Calibri"/>
          <w:szCs w:val="24"/>
        </w:rPr>
      </w:pPr>
      <w:r w:rsidRPr="001E1B8B">
        <w:rPr>
          <w:rFonts w:ascii="Calibri" w:eastAsia="Calibri" w:hAnsi="Calibri" w:cs="Calibri"/>
          <w:szCs w:val="24"/>
        </w:rPr>
        <w:t xml:space="preserve">As an active member of the </w:t>
      </w:r>
      <w:hyperlink r:id="rId78" w:history="1">
        <w:r w:rsidRPr="001E1B8B">
          <w:rPr>
            <w:rStyle w:val="Hyperlink"/>
            <w:rFonts w:eastAsia="Calibri"/>
            <w:szCs w:val="24"/>
          </w:rPr>
          <w:t>EU-AU Digital Economy Task Force (DETF) Task Force</w:t>
        </w:r>
      </w:hyperlink>
      <w:r w:rsidRPr="001E1B8B">
        <w:rPr>
          <w:rFonts w:ascii="Calibri" w:eastAsia="Calibri" w:hAnsi="Calibri" w:cs="Calibri"/>
          <w:szCs w:val="24"/>
        </w:rPr>
        <w:t xml:space="preserve">, ITU participated in developing a shared vision, a set of common agreed principles and a list of policy recommendations and actions in a report aimed at addressing the principal barriers faced by the Africa </w:t>
      </w:r>
      <w:r w:rsidR="00412D0F">
        <w:rPr>
          <w:rFonts w:ascii="Calibri" w:eastAsia="Calibri" w:hAnsi="Calibri" w:cs="Calibri"/>
          <w:szCs w:val="24"/>
        </w:rPr>
        <w:t>region</w:t>
      </w:r>
      <w:r w:rsidRPr="001E1B8B">
        <w:rPr>
          <w:rFonts w:ascii="Calibri" w:eastAsia="Calibri" w:hAnsi="Calibri" w:cs="Calibri"/>
          <w:szCs w:val="24"/>
        </w:rPr>
        <w:t xml:space="preserve"> as it seeks to develop the digital economy and society. The main areas addressed include: Accelerating universal access to affordable broadband; Guaranteeing essential skills for all to enable citizens to thrive in the digital age; Improving the business environment and facilitating access to finance and business support services to boost digitally enabled entrepreneurship; and, Accelerating the adoption of </w:t>
      </w:r>
      <w:r w:rsidR="00412D0F">
        <w:rPr>
          <w:rFonts w:ascii="Calibri" w:eastAsia="Calibri" w:hAnsi="Calibri" w:cs="Calibri"/>
          <w:szCs w:val="24"/>
        </w:rPr>
        <w:t>E-s</w:t>
      </w:r>
      <w:r w:rsidRPr="001E1B8B">
        <w:rPr>
          <w:rFonts w:ascii="Calibri" w:eastAsia="Calibri" w:hAnsi="Calibri" w:cs="Calibri"/>
          <w:szCs w:val="24"/>
        </w:rPr>
        <w:t>ervices and the further development of the digital economy for achieving the Sustainable Development Goals.  These recommendations and inputs were also shared with the African Union Commission for the development of the African Union Digital Transformation Strategy.</w:t>
      </w:r>
    </w:p>
    <w:p w14:paraId="1E332D20" w14:textId="68A5C568" w:rsidR="00F1178B" w:rsidRPr="001E1B8B" w:rsidRDefault="00F1178B">
      <w:pPr>
        <w:keepNext/>
        <w:overflowPunct/>
        <w:autoSpaceDE/>
        <w:autoSpaceDN/>
        <w:adjustRightInd/>
      </w:pPr>
      <w:r w:rsidRPr="001E1B8B">
        <w:rPr>
          <w:rFonts w:ascii="Calibri" w:eastAsia="Calibri" w:hAnsi="Calibri" w:cs="Calibri"/>
          <w:szCs w:val="24"/>
        </w:rPr>
        <w:t>9.</w:t>
      </w:r>
      <w:r w:rsidR="005B3C27" w:rsidRPr="001E1B8B">
        <w:rPr>
          <w:rFonts w:ascii="Calibri" w:eastAsia="Calibri" w:hAnsi="Calibri" w:cs="Calibri"/>
          <w:szCs w:val="24"/>
        </w:rPr>
        <w:t>9</w:t>
      </w:r>
      <w:r w:rsidR="001B7935" w:rsidRPr="001E1B8B">
        <w:rPr>
          <w:rFonts w:ascii="Calibri" w:eastAsia="Calibri" w:hAnsi="Calibri" w:cs="Calibri"/>
          <w:szCs w:val="24"/>
        </w:rPr>
        <w:tab/>
      </w:r>
      <w:r w:rsidRPr="001E1B8B">
        <w:rPr>
          <w:rFonts w:ascii="Calibri" w:eastAsia="Calibri" w:hAnsi="Calibri" w:cs="Calibri"/>
          <w:b/>
          <w:szCs w:val="24"/>
        </w:rPr>
        <w:t>D</w:t>
      </w:r>
      <w:r w:rsidR="000E6693" w:rsidRPr="001E1B8B">
        <w:rPr>
          <w:rFonts w:ascii="Calibri" w:eastAsia="Calibri" w:hAnsi="Calibri" w:cs="Calibri"/>
          <w:b/>
          <w:szCs w:val="24"/>
        </w:rPr>
        <w:t xml:space="preserve">irect assistance </w:t>
      </w:r>
    </w:p>
    <w:p w14:paraId="2C56ECB5" w14:textId="36009D4F" w:rsidR="00F1178B" w:rsidRPr="001E1B8B" w:rsidRDefault="00F1178B" w:rsidP="00F1178B">
      <w:r w:rsidRPr="001E1B8B">
        <w:rPr>
          <w:rFonts w:ascii="Calibri" w:eastAsia="Calibri" w:hAnsi="Calibri" w:cs="Calibri"/>
          <w:szCs w:val="24"/>
        </w:rPr>
        <w:t xml:space="preserve">Concentrated assistance </w:t>
      </w:r>
      <w:r w:rsidR="00412D0F" w:rsidRPr="001E1B8B">
        <w:rPr>
          <w:rFonts w:ascii="Calibri" w:eastAsia="Calibri" w:hAnsi="Calibri" w:cs="Calibri"/>
          <w:szCs w:val="24"/>
        </w:rPr>
        <w:t xml:space="preserve">for Portuguese speaking countries </w:t>
      </w:r>
      <w:r w:rsidR="004433C0" w:rsidRPr="001E1B8B">
        <w:rPr>
          <w:rFonts w:ascii="Calibri" w:eastAsia="Calibri" w:hAnsi="Calibri" w:cs="Calibri"/>
          <w:szCs w:val="24"/>
        </w:rPr>
        <w:t xml:space="preserve">was provided </w:t>
      </w:r>
      <w:r w:rsidRPr="001E1B8B">
        <w:rPr>
          <w:rFonts w:ascii="Calibri" w:eastAsia="Calibri" w:hAnsi="Calibri" w:cs="Calibri"/>
          <w:szCs w:val="24"/>
        </w:rPr>
        <w:t xml:space="preserve">in Sao Tome and Principe on </w:t>
      </w:r>
      <w:r w:rsidR="0079040C" w:rsidRPr="001E1B8B">
        <w:rPr>
          <w:rFonts w:ascii="Calibri" w:eastAsia="Calibri" w:hAnsi="Calibri" w:cs="Calibri"/>
          <w:szCs w:val="24"/>
        </w:rPr>
        <w:t>q</w:t>
      </w:r>
      <w:r w:rsidRPr="001E1B8B">
        <w:rPr>
          <w:rFonts w:ascii="Calibri" w:eastAsia="Calibri" w:hAnsi="Calibri" w:cs="Calibri"/>
          <w:szCs w:val="24"/>
        </w:rPr>
        <w:t xml:space="preserve">uality of </w:t>
      </w:r>
      <w:r w:rsidR="0079040C" w:rsidRPr="001E1B8B">
        <w:rPr>
          <w:rFonts w:ascii="Calibri" w:eastAsia="Calibri" w:hAnsi="Calibri" w:cs="Calibri"/>
          <w:szCs w:val="24"/>
        </w:rPr>
        <w:t>s</w:t>
      </w:r>
      <w:r w:rsidRPr="001E1B8B">
        <w:rPr>
          <w:rFonts w:ascii="Calibri" w:eastAsia="Calibri" w:hAnsi="Calibri" w:cs="Calibri"/>
          <w:szCs w:val="24"/>
        </w:rPr>
        <w:t xml:space="preserve">ervice of </w:t>
      </w:r>
      <w:r w:rsidR="0079040C" w:rsidRPr="001E1B8B">
        <w:rPr>
          <w:rFonts w:ascii="Calibri" w:eastAsia="Calibri" w:hAnsi="Calibri" w:cs="Calibri"/>
          <w:szCs w:val="24"/>
        </w:rPr>
        <w:t>n</w:t>
      </w:r>
      <w:r w:rsidRPr="001E1B8B">
        <w:rPr>
          <w:rFonts w:ascii="Calibri" w:eastAsia="Calibri" w:hAnsi="Calibri" w:cs="Calibri"/>
          <w:szCs w:val="24"/>
        </w:rPr>
        <w:t>etworks and numbering</w:t>
      </w:r>
      <w:r w:rsidR="004433C0" w:rsidRPr="001E1B8B">
        <w:rPr>
          <w:rFonts w:ascii="Calibri" w:eastAsia="Calibri" w:hAnsi="Calibri" w:cs="Calibri"/>
          <w:szCs w:val="24"/>
        </w:rPr>
        <w:t xml:space="preserve">. </w:t>
      </w:r>
      <w:r w:rsidRPr="001E1B8B">
        <w:rPr>
          <w:rFonts w:ascii="Calibri" w:eastAsia="Calibri" w:hAnsi="Calibri" w:cs="Calibri"/>
          <w:szCs w:val="24"/>
        </w:rPr>
        <w:t xml:space="preserve"> Direct assistance </w:t>
      </w:r>
      <w:r w:rsidR="002F30AB" w:rsidRPr="001E1B8B">
        <w:rPr>
          <w:rFonts w:ascii="Calibri" w:eastAsia="Calibri" w:hAnsi="Calibri" w:cs="Calibri"/>
          <w:szCs w:val="24"/>
        </w:rPr>
        <w:t xml:space="preserve">for </w:t>
      </w:r>
      <w:r w:rsidR="002F30AB" w:rsidRPr="002F30AB">
        <w:rPr>
          <w:rFonts w:ascii="Calibri" w:eastAsia="Calibri" w:hAnsi="Calibri" w:cs="Calibri"/>
          <w:szCs w:val="24"/>
        </w:rPr>
        <w:t>Sao Tome and Principe</w:t>
      </w:r>
      <w:r w:rsidR="002F30AB" w:rsidRPr="001E1B8B">
        <w:rPr>
          <w:rFonts w:ascii="Calibri" w:eastAsia="Calibri" w:hAnsi="Calibri" w:cs="Calibri"/>
          <w:szCs w:val="24"/>
        </w:rPr>
        <w:t xml:space="preserve"> </w:t>
      </w:r>
      <w:r w:rsidRPr="001E1B8B">
        <w:rPr>
          <w:rFonts w:ascii="Calibri" w:eastAsia="Calibri" w:hAnsi="Calibri" w:cs="Calibri"/>
          <w:szCs w:val="24"/>
        </w:rPr>
        <w:t xml:space="preserve">on </w:t>
      </w:r>
      <w:r w:rsidR="002F30AB">
        <w:rPr>
          <w:rFonts w:ascii="Calibri" w:eastAsia="Calibri" w:hAnsi="Calibri" w:cs="Calibri"/>
          <w:szCs w:val="24"/>
        </w:rPr>
        <w:t xml:space="preserve">a </w:t>
      </w:r>
      <w:r w:rsidRPr="001E1B8B">
        <w:rPr>
          <w:rFonts w:ascii="Calibri" w:eastAsia="Calibri" w:hAnsi="Calibri" w:cs="Calibri"/>
          <w:szCs w:val="24"/>
        </w:rPr>
        <w:t xml:space="preserve">tariffs study </w:t>
      </w:r>
      <w:r w:rsidR="002F30AB" w:rsidRPr="001E1B8B">
        <w:rPr>
          <w:rFonts w:ascii="Calibri" w:eastAsia="Calibri" w:hAnsi="Calibri" w:cs="Calibri"/>
          <w:szCs w:val="24"/>
        </w:rPr>
        <w:t>was also provided</w:t>
      </w:r>
      <w:r w:rsidR="002F30AB">
        <w:rPr>
          <w:rFonts w:ascii="Calibri" w:eastAsia="Calibri" w:hAnsi="Calibri" w:cs="Calibri"/>
          <w:szCs w:val="24"/>
        </w:rPr>
        <w:t>,</w:t>
      </w:r>
      <w:r w:rsidR="002F30AB" w:rsidRPr="001E1B8B">
        <w:rPr>
          <w:rFonts w:ascii="Calibri" w:eastAsia="Calibri" w:hAnsi="Calibri" w:cs="Calibri"/>
          <w:szCs w:val="24"/>
        </w:rPr>
        <w:t xml:space="preserve"> </w:t>
      </w:r>
      <w:r w:rsidRPr="001E1B8B">
        <w:rPr>
          <w:rFonts w:ascii="Calibri" w:eastAsia="Calibri" w:hAnsi="Calibri" w:cs="Calibri"/>
          <w:szCs w:val="24"/>
        </w:rPr>
        <w:t xml:space="preserve">and training </w:t>
      </w:r>
      <w:r w:rsidR="002F30AB">
        <w:rPr>
          <w:rFonts w:ascii="Calibri" w:eastAsia="Calibri" w:hAnsi="Calibri" w:cs="Calibri"/>
          <w:szCs w:val="24"/>
        </w:rPr>
        <w:t xml:space="preserve">was </w:t>
      </w:r>
      <w:r w:rsidRPr="001E1B8B">
        <w:rPr>
          <w:rFonts w:ascii="Calibri" w:eastAsia="Calibri" w:hAnsi="Calibri" w:cs="Calibri"/>
          <w:szCs w:val="24"/>
        </w:rPr>
        <w:t xml:space="preserve">organized. </w:t>
      </w:r>
    </w:p>
    <w:p w14:paraId="1DC3AB8E" w14:textId="15E42975" w:rsidR="00F1178B" w:rsidRPr="001E1B8B" w:rsidRDefault="00F1178B" w:rsidP="00F1178B">
      <w:r w:rsidRPr="001E1B8B">
        <w:rPr>
          <w:rFonts w:ascii="Calibri" w:eastAsia="Calibri" w:hAnsi="Calibri" w:cs="Calibri"/>
          <w:szCs w:val="24"/>
        </w:rPr>
        <w:t xml:space="preserve">Direct assistance to </w:t>
      </w:r>
      <w:r w:rsidR="0079040C" w:rsidRPr="001E1B8B">
        <w:rPr>
          <w:rFonts w:ascii="Calibri" w:eastAsia="Calibri" w:hAnsi="Calibri" w:cs="Calibri"/>
          <w:szCs w:val="24"/>
        </w:rPr>
        <w:t>the Democratic Republic of the</w:t>
      </w:r>
      <w:r w:rsidRPr="001E1B8B">
        <w:rPr>
          <w:rFonts w:ascii="Calibri" w:eastAsia="Calibri" w:hAnsi="Calibri" w:cs="Calibri"/>
          <w:szCs w:val="24"/>
        </w:rPr>
        <w:t xml:space="preserve"> Congo for the national </w:t>
      </w:r>
      <w:r w:rsidR="0079040C" w:rsidRPr="001E1B8B">
        <w:rPr>
          <w:rFonts w:ascii="Calibri" w:eastAsia="Calibri" w:hAnsi="Calibri" w:cs="Calibri"/>
          <w:szCs w:val="24"/>
        </w:rPr>
        <w:t>u</w:t>
      </w:r>
      <w:r w:rsidRPr="001E1B8B">
        <w:rPr>
          <w:rFonts w:ascii="Calibri" w:eastAsia="Calibri" w:hAnsi="Calibri" w:cs="Calibri"/>
          <w:szCs w:val="24"/>
        </w:rPr>
        <w:t xml:space="preserve">niversal </w:t>
      </w:r>
      <w:r w:rsidR="0079040C" w:rsidRPr="001E1B8B">
        <w:rPr>
          <w:rFonts w:ascii="Calibri" w:eastAsia="Calibri" w:hAnsi="Calibri" w:cs="Calibri"/>
          <w:szCs w:val="24"/>
        </w:rPr>
        <w:t>s</w:t>
      </w:r>
      <w:r w:rsidRPr="001E1B8B">
        <w:rPr>
          <w:rFonts w:ascii="Calibri" w:eastAsia="Calibri" w:hAnsi="Calibri" w:cs="Calibri"/>
          <w:szCs w:val="24"/>
        </w:rPr>
        <w:t xml:space="preserve">ervice </w:t>
      </w:r>
      <w:r w:rsidR="0079040C" w:rsidRPr="001E1B8B">
        <w:rPr>
          <w:rFonts w:ascii="Calibri" w:eastAsia="Calibri" w:hAnsi="Calibri" w:cs="Calibri"/>
          <w:szCs w:val="24"/>
        </w:rPr>
        <w:t>o</w:t>
      </w:r>
      <w:r w:rsidRPr="001E1B8B">
        <w:rPr>
          <w:rFonts w:ascii="Calibri" w:eastAsia="Calibri" w:hAnsi="Calibri" w:cs="Calibri"/>
          <w:szCs w:val="24"/>
        </w:rPr>
        <w:t xml:space="preserve">bligation (USO) and </w:t>
      </w:r>
      <w:r w:rsidR="0079040C" w:rsidRPr="001E1B8B">
        <w:rPr>
          <w:rFonts w:ascii="Calibri" w:eastAsia="Calibri" w:hAnsi="Calibri" w:cs="Calibri"/>
          <w:szCs w:val="24"/>
        </w:rPr>
        <w:t>n</w:t>
      </w:r>
      <w:r w:rsidRPr="001E1B8B">
        <w:rPr>
          <w:rFonts w:ascii="Calibri" w:eastAsia="Calibri" w:hAnsi="Calibri" w:cs="Calibri"/>
          <w:szCs w:val="24"/>
        </w:rPr>
        <w:t>umbering workshop was del</w:t>
      </w:r>
      <w:r w:rsidR="004433C0" w:rsidRPr="001E1B8B">
        <w:rPr>
          <w:rFonts w:ascii="Calibri" w:eastAsia="Calibri" w:hAnsi="Calibri" w:cs="Calibri"/>
          <w:szCs w:val="24"/>
        </w:rPr>
        <w:t xml:space="preserve">ivered in Kinshasa. </w:t>
      </w:r>
    </w:p>
    <w:p w14:paraId="011E642E" w14:textId="77777777" w:rsidR="008F5B8D" w:rsidRPr="001E1B8B" w:rsidRDefault="008F5B8D" w:rsidP="00F1178B">
      <w:pPr>
        <w:rPr>
          <w:rFonts w:cstheme="minorBidi"/>
          <w:color w:val="444444"/>
        </w:rPr>
      </w:pPr>
    </w:p>
    <w:tbl>
      <w:tblPr>
        <w:tblStyle w:val="TableGrid5"/>
        <w:tblW w:w="0" w:type="auto"/>
        <w:tblLook w:val="04A0" w:firstRow="1" w:lastRow="0" w:firstColumn="1" w:lastColumn="0" w:noHBand="0" w:noVBand="1"/>
      </w:tblPr>
      <w:tblGrid>
        <w:gridCol w:w="9629"/>
      </w:tblGrid>
      <w:tr w:rsidR="00F1178B" w:rsidRPr="001E1B8B" w14:paraId="52300FD2" w14:textId="77777777" w:rsidTr="0054502F">
        <w:tc>
          <w:tcPr>
            <w:tcW w:w="9629" w:type="dxa"/>
          </w:tcPr>
          <w:p w14:paraId="6D1BEBDE" w14:textId="77777777" w:rsidR="00F1178B" w:rsidRPr="001E1B8B" w:rsidRDefault="00F1178B" w:rsidP="00882D5E">
            <w:pPr>
              <w:keepNext/>
              <w:rPr>
                <w:b/>
                <w:bCs/>
              </w:rPr>
            </w:pPr>
            <w:r w:rsidRPr="001E1B8B">
              <w:rPr>
                <w:b/>
                <w:bCs/>
              </w:rPr>
              <w:lastRenderedPageBreak/>
              <w:t>REGIONAL INITIATIVES</w:t>
            </w:r>
          </w:p>
          <w:p w14:paraId="63348C79" w14:textId="77777777" w:rsidR="00835D3C" w:rsidRPr="001E1B8B" w:rsidRDefault="004433C0" w:rsidP="00882D5E">
            <w:pPr>
              <w:keepNext/>
              <w:rPr>
                <w:rFonts w:ascii="Calibri" w:eastAsia="Calibri" w:hAnsi="Calibri" w:cs="Calibri"/>
              </w:rPr>
            </w:pPr>
            <w:r w:rsidRPr="001E1B8B">
              <w:rPr>
                <w:rFonts w:ascii="Calibri" w:eastAsia="Calibri" w:hAnsi="Calibri" w:cs="Calibri"/>
              </w:rPr>
              <w:t>Asia-Pacific</w:t>
            </w:r>
            <w:r w:rsidR="00835D3C" w:rsidRPr="001E1B8B">
              <w:rPr>
                <w:rFonts w:ascii="Calibri" w:eastAsia="Calibri" w:hAnsi="Calibri" w:cs="Calibri"/>
              </w:rPr>
              <w:t xml:space="preserve">: </w:t>
            </w:r>
            <w:r w:rsidR="00835D3C" w:rsidRPr="001E1B8B">
              <w:rPr>
                <w:rFonts w:ascii="Calibri" w:eastAsia="Calibri" w:hAnsi="Calibri" w:cs="Calibri"/>
                <w:u w:val="single"/>
              </w:rPr>
              <w:t>Enabling policy and regulatory environments</w:t>
            </w:r>
          </w:p>
          <w:p w14:paraId="71FDDC4A" w14:textId="360C6D22" w:rsidR="00835D3C" w:rsidRPr="001E1B8B" w:rsidRDefault="00835D3C" w:rsidP="00835D3C">
            <w:pPr>
              <w:rPr>
                <w:rFonts w:ascii="Calibri" w:eastAsia="Calibri" w:hAnsi="Calibri" w:cs="Calibri"/>
              </w:rPr>
            </w:pPr>
            <w:r w:rsidRPr="001E1B8B">
              <w:rPr>
                <w:rFonts w:ascii="Calibri" w:eastAsia="Calibri" w:hAnsi="Calibri" w:cs="Calibri"/>
              </w:rPr>
              <w:t xml:space="preserve">ASEAN Ministers adopted frameworks on USO 2.0 and </w:t>
            </w:r>
            <w:r w:rsidR="0079040C" w:rsidRPr="001E1B8B">
              <w:rPr>
                <w:rFonts w:ascii="Calibri" w:eastAsia="Calibri" w:hAnsi="Calibri" w:cs="Calibri"/>
              </w:rPr>
              <w:t>c</w:t>
            </w:r>
            <w:r w:rsidRPr="001E1B8B">
              <w:rPr>
                <w:rFonts w:ascii="Calibri" w:eastAsia="Calibri" w:hAnsi="Calibri" w:cs="Calibri"/>
              </w:rPr>
              <w:t xml:space="preserve">hild </w:t>
            </w:r>
            <w:r w:rsidR="0079040C" w:rsidRPr="001E1B8B">
              <w:rPr>
                <w:rFonts w:ascii="Calibri" w:eastAsia="Calibri" w:hAnsi="Calibri" w:cs="Calibri"/>
              </w:rPr>
              <w:t>o</w:t>
            </w:r>
            <w:r w:rsidRPr="001E1B8B">
              <w:rPr>
                <w:rFonts w:ascii="Calibri" w:eastAsia="Calibri" w:hAnsi="Calibri" w:cs="Calibri"/>
              </w:rPr>
              <w:t xml:space="preserve">nline </w:t>
            </w:r>
            <w:r w:rsidR="0079040C" w:rsidRPr="001E1B8B">
              <w:rPr>
                <w:rFonts w:ascii="Calibri" w:eastAsia="Calibri" w:hAnsi="Calibri" w:cs="Calibri"/>
              </w:rPr>
              <w:t>p</w:t>
            </w:r>
            <w:r w:rsidRPr="001E1B8B">
              <w:rPr>
                <w:rFonts w:ascii="Calibri" w:eastAsia="Calibri" w:hAnsi="Calibri" w:cs="Calibri"/>
              </w:rPr>
              <w:t>rotection</w:t>
            </w:r>
            <w:r w:rsidR="004433C0" w:rsidRPr="001E1B8B">
              <w:rPr>
                <w:rFonts w:ascii="Calibri" w:eastAsia="Calibri" w:hAnsi="Calibri" w:cs="Calibri"/>
              </w:rPr>
              <w:t>, with the support of ITU.</w:t>
            </w:r>
          </w:p>
          <w:p w14:paraId="32F8F706" w14:textId="4C76EA36" w:rsidR="00835D3C" w:rsidRPr="001E1B8B" w:rsidRDefault="00835D3C" w:rsidP="00835D3C">
            <w:pPr>
              <w:rPr>
                <w:rFonts w:ascii="Calibri" w:eastAsia="Calibri" w:hAnsi="Calibri" w:cs="Calibri"/>
              </w:rPr>
            </w:pPr>
            <w:r w:rsidRPr="001E1B8B">
              <w:rPr>
                <w:rFonts w:ascii="Calibri" w:eastAsia="Calibri" w:hAnsi="Calibri" w:cs="Calibri"/>
              </w:rPr>
              <w:t>Country specific assistance was provided to</w:t>
            </w:r>
            <w:r w:rsidR="0079040C" w:rsidRPr="001E1B8B">
              <w:rPr>
                <w:rFonts w:ascii="Calibri" w:eastAsia="Calibri" w:hAnsi="Calibri" w:cs="Calibri"/>
              </w:rPr>
              <w:t xml:space="preserve"> the</w:t>
            </w:r>
            <w:r w:rsidRPr="001E1B8B">
              <w:rPr>
                <w:rFonts w:ascii="Calibri" w:eastAsia="Calibri" w:hAnsi="Calibri" w:cs="Calibri"/>
              </w:rPr>
              <w:t xml:space="preserve"> Solomon Islands to review the telecommunication legislation. </w:t>
            </w:r>
          </w:p>
          <w:p w14:paraId="3F10B5E9" w14:textId="73EA1E56" w:rsidR="00DB5F8B" w:rsidRPr="00A96964" w:rsidRDefault="00DB5F8B" w:rsidP="00882D5E">
            <w:pPr>
              <w:keepNext/>
              <w:rPr>
                <w:rFonts w:ascii="Calibri" w:eastAsia="Calibri" w:hAnsi="Calibri" w:cs="Calibri"/>
                <w:u w:val="single"/>
              </w:rPr>
            </w:pPr>
            <w:r w:rsidRPr="001E1B8B">
              <w:rPr>
                <w:rFonts w:ascii="Calibri" w:eastAsia="Calibri" w:hAnsi="Calibri" w:cs="Calibri"/>
              </w:rPr>
              <w:t xml:space="preserve">Europe: </w:t>
            </w:r>
            <w:r w:rsidRPr="00A96964">
              <w:rPr>
                <w:rFonts w:ascii="Calibri" w:eastAsia="Calibri" w:hAnsi="Calibri" w:cs="Calibri"/>
                <w:u w:val="single"/>
              </w:rPr>
              <w:t>Broadband infrastru</w:t>
            </w:r>
            <w:r w:rsidR="00557E91" w:rsidRPr="00A96964">
              <w:rPr>
                <w:rFonts w:ascii="Calibri" w:eastAsia="Calibri" w:hAnsi="Calibri" w:cs="Calibri"/>
                <w:u w:val="single"/>
              </w:rPr>
              <w:t>cture, broadcasting and spectrum management</w:t>
            </w:r>
          </w:p>
          <w:p w14:paraId="677A1978" w14:textId="5A2C5009" w:rsidR="00391107" w:rsidRPr="001E1B8B" w:rsidRDefault="00774E2B" w:rsidP="00882D5E">
            <w:pPr>
              <w:spacing w:after="120"/>
              <w:rPr>
                <w:rFonts w:ascii="Calibri" w:eastAsia="Calibri" w:hAnsi="Calibri" w:cs="Calibri"/>
                <w:szCs w:val="24"/>
              </w:rPr>
            </w:pPr>
            <w:r w:rsidRPr="001E1B8B">
              <w:rPr>
                <w:rFonts w:ascii="Calibri" w:eastAsia="Calibri" w:hAnsi="Calibri" w:cs="Calibri"/>
              </w:rPr>
              <w:t>Two countries were provided with technical assistance</w:t>
            </w:r>
            <w:r w:rsidR="0079040C" w:rsidRPr="001E1B8B">
              <w:rPr>
                <w:rFonts w:ascii="Calibri" w:eastAsia="Calibri" w:hAnsi="Calibri" w:cs="Calibri"/>
              </w:rPr>
              <w:t>:</w:t>
            </w:r>
            <w:r w:rsidRPr="001E1B8B">
              <w:rPr>
                <w:rFonts w:ascii="Calibri" w:eastAsia="Calibri" w:hAnsi="Calibri" w:cs="Calibri"/>
              </w:rPr>
              <w:t xml:space="preserve"> </w:t>
            </w:r>
            <w:r w:rsidR="00557E91" w:rsidRPr="001E1B8B">
              <w:rPr>
                <w:rFonts w:ascii="Calibri" w:eastAsia="Calibri" w:hAnsi="Calibri" w:cs="Calibri"/>
              </w:rPr>
              <w:t>a n</w:t>
            </w:r>
            <w:r w:rsidRPr="001E1B8B">
              <w:rPr>
                <w:rFonts w:ascii="Calibri" w:eastAsia="Calibri" w:hAnsi="Calibri" w:cs="Calibri"/>
              </w:rPr>
              <w:t xml:space="preserve">ational </w:t>
            </w:r>
            <w:r w:rsidR="0079040C" w:rsidRPr="001E1B8B">
              <w:rPr>
                <w:rFonts w:ascii="Calibri" w:eastAsia="Calibri" w:hAnsi="Calibri" w:cs="Calibri"/>
              </w:rPr>
              <w:t>p</w:t>
            </w:r>
            <w:r w:rsidRPr="001E1B8B">
              <w:rPr>
                <w:rFonts w:ascii="Calibri" w:eastAsia="Calibri" w:hAnsi="Calibri" w:cs="Calibri"/>
              </w:rPr>
              <w:t xml:space="preserve">lan for </w:t>
            </w:r>
            <w:r w:rsidR="0079040C" w:rsidRPr="001E1B8B">
              <w:rPr>
                <w:rFonts w:ascii="Calibri" w:eastAsia="Calibri" w:hAnsi="Calibri" w:cs="Calibri"/>
              </w:rPr>
              <w:t>b</w:t>
            </w:r>
            <w:r w:rsidRPr="001E1B8B">
              <w:rPr>
                <w:rFonts w:ascii="Calibri" w:eastAsia="Calibri" w:hAnsi="Calibri" w:cs="Calibri"/>
              </w:rPr>
              <w:t xml:space="preserve">roadband </w:t>
            </w:r>
            <w:r w:rsidR="0079040C" w:rsidRPr="001E1B8B">
              <w:rPr>
                <w:rFonts w:ascii="Calibri" w:eastAsia="Calibri" w:hAnsi="Calibri" w:cs="Calibri"/>
              </w:rPr>
              <w:t>d</w:t>
            </w:r>
            <w:r w:rsidRPr="001E1B8B">
              <w:rPr>
                <w:rFonts w:ascii="Calibri" w:eastAsia="Calibri" w:hAnsi="Calibri" w:cs="Calibri"/>
              </w:rPr>
              <w:t>evelopment 2020-2025 was developed for Albania</w:t>
            </w:r>
            <w:r w:rsidR="00557E91" w:rsidRPr="001E1B8B">
              <w:rPr>
                <w:rFonts w:ascii="Calibri" w:eastAsia="Calibri" w:hAnsi="Calibri" w:cs="Calibri"/>
              </w:rPr>
              <w:t xml:space="preserve"> and a s</w:t>
            </w:r>
            <w:r w:rsidRPr="001E1B8B">
              <w:rPr>
                <w:rFonts w:ascii="Calibri" w:eastAsia="Calibri" w:hAnsi="Calibri" w:cs="Calibri"/>
              </w:rPr>
              <w:t xml:space="preserve">pecial </w:t>
            </w:r>
            <w:r w:rsidR="0079040C" w:rsidRPr="001E1B8B">
              <w:rPr>
                <w:rFonts w:ascii="Calibri" w:eastAsia="Calibri" w:hAnsi="Calibri" w:cs="Calibri"/>
              </w:rPr>
              <w:t>p</w:t>
            </w:r>
            <w:r w:rsidRPr="001E1B8B">
              <w:rPr>
                <w:rFonts w:ascii="Calibri" w:eastAsia="Calibri" w:hAnsi="Calibri" w:cs="Calibri"/>
              </w:rPr>
              <w:t xml:space="preserve">olicy </w:t>
            </w:r>
            <w:r w:rsidR="0079040C" w:rsidRPr="001E1B8B">
              <w:rPr>
                <w:rFonts w:ascii="Calibri" w:eastAsia="Calibri" w:hAnsi="Calibri" w:cs="Calibri"/>
              </w:rPr>
              <w:t>p</w:t>
            </w:r>
            <w:r w:rsidRPr="001E1B8B">
              <w:rPr>
                <w:rFonts w:ascii="Calibri" w:eastAsia="Calibri" w:hAnsi="Calibri" w:cs="Calibri"/>
              </w:rPr>
              <w:t xml:space="preserve">aper on the ICT </w:t>
            </w:r>
            <w:r w:rsidR="0079040C" w:rsidRPr="001E1B8B">
              <w:rPr>
                <w:rFonts w:ascii="Calibri" w:eastAsia="Calibri" w:hAnsi="Calibri" w:cs="Calibri"/>
              </w:rPr>
              <w:t>i</w:t>
            </w:r>
            <w:r w:rsidRPr="001E1B8B">
              <w:rPr>
                <w:rFonts w:ascii="Calibri" w:eastAsia="Calibri" w:hAnsi="Calibri" w:cs="Calibri"/>
              </w:rPr>
              <w:t xml:space="preserve">nfrastructure </w:t>
            </w:r>
            <w:r w:rsidR="0079040C" w:rsidRPr="001E1B8B">
              <w:rPr>
                <w:rFonts w:ascii="Calibri" w:eastAsia="Calibri" w:hAnsi="Calibri" w:cs="Calibri"/>
              </w:rPr>
              <w:t>d</w:t>
            </w:r>
            <w:r w:rsidRPr="001E1B8B">
              <w:rPr>
                <w:rFonts w:ascii="Calibri" w:eastAsia="Calibri" w:hAnsi="Calibri" w:cs="Calibri"/>
              </w:rPr>
              <w:t xml:space="preserve">evelopment and </w:t>
            </w:r>
            <w:r w:rsidR="0079040C" w:rsidRPr="001E1B8B">
              <w:rPr>
                <w:rFonts w:ascii="Calibri" w:eastAsia="Calibri" w:hAnsi="Calibri" w:cs="Calibri"/>
              </w:rPr>
              <w:t>i</w:t>
            </w:r>
            <w:r w:rsidRPr="001E1B8B">
              <w:rPr>
                <w:rFonts w:ascii="Calibri" w:eastAsia="Calibri" w:hAnsi="Calibri" w:cs="Calibri"/>
              </w:rPr>
              <w:t>nvestment was developed for North Macedonia</w:t>
            </w:r>
            <w:r w:rsidR="0079040C" w:rsidRPr="001E1B8B">
              <w:rPr>
                <w:rFonts w:ascii="Calibri" w:eastAsia="Calibri" w:hAnsi="Calibri" w:cs="Calibri"/>
              </w:rPr>
              <w:t>.</w:t>
            </w:r>
          </w:p>
        </w:tc>
      </w:tr>
    </w:tbl>
    <w:p w14:paraId="18DBD577" w14:textId="77777777" w:rsidR="00F1178B" w:rsidRPr="001E1B8B" w:rsidRDefault="00F1178B" w:rsidP="00D52589">
      <w:pPr>
        <w:shd w:val="clear" w:color="auto" w:fill="FFFFFF"/>
        <w:tabs>
          <w:tab w:val="clear" w:pos="794"/>
          <w:tab w:val="clear" w:pos="1191"/>
          <w:tab w:val="clear" w:pos="1588"/>
          <w:tab w:val="clear" w:pos="1985"/>
        </w:tabs>
        <w:overflowPunct/>
        <w:autoSpaceDE/>
        <w:autoSpaceDN/>
        <w:adjustRightInd/>
        <w:rPr>
          <w:rFonts w:cstheme="minorHAnsi"/>
          <w:szCs w:val="24"/>
        </w:rPr>
      </w:pPr>
    </w:p>
    <w:tbl>
      <w:tblPr>
        <w:tblStyle w:val="TableGrid5"/>
        <w:tblW w:w="0" w:type="auto"/>
        <w:tblLook w:val="04A0" w:firstRow="1" w:lastRow="0" w:firstColumn="1" w:lastColumn="0" w:noHBand="0" w:noVBand="1"/>
      </w:tblPr>
      <w:tblGrid>
        <w:gridCol w:w="9629"/>
      </w:tblGrid>
      <w:tr w:rsidR="00F1178B" w:rsidRPr="001E1B8B" w14:paraId="59A92972" w14:textId="77777777" w:rsidTr="0054502F">
        <w:tc>
          <w:tcPr>
            <w:tcW w:w="9629" w:type="dxa"/>
          </w:tcPr>
          <w:p w14:paraId="4498F878" w14:textId="77777777" w:rsidR="00F1178B" w:rsidRPr="001E1B8B" w:rsidRDefault="00F1178B" w:rsidP="00F1178B">
            <w:pPr>
              <w:keepNext/>
              <w:shd w:val="clear" w:color="auto" w:fill="FFFFFF" w:themeFill="background1"/>
              <w:tabs>
                <w:tab w:val="clear" w:pos="794"/>
                <w:tab w:val="clear" w:pos="1191"/>
                <w:tab w:val="clear" w:pos="1588"/>
                <w:tab w:val="clear" w:pos="1985"/>
              </w:tabs>
              <w:overflowPunct/>
              <w:autoSpaceDE/>
              <w:autoSpaceDN/>
              <w:adjustRightInd/>
              <w:rPr>
                <w:rFonts w:cstheme="minorBidi"/>
                <w:b/>
                <w:bCs/>
                <w:szCs w:val="24"/>
              </w:rPr>
            </w:pPr>
            <w:r w:rsidRPr="001E1B8B">
              <w:rPr>
                <w:rFonts w:cstheme="minorBidi"/>
                <w:b/>
                <w:bCs/>
                <w:szCs w:val="24"/>
              </w:rPr>
              <w:t>STUDY GROUPS</w:t>
            </w:r>
          </w:p>
          <w:p w14:paraId="3B80DCF3" w14:textId="573E8120" w:rsidR="00495118" w:rsidRPr="001E1B8B" w:rsidRDefault="00A36571" w:rsidP="00D52589">
            <w:pPr>
              <w:keepNext/>
              <w:shd w:val="clear" w:color="auto" w:fill="FFFFFF" w:themeFill="background1"/>
              <w:spacing w:after="120"/>
            </w:pPr>
            <w:r w:rsidRPr="001E1B8B">
              <w:t xml:space="preserve">ITU Member States, Sector Members and experts shared their perspectives on </w:t>
            </w:r>
            <w:r w:rsidRPr="00A96964">
              <w:rPr>
                <w:i/>
                <w:iCs/>
              </w:rPr>
              <w:t>OTT regulation and economic impact</w:t>
            </w:r>
            <w:r w:rsidRPr="001E1B8B">
              <w:rPr>
                <w:b/>
                <w:bCs/>
              </w:rPr>
              <w:t xml:space="preserve"> </w:t>
            </w:r>
            <w:r w:rsidRPr="001E1B8B">
              <w:t xml:space="preserve">during the October ITU-D Study Group 1 rapporteur group meetings. With the rich content and insights put forward, </w:t>
            </w:r>
            <w:hyperlink r:id="rId79" w:history="1">
              <w:r w:rsidRPr="001E1B8B">
                <w:rPr>
                  <w:rStyle w:val="Hyperlink"/>
                </w:rPr>
                <w:t>Question 3/1</w:t>
              </w:r>
            </w:hyperlink>
            <w:r w:rsidRPr="001E1B8B">
              <w:t xml:space="preserve"> (</w:t>
            </w:r>
            <w:r w:rsidRPr="00A47ED5">
              <w:rPr>
                <w:i/>
                <w:iCs/>
              </w:rPr>
              <w:t>Emerging technologies, including cloud computing: m-services, and OTTs: Challenges and opportunities, economic and policy impact for developing countries</w:t>
            </w:r>
            <w:r w:rsidRPr="001E1B8B">
              <w:t xml:space="preserve">) and </w:t>
            </w:r>
            <w:hyperlink r:id="rId80" w:history="1">
              <w:r w:rsidRPr="001E1B8B">
                <w:rPr>
                  <w:rStyle w:val="Hyperlink"/>
                </w:rPr>
                <w:t>Question 4/1</w:t>
              </w:r>
            </w:hyperlink>
            <w:r w:rsidRPr="001E1B8B">
              <w:t xml:space="preserve"> (</w:t>
            </w:r>
            <w:r w:rsidRPr="00A47ED5">
              <w:rPr>
                <w:i/>
                <w:iCs/>
              </w:rPr>
              <w:t>Economic policies and methods of determining the costs of services related to national telecommunication/ICT networks</w:t>
            </w:r>
            <w:r w:rsidRPr="001E1B8B">
              <w:t xml:space="preserve">)  Rapporteur Groups are well-equipped to work towards a joint annual deliverable for the February 2020 ITU-D Study Group 1 meetings. The presentations and discussion papers can be found on the workshop </w:t>
            </w:r>
            <w:hyperlink r:id="rId81">
              <w:r w:rsidRPr="001E1B8B">
                <w:rPr>
                  <w:rStyle w:val="Hyperlink"/>
                </w:rPr>
                <w:t>website</w:t>
              </w:r>
            </w:hyperlink>
            <w:r w:rsidRPr="001E1B8B">
              <w:t>.</w:t>
            </w:r>
          </w:p>
        </w:tc>
      </w:tr>
    </w:tbl>
    <w:p w14:paraId="49A7EC14" w14:textId="62B4A352" w:rsidR="009A30A6" w:rsidRPr="001E1B8B" w:rsidRDefault="00563C28" w:rsidP="00563C28">
      <w:pPr>
        <w:keepNext/>
        <w:spacing w:before="240"/>
        <w:rPr>
          <w:b/>
          <w:bCs/>
        </w:rPr>
      </w:pPr>
      <w:r w:rsidRPr="001E1B8B">
        <w:rPr>
          <w:b/>
          <w:bCs/>
        </w:rPr>
        <w:t>10</w:t>
      </w:r>
      <w:r w:rsidR="009A30A6" w:rsidRPr="001E1B8B">
        <w:rPr>
          <w:b/>
          <w:bCs/>
        </w:rPr>
        <w:t xml:space="preserve">. </w:t>
      </w:r>
      <w:r w:rsidR="009A30A6" w:rsidRPr="001E1B8B">
        <w:rPr>
          <w:b/>
          <w:bCs/>
        </w:rPr>
        <w:tab/>
      </w:r>
      <w:r w:rsidR="008C0718" w:rsidRPr="001E1B8B">
        <w:rPr>
          <w:b/>
          <w:bCs/>
        </w:rPr>
        <w:t>S</w:t>
      </w:r>
      <w:r w:rsidR="00002CA2" w:rsidRPr="001E1B8B">
        <w:rPr>
          <w:b/>
          <w:bCs/>
        </w:rPr>
        <w:t>tatistics</w:t>
      </w:r>
      <w:r w:rsidR="008C0718" w:rsidRPr="001E1B8B">
        <w:rPr>
          <w:b/>
          <w:bCs/>
        </w:rPr>
        <w:t xml:space="preserve">: </w:t>
      </w:r>
      <w:r w:rsidR="00002CA2" w:rsidRPr="001E1B8B">
        <w:rPr>
          <w:b/>
          <w:bCs/>
        </w:rPr>
        <w:t>H</w:t>
      </w:r>
      <w:r w:rsidR="008C0718" w:rsidRPr="001E1B8B">
        <w:rPr>
          <w:b/>
          <w:bCs/>
        </w:rPr>
        <w:t xml:space="preserve">elping countries </w:t>
      </w:r>
      <w:r w:rsidR="001377A4" w:rsidRPr="001E1B8B">
        <w:rPr>
          <w:b/>
          <w:bCs/>
        </w:rPr>
        <w:t xml:space="preserve">with </w:t>
      </w:r>
      <w:r w:rsidR="00551A1C" w:rsidRPr="001E1B8B">
        <w:rPr>
          <w:b/>
          <w:bCs/>
        </w:rPr>
        <w:t>e</w:t>
      </w:r>
      <w:r w:rsidR="001377A4" w:rsidRPr="001E1B8B">
        <w:rPr>
          <w:b/>
          <w:bCs/>
        </w:rPr>
        <w:t>vidence-based ICT policy adoption for digitally inclusive societies</w:t>
      </w:r>
    </w:p>
    <w:p w14:paraId="74632C85" w14:textId="4C3C3F87" w:rsidR="00D52589" w:rsidRPr="001E1B8B" w:rsidRDefault="001C1B7C" w:rsidP="006E3EE7">
      <w:pPr>
        <w:keepNext/>
        <w:rPr>
          <w:bCs/>
        </w:rPr>
      </w:pPr>
      <w:r w:rsidRPr="001E1B8B">
        <w:rPr>
          <w:bCs/>
        </w:rPr>
        <w:t>10.1</w:t>
      </w:r>
      <w:r w:rsidRPr="001E1B8B">
        <w:rPr>
          <w:bCs/>
        </w:rPr>
        <w:tab/>
      </w:r>
      <w:r w:rsidR="00D52589" w:rsidRPr="001E1B8B">
        <w:rPr>
          <w:b/>
          <w:bCs/>
        </w:rPr>
        <w:t>Measuring Digital Development series</w:t>
      </w:r>
    </w:p>
    <w:p w14:paraId="2F44BA24" w14:textId="3F8EA603" w:rsidR="008C0718" w:rsidRPr="001E1B8B" w:rsidRDefault="00D52589" w:rsidP="00AA0599">
      <w:pPr>
        <w:rPr>
          <w:rFonts w:cstheme="minorHAnsi"/>
          <w:szCs w:val="24"/>
          <w:shd w:val="clear" w:color="auto" w:fill="FFFFFF"/>
        </w:rPr>
      </w:pPr>
      <w:r w:rsidRPr="001E1B8B">
        <w:t>The Measuring Digital Development series of statistical and analytical publications was launched in 2019.  The first publication</w:t>
      </w:r>
      <w:r w:rsidR="00882D5E" w:rsidRPr="001E1B8B">
        <w:t xml:space="preserve"> </w:t>
      </w:r>
      <w:r w:rsidRPr="001E1B8B">
        <w:t xml:space="preserve">– </w:t>
      </w:r>
      <w:hyperlink r:id="rId82" w:history="1">
        <w:r w:rsidRPr="001E1B8B">
          <w:rPr>
            <w:rStyle w:val="Hyperlink"/>
          </w:rPr>
          <w:t>Facts and Figures</w:t>
        </w:r>
      </w:hyperlink>
      <w:r w:rsidRPr="001E1B8B">
        <w:rPr>
          <w:rStyle w:val="Hyperlink"/>
        </w:rPr>
        <w:t xml:space="preserve"> 2019</w:t>
      </w:r>
      <w:r w:rsidRPr="001E1B8B">
        <w:t xml:space="preserve"> – provides a snapshot of key ICT indicators and ITU estimates for 2019. The results show, among others, </w:t>
      </w:r>
      <w:r w:rsidRPr="001E1B8B">
        <w:rPr>
          <w:rFonts w:cstheme="minorHAnsi"/>
          <w:szCs w:val="24"/>
          <w:shd w:val="clear" w:color="auto" w:fill="FFFFFF"/>
        </w:rPr>
        <w:t>that over half the total global female population (52 per cent) is still not using the Internet, compared to 42 per cent of all men.</w:t>
      </w:r>
    </w:p>
    <w:p w14:paraId="7AA5C959" w14:textId="5141673C" w:rsidR="00F1178B" w:rsidRPr="001E1B8B" w:rsidRDefault="00F1178B" w:rsidP="00F66DD5">
      <w:pPr>
        <w:keepNext/>
        <w:overflowPunct/>
        <w:autoSpaceDE/>
        <w:autoSpaceDN/>
        <w:adjustRightInd/>
        <w:rPr>
          <w:rFonts w:cstheme="minorBidi"/>
        </w:rPr>
      </w:pPr>
      <w:r w:rsidRPr="001E1B8B">
        <w:rPr>
          <w:rFonts w:cstheme="minorBidi"/>
          <w:shd w:val="clear" w:color="auto" w:fill="FFFFFF"/>
        </w:rPr>
        <w:t xml:space="preserve">10.2. </w:t>
      </w:r>
      <w:r w:rsidR="001B7935" w:rsidRPr="001E1B8B">
        <w:rPr>
          <w:rFonts w:cstheme="minorBidi"/>
          <w:shd w:val="clear" w:color="auto" w:fill="FFFFFF"/>
        </w:rPr>
        <w:tab/>
      </w:r>
      <w:r w:rsidR="001377A4" w:rsidRPr="001E1B8B">
        <w:rPr>
          <w:rFonts w:cstheme="minorBidi"/>
          <w:b/>
          <w:shd w:val="clear" w:color="auto" w:fill="FFFFFF"/>
        </w:rPr>
        <w:t>C</w:t>
      </w:r>
      <w:r w:rsidR="00002CA2" w:rsidRPr="001E1B8B">
        <w:rPr>
          <w:rFonts w:cstheme="minorBidi"/>
          <w:b/>
          <w:shd w:val="clear" w:color="auto" w:fill="FFFFFF"/>
        </w:rPr>
        <w:t>apacity development in statistics</w:t>
      </w:r>
    </w:p>
    <w:p w14:paraId="452A461B" w14:textId="011DD026" w:rsidR="00AE6A86" w:rsidRPr="001E1B8B" w:rsidRDefault="00D52589" w:rsidP="001377A4">
      <w:r w:rsidRPr="001E1B8B">
        <w:t xml:space="preserve">An ICT statistics workshop held in Tashkent, Uzbekistan, targeted officials from national statistics offices and focal points for ICT statistics in ministries of communications and regulators in countries across the Arab States and CIS regions. A similar workshop was delivered for the Africa region. The objective of the workshop was to strengthen the capacity of countries in the regions to produce national statistics and indicators on telecommunications and ICTs according to international standards, with a focus on the key statistics included in the ITU World Telecommunication/ICT Indicators (WTI) database. </w:t>
      </w:r>
      <w:r w:rsidR="001377A4" w:rsidRPr="001E1B8B">
        <w:t xml:space="preserve"> </w:t>
      </w:r>
    </w:p>
    <w:p w14:paraId="09E106E4" w14:textId="55D52F47" w:rsidR="00D52589" w:rsidRPr="001E1B8B" w:rsidRDefault="00D52589" w:rsidP="00D52589">
      <w:pPr>
        <w:keepNext/>
        <w:rPr>
          <w:b/>
          <w:bCs/>
        </w:rPr>
      </w:pPr>
      <w:r w:rsidRPr="001E1B8B">
        <w:rPr>
          <w:b/>
          <w:bCs/>
        </w:rPr>
        <w:t xml:space="preserve">10.3 </w:t>
      </w:r>
      <w:r w:rsidRPr="001E1B8B">
        <w:rPr>
          <w:b/>
          <w:bCs/>
        </w:rPr>
        <w:tab/>
        <w:t>Meetings of statistical expert groups</w:t>
      </w:r>
    </w:p>
    <w:p w14:paraId="18D221D0" w14:textId="77777777" w:rsidR="00D52589" w:rsidRPr="001E1B8B" w:rsidRDefault="00D52589" w:rsidP="00D52589">
      <w:r w:rsidRPr="001E1B8B">
        <w:t xml:space="preserve">The </w:t>
      </w:r>
      <w:hyperlink r:id="rId83" w:history="1">
        <w:r w:rsidRPr="001E1B8B">
          <w:rPr>
            <w:rStyle w:val="Hyperlink"/>
          </w:rPr>
          <w:t>10th meeting of the ITU Expert Group on Telecommunication / ICT Indicators (EGTI)</w:t>
        </w:r>
      </w:hyperlink>
      <w:r w:rsidRPr="001E1B8B">
        <w:t xml:space="preserve"> took place in Geneva, Switzerland, on 17-18 September 2019, back-to-back with the </w:t>
      </w:r>
      <w:hyperlink r:id="rId84" w:history="1">
        <w:r w:rsidRPr="001E1B8B">
          <w:rPr>
            <w:rStyle w:val="Hyperlink"/>
          </w:rPr>
          <w:t>7th Meeting of the Expert Group on ICT Household Indicators (EGH)</w:t>
        </w:r>
      </w:hyperlink>
      <w:r w:rsidRPr="001E1B8B">
        <w:t xml:space="preserve">, which was held on 19-20 September 2019. </w:t>
      </w:r>
      <w:r w:rsidRPr="001E1B8B">
        <w:lastRenderedPageBreak/>
        <w:t xml:space="preserve">Around 130 participants attended the meetings, including experts from regulators, telecommunication operators, ministries and national statistical offices from 64 countries, as well as ITU-D Sector Members, other UN agencies and regional organizations. </w:t>
      </w:r>
    </w:p>
    <w:p w14:paraId="5067D8E4" w14:textId="3973DB2B" w:rsidR="00D52589" w:rsidRPr="001E1B8B" w:rsidRDefault="00D52589" w:rsidP="00D52589">
      <w:r w:rsidRPr="001E1B8B">
        <w:t xml:space="preserve">The agenda of the EGTI meeting covered the following topics: </w:t>
      </w:r>
      <w:r w:rsidR="001B537B">
        <w:t>q</w:t>
      </w:r>
      <w:r w:rsidRPr="001E1B8B">
        <w:t xml:space="preserve">uality of service (QoS) indicators; fixed-broadband Internet traffic measurement methodology; indicators on international roaming; price indicators; indicators on spectrum allocation/assignment; and the revision of the ITU Handbook on Telecommunication Indicators. The EGH meeting included discussions on improving the measurement of ICT skills and of Internet users; the revision of the ITU Manual for Measuring ICT Access and Use by Households and Individuals; and a model household ICT questionnaire and topical modules. The meetings agreed on steps to advance the work on these topics. </w:t>
      </w:r>
    </w:p>
    <w:p w14:paraId="3AF882BD" w14:textId="6E83A35D" w:rsidR="00D52589" w:rsidRPr="001E1B8B" w:rsidRDefault="00D52589" w:rsidP="00D52589">
      <w:pPr>
        <w:keepNext/>
        <w:rPr>
          <w:b/>
          <w:bCs/>
        </w:rPr>
      </w:pPr>
      <w:r w:rsidRPr="001E1B8B">
        <w:rPr>
          <w:b/>
          <w:bCs/>
        </w:rPr>
        <w:t xml:space="preserve">10.4. </w:t>
      </w:r>
      <w:r w:rsidRPr="001E1B8B">
        <w:rPr>
          <w:b/>
          <w:bCs/>
        </w:rPr>
        <w:tab/>
        <w:t>Partnership on Measuring ICT for Development</w:t>
      </w:r>
    </w:p>
    <w:p w14:paraId="6ABC5351" w14:textId="0F02861E" w:rsidR="00D52589" w:rsidRPr="001E1B8B" w:rsidRDefault="00D52589" w:rsidP="00D52589">
      <w:r w:rsidRPr="001E1B8B">
        <w:t xml:space="preserve">ITU continues to be an active member of the Partnership on Measuring ICT for Development and together with UNCTAD and UIS is one of the three members of its Steering Committee. In 2019, the Partnership continued to actively engage in monitoring the Sustainable Development Goals (SDGs) through its Task Group on ICT for the SDGs, co-led by ITU and UNDESA. During the 2019 WSIS Forum, the Partnership organized a session on </w:t>
      </w:r>
      <w:r w:rsidRPr="002A1843">
        <w:rPr>
          <w:i/>
          <w:iCs/>
        </w:rPr>
        <w:t>Measurement of Progress towards the SDGs through ICT Indicators</w:t>
      </w:r>
      <w:r w:rsidRPr="001E1B8B">
        <w:t>, which discussed progress made by the Task Group and presenting a draft of a thematic list of ICT indicators, which can be used by countries to measure ICT availability and use in sectors relevant to the SDGs that are not covered in the global SDG indicators framework. The list includes 26 ICT indicators, related to 27 SDG Targets belonging to 11 Goals, which were discussed and agreed upon through a consultation process involving governments and international organizations. The final list has been submitted to the 51</w:t>
      </w:r>
      <w:r w:rsidRPr="001E1B8B">
        <w:rPr>
          <w:vertAlign w:val="superscript"/>
        </w:rPr>
        <w:t>st</w:t>
      </w:r>
      <w:r w:rsidRPr="001E1B8B">
        <w:t xml:space="preserve"> session of the United Nations Statistical Commission (UNSC), which will take place in March 2020, for endorsement.</w:t>
      </w:r>
    </w:p>
    <w:p w14:paraId="2F3A2395" w14:textId="77777777" w:rsidR="00563C28" w:rsidRPr="001E1B8B" w:rsidRDefault="00563C28" w:rsidP="00563C28">
      <w:pPr>
        <w:pStyle w:val="NormalWeb"/>
        <w:shd w:val="clear" w:color="auto" w:fill="FFFFFF"/>
        <w:spacing w:before="120" w:beforeAutospacing="0" w:after="0" w:afterAutospacing="0"/>
        <w:textAlignment w:val="baseline"/>
        <w:rPr>
          <w:rFonts w:asciiTheme="minorHAnsi" w:hAnsiTheme="minorHAnsi" w:cstheme="minorHAnsi"/>
        </w:rPr>
      </w:pPr>
    </w:p>
    <w:tbl>
      <w:tblPr>
        <w:tblStyle w:val="TableGrid"/>
        <w:tblW w:w="0" w:type="auto"/>
        <w:tblLook w:val="04A0" w:firstRow="1" w:lastRow="0" w:firstColumn="1" w:lastColumn="0" w:noHBand="0" w:noVBand="1"/>
      </w:tblPr>
      <w:tblGrid>
        <w:gridCol w:w="9629"/>
      </w:tblGrid>
      <w:tr w:rsidR="00563C28" w:rsidRPr="001E1B8B" w14:paraId="28BDDF43" w14:textId="77777777" w:rsidTr="0054502F">
        <w:tc>
          <w:tcPr>
            <w:tcW w:w="9629" w:type="dxa"/>
          </w:tcPr>
          <w:p w14:paraId="25B74EB7" w14:textId="77777777" w:rsidR="00A4581D" w:rsidRPr="001E1B8B" w:rsidRDefault="00563C28" w:rsidP="00495118">
            <w:pPr>
              <w:rPr>
                <w:rFonts w:cstheme="minorHAnsi"/>
                <w:b/>
                <w:bCs/>
              </w:rPr>
            </w:pPr>
            <w:r w:rsidRPr="001E1B8B">
              <w:rPr>
                <w:rFonts w:cstheme="minorHAnsi"/>
                <w:b/>
                <w:bCs/>
              </w:rPr>
              <w:t>STUDY GROUPS</w:t>
            </w:r>
          </w:p>
          <w:p w14:paraId="4BF8F438" w14:textId="42C930FD" w:rsidR="00495118" w:rsidRPr="001E1B8B" w:rsidRDefault="00495118" w:rsidP="00000112">
            <w:pPr>
              <w:spacing w:after="120"/>
              <w:rPr>
                <w:rFonts w:cstheme="minorHAnsi"/>
              </w:rPr>
            </w:pPr>
            <w:r w:rsidRPr="001E1B8B">
              <w:t xml:space="preserve">Guided by the </w:t>
            </w:r>
            <w:r w:rsidR="002A1843">
              <w:t>ITU Member States and Sector Members</w:t>
            </w:r>
            <w:r w:rsidRPr="001E1B8B">
              <w:t xml:space="preserve">, concrete steps </w:t>
            </w:r>
            <w:r w:rsidR="002A1843">
              <w:t>were taken</w:t>
            </w:r>
            <w:r w:rsidRPr="001E1B8B">
              <w:t xml:space="preserve"> in the coordination of statistics-related activities</w:t>
            </w:r>
            <w:r w:rsidRPr="001E1B8B">
              <w:rPr>
                <w:szCs w:val="24"/>
              </w:rPr>
              <w:t xml:space="preserve"> between ITU-D study groups and the </w:t>
            </w:r>
            <w:r w:rsidRPr="001E1B8B">
              <w:t xml:space="preserve">Expert Group on Telecommunication/ICT Indicators (EGTI) and the Expert Group on ICT Household Indicators (EGH). Experts and management team members are participating </w:t>
            </w:r>
            <w:r w:rsidR="00A4581D" w:rsidRPr="001E1B8B">
              <w:t>in</w:t>
            </w:r>
            <w:r w:rsidRPr="001E1B8B">
              <w:t xml:space="preserve"> meetings of the other groups and reporting on areas of common interest. Liaison statements have also, for the first time, been exchanged between the groups. This collaboration aims to </w:t>
            </w:r>
            <w:r w:rsidRPr="001E1B8B">
              <w:rPr>
                <w:color w:val="000000"/>
                <w:szCs w:val="19"/>
              </w:rPr>
              <w:t>contribute towards implementing</w:t>
            </w:r>
            <w:r w:rsidR="00A4581D" w:rsidRPr="001E1B8B">
              <w:rPr>
                <w:color w:val="000000"/>
                <w:szCs w:val="19"/>
              </w:rPr>
              <w:t xml:space="preserve"> ITU Plenipotentiary Conference </w:t>
            </w:r>
            <w:r w:rsidRPr="001E1B8B">
              <w:rPr>
                <w:color w:val="000000"/>
                <w:szCs w:val="19"/>
              </w:rPr>
              <w:t>Resolution 131 (Rev. Dubai, 2018) and WTDC Resolution 8 (Rev. Buenos Aires, 2017) and to share information.</w:t>
            </w:r>
          </w:p>
        </w:tc>
      </w:tr>
    </w:tbl>
    <w:p w14:paraId="172ADBCB" w14:textId="4F41553B" w:rsidR="009A30A6" w:rsidRPr="001E1B8B" w:rsidRDefault="009A30A6" w:rsidP="00493BD3">
      <w:pPr>
        <w:keepNext/>
        <w:rPr>
          <w:b/>
          <w:bCs/>
        </w:rPr>
      </w:pPr>
      <w:r w:rsidRPr="001E1B8B">
        <w:rPr>
          <w:b/>
          <w:bCs/>
        </w:rPr>
        <w:t>1</w:t>
      </w:r>
      <w:r w:rsidR="00493BD3" w:rsidRPr="001E1B8B">
        <w:rPr>
          <w:b/>
          <w:bCs/>
        </w:rPr>
        <w:t>1</w:t>
      </w:r>
      <w:r w:rsidRPr="001E1B8B">
        <w:rPr>
          <w:b/>
          <w:bCs/>
        </w:rPr>
        <w:t>.</w:t>
      </w:r>
      <w:r w:rsidRPr="001E1B8B">
        <w:rPr>
          <w:b/>
          <w:bCs/>
        </w:rPr>
        <w:tab/>
        <w:t xml:space="preserve">Study </w:t>
      </w:r>
      <w:r w:rsidR="00870BA0" w:rsidRPr="001E1B8B">
        <w:rPr>
          <w:b/>
          <w:bCs/>
        </w:rPr>
        <w:t>g</w:t>
      </w:r>
      <w:r w:rsidRPr="001E1B8B">
        <w:rPr>
          <w:b/>
          <w:bCs/>
        </w:rPr>
        <w:t>roup work</w:t>
      </w:r>
    </w:p>
    <w:p w14:paraId="623EB50A" w14:textId="0C708BEA" w:rsidR="00D82451" w:rsidRPr="001E1B8B" w:rsidRDefault="00D82451" w:rsidP="00493BD3">
      <w:pPr>
        <w:keepNext/>
        <w:shd w:val="clear" w:color="auto" w:fill="FFFFFF"/>
        <w:tabs>
          <w:tab w:val="clear" w:pos="794"/>
          <w:tab w:val="clear" w:pos="1191"/>
          <w:tab w:val="clear" w:pos="1588"/>
          <w:tab w:val="clear" w:pos="1985"/>
        </w:tabs>
        <w:overflowPunct/>
        <w:autoSpaceDE/>
        <w:autoSpaceDN/>
        <w:adjustRightInd/>
        <w:rPr>
          <w:rFonts w:cstheme="minorHAnsi"/>
          <w:szCs w:val="24"/>
        </w:rPr>
      </w:pPr>
      <w:r w:rsidRPr="001E1B8B">
        <w:rPr>
          <w:rFonts w:cstheme="minorHAnsi"/>
          <w:szCs w:val="24"/>
        </w:rPr>
        <w:t>1</w:t>
      </w:r>
      <w:r w:rsidR="00493BD3" w:rsidRPr="001E1B8B">
        <w:rPr>
          <w:rFonts w:cstheme="minorHAnsi"/>
          <w:szCs w:val="24"/>
        </w:rPr>
        <w:t>1</w:t>
      </w:r>
      <w:r w:rsidRPr="001E1B8B">
        <w:rPr>
          <w:rFonts w:cstheme="minorHAnsi"/>
          <w:szCs w:val="24"/>
        </w:rPr>
        <w:t>.1</w:t>
      </w:r>
      <w:r w:rsidR="00776763" w:rsidRPr="001E1B8B">
        <w:rPr>
          <w:rFonts w:cstheme="minorHAnsi"/>
          <w:szCs w:val="24"/>
        </w:rPr>
        <w:tab/>
      </w:r>
      <w:r w:rsidRPr="001E1B8B">
        <w:rPr>
          <w:rFonts w:cstheme="minorHAnsi"/>
          <w:b/>
          <w:bCs/>
          <w:szCs w:val="24"/>
        </w:rPr>
        <w:t xml:space="preserve">ITU-D </w:t>
      </w:r>
      <w:r w:rsidR="00870BA0" w:rsidRPr="001E1B8B">
        <w:rPr>
          <w:rFonts w:cstheme="minorHAnsi"/>
          <w:b/>
          <w:bCs/>
          <w:szCs w:val="24"/>
        </w:rPr>
        <w:t>S</w:t>
      </w:r>
      <w:r w:rsidR="00A4581D" w:rsidRPr="001E1B8B">
        <w:rPr>
          <w:rFonts w:cstheme="minorHAnsi"/>
          <w:b/>
          <w:bCs/>
          <w:szCs w:val="24"/>
        </w:rPr>
        <w:t xml:space="preserve">tudy </w:t>
      </w:r>
      <w:r w:rsidR="00870BA0" w:rsidRPr="001E1B8B">
        <w:rPr>
          <w:rFonts w:cstheme="minorHAnsi"/>
          <w:b/>
          <w:bCs/>
          <w:szCs w:val="24"/>
        </w:rPr>
        <w:t>G</w:t>
      </w:r>
      <w:r w:rsidR="00A4581D" w:rsidRPr="001E1B8B">
        <w:rPr>
          <w:rFonts w:cstheme="minorHAnsi"/>
          <w:b/>
          <w:bCs/>
          <w:szCs w:val="24"/>
        </w:rPr>
        <w:t>roup</w:t>
      </w:r>
      <w:r w:rsidR="001F3B80" w:rsidRPr="001E1B8B">
        <w:rPr>
          <w:rFonts w:cstheme="minorHAnsi"/>
          <w:b/>
          <w:bCs/>
          <w:szCs w:val="24"/>
        </w:rPr>
        <w:t>s</w:t>
      </w:r>
      <w:r w:rsidR="00A4581D" w:rsidRPr="001E1B8B">
        <w:rPr>
          <w:rFonts w:cstheme="minorHAnsi"/>
          <w:b/>
          <w:bCs/>
          <w:szCs w:val="24"/>
        </w:rPr>
        <w:t xml:space="preserve"> </w:t>
      </w:r>
      <w:r w:rsidRPr="001E1B8B">
        <w:rPr>
          <w:rFonts w:cstheme="minorHAnsi"/>
          <w:b/>
          <w:bCs/>
          <w:szCs w:val="24"/>
        </w:rPr>
        <w:t xml:space="preserve">1 </w:t>
      </w:r>
      <w:r w:rsidR="00A4581D" w:rsidRPr="001E1B8B">
        <w:rPr>
          <w:rFonts w:cstheme="minorHAnsi"/>
          <w:b/>
          <w:bCs/>
          <w:szCs w:val="24"/>
        </w:rPr>
        <w:t>and</w:t>
      </w:r>
      <w:r w:rsidRPr="001E1B8B">
        <w:rPr>
          <w:rFonts w:cstheme="minorHAnsi"/>
          <w:b/>
          <w:bCs/>
          <w:szCs w:val="24"/>
        </w:rPr>
        <w:t xml:space="preserve"> 2</w:t>
      </w:r>
      <w:r w:rsidR="001F3B80" w:rsidRPr="001E1B8B">
        <w:rPr>
          <w:rFonts w:cstheme="minorHAnsi"/>
          <w:b/>
          <w:bCs/>
          <w:szCs w:val="24"/>
        </w:rPr>
        <w:t>: Annual deliverables</w:t>
      </w:r>
    </w:p>
    <w:p w14:paraId="1AB4269D" w14:textId="77777777" w:rsidR="00D82451" w:rsidRPr="001E1B8B" w:rsidRDefault="00D82451" w:rsidP="00D82451">
      <w:r w:rsidRPr="001E1B8B">
        <w:rPr>
          <w:rFonts w:ascii="Calibri" w:eastAsia="Calibri" w:hAnsi="Calibri" w:cs="Calibri"/>
        </w:rPr>
        <w:t>Two annual deliverables where released during the annual meetings of ITU-D study groups:</w:t>
      </w:r>
    </w:p>
    <w:p w14:paraId="0C3A10AE" w14:textId="4C3F33CE" w:rsidR="00D82451" w:rsidRPr="001E1B8B" w:rsidRDefault="00882D5E" w:rsidP="00761651">
      <w:pPr>
        <w:pStyle w:val="xmsonormal"/>
        <w:spacing w:before="60" w:line="252" w:lineRule="auto"/>
        <w:ind w:left="851" w:hanging="851"/>
        <w:rPr>
          <w:sz w:val="24"/>
          <w:szCs w:val="24"/>
          <w:lang w:val="en-GB"/>
        </w:rPr>
      </w:pPr>
      <w:r w:rsidRPr="001E1B8B">
        <w:rPr>
          <w:rFonts w:asciiTheme="minorHAnsi" w:hAnsiTheme="minorHAnsi" w:cstheme="minorHAnsi"/>
          <w:sz w:val="24"/>
          <w:szCs w:val="24"/>
          <w:lang w:val="en-GB"/>
        </w:rPr>
        <w:t>•</w:t>
      </w:r>
      <w:r w:rsidRPr="001E1B8B">
        <w:rPr>
          <w:rFonts w:asciiTheme="minorHAnsi" w:hAnsiTheme="minorHAnsi" w:cstheme="minorHAnsi"/>
          <w:sz w:val="24"/>
          <w:szCs w:val="24"/>
          <w:lang w:val="en-GB"/>
        </w:rPr>
        <w:tab/>
      </w:r>
      <w:hyperlink r:id="rId85">
        <w:r w:rsidR="00D82451" w:rsidRPr="001E1B8B">
          <w:rPr>
            <w:rFonts w:eastAsia="Calibri" w:cs="Calibri"/>
            <w:b/>
            <w:bCs/>
            <w:color w:val="0000FF" w:themeColor="hyperlink"/>
            <w:sz w:val="24"/>
            <w:szCs w:val="24"/>
            <w:u w:val="single"/>
            <w:lang w:val="en-GB"/>
          </w:rPr>
          <w:t>Trends in new broadcasting technologies, services and applications</w:t>
        </w:r>
      </w:hyperlink>
      <w:r w:rsidR="00D82451" w:rsidRPr="001E1B8B">
        <w:rPr>
          <w:rFonts w:eastAsia="Calibri" w:cs="Calibri"/>
          <w:sz w:val="24"/>
          <w:szCs w:val="24"/>
          <w:lang w:val="en-GB"/>
        </w:rPr>
        <w:t xml:space="preserve"> (Question 2/1): </w:t>
      </w:r>
      <w:r w:rsidR="001F3B80" w:rsidRPr="001E1B8B">
        <w:rPr>
          <w:rFonts w:eastAsia="Calibri" w:cs="Calibri"/>
          <w:sz w:val="24"/>
          <w:szCs w:val="24"/>
          <w:lang w:val="en-GB"/>
        </w:rPr>
        <w:t>P</w:t>
      </w:r>
      <w:r w:rsidR="00D82451" w:rsidRPr="001E1B8B">
        <w:rPr>
          <w:rFonts w:eastAsia="Calibri" w:cs="Calibri"/>
          <w:sz w:val="24"/>
          <w:szCs w:val="24"/>
          <w:lang w:val="en-GB"/>
        </w:rPr>
        <w:t xml:space="preserve">rovides the latest </w:t>
      </w:r>
      <w:r w:rsidR="00D82451" w:rsidRPr="001E1B8B">
        <w:rPr>
          <w:rFonts w:asciiTheme="minorHAnsi" w:hAnsiTheme="minorHAnsi" w:cstheme="minorHAnsi"/>
          <w:sz w:val="24"/>
          <w:szCs w:val="24"/>
          <w:lang w:val="en-GB"/>
        </w:rPr>
        <w:t>trends</w:t>
      </w:r>
      <w:r w:rsidR="00D82451" w:rsidRPr="001E1B8B">
        <w:rPr>
          <w:rFonts w:eastAsia="Calibri" w:cs="Calibri"/>
          <w:sz w:val="24"/>
          <w:szCs w:val="24"/>
          <w:lang w:val="en-GB"/>
        </w:rPr>
        <w:t xml:space="preserve"> in broadcasting including new service scenarios based on latest technologies</w:t>
      </w:r>
      <w:r w:rsidR="003A691C">
        <w:rPr>
          <w:rFonts w:eastAsia="Calibri" w:cs="Calibri"/>
          <w:sz w:val="24"/>
          <w:szCs w:val="24"/>
          <w:lang w:val="en-GB"/>
        </w:rPr>
        <w:t>;</w:t>
      </w:r>
      <w:r w:rsidR="00D82451" w:rsidRPr="001E1B8B">
        <w:rPr>
          <w:rFonts w:eastAsia="Calibri" w:cs="Calibri"/>
          <w:sz w:val="24"/>
          <w:szCs w:val="24"/>
          <w:lang w:val="en-GB"/>
        </w:rPr>
        <w:t xml:space="preserve"> highlights of the work being carried out in ITU-T and through recent events</w:t>
      </w:r>
      <w:r w:rsidR="003A691C">
        <w:rPr>
          <w:rFonts w:eastAsia="Calibri" w:cs="Calibri"/>
          <w:sz w:val="24"/>
          <w:szCs w:val="24"/>
          <w:lang w:val="en-GB"/>
        </w:rPr>
        <w:t>;</w:t>
      </w:r>
      <w:r w:rsidR="00D82451" w:rsidRPr="001E1B8B">
        <w:rPr>
          <w:rFonts w:eastAsia="Calibri" w:cs="Calibri"/>
          <w:sz w:val="24"/>
          <w:szCs w:val="24"/>
          <w:lang w:val="en-GB"/>
        </w:rPr>
        <w:t xml:space="preserve"> as well as economic and regulatory impacts for end-users, stakeholders and regulatory bodies</w:t>
      </w:r>
      <w:r w:rsidR="001F3B80" w:rsidRPr="001E1B8B">
        <w:rPr>
          <w:rFonts w:eastAsia="Calibri" w:cs="Calibri"/>
          <w:sz w:val="24"/>
          <w:szCs w:val="24"/>
          <w:lang w:val="en-GB"/>
        </w:rPr>
        <w:t>.</w:t>
      </w:r>
    </w:p>
    <w:p w14:paraId="2A9EAD2B" w14:textId="45F35DBE" w:rsidR="00D82451" w:rsidRPr="001E1B8B" w:rsidRDefault="00882D5E" w:rsidP="00761651">
      <w:pPr>
        <w:pStyle w:val="xmsonormal"/>
        <w:spacing w:before="60" w:line="252" w:lineRule="auto"/>
        <w:ind w:left="851" w:hanging="851"/>
        <w:rPr>
          <w:sz w:val="24"/>
          <w:szCs w:val="24"/>
          <w:lang w:val="en-GB"/>
        </w:rPr>
      </w:pPr>
      <w:r w:rsidRPr="001E1B8B">
        <w:rPr>
          <w:rFonts w:asciiTheme="minorHAnsi" w:hAnsiTheme="minorHAnsi" w:cstheme="minorHAnsi"/>
          <w:sz w:val="24"/>
          <w:szCs w:val="24"/>
          <w:lang w:val="en-GB"/>
        </w:rPr>
        <w:lastRenderedPageBreak/>
        <w:t>•</w:t>
      </w:r>
      <w:r w:rsidRPr="001E1B8B">
        <w:rPr>
          <w:rFonts w:asciiTheme="minorHAnsi" w:hAnsiTheme="minorHAnsi" w:cstheme="minorHAnsi"/>
          <w:sz w:val="24"/>
          <w:szCs w:val="24"/>
          <w:lang w:val="en-GB"/>
        </w:rPr>
        <w:tab/>
      </w:r>
      <w:hyperlink r:id="rId86">
        <w:r w:rsidR="00D82451" w:rsidRPr="001E1B8B">
          <w:rPr>
            <w:rFonts w:eastAsia="Calibri" w:cs="Calibri"/>
            <w:b/>
            <w:bCs/>
            <w:color w:val="0000FF" w:themeColor="hyperlink"/>
            <w:sz w:val="24"/>
            <w:szCs w:val="24"/>
            <w:u w:val="single"/>
            <w:lang w:val="en-GB"/>
          </w:rPr>
          <w:t>A holistic approach to creating smart societies</w:t>
        </w:r>
      </w:hyperlink>
      <w:r w:rsidR="00D82451" w:rsidRPr="001E1B8B">
        <w:rPr>
          <w:rFonts w:eastAsia="Calibri" w:cs="Calibri"/>
          <w:sz w:val="24"/>
          <w:szCs w:val="24"/>
          <w:lang w:val="en-GB"/>
        </w:rPr>
        <w:t xml:space="preserve"> (Question 1/2): </w:t>
      </w:r>
      <w:r w:rsidR="001F3B80" w:rsidRPr="001E1B8B">
        <w:rPr>
          <w:rFonts w:eastAsia="Calibri" w:cs="Calibri"/>
          <w:sz w:val="24"/>
          <w:szCs w:val="24"/>
          <w:lang w:val="en-GB"/>
        </w:rPr>
        <w:t>D</w:t>
      </w:r>
      <w:r w:rsidR="00D82451" w:rsidRPr="001E1B8B">
        <w:rPr>
          <w:rFonts w:eastAsia="Calibri" w:cs="Calibri"/>
          <w:sz w:val="24"/>
          <w:szCs w:val="24"/>
          <w:lang w:val="en-GB"/>
        </w:rPr>
        <w:t>escribes key principles that contribute to the establishment of a holistic approach to create smart societies. An example of architecture of a smart city is also proposed based on these core design concepts, and a summary of selected country case studies on smart cities is presented.</w:t>
      </w:r>
    </w:p>
    <w:p w14:paraId="246608D0" w14:textId="22BBBBA7" w:rsidR="00D82451" w:rsidRPr="001E1B8B" w:rsidRDefault="00D82451" w:rsidP="00493BD3">
      <w:pPr>
        <w:keepNext/>
        <w:shd w:val="clear" w:color="auto" w:fill="FFFFFF"/>
        <w:tabs>
          <w:tab w:val="clear" w:pos="794"/>
          <w:tab w:val="clear" w:pos="1191"/>
          <w:tab w:val="clear" w:pos="1588"/>
          <w:tab w:val="clear" w:pos="1985"/>
        </w:tabs>
        <w:overflowPunct/>
        <w:autoSpaceDE/>
        <w:autoSpaceDN/>
        <w:adjustRightInd/>
        <w:rPr>
          <w:rFonts w:cstheme="minorHAnsi"/>
          <w:szCs w:val="24"/>
        </w:rPr>
      </w:pPr>
      <w:r w:rsidRPr="001E1B8B">
        <w:rPr>
          <w:rFonts w:cstheme="minorHAnsi"/>
          <w:szCs w:val="24"/>
        </w:rPr>
        <w:t>1</w:t>
      </w:r>
      <w:r w:rsidR="00493BD3" w:rsidRPr="001E1B8B">
        <w:rPr>
          <w:rFonts w:cstheme="minorHAnsi"/>
          <w:szCs w:val="24"/>
        </w:rPr>
        <w:t>1</w:t>
      </w:r>
      <w:r w:rsidRPr="001E1B8B">
        <w:rPr>
          <w:rFonts w:cstheme="minorHAnsi"/>
          <w:szCs w:val="24"/>
        </w:rPr>
        <w:t>.2</w:t>
      </w:r>
      <w:r w:rsidR="00776763" w:rsidRPr="001E1B8B">
        <w:rPr>
          <w:rFonts w:cstheme="minorHAnsi"/>
          <w:szCs w:val="24"/>
        </w:rPr>
        <w:tab/>
      </w:r>
      <w:r w:rsidRPr="001E1B8B">
        <w:rPr>
          <w:rFonts w:cstheme="minorHAnsi"/>
          <w:b/>
          <w:bCs/>
          <w:szCs w:val="24"/>
        </w:rPr>
        <w:t>W</w:t>
      </w:r>
      <w:r w:rsidR="007719F5" w:rsidRPr="001E1B8B">
        <w:rPr>
          <w:rFonts w:cstheme="minorHAnsi"/>
          <w:b/>
          <w:bCs/>
          <w:szCs w:val="24"/>
        </w:rPr>
        <w:t>orkshops/tutorials associated with ITU-D study groups</w:t>
      </w:r>
    </w:p>
    <w:p w14:paraId="796CE442" w14:textId="45EE8C02" w:rsidR="00D82451" w:rsidRPr="001E1B8B" w:rsidRDefault="00D82451" w:rsidP="00D82451">
      <w:r w:rsidRPr="001E1B8B">
        <w:rPr>
          <w:rFonts w:ascii="Calibri" w:eastAsia="Calibri" w:hAnsi="Calibri" w:cs="Calibri"/>
        </w:rPr>
        <w:t xml:space="preserve">Several workshops/tutorials were organized in conjunction with the Rapporteur Group meetings in 2019, </w:t>
      </w:r>
      <w:r w:rsidR="003A691C">
        <w:rPr>
          <w:rFonts w:ascii="Calibri" w:eastAsia="Calibri" w:hAnsi="Calibri" w:cs="Calibri"/>
        </w:rPr>
        <w:t>which</w:t>
      </w:r>
      <w:r w:rsidRPr="001E1B8B">
        <w:rPr>
          <w:rFonts w:ascii="Calibri" w:eastAsia="Calibri" w:hAnsi="Calibri" w:cs="Calibri"/>
        </w:rPr>
        <w:t xml:space="preserve"> raise</w:t>
      </w:r>
      <w:r w:rsidR="003A691C">
        <w:rPr>
          <w:rFonts w:ascii="Calibri" w:eastAsia="Calibri" w:hAnsi="Calibri" w:cs="Calibri"/>
        </w:rPr>
        <w:t>d</w:t>
      </w:r>
      <w:r w:rsidRPr="001E1B8B">
        <w:rPr>
          <w:rFonts w:ascii="Calibri" w:eastAsia="Calibri" w:hAnsi="Calibri" w:cs="Calibri"/>
        </w:rPr>
        <w:t xml:space="preserve"> awareness and enlarge</w:t>
      </w:r>
      <w:r w:rsidR="003A691C">
        <w:rPr>
          <w:rFonts w:ascii="Calibri" w:eastAsia="Calibri" w:hAnsi="Calibri" w:cs="Calibri"/>
        </w:rPr>
        <w:t>d</w:t>
      </w:r>
      <w:r w:rsidRPr="001E1B8B">
        <w:rPr>
          <w:rFonts w:ascii="Calibri" w:eastAsia="Calibri" w:hAnsi="Calibri" w:cs="Calibri"/>
        </w:rPr>
        <w:t xml:space="preserve"> the field of knowledge on several Question items under study. Outputs of these workshops served as a basis for the development of new annual deliverables and draft guidelines in </w:t>
      </w:r>
      <w:r w:rsidR="00075B33" w:rsidRPr="001E1B8B">
        <w:rPr>
          <w:rFonts w:ascii="Calibri" w:eastAsia="Calibri" w:hAnsi="Calibri" w:cs="Calibri"/>
        </w:rPr>
        <w:t>2020 and</w:t>
      </w:r>
      <w:r w:rsidRPr="001E1B8B">
        <w:rPr>
          <w:rFonts w:ascii="Calibri" w:eastAsia="Calibri" w:hAnsi="Calibri" w:cs="Calibri"/>
        </w:rPr>
        <w:t xml:space="preserve"> will contribute to the development of the output reports for the study group Questions.</w:t>
      </w:r>
    </w:p>
    <w:p w14:paraId="617DA9DE" w14:textId="61A4A998" w:rsidR="00D82451" w:rsidRDefault="00D82451" w:rsidP="00D82451">
      <w:pPr>
        <w:rPr>
          <w:rFonts w:ascii="Calibri" w:eastAsia="Calibri" w:hAnsi="Calibri" w:cs="Calibri"/>
        </w:rPr>
      </w:pPr>
      <w:r w:rsidRPr="001E1B8B">
        <w:rPr>
          <w:rFonts w:ascii="Calibri" w:eastAsia="Calibri" w:hAnsi="Calibri" w:cs="Calibri"/>
        </w:rPr>
        <w:t xml:space="preserve">For more information on the work of the ITU-D Study Groups 1 and 2, please refer to documents </w:t>
      </w:r>
      <w:hyperlink r:id="rId87" w:history="1">
        <w:r w:rsidRPr="001E1B8B">
          <w:rPr>
            <w:rStyle w:val="Hyperlink"/>
            <w:rFonts w:ascii="Calibri" w:eastAsia="Calibri" w:hAnsi="Calibri" w:cs="Calibri"/>
          </w:rPr>
          <w:t>TDAG-20/12</w:t>
        </w:r>
      </w:hyperlink>
      <w:r w:rsidRPr="001E1B8B">
        <w:rPr>
          <w:rFonts w:ascii="Calibri" w:eastAsia="Calibri" w:hAnsi="Calibri" w:cs="Calibri"/>
        </w:rPr>
        <w:t xml:space="preserve"> and </w:t>
      </w:r>
      <w:hyperlink r:id="rId88" w:history="1">
        <w:r w:rsidRPr="001E1B8B">
          <w:rPr>
            <w:rStyle w:val="Hyperlink"/>
            <w:rFonts w:ascii="Calibri" w:eastAsia="Calibri" w:hAnsi="Calibri" w:cs="Calibri"/>
          </w:rPr>
          <w:t>TDAG-20/13</w:t>
        </w:r>
      </w:hyperlink>
      <w:r w:rsidRPr="001E1B8B">
        <w:rPr>
          <w:rFonts w:ascii="Calibri" w:eastAsia="Calibri" w:hAnsi="Calibri" w:cs="Calibri"/>
        </w:rPr>
        <w:t>.</w:t>
      </w:r>
    </w:p>
    <w:p w14:paraId="050B1100" w14:textId="77777777" w:rsidR="00AF24CC" w:rsidRDefault="00AF24CC" w:rsidP="00D82451">
      <w:pPr>
        <w:rPr>
          <w:rFonts w:ascii="Calibri" w:eastAsia="Calibri" w:hAnsi="Calibri" w:cs="Calibri"/>
        </w:rPr>
      </w:pPr>
    </w:p>
    <w:tbl>
      <w:tblPr>
        <w:tblStyle w:val="TableGrid"/>
        <w:tblW w:w="0" w:type="auto"/>
        <w:tblLook w:val="04A0" w:firstRow="1" w:lastRow="0" w:firstColumn="1" w:lastColumn="0" w:noHBand="0" w:noVBand="1"/>
      </w:tblPr>
      <w:tblGrid>
        <w:gridCol w:w="9629"/>
      </w:tblGrid>
      <w:tr w:rsidR="00AD7A74" w14:paraId="64D75672" w14:textId="77777777" w:rsidTr="00AD7A74">
        <w:tc>
          <w:tcPr>
            <w:tcW w:w="9629" w:type="dxa"/>
          </w:tcPr>
          <w:p w14:paraId="32DF61DE" w14:textId="77777777" w:rsidR="00AD7A74" w:rsidRPr="00B52A80" w:rsidRDefault="00AD7A74" w:rsidP="00AD7A74">
            <w:pPr>
              <w:keepNext/>
              <w:rPr>
                <w:rFonts w:ascii="Calibri" w:eastAsia="Calibri" w:hAnsi="Calibri" w:cs="Calibri"/>
                <w:b/>
              </w:rPr>
            </w:pPr>
            <w:r>
              <w:rPr>
                <w:rFonts w:ascii="Calibri" w:eastAsia="Calibri" w:hAnsi="Calibri" w:cs="Calibri"/>
                <w:b/>
              </w:rPr>
              <w:t xml:space="preserve">Assistance to </w:t>
            </w:r>
            <w:r w:rsidRPr="00B52A80">
              <w:rPr>
                <w:rFonts w:ascii="Calibri" w:eastAsia="Calibri" w:hAnsi="Calibri" w:cs="Calibri"/>
                <w:b/>
              </w:rPr>
              <w:t>LDCs, SIDS and LLDCs</w:t>
            </w:r>
          </w:p>
          <w:p w14:paraId="3EBA4190" w14:textId="77777777" w:rsidR="00AD7A74" w:rsidRDefault="00AD7A74" w:rsidP="00AD7A74">
            <w:r w:rsidRPr="00D55BB3">
              <w:t>The work of BDT</w:t>
            </w:r>
            <w:r>
              <w:t xml:space="preserve">, </w:t>
            </w:r>
            <w:r w:rsidRPr="00D55BB3">
              <w:t>centred around coherent and focused workstreams</w:t>
            </w:r>
            <w:r>
              <w:t>, cuts</w:t>
            </w:r>
            <w:r w:rsidRPr="00D55BB3">
              <w:t xml:space="preserve"> across least developed countries (LDCs), small island developing states (SIDS) and landlock</w:t>
            </w:r>
            <w:r>
              <w:t xml:space="preserve">ed developed countries (LLDCs). </w:t>
            </w:r>
          </w:p>
          <w:p w14:paraId="0A7208D5" w14:textId="77777777" w:rsidR="00AD7A74" w:rsidRDefault="00AD7A74" w:rsidP="00AD7A74">
            <w:r>
              <w:t>As described in this document, in 2019 assistance was provided to Eswatini, Malawi, Liberia, South Sudan, Uganda, Gambia, Burundi, Sao Tome and Principe, Eritrea, Saint Kitts and Nevis, Mauritania, Comoros, Somalia, Yemen, Fiji, Kyrgyzstan, Mongolia, Papua New Guinea, Vanuatu, Kiribati, Samoa, Tonga, Tuvalu, Solomon Islands, LAO PDR, Myanmar, Cambodia and North Macedonia.</w:t>
            </w:r>
          </w:p>
          <w:p w14:paraId="28A1DE3B" w14:textId="42053514" w:rsidR="00AD7A74" w:rsidRDefault="00AD7A74" w:rsidP="00AD7A74">
            <w:pPr>
              <w:spacing w:after="120"/>
              <w:rPr>
                <w:rFonts w:ascii="Calibri" w:eastAsia="Calibri" w:hAnsi="Calibri" w:cs="Calibri"/>
              </w:rPr>
            </w:pPr>
            <w:r>
              <w:t>Furthermore, specific reports were produced to address the challenges of these countries. For example, t</w:t>
            </w:r>
            <w:r w:rsidRPr="00D55BB3">
              <w:t>he</w:t>
            </w:r>
            <w:r>
              <w:t xml:space="preserve"> ITU-D</w:t>
            </w:r>
            <w:r w:rsidRPr="00D55BB3">
              <w:t xml:space="preserve"> study on the Economic Impact of Broadband in LDCs, LLDCs and SIDS, produced in cooperation with </w:t>
            </w:r>
            <w:r>
              <w:t>the UN</w:t>
            </w:r>
            <w:r w:rsidRPr="00D55BB3">
              <w:t xml:space="preserve"> Office of the High Representative for the Least Developed Countries, Landlocked Developing Countries and Small Island Developing States (UN-OHRLLS), confirms that both fixed and mobile broadband have a positive impact in the most vulnerable countries. A second report, titled Small Island Developing States and ICTs - a midterm review of the Samoa pathway - shows that SIDS have made progress in terms of the universality and affordability of their ICT networks since the Samoa conference. However, progress has been uneven and there is a major gap between best performing SIDS and the othe</w:t>
            </w:r>
            <w:r>
              <w:t>rs.</w:t>
            </w:r>
          </w:p>
        </w:tc>
      </w:tr>
    </w:tbl>
    <w:p w14:paraId="2CEA8716" w14:textId="67AD6F6D" w:rsidR="00563C28" w:rsidRPr="001E1B8B" w:rsidRDefault="00563C28" w:rsidP="00493BD3">
      <w:pPr>
        <w:keepNext/>
        <w:spacing w:before="240"/>
        <w:rPr>
          <w:b/>
          <w:bCs/>
        </w:rPr>
      </w:pPr>
      <w:r w:rsidRPr="001E1B8B">
        <w:rPr>
          <w:b/>
          <w:bCs/>
        </w:rPr>
        <w:t>1</w:t>
      </w:r>
      <w:r w:rsidR="00AF24CC">
        <w:rPr>
          <w:b/>
          <w:bCs/>
        </w:rPr>
        <w:t>2</w:t>
      </w:r>
      <w:r w:rsidRPr="001E1B8B">
        <w:rPr>
          <w:b/>
          <w:bCs/>
        </w:rPr>
        <w:t>.</w:t>
      </w:r>
      <w:r w:rsidRPr="001E1B8B">
        <w:rPr>
          <w:b/>
          <w:bCs/>
        </w:rPr>
        <w:tab/>
        <w:t>Regional Development Forums</w:t>
      </w:r>
      <w:r w:rsidR="00557E91" w:rsidRPr="001E1B8B">
        <w:rPr>
          <w:b/>
          <w:bCs/>
        </w:rPr>
        <w:t xml:space="preserve"> </w:t>
      </w:r>
    </w:p>
    <w:p w14:paraId="64A021F7" w14:textId="20B28CE3" w:rsidR="00557E91" w:rsidRPr="001E1B8B" w:rsidRDefault="00557E91" w:rsidP="00AA0599">
      <w:pPr>
        <w:rPr>
          <w:bCs/>
        </w:rPr>
      </w:pPr>
      <w:r w:rsidRPr="001E1B8B">
        <w:rPr>
          <w:bCs/>
        </w:rPr>
        <w:t xml:space="preserve">A series of Regional Development Forums </w:t>
      </w:r>
      <w:r w:rsidR="00D85B11" w:rsidRPr="001E1B8B">
        <w:rPr>
          <w:bCs/>
        </w:rPr>
        <w:t>were organized across the globe. The forums are a great opportunity to discuss development issues with a wide range of stakeholders on the ground.</w:t>
      </w:r>
    </w:p>
    <w:p w14:paraId="196476DF" w14:textId="6439A742" w:rsidR="00AE6A86" w:rsidRPr="001E1B8B" w:rsidRDefault="00D85B11" w:rsidP="00F66DD5">
      <w:pPr>
        <w:keepNext/>
        <w:shd w:val="clear" w:color="auto" w:fill="FFFFFF"/>
        <w:tabs>
          <w:tab w:val="clear" w:pos="794"/>
          <w:tab w:val="clear" w:pos="1191"/>
          <w:tab w:val="clear" w:pos="1588"/>
          <w:tab w:val="clear" w:pos="1985"/>
        </w:tabs>
        <w:overflowPunct/>
        <w:autoSpaceDE/>
        <w:autoSpaceDN/>
        <w:adjustRightInd/>
        <w:rPr>
          <w:rFonts w:cstheme="minorHAnsi"/>
          <w:b/>
          <w:szCs w:val="24"/>
        </w:rPr>
      </w:pPr>
      <w:r w:rsidRPr="001E1B8B">
        <w:rPr>
          <w:rFonts w:cstheme="minorHAnsi"/>
          <w:b/>
          <w:szCs w:val="24"/>
        </w:rPr>
        <w:t>Beirut, Lebanon</w:t>
      </w:r>
    </w:p>
    <w:p w14:paraId="77590455" w14:textId="7BA0DCCF" w:rsidR="008F5B7F" w:rsidRPr="001E1B8B" w:rsidRDefault="00D85B11">
      <w:pPr>
        <w:rPr>
          <w:rFonts w:cstheme="minorHAnsi"/>
          <w:szCs w:val="24"/>
          <w:highlight w:val="yellow"/>
        </w:rPr>
      </w:pPr>
      <w:r w:rsidRPr="001E1B8B">
        <w:rPr>
          <w:rFonts w:cstheme="minorHAnsi"/>
          <w:szCs w:val="24"/>
        </w:rPr>
        <w:t>The</w:t>
      </w:r>
      <w:r w:rsidR="00AE6A86" w:rsidRPr="001E1B8B">
        <w:rPr>
          <w:rFonts w:cstheme="minorHAnsi"/>
          <w:szCs w:val="24"/>
        </w:rPr>
        <w:t xml:space="preserve"> Arab </w:t>
      </w:r>
      <w:r w:rsidR="00075B33" w:rsidRPr="001E1B8B">
        <w:rPr>
          <w:rFonts w:cstheme="minorHAnsi"/>
          <w:szCs w:val="24"/>
        </w:rPr>
        <w:t xml:space="preserve">States </w:t>
      </w:r>
      <w:r w:rsidR="00AE6A86" w:rsidRPr="001E1B8B">
        <w:rPr>
          <w:rFonts w:cstheme="minorHAnsi"/>
          <w:szCs w:val="24"/>
        </w:rPr>
        <w:t>Regional Development Forum</w:t>
      </w:r>
      <w:r w:rsidRPr="001E1B8B">
        <w:rPr>
          <w:rFonts w:cstheme="minorHAnsi"/>
          <w:szCs w:val="24"/>
        </w:rPr>
        <w:t xml:space="preserve"> was held</w:t>
      </w:r>
      <w:r w:rsidR="00AE6A86" w:rsidRPr="001E1B8B">
        <w:rPr>
          <w:rFonts w:cstheme="minorHAnsi"/>
          <w:szCs w:val="24"/>
        </w:rPr>
        <w:t xml:space="preserve"> in Beirut, Lebanon</w:t>
      </w:r>
      <w:r w:rsidRPr="001E1B8B">
        <w:rPr>
          <w:rFonts w:cstheme="minorHAnsi"/>
          <w:szCs w:val="24"/>
        </w:rPr>
        <w:t xml:space="preserve"> and </w:t>
      </w:r>
      <w:r w:rsidR="00AE6A86" w:rsidRPr="001E1B8B">
        <w:rPr>
          <w:rFonts w:cstheme="minorHAnsi"/>
          <w:szCs w:val="24"/>
        </w:rPr>
        <w:t>was organized as part of the activities of the Arab High-Level Forum (AHLF) on the World Summit on the Information Society (WSIS) and 2030 Agenda for Sustainable Development.  AHLF is organized and hosted by the United Nations Economic and Social Commission for Western Asia (ESCWA) in collaboration with the ITU Arab</w:t>
      </w:r>
      <w:r w:rsidR="00FA6639" w:rsidRPr="001E1B8B">
        <w:rPr>
          <w:rFonts w:cstheme="minorHAnsi"/>
          <w:szCs w:val="24"/>
        </w:rPr>
        <w:t xml:space="preserve"> States</w:t>
      </w:r>
      <w:r w:rsidR="00AE6A86" w:rsidRPr="001E1B8B">
        <w:rPr>
          <w:rFonts w:cstheme="minorHAnsi"/>
          <w:szCs w:val="24"/>
        </w:rPr>
        <w:t xml:space="preserve"> Regional Office.  </w:t>
      </w:r>
      <w:r w:rsidRPr="001E1B8B">
        <w:rPr>
          <w:rFonts w:cstheme="minorHAnsi"/>
          <w:szCs w:val="24"/>
        </w:rPr>
        <w:t xml:space="preserve">The </w:t>
      </w:r>
      <w:r w:rsidR="009A6EDD" w:rsidRPr="001E1B8B">
        <w:rPr>
          <w:rFonts w:cstheme="minorHAnsi"/>
          <w:szCs w:val="24"/>
        </w:rPr>
        <w:t>Forum served</w:t>
      </w:r>
      <w:r w:rsidRPr="001E1B8B">
        <w:rPr>
          <w:rFonts w:cstheme="minorHAnsi"/>
          <w:szCs w:val="24"/>
        </w:rPr>
        <w:t xml:space="preserve"> as a regional coordination meeting for </w:t>
      </w:r>
      <w:r w:rsidR="000A3428" w:rsidRPr="000A3428">
        <w:rPr>
          <w:rFonts w:cstheme="minorHAnsi"/>
          <w:szCs w:val="24"/>
        </w:rPr>
        <w:t xml:space="preserve">ITU Member States and Sector Members </w:t>
      </w:r>
      <w:r w:rsidRPr="001E1B8B">
        <w:rPr>
          <w:rFonts w:cstheme="minorHAnsi"/>
          <w:szCs w:val="24"/>
        </w:rPr>
        <w:t xml:space="preserve">to review </w:t>
      </w:r>
      <w:r w:rsidR="009A6EDD" w:rsidRPr="001E1B8B">
        <w:rPr>
          <w:rFonts w:cstheme="minorHAnsi"/>
          <w:szCs w:val="24"/>
        </w:rPr>
        <w:t>the implementation</w:t>
      </w:r>
      <w:r w:rsidRPr="001E1B8B">
        <w:rPr>
          <w:rFonts w:cstheme="minorHAnsi"/>
          <w:szCs w:val="24"/>
        </w:rPr>
        <w:t xml:space="preserve"> of the 2018 operational </w:t>
      </w:r>
      <w:r w:rsidRPr="001E1B8B">
        <w:rPr>
          <w:rFonts w:cstheme="minorHAnsi"/>
          <w:szCs w:val="24"/>
        </w:rPr>
        <w:lastRenderedPageBreak/>
        <w:t xml:space="preserve">plan of WTDC-17 as well as the 2019 operational plan. It also provided an opportunity for a high-level dialogue between the ITU </w:t>
      </w:r>
      <w:r w:rsidR="000A3428" w:rsidRPr="000A3428">
        <w:rPr>
          <w:rFonts w:cstheme="minorHAnsi"/>
          <w:szCs w:val="24"/>
        </w:rPr>
        <w:t xml:space="preserve">Member States and Sector Members </w:t>
      </w:r>
      <w:r w:rsidRPr="001E1B8B">
        <w:rPr>
          <w:rFonts w:cstheme="minorHAnsi"/>
          <w:szCs w:val="24"/>
        </w:rPr>
        <w:t xml:space="preserve">and other stakeholders from the Arab </w:t>
      </w:r>
      <w:r w:rsidR="000A3428">
        <w:rPr>
          <w:rFonts w:cstheme="minorHAnsi"/>
          <w:szCs w:val="24"/>
        </w:rPr>
        <w:t xml:space="preserve">States </w:t>
      </w:r>
      <w:r w:rsidRPr="001E1B8B">
        <w:rPr>
          <w:rFonts w:cstheme="minorHAnsi"/>
          <w:szCs w:val="24"/>
        </w:rPr>
        <w:t>region to synergize efforts, seek new partnerships</w:t>
      </w:r>
      <w:r w:rsidR="000A3428">
        <w:rPr>
          <w:rFonts w:cstheme="minorHAnsi"/>
          <w:szCs w:val="24"/>
        </w:rPr>
        <w:t>,</w:t>
      </w:r>
      <w:r w:rsidRPr="001E1B8B">
        <w:rPr>
          <w:rFonts w:cstheme="minorHAnsi"/>
          <w:szCs w:val="24"/>
        </w:rPr>
        <w:t xml:space="preserve"> and agree on priority areas for the coming period. </w:t>
      </w:r>
      <w:r w:rsidRPr="001E1B8B">
        <w:rPr>
          <w:rFonts w:cstheme="minorHAnsi"/>
          <w:color w:val="444444"/>
          <w:szCs w:val="24"/>
          <w:shd w:val="clear" w:color="auto" w:fill="FFFFFF"/>
        </w:rPr>
        <w:t xml:space="preserve"> </w:t>
      </w:r>
    </w:p>
    <w:p w14:paraId="5B7A55B0" w14:textId="490D3EAF" w:rsidR="0008033D" w:rsidRPr="001E1B8B" w:rsidRDefault="0008033D" w:rsidP="006E3EE7">
      <w:pPr>
        <w:keepNext/>
        <w:rPr>
          <w:rFonts w:cstheme="minorHAnsi"/>
          <w:szCs w:val="24"/>
        </w:rPr>
      </w:pPr>
      <w:r w:rsidRPr="001E1B8B">
        <w:rPr>
          <w:rFonts w:cstheme="minorHAnsi"/>
          <w:b/>
          <w:szCs w:val="24"/>
        </w:rPr>
        <w:t>Asunción, Paraguay</w:t>
      </w:r>
    </w:p>
    <w:p w14:paraId="2D081788" w14:textId="004F8C0A" w:rsidR="008F5B7F" w:rsidRPr="001E1B8B" w:rsidRDefault="00D85B11">
      <w:pPr>
        <w:pStyle w:val="xmsonormal"/>
        <w:spacing w:before="120"/>
        <w:rPr>
          <w:rFonts w:asciiTheme="minorHAnsi" w:hAnsiTheme="minorHAnsi" w:cstheme="minorHAnsi"/>
          <w:sz w:val="24"/>
          <w:szCs w:val="24"/>
          <w:lang w:val="en-GB"/>
        </w:rPr>
      </w:pPr>
      <w:r w:rsidRPr="001E1B8B">
        <w:rPr>
          <w:rFonts w:asciiTheme="minorHAnsi" w:hAnsiTheme="minorHAnsi" w:cstheme="minorHAnsi"/>
          <w:sz w:val="24"/>
          <w:szCs w:val="24"/>
          <w:lang w:val="en-GB"/>
        </w:rPr>
        <w:t>The</w:t>
      </w:r>
      <w:r w:rsidR="008F5B7F" w:rsidRPr="001E1B8B">
        <w:rPr>
          <w:rFonts w:asciiTheme="minorHAnsi" w:hAnsiTheme="minorHAnsi" w:cstheme="minorHAnsi"/>
          <w:sz w:val="24"/>
          <w:szCs w:val="24"/>
          <w:lang w:val="en-GB"/>
        </w:rPr>
        <w:t xml:space="preserve"> Forum was organized </w:t>
      </w:r>
      <w:r w:rsidR="005D4434" w:rsidRPr="001E1B8B">
        <w:rPr>
          <w:rFonts w:asciiTheme="minorHAnsi" w:hAnsiTheme="minorHAnsi" w:cstheme="minorHAnsi"/>
          <w:sz w:val="24"/>
          <w:szCs w:val="24"/>
          <w:lang w:val="en-GB"/>
        </w:rPr>
        <w:t xml:space="preserve">on 30 September, in Asuncion, Paraguay, </w:t>
      </w:r>
      <w:r w:rsidR="008F5B7F" w:rsidRPr="001E1B8B">
        <w:rPr>
          <w:rFonts w:asciiTheme="minorHAnsi" w:hAnsiTheme="minorHAnsi" w:cstheme="minorHAnsi"/>
          <w:sz w:val="24"/>
          <w:szCs w:val="24"/>
          <w:lang w:val="en-GB"/>
        </w:rPr>
        <w:t>back</w:t>
      </w:r>
      <w:r w:rsidR="00FA6639" w:rsidRPr="001E1B8B">
        <w:rPr>
          <w:rFonts w:asciiTheme="minorHAnsi" w:hAnsiTheme="minorHAnsi" w:cstheme="minorHAnsi"/>
          <w:sz w:val="24"/>
          <w:szCs w:val="24"/>
          <w:lang w:val="en-GB"/>
        </w:rPr>
        <w:t>-</w:t>
      </w:r>
      <w:r w:rsidR="008F5B7F" w:rsidRPr="001E1B8B">
        <w:rPr>
          <w:rFonts w:asciiTheme="minorHAnsi" w:hAnsiTheme="minorHAnsi" w:cstheme="minorHAnsi"/>
          <w:sz w:val="24"/>
          <w:szCs w:val="24"/>
          <w:lang w:val="en-GB"/>
        </w:rPr>
        <w:t>to</w:t>
      </w:r>
      <w:r w:rsidR="00FA6639" w:rsidRPr="001E1B8B">
        <w:rPr>
          <w:rFonts w:asciiTheme="minorHAnsi" w:hAnsiTheme="minorHAnsi" w:cstheme="minorHAnsi"/>
          <w:sz w:val="24"/>
          <w:szCs w:val="24"/>
          <w:lang w:val="en-GB"/>
        </w:rPr>
        <w:t>-</w:t>
      </w:r>
      <w:r w:rsidR="008F5B7F" w:rsidRPr="001E1B8B">
        <w:rPr>
          <w:rFonts w:asciiTheme="minorHAnsi" w:hAnsiTheme="minorHAnsi" w:cstheme="minorHAnsi"/>
          <w:sz w:val="24"/>
          <w:szCs w:val="24"/>
          <w:lang w:val="en-GB"/>
        </w:rPr>
        <w:t>back with the 35</w:t>
      </w:r>
      <w:r w:rsidR="008F5B7F" w:rsidRPr="000A3428">
        <w:rPr>
          <w:rFonts w:asciiTheme="minorHAnsi" w:hAnsiTheme="minorHAnsi" w:cstheme="minorHAnsi"/>
          <w:sz w:val="24"/>
          <w:szCs w:val="24"/>
          <w:vertAlign w:val="superscript"/>
          <w:lang w:val="en-GB"/>
        </w:rPr>
        <w:t>th</w:t>
      </w:r>
      <w:r w:rsidR="008F5B7F" w:rsidRPr="001E1B8B">
        <w:rPr>
          <w:rFonts w:asciiTheme="minorHAnsi" w:hAnsiTheme="minorHAnsi" w:cstheme="minorHAnsi"/>
          <w:sz w:val="24"/>
          <w:szCs w:val="24"/>
          <w:lang w:val="en-GB"/>
        </w:rPr>
        <w:t xml:space="preserve"> meeting of the Inter-American Telecommunication Commission (CITEL) Permanent Consultative Committee I (PCC I), at the kind invitation of CONATEL Paraguay. </w:t>
      </w:r>
    </w:p>
    <w:p w14:paraId="537BF336" w14:textId="54E7F4EC" w:rsidR="005D4434" w:rsidRPr="001E1B8B" w:rsidRDefault="00FA6639" w:rsidP="000A3428">
      <w:pPr>
        <w:pStyle w:val="xmsonormal"/>
        <w:spacing w:before="120"/>
        <w:rPr>
          <w:rFonts w:asciiTheme="minorHAnsi" w:hAnsiTheme="minorHAnsi" w:cstheme="minorHAnsi"/>
          <w:sz w:val="24"/>
          <w:szCs w:val="24"/>
          <w:lang w:val="en-GB"/>
        </w:rPr>
      </w:pPr>
      <w:r w:rsidRPr="001E1B8B">
        <w:rPr>
          <w:rFonts w:asciiTheme="minorHAnsi" w:hAnsiTheme="minorHAnsi" w:cstheme="minorHAnsi"/>
          <w:sz w:val="24"/>
          <w:szCs w:val="24"/>
          <w:lang w:val="en-GB"/>
        </w:rPr>
        <w:t>The m</w:t>
      </w:r>
      <w:r w:rsidR="008F5B7F" w:rsidRPr="001E1B8B">
        <w:rPr>
          <w:rFonts w:asciiTheme="minorHAnsi" w:hAnsiTheme="minorHAnsi" w:cstheme="minorHAnsi"/>
          <w:sz w:val="24"/>
          <w:szCs w:val="24"/>
          <w:lang w:val="en-GB"/>
        </w:rPr>
        <w:t>ain strategic orientations identified in the region were broadening connectivity, improving affordability of services, and reducing the digital divide</w:t>
      </w:r>
      <w:r w:rsidR="005D4434" w:rsidRPr="001E1B8B">
        <w:rPr>
          <w:rFonts w:cstheme="minorHAnsi"/>
          <w:sz w:val="24"/>
          <w:szCs w:val="24"/>
          <w:lang w:val="en-GB"/>
        </w:rPr>
        <w:t xml:space="preserve"> through digital skills, people centric policy and regulat</w:t>
      </w:r>
      <w:r w:rsidR="000A3428">
        <w:rPr>
          <w:rFonts w:cstheme="minorHAnsi"/>
          <w:sz w:val="24"/>
          <w:szCs w:val="24"/>
          <w:lang w:val="en-GB"/>
        </w:rPr>
        <w:t>ory</w:t>
      </w:r>
      <w:r w:rsidR="005D4434" w:rsidRPr="001E1B8B">
        <w:rPr>
          <w:rFonts w:cstheme="minorHAnsi"/>
          <w:sz w:val="24"/>
          <w:szCs w:val="24"/>
          <w:lang w:val="en-GB"/>
        </w:rPr>
        <w:t xml:space="preserve"> strategic alliances</w:t>
      </w:r>
      <w:r w:rsidR="008F5B7F" w:rsidRPr="001E1B8B">
        <w:rPr>
          <w:rFonts w:asciiTheme="minorHAnsi" w:hAnsiTheme="minorHAnsi" w:cstheme="minorHAnsi"/>
          <w:sz w:val="24"/>
          <w:szCs w:val="24"/>
          <w:lang w:val="en-GB"/>
        </w:rPr>
        <w:t xml:space="preserve">. </w:t>
      </w:r>
      <w:r w:rsidR="000A3428">
        <w:rPr>
          <w:rFonts w:asciiTheme="minorHAnsi" w:hAnsiTheme="minorHAnsi" w:cstheme="minorHAnsi"/>
          <w:sz w:val="24"/>
          <w:szCs w:val="24"/>
          <w:lang w:val="en-GB"/>
        </w:rPr>
        <w:t>D</w:t>
      </w:r>
      <w:r w:rsidR="008F5B7F" w:rsidRPr="001E1B8B">
        <w:rPr>
          <w:rFonts w:asciiTheme="minorHAnsi" w:hAnsiTheme="minorHAnsi" w:cstheme="minorHAnsi"/>
          <w:sz w:val="24"/>
          <w:szCs w:val="24"/>
          <w:lang w:val="en-GB"/>
        </w:rPr>
        <w:t xml:space="preserve">uring </w:t>
      </w:r>
      <w:r w:rsidRPr="001E1B8B">
        <w:rPr>
          <w:rFonts w:asciiTheme="minorHAnsi" w:hAnsiTheme="minorHAnsi" w:cstheme="minorHAnsi"/>
          <w:sz w:val="24"/>
          <w:szCs w:val="24"/>
          <w:lang w:val="en-GB"/>
        </w:rPr>
        <w:t xml:space="preserve">the </w:t>
      </w:r>
      <w:r w:rsidR="008F5B7F" w:rsidRPr="001E1B8B">
        <w:rPr>
          <w:rFonts w:asciiTheme="minorHAnsi" w:hAnsiTheme="minorHAnsi" w:cstheme="minorHAnsi"/>
          <w:sz w:val="24"/>
          <w:szCs w:val="24"/>
          <w:lang w:val="en-GB"/>
        </w:rPr>
        <w:t>RDF</w:t>
      </w:r>
      <w:r w:rsidRPr="001E1B8B">
        <w:rPr>
          <w:rFonts w:asciiTheme="minorHAnsi" w:hAnsiTheme="minorHAnsi" w:cstheme="minorHAnsi"/>
          <w:sz w:val="24"/>
          <w:szCs w:val="24"/>
          <w:lang w:val="en-GB"/>
        </w:rPr>
        <w:t>-AMS</w:t>
      </w:r>
      <w:r w:rsidR="000A3428">
        <w:rPr>
          <w:rFonts w:asciiTheme="minorHAnsi" w:hAnsiTheme="minorHAnsi" w:cstheme="minorHAnsi"/>
          <w:sz w:val="24"/>
          <w:szCs w:val="24"/>
          <w:lang w:val="en-GB"/>
        </w:rPr>
        <w:t xml:space="preserve"> t</w:t>
      </w:r>
      <w:r w:rsidR="008F5B7F" w:rsidRPr="001E1B8B">
        <w:rPr>
          <w:rFonts w:asciiTheme="minorHAnsi" w:hAnsiTheme="minorHAnsi" w:cstheme="minorHAnsi"/>
          <w:sz w:val="24"/>
          <w:szCs w:val="24"/>
          <w:lang w:val="en-GB"/>
        </w:rPr>
        <w:t>he need for the region to move faster with concrete actions towards the fourth industrial revolution</w:t>
      </w:r>
      <w:r w:rsidR="000A3428">
        <w:rPr>
          <w:rFonts w:asciiTheme="minorHAnsi" w:hAnsiTheme="minorHAnsi" w:cstheme="minorHAnsi"/>
          <w:sz w:val="24"/>
          <w:szCs w:val="24"/>
          <w:lang w:val="en-GB"/>
        </w:rPr>
        <w:t>, and t</w:t>
      </w:r>
      <w:r w:rsidR="008F5B7F" w:rsidRPr="001E1B8B">
        <w:rPr>
          <w:rFonts w:asciiTheme="minorHAnsi" w:hAnsiTheme="minorHAnsi" w:cstheme="minorHAnsi"/>
          <w:sz w:val="24"/>
          <w:szCs w:val="24"/>
          <w:lang w:val="en-GB"/>
        </w:rPr>
        <w:t xml:space="preserve">he need of agile and adaptable regulatory frameworks and policies </w:t>
      </w:r>
      <w:r w:rsidR="000A3428">
        <w:rPr>
          <w:rFonts w:asciiTheme="minorHAnsi" w:hAnsiTheme="minorHAnsi" w:cstheme="minorHAnsi"/>
          <w:sz w:val="24"/>
          <w:szCs w:val="24"/>
          <w:lang w:val="en-GB"/>
        </w:rPr>
        <w:t>related</w:t>
      </w:r>
      <w:r w:rsidR="008F5B7F" w:rsidRPr="001E1B8B">
        <w:rPr>
          <w:rFonts w:asciiTheme="minorHAnsi" w:hAnsiTheme="minorHAnsi" w:cstheme="minorHAnsi"/>
          <w:sz w:val="24"/>
          <w:szCs w:val="24"/>
          <w:lang w:val="en-GB"/>
        </w:rPr>
        <w:t xml:space="preserve"> to the convergence of services</w:t>
      </w:r>
      <w:r w:rsidR="000A3428" w:rsidRPr="000A3428">
        <w:rPr>
          <w:rFonts w:asciiTheme="minorHAnsi" w:hAnsiTheme="minorHAnsi" w:cstheme="minorHAnsi"/>
          <w:sz w:val="24"/>
          <w:szCs w:val="24"/>
          <w:lang w:val="en-GB"/>
        </w:rPr>
        <w:t xml:space="preserve"> </w:t>
      </w:r>
      <w:r w:rsidR="000A3428">
        <w:rPr>
          <w:rFonts w:asciiTheme="minorHAnsi" w:hAnsiTheme="minorHAnsi" w:cstheme="minorHAnsi"/>
          <w:sz w:val="24"/>
          <w:szCs w:val="24"/>
          <w:lang w:val="en-GB"/>
        </w:rPr>
        <w:t xml:space="preserve">were highlighted. </w:t>
      </w:r>
      <w:r w:rsidR="000A3428" w:rsidRPr="001E1B8B">
        <w:rPr>
          <w:rFonts w:asciiTheme="minorHAnsi" w:hAnsiTheme="minorHAnsi" w:cstheme="minorHAnsi"/>
          <w:sz w:val="24"/>
          <w:szCs w:val="24"/>
          <w:lang w:val="en-GB"/>
        </w:rPr>
        <w:t>In addition,</w:t>
      </w:r>
      <w:r w:rsidR="000A3428">
        <w:rPr>
          <w:rFonts w:asciiTheme="minorHAnsi" w:hAnsiTheme="minorHAnsi" w:cstheme="minorHAnsi"/>
          <w:sz w:val="24"/>
          <w:szCs w:val="24"/>
          <w:lang w:val="en-GB"/>
        </w:rPr>
        <w:t xml:space="preserve"> </w:t>
      </w:r>
      <w:r w:rsidR="000A3428" w:rsidRPr="000A3428">
        <w:rPr>
          <w:rFonts w:asciiTheme="minorHAnsi" w:hAnsiTheme="minorHAnsi" w:cstheme="minorHAnsi"/>
          <w:sz w:val="24"/>
          <w:szCs w:val="24"/>
          <w:lang w:val="en-GB"/>
        </w:rPr>
        <w:t xml:space="preserve">the RDF-AMS </w:t>
      </w:r>
      <w:r w:rsidR="000A3428">
        <w:rPr>
          <w:rFonts w:asciiTheme="minorHAnsi" w:hAnsiTheme="minorHAnsi" w:cstheme="minorHAnsi"/>
          <w:sz w:val="24"/>
          <w:szCs w:val="24"/>
          <w:lang w:val="en-GB"/>
        </w:rPr>
        <w:t>underlined the need for t</w:t>
      </w:r>
      <w:r w:rsidR="00D85B11" w:rsidRPr="001E1B8B">
        <w:rPr>
          <w:rFonts w:asciiTheme="minorHAnsi" w:hAnsiTheme="minorHAnsi" w:cstheme="minorHAnsi"/>
          <w:sz w:val="24"/>
          <w:szCs w:val="24"/>
          <w:lang w:val="en-GB"/>
        </w:rPr>
        <w:t>he d</w:t>
      </w:r>
      <w:r w:rsidR="008F5B7F" w:rsidRPr="001E1B8B">
        <w:rPr>
          <w:rFonts w:asciiTheme="minorHAnsi" w:hAnsiTheme="minorHAnsi" w:cstheme="minorHAnsi"/>
          <w:sz w:val="24"/>
          <w:szCs w:val="24"/>
          <w:lang w:val="en-GB"/>
        </w:rPr>
        <w:t xml:space="preserve">evelopment of basic digital skills </w:t>
      </w:r>
      <w:r w:rsidR="00D85B11" w:rsidRPr="001E1B8B">
        <w:rPr>
          <w:rFonts w:asciiTheme="minorHAnsi" w:hAnsiTheme="minorHAnsi" w:cstheme="minorHAnsi"/>
          <w:sz w:val="24"/>
          <w:szCs w:val="24"/>
          <w:lang w:val="en-GB"/>
        </w:rPr>
        <w:t>to empower people at</w:t>
      </w:r>
      <w:r w:rsidR="008F5B7F" w:rsidRPr="001E1B8B">
        <w:rPr>
          <w:rFonts w:asciiTheme="minorHAnsi" w:hAnsiTheme="minorHAnsi" w:cstheme="minorHAnsi"/>
          <w:sz w:val="24"/>
          <w:szCs w:val="24"/>
          <w:lang w:val="en-GB"/>
        </w:rPr>
        <w:t xml:space="preserve"> the bottom of the pyramid</w:t>
      </w:r>
      <w:r w:rsidR="000A3428">
        <w:rPr>
          <w:rFonts w:asciiTheme="minorHAnsi" w:hAnsiTheme="minorHAnsi" w:cstheme="minorHAnsi"/>
          <w:sz w:val="24"/>
          <w:szCs w:val="24"/>
          <w:lang w:val="en-GB"/>
        </w:rPr>
        <w:t>; t</w:t>
      </w:r>
      <w:r w:rsidR="00D85B11" w:rsidRPr="001E1B8B">
        <w:rPr>
          <w:rFonts w:asciiTheme="minorHAnsi" w:hAnsiTheme="minorHAnsi" w:cstheme="minorHAnsi"/>
          <w:sz w:val="24"/>
          <w:szCs w:val="24"/>
          <w:lang w:val="en-GB"/>
        </w:rPr>
        <w:t>he need for i</w:t>
      </w:r>
      <w:r w:rsidR="008F5B7F" w:rsidRPr="001E1B8B">
        <w:rPr>
          <w:rFonts w:asciiTheme="minorHAnsi" w:hAnsiTheme="minorHAnsi" w:cstheme="minorHAnsi"/>
          <w:sz w:val="24"/>
          <w:szCs w:val="24"/>
          <w:lang w:val="en-GB"/>
        </w:rPr>
        <w:t>nvestments in innovation, infrastructure</w:t>
      </w:r>
      <w:r w:rsidR="006C7A71" w:rsidRPr="001E1B8B">
        <w:rPr>
          <w:rFonts w:asciiTheme="minorHAnsi" w:hAnsiTheme="minorHAnsi" w:cstheme="minorHAnsi"/>
          <w:sz w:val="24"/>
          <w:szCs w:val="24"/>
          <w:lang w:val="en-GB"/>
        </w:rPr>
        <w:t>,</w:t>
      </w:r>
      <w:r w:rsidR="008F5B7F" w:rsidRPr="001E1B8B">
        <w:rPr>
          <w:rFonts w:asciiTheme="minorHAnsi" w:hAnsiTheme="minorHAnsi" w:cstheme="minorHAnsi"/>
          <w:sz w:val="24"/>
          <w:szCs w:val="24"/>
          <w:lang w:val="en-GB"/>
        </w:rPr>
        <w:t xml:space="preserve"> and digital transformation</w:t>
      </w:r>
      <w:r w:rsidR="000A3428">
        <w:rPr>
          <w:rFonts w:asciiTheme="minorHAnsi" w:hAnsiTheme="minorHAnsi" w:cstheme="minorHAnsi"/>
          <w:sz w:val="24"/>
          <w:szCs w:val="24"/>
          <w:lang w:val="en-GB"/>
        </w:rPr>
        <w:t>; and t</w:t>
      </w:r>
      <w:r w:rsidR="005D4434" w:rsidRPr="001E1B8B">
        <w:rPr>
          <w:rFonts w:asciiTheme="minorHAnsi" w:hAnsiTheme="minorHAnsi" w:cstheme="minorHAnsi"/>
          <w:sz w:val="24"/>
          <w:szCs w:val="24"/>
          <w:lang w:val="en-GB"/>
        </w:rPr>
        <w:t>he need to enhance the cooperation between the public and private sectors.</w:t>
      </w:r>
    </w:p>
    <w:p w14:paraId="7489D8A8" w14:textId="27FE0EA6" w:rsidR="00774E2B" w:rsidRPr="001E1B8B" w:rsidRDefault="00D85B11" w:rsidP="006E3EE7">
      <w:pPr>
        <w:pStyle w:val="xmsonormal"/>
        <w:keepNext/>
        <w:overflowPunct w:val="0"/>
        <w:autoSpaceDE w:val="0"/>
        <w:autoSpaceDN w:val="0"/>
        <w:adjustRightInd w:val="0"/>
        <w:spacing w:before="120"/>
        <w:textAlignment w:val="baseline"/>
        <w:rPr>
          <w:rFonts w:asciiTheme="minorHAnsi" w:hAnsiTheme="minorHAnsi" w:cstheme="minorHAnsi"/>
          <w:b/>
          <w:sz w:val="24"/>
          <w:szCs w:val="24"/>
          <w:lang w:val="en-GB"/>
        </w:rPr>
      </w:pPr>
      <w:r w:rsidRPr="001E1B8B">
        <w:rPr>
          <w:rFonts w:asciiTheme="minorHAnsi" w:hAnsiTheme="minorHAnsi" w:cstheme="minorHAnsi"/>
          <w:b/>
          <w:sz w:val="24"/>
          <w:szCs w:val="24"/>
          <w:lang w:val="en-GB"/>
        </w:rPr>
        <w:t>Rome, Italy</w:t>
      </w:r>
    </w:p>
    <w:p w14:paraId="67499B6A" w14:textId="5D68DDF7" w:rsidR="00774E2B" w:rsidRPr="001E1B8B" w:rsidRDefault="00774E2B" w:rsidP="00427FD0">
      <w:pPr>
        <w:pStyle w:val="xmsonormal"/>
        <w:spacing w:before="120"/>
        <w:rPr>
          <w:rFonts w:asciiTheme="minorHAnsi" w:hAnsiTheme="minorHAnsi" w:cstheme="minorHAnsi"/>
          <w:sz w:val="24"/>
          <w:szCs w:val="24"/>
          <w:lang w:val="en-GB"/>
        </w:rPr>
      </w:pPr>
      <w:r w:rsidRPr="001E1B8B">
        <w:rPr>
          <w:rFonts w:asciiTheme="minorHAnsi" w:hAnsiTheme="minorHAnsi" w:cstheme="minorHAnsi"/>
          <w:sz w:val="24"/>
          <w:szCs w:val="24"/>
          <w:lang w:val="en-GB"/>
        </w:rPr>
        <w:t xml:space="preserve">ITU Regional Development Forum for Europe was hosted by the Ministry of Economic Development of Italy. The </w:t>
      </w:r>
      <w:r w:rsidR="0008033D" w:rsidRPr="001E1B8B">
        <w:rPr>
          <w:rFonts w:asciiTheme="minorHAnsi" w:hAnsiTheme="minorHAnsi" w:cstheme="minorHAnsi"/>
          <w:sz w:val="24"/>
          <w:szCs w:val="24"/>
          <w:lang w:val="en-GB"/>
        </w:rPr>
        <w:t>F</w:t>
      </w:r>
      <w:r w:rsidRPr="001E1B8B">
        <w:rPr>
          <w:rFonts w:asciiTheme="minorHAnsi" w:hAnsiTheme="minorHAnsi" w:cstheme="minorHAnsi"/>
          <w:sz w:val="24"/>
          <w:szCs w:val="24"/>
          <w:lang w:val="en-GB"/>
        </w:rPr>
        <w:t>orum was held back</w:t>
      </w:r>
      <w:r w:rsidR="00FA6639" w:rsidRPr="001E1B8B">
        <w:rPr>
          <w:rFonts w:asciiTheme="minorHAnsi" w:hAnsiTheme="minorHAnsi" w:cstheme="minorHAnsi"/>
          <w:sz w:val="24"/>
          <w:szCs w:val="24"/>
          <w:lang w:val="en-GB"/>
        </w:rPr>
        <w:t>-</w:t>
      </w:r>
      <w:r w:rsidRPr="001E1B8B">
        <w:rPr>
          <w:rFonts w:asciiTheme="minorHAnsi" w:hAnsiTheme="minorHAnsi" w:cstheme="minorHAnsi"/>
          <w:sz w:val="24"/>
          <w:szCs w:val="24"/>
          <w:lang w:val="en-GB"/>
        </w:rPr>
        <w:t>to</w:t>
      </w:r>
      <w:r w:rsidR="00FA6639" w:rsidRPr="001E1B8B">
        <w:rPr>
          <w:rFonts w:asciiTheme="minorHAnsi" w:hAnsiTheme="minorHAnsi" w:cstheme="minorHAnsi"/>
          <w:sz w:val="24"/>
          <w:szCs w:val="24"/>
          <w:lang w:val="en-GB"/>
        </w:rPr>
        <w:t>-</w:t>
      </w:r>
      <w:r w:rsidRPr="001E1B8B">
        <w:rPr>
          <w:rFonts w:asciiTheme="minorHAnsi" w:hAnsiTheme="minorHAnsi" w:cstheme="minorHAnsi"/>
          <w:sz w:val="24"/>
          <w:szCs w:val="24"/>
          <w:lang w:val="en-GB"/>
        </w:rPr>
        <w:t xml:space="preserve">back with the meeting of the Com ITU of CEPT (7-9 May 2019). </w:t>
      </w:r>
      <w:r w:rsidR="00D85B11" w:rsidRPr="001E1B8B">
        <w:rPr>
          <w:rFonts w:asciiTheme="minorHAnsi" w:hAnsiTheme="minorHAnsi" w:cstheme="minorHAnsi"/>
          <w:sz w:val="24"/>
          <w:szCs w:val="24"/>
          <w:lang w:val="en-GB"/>
        </w:rPr>
        <w:t>The Forum</w:t>
      </w:r>
      <w:r w:rsidRPr="001E1B8B">
        <w:rPr>
          <w:rFonts w:asciiTheme="minorHAnsi" w:hAnsiTheme="minorHAnsi" w:cstheme="minorHAnsi"/>
          <w:sz w:val="24"/>
          <w:szCs w:val="24"/>
          <w:lang w:val="en-GB"/>
        </w:rPr>
        <w:t xml:space="preserve"> provided an opportunity for </w:t>
      </w:r>
      <w:r w:rsidR="00D85B11" w:rsidRPr="001E1B8B">
        <w:rPr>
          <w:rFonts w:asciiTheme="minorHAnsi" w:hAnsiTheme="minorHAnsi" w:cstheme="minorHAnsi"/>
          <w:sz w:val="24"/>
          <w:szCs w:val="24"/>
          <w:lang w:val="en-GB"/>
        </w:rPr>
        <w:t xml:space="preserve">a </w:t>
      </w:r>
      <w:r w:rsidRPr="001E1B8B">
        <w:rPr>
          <w:rFonts w:asciiTheme="minorHAnsi" w:hAnsiTheme="minorHAnsi" w:cstheme="minorHAnsi"/>
          <w:sz w:val="24"/>
          <w:szCs w:val="24"/>
          <w:lang w:val="en-GB"/>
        </w:rPr>
        <w:t xml:space="preserve">high-level dialogue between ITU and Member States and Sector Members </w:t>
      </w:r>
      <w:r w:rsidR="00FA6639" w:rsidRPr="001E1B8B">
        <w:rPr>
          <w:rFonts w:asciiTheme="minorHAnsi" w:hAnsiTheme="minorHAnsi" w:cstheme="minorHAnsi"/>
          <w:sz w:val="24"/>
          <w:szCs w:val="24"/>
          <w:lang w:val="en-GB"/>
        </w:rPr>
        <w:t xml:space="preserve">in the Europe region </w:t>
      </w:r>
      <w:r w:rsidRPr="001E1B8B">
        <w:rPr>
          <w:rFonts w:asciiTheme="minorHAnsi" w:hAnsiTheme="minorHAnsi" w:cstheme="minorHAnsi"/>
          <w:sz w:val="24"/>
          <w:szCs w:val="24"/>
          <w:lang w:val="en-GB"/>
        </w:rPr>
        <w:t xml:space="preserve">as well as other stakeholders. The meeting </w:t>
      </w:r>
      <w:r w:rsidR="00427FD0" w:rsidRPr="001E1B8B">
        <w:rPr>
          <w:rFonts w:asciiTheme="minorHAnsi" w:hAnsiTheme="minorHAnsi" w:cstheme="minorHAnsi"/>
          <w:sz w:val="24"/>
          <w:szCs w:val="24"/>
          <w:lang w:val="en-GB"/>
        </w:rPr>
        <w:t xml:space="preserve">resulted in a plan </w:t>
      </w:r>
      <w:r w:rsidRPr="001E1B8B">
        <w:rPr>
          <w:rFonts w:asciiTheme="minorHAnsi" w:hAnsiTheme="minorHAnsi" w:cstheme="minorHAnsi"/>
          <w:sz w:val="24"/>
          <w:szCs w:val="24"/>
          <w:lang w:val="en-GB"/>
        </w:rPr>
        <w:t xml:space="preserve">of action for the region addressing the expected results of the ITU </w:t>
      </w:r>
      <w:r w:rsidR="00FA6639" w:rsidRPr="001E1B8B">
        <w:rPr>
          <w:rFonts w:asciiTheme="minorHAnsi" w:hAnsiTheme="minorHAnsi" w:cstheme="minorHAnsi"/>
          <w:sz w:val="24"/>
          <w:szCs w:val="24"/>
          <w:lang w:val="en-GB"/>
        </w:rPr>
        <w:t>r</w:t>
      </w:r>
      <w:r w:rsidRPr="001E1B8B">
        <w:rPr>
          <w:rFonts w:asciiTheme="minorHAnsi" w:hAnsiTheme="minorHAnsi" w:cstheme="minorHAnsi"/>
          <w:sz w:val="24"/>
          <w:szCs w:val="24"/>
          <w:lang w:val="en-GB"/>
        </w:rPr>
        <w:t xml:space="preserve">egional </w:t>
      </w:r>
      <w:r w:rsidR="00FA6639" w:rsidRPr="001E1B8B">
        <w:rPr>
          <w:rFonts w:asciiTheme="minorHAnsi" w:hAnsiTheme="minorHAnsi" w:cstheme="minorHAnsi"/>
          <w:sz w:val="24"/>
          <w:szCs w:val="24"/>
          <w:lang w:val="en-GB"/>
        </w:rPr>
        <w:t>i</w:t>
      </w:r>
      <w:r w:rsidRPr="001E1B8B">
        <w:rPr>
          <w:rFonts w:asciiTheme="minorHAnsi" w:hAnsiTheme="minorHAnsi" w:cstheme="minorHAnsi"/>
          <w:sz w:val="24"/>
          <w:szCs w:val="24"/>
          <w:lang w:val="en-GB"/>
        </w:rPr>
        <w:t xml:space="preserve">nitiatives. </w:t>
      </w:r>
    </w:p>
    <w:p w14:paraId="1969D549" w14:textId="249209AE" w:rsidR="00445B36" w:rsidRPr="001E1B8B" w:rsidRDefault="00AF24CC" w:rsidP="00445B36">
      <w:pPr>
        <w:pStyle w:val="PlainText"/>
        <w:keepNext/>
        <w:spacing w:before="120"/>
        <w:rPr>
          <w:rFonts w:asciiTheme="minorHAnsi" w:hAnsiTheme="minorHAnsi" w:cstheme="minorHAnsi"/>
          <w:b/>
          <w:bCs/>
          <w:sz w:val="24"/>
          <w:szCs w:val="24"/>
        </w:rPr>
      </w:pPr>
      <w:r>
        <w:rPr>
          <w:rFonts w:asciiTheme="minorHAnsi" w:hAnsiTheme="minorHAnsi" w:cstheme="minorHAnsi"/>
          <w:b/>
          <w:bCs/>
          <w:sz w:val="24"/>
          <w:szCs w:val="24"/>
        </w:rPr>
        <w:t>13</w:t>
      </w:r>
      <w:r w:rsidR="00231434" w:rsidRPr="001E1B8B">
        <w:rPr>
          <w:rFonts w:asciiTheme="minorHAnsi" w:hAnsiTheme="minorHAnsi" w:cstheme="minorHAnsi"/>
          <w:b/>
          <w:bCs/>
          <w:sz w:val="24"/>
          <w:szCs w:val="24"/>
        </w:rPr>
        <w:t>.</w:t>
      </w:r>
      <w:r w:rsidR="00231434" w:rsidRPr="001E1B8B">
        <w:rPr>
          <w:rFonts w:asciiTheme="minorHAnsi" w:hAnsiTheme="minorHAnsi" w:cstheme="minorHAnsi"/>
          <w:b/>
          <w:bCs/>
          <w:sz w:val="24"/>
          <w:szCs w:val="24"/>
        </w:rPr>
        <w:tab/>
      </w:r>
      <w:r w:rsidR="00445B36" w:rsidRPr="001E1B8B">
        <w:rPr>
          <w:rFonts w:asciiTheme="minorHAnsi" w:hAnsiTheme="minorHAnsi" w:cstheme="minorHAnsi"/>
          <w:b/>
          <w:bCs/>
          <w:sz w:val="24"/>
          <w:szCs w:val="24"/>
        </w:rPr>
        <w:t xml:space="preserve">2020: </w:t>
      </w:r>
      <w:r w:rsidR="007B5A36" w:rsidRPr="001E1B8B">
        <w:rPr>
          <w:rFonts w:asciiTheme="minorHAnsi" w:hAnsiTheme="minorHAnsi" w:cstheme="minorHAnsi"/>
          <w:b/>
          <w:bCs/>
          <w:sz w:val="24"/>
          <w:szCs w:val="24"/>
        </w:rPr>
        <w:t>Partnering</w:t>
      </w:r>
      <w:r w:rsidR="00445B36" w:rsidRPr="001E1B8B">
        <w:rPr>
          <w:rFonts w:asciiTheme="minorHAnsi" w:hAnsiTheme="minorHAnsi" w:cstheme="minorHAnsi"/>
          <w:b/>
          <w:bCs/>
          <w:sz w:val="24"/>
          <w:szCs w:val="24"/>
        </w:rPr>
        <w:t xml:space="preserve"> for digital transformation</w:t>
      </w:r>
    </w:p>
    <w:p w14:paraId="79E3B34F" w14:textId="77777777" w:rsidR="00445B36" w:rsidRPr="001E1B8B" w:rsidRDefault="00445B36" w:rsidP="00445B36">
      <w:pPr>
        <w:pStyle w:val="PlainText"/>
        <w:spacing w:before="120"/>
        <w:rPr>
          <w:rFonts w:asciiTheme="minorHAnsi" w:hAnsiTheme="minorHAnsi" w:cstheme="minorHAnsi"/>
          <w:sz w:val="24"/>
          <w:szCs w:val="24"/>
        </w:rPr>
      </w:pPr>
      <w:r w:rsidRPr="001E1B8B">
        <w:rPr>
          <w:rFonts w:asciiTheme="minorHAnsi" w:hAnsiTheme="minorHAnsi" w:cstheme="minorHAnsi"/>
          <w:sz w:val="24"/>
          <w:szCs w:val="24"/>
        </w:rPr>
        <w:t xml:space="preserve">This report shows that today's digital era needs strong collaboration based around cooperation, resource-sharing and win-win-win arrangements that benefit governments, industry and users. A more holistic ‘whole-of-government’ approach, in which technology is viewed as a basic enabling service that benefits all, is fundamental. </w:t>
      </w:r>
    </w:p>
    <w:p w14:paraId="7E88DD01" w14:textId="6FFBD99E" w:rsidR="00445B36" w:rsidRPr="001E1B8B" w:rsidRDefault="00445B36" w:rsidP="00445B36">
      <w:pPr>
        <w:rPr>
          <w:rFonts w:cstheme="minorHAnsi"/>
          <w:szCs w:val="24"/>
        </w:rPr>
      </w:pPr>
      <w:r w:rsidRPr="001E1B8B">
        <w:rPr>
          <w:rFonts w:cstheme="minorHAnsi"/>
          <w:szCs w:val="24"/>
        </w:rPr>
        <w:t xml:space="preserve">BDT is putting a lot of emphasis on forging win-win strategic partnerships that open doors for collaboration essential to improved outcomes, tangible results and impact. With this in mind, BDT continues to cultivate relationships with existing partners, identify and engage new partners, retain exiting and attract new ITU-D </w:t>
      </w:r>
      <w:r w:rsidR="006537B6">
        <w:rPr>
          <w:rFonts w:cstheme="minorHAnsi"/>
          <w:szCs w:val="24"/>
        </w:rPr>
        <w:t xml:space="preserve">Sector Members </w:t>
      </w:r>
      <w:r w:rsidRPr="001E1B8B">
        <w:rPr>
          <w:rFonts w:cstheme="minorHAnsi"/>
          <w:szCs w:val="24"/>
        </w:rPr>
        <w:t>with the aim of attracting resources to finance large scale projects to support an impactful implementation of Buenos Aires Action Plan at global, regional</w:t>
      </w:r>
      <w:r w:rsidR="006537B6">
        <w:rPr>
          <w:rFonts w:cstheme="minorHAnsi"/>
          <w:szCs w:val="24"/>
        </w:rPr>
        <w:t>,</w:t>
      </w:r>
      <w:r w:rsidRPr="001E1B8B">
        <w:rPr>
          <w:rFonts w:cstheme="minorHAnsi"/>
          <w:szCs w:val="24"/>
        </w:rPr>
        <w:t xml:space="preserve"> and national levels.</w:t>
      </w:r>
    </w:p>
    <w:p w14:paraId="2993865A" w14:textId="2BD87A0F" w:rsidR="00445B36" w:rsidRPr="001E1B8B" w:rsidRDefault="00445B36" w:rsidP="00445B36">
      <w:pPr>
        <w:pStyle w:val="PlainText"/>
        <w:spacing w:before="120"/>
        <w:rPr>
          <w:rFonts w:asciiTheme="minorHAnsi" w:hAnsiTheme="minorHAnsi" w:cstheme="minorHAnsi"/>
          <w:color w:val="000000" w:themeColor="text1"/>
          <w:sz w:val="24"/>
          <w:szCs w:val="24"/>
        </w:rPr>
      </w:pPr>
      <w:r w:rsidRPr="001E1B8B">
        <w:rPr>
          <w:rFonts w:asciiTheme="minorHAnsi" w:hAnsiTheme="minorHAnsi" w:cstheme="minorHAnsi"/>
          <w:sz w:val="24"/>
          <w:szCs w:val="24"/>
          <w:shd w:val="clear" w:color="auto" w:fill="FFFFFF"/>
        </w:rPr>
        <w:t>In 2020, BDT will continue to deliver on the Buenos Aires Action Plan through its thematic priorities to make a sustainable impact and advance digital transformation for all in 2020 and beyond. Furthermore, 2020 will offer an opportunity to build on the adoption of new technologies and develop and expand existing methodologies and inspire others through best practice.</w:t>
      </w:r>
      <w:r w:rsidRPr="001E1B8B">
        <w:rPr>
          <w:rFonts w:asciiTheme="minorHAnsi" w:hAnsiTheme="minorHAnsi" w:cstheme="minorHAnsi"/>
          <w:sz w:val="24"/>
          <w:szCs w:val="24"/>
        </w:rPr>
        <w:t xml:space="preserve"> </w:t>
      </w:r>
      <w:r w:rsidRPr="001E1B8B">
        <w:rPr>
          <w:rFonts w:asciiTheme="minorHAnsi" w:hAnsiTheme="minorHAnsi" w:cstheme="minorHAnsi"/>
          <w:color w:val="000000" w:themeColor="text1"/>
          <w:sz w:val="24"/>
          <w:szCs w:val="24"/>
        </w:rPr>
        <w:t>Together BDT can continue to transform the digital era and drive the conversation towards inclusive digital transformation</w:t>
      </w:r>
      <w:r w:rsidR="006E3EE7" w:rsidRPr="001E1B8B">
        <w:rPr>
          <w:rFonts w:asciiTheme="minorHAnsi" w:hAnsiTheme="minorHAnsi" w:cstheme="minorHAnsi"/>
          <w:color w:val="000000" w:themeColor="text1"/>
          <w:sz w:val="24"/>
          <w:szCs w:val="24"/>
        </w:rPr>
        <w:t>.</w:t>
      </w:r>
    </w:p>
    <w:p w14:paraId="511AEE94" w14:textId="77777777" w:rsidR="006E3EE7" w:rsidRPr="001E1B8B" w:rsidRDefault="006E3EE7" w:rsidP="00445B36">
      <w:pPr>
        <w:pStyle w:val="PlainText"/>
        <w:spacing w:before="120"/>
        <w:rPr>
          <w:rFonts w:asciiTheme="minorHAnsi" w:hAnsiTheme="minorHAnsi" w:cstheme="minorHAnsi"/>
          <w:color w:val="000000" w:themeColor="text1"/>
          <w:sz w:val="24"/>
          <w:szCs w:val="24"/>
        </w:rPr>
      </w:pPr>
    </w:p>
    <w:p w14:paraId="5360654E" w14:textId="77777777" w:rsidR="00416FE5" w:rsidRPr="001E1B8B" w:rsidRDefault="00563C28" w:rsidP="00191571">
      <w:pPr>
        <w:spacing w:before="0"/>
        <w:jc w:val="center"/>
        <w:rPr>
          <w:rFonts w:cstheme="minorHAnsi"/>
          <w:szCs w:val="24"/>
        </w:rPr>
      </w:pPr>
      <w:r w:rsidRPr="001E1B8B">
        <w:rPr>
          <w:rFonts w:cstheme="minorHAnsi"/>
          <w:szCs w:val="24"/>
        </w:rPr>
        <w:t>_______________</w:t>
      </w:r>
    </w:p>
    <w:sectPr w:rsidR="00416FE5" w:rsidRPr="001E1B8B" w:rsidSect="00473791">
      <w:headerReference w:type="default" r:id="rId89"/>
      <w:footerReference w:type="first" r:id="rId90"/>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0A792" w14:textId="77777777" w:rsidR="000931F7" w:rsidRDefault="000931F7">
      <w:r>
        <w:separator/>
      </w:r>
    </w:p>
  </w:endnote>
  <w:endnote w:type="continuationSeparator" w:id="0">
    <w:p w14:paraId="4D0B62D1" w14:textId="77777777" w:rsidR="000931F7" w:rsidRDefault="00093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altName w:val="Times New Roman"/>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Layout w:type="fixed"/>
      <w:tblLook w:val="04A0" w:firstRow="1" w:lastRow="0" w:firstColumn="1" w:lastColumn="0" w:noHBand="0" w:noVBand="1"/>
    </w:tblPr>
    <w:tblGrid>
      <w:gridCol w:w="1526"/>
      <w:gridCol w:w="2410"/>
      <w:gridCol w:w="5987"/>
    </w:tblGrid>
    <w:tr w:rsidR="007B5A36" w:rsidRPr="004D495C" w14:paraId="163C22F5" w14:textId="77777777" w:rsidTr="0054502F">
      <w:tc>
        <w:tcPr>
          <w:tcW w:w="1526" w:type="dxa"/>
          <w:tcBorders>
            <w:top w:val="single" w:sz="4" w:space="0" w:color="000000"/>
          </w:tcBorders>
          <w:shd w:val="clear" w:color="auto" w:fill="auto"/>
        </w:tcPr>
        <w:p w14:paraId="69BBDCBD" w14:textId="77777777" w:rsidR="007B5A36" w:rsidRPr="004D495C" w:rsidRDefault="007B5A36" w:rsidP="0059420B">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67101E44" w14:textId="77777777" w:rsidR="007B5A36" w:rsidRPr="004D495C" w:rsidRDefault="007B5A36" w:rsidP="0059420B">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70660E36" w14:textId="0C7A5D2B" w:rsidR="007B5A36" w:rsidRPr="00AF7A97" w:rsidRDefault="007B5A36" w:rsidP="007B3AF4">
          <w:pPr>
            <w:pStyle w:val="FirstFooter"/>
            <w:tabs>
              <w:tab w:val="left" w:pos="2302"/>
            </w:tabs>
            <w:rPr>
              <w:sz w:val="18"/>
              <w:szCs w:val="18"/>
              <w:lang w:val="en-US"/>
            </w:rPr>
          </w:pPr>
          <w:r>
            <w:rPr>
              <w:sz w:val="18"/>
              <w:szCs w:val="18"/>
              <w:lang w:val="en-US"/>
            </w:rPr>
            <w:t>Ms Doreen Bogdan-Martin, Director, Telecommunication Development Bureau</w:t>
          </w:r>
        </w:p>
      </w:tc>
      <w:bookmarkStart w:id="9" w:name="OrgName"/>
      <w:bookmarkEnd w:id="9"/>
    </w:tr>
    <w:tr w:rsidR="007B5A36" w:rsidRPr="004D495C" w14:paraId="16A3D90C" w14:textId="77777777" w:rsidTr="0054502F">
      <w:tc>
        <w:tcPr>
          <w:tcW w:w="1526" w:type="dxa"/>
          <w:shd w:val="clear" w:color="auto" w:fill="auto"/>
        </w:tcPr>
        <w:p w14:paraId="1C15D5DE" w14:textId="77777777" w:rsidR="007B5A36" w:rsidRPr="004D495C" w:rsidRDefault="007B5A36" w:rsidP="0059420B">
          <w:pPr>
            <w:pStyle w:val="FirstFooter"/>
            <w:tabs>
              <w:tab w:val="left" w:pos="1559"/>
              <w:tab w:val="left" w:pos="3828"/>
            </w:tabs>
            <w:rPr>
              <w:sz w:val="20"/>
              <w:lang w:val="en-US"/>
            </w:rPr>
          </w:pPr>
        </w:p>
      </w:tc>
      <w:tc>
        <w:tcPr>
          <w:tcW w:w="2410" w:type="dxa"/>
          <w:shd w:val="clear" w:color="auto" w:fill="auto"/>
        </w:tcPr>
        <w:p w14:paraId="0CBA565B" w14:textId="77777777" w:rsidR="007B5A36" w:rsidRPr="004D495C" w:rsidRDefault="007B5A36" w:rsidP="0059420B">
          <w:pPr>
            <w:pStyle w:val="FirstFooter"/>
            <w:tabs>
              <w:tab w:val="left" w:pos="2302"/>
            </w:tabs>
            <w:rPr>
              <w:sz w:val="18"/>
              <w:szCs w:val="18"/>
              <w:lang w:val="en-US"/>
            </w:rPr>
          </w:pPr>
          <w:r w:rsidRPr="004D495C">
            <w:rPr>
              <w:sz w:val="18"/>
              <w:szCs w:val="18"/>
              <w:lang w:val="en-US"/>
            </w:rPr>
            <w:t>Phone number:</w:t>
          </w:r>
        </w:p>
      </w:tc>
      <w:tc>
        <w:tcPr>
          <w:tcW w:w="5987" w:type="dxa"/>
        </w:tcPr>
        <w:p w14:paraId="638F9714" w14:textId="6503B9E5" w:rsidR="007B5A36" w:rsidRPr="00AF7A97" w:rsidRDefault="007B5A36" w:rsidP="0059420B">
          <w:pPr>
            <w:pStyle w:val="FirstFooter"/>
            <w:tabs>
              <w:tab w:val="left" w:pos="2302"/>
            </w:tabs>
            <w:rPr>
              <w:sz w:val="18"/>
              <w:szCs w:val="18"/>
              <w:lang w:val="en-US"/>
            </w:rPr>
          </w:pPr>
          <w:r>
            <w:rPr>
              <w:sz w:val="18"/>
              <w:szCs w:val="18"/>
              <w:lang w:val="en-US"/>
            </w:rPr>
            <w:t>+41 22 730 5533</w:t>
          </w:r>
        </w:p>
      </w:tc>
      <w:bookmarkStart w:id="10" w:name="PhoneNo"/>
      <w:bookmarkEnd w:id="10"/>
    </w:tr>
    <w:tr w:rsidR="007B5A36" w:rsidRPr="004D495C" w14:paraId="560FF6A8" w14:textId="77777777" w:rsidTr="0054502F">
      <w:tc>
        <w:tcPr>
          <w:tcW w:w="1526" w:type="dxa"/>
          <w:shd w:val="clear" w:color="auto" w:fill="auto"/>
        </w:tcPr>
        <w:p w14:paraId="26CA61BA" w14:textId="77777777" w:rsidR="007B5A36" w:rsidRPr="004D495C" w:rsidRDefault="007B5A36" w:rsidP="0059420B">
          <w:pPr>
            <w:pStyle w:val="FirstFooter"/>
            <w:tabs>
              <w:tab w:val="left" w:pos="1559"/>
              <w:tab w:val="left" w:pos="3828"/>
            </w:tabs>
            <w:rPr>
              <w:sz w:val="20"/>
              <w:lang w:val="en-US"/>
            </w:rPr>
          </w:pPr>
        </w:p>
      </w:tc>
      <w:tc>
        <w:tcPr>
          <w:tcW w:w="2410" w:type="dxa"/>
          <w:shd w:val="clear" w:color="auto" w:fill="auto"/>
        </w:tcPr>
        <w:p w14:paraId="3D13D12C" w14:textId="77777777" w:rsidR="007B5A36" w:rsidRPr="004D495C" w:rsidRDefault="007B5A36" w:rsidP="0059420B">
          <w:pPr>
            <w:pStyle w:val="FirstFooter"/>
            <w:tabs>
              <w:tab w:val="left" w:pos="2302"/>
            </w:tabs>
            <w:rPr>
              <w:sz w:val="18"/>
              <w:szCs w:val="18"/>
              <w:lang w:val="en-US"/>
            </w:rPr>
          </w:pPr>
          <w:r w:rsidRPr="004D495C">
            <w:rPr>
              <w:sz w:val="18"/>
              <w:szCs w:val="18"/>
              <w:lang w:val="en-US"/>
            </w:rPr>
            <w:t>E-mail:</w:t>
          </w:r>
        </w:p>
      </w:tc>
      <w:tc>
        <w:tcPr>
          <w:tcW w:w="5987" w:type="dxa"/>
        </w:tcPr>
        <w:p w14:paraId="3C4C4C18" w14:textId="26E92073" w:rsidR="007B5A36" w:rsidRPr="00AF7A97" w:rsidRDefault="004F07E7" w:rsidP="0059420B">
          <w:pPr>
            <w:pStyle w:val="FirstFooter"/>
            <w:tabs>
              <w:tab w:val="left" w:pos="2302"/>
            </w:tabs>
            <w:rPr>
              <w:sz w:val="18"/>
              <w:szCs w:val="18"/>
              <w:lang w:val="en-US"/>
            </w:rPr>
          </w:pPr>
          <w:hyperlink r:id="rId1" w:history="1">
            <w:r w:rsidR="007B5A36" w:rsidRPr="00AB63B0">
              <w:rPr>
                <w:rStyle w:val="Hyperlink"/>
                <w:sz w:val="18"/>
                <w:szCs w:val="18"/>
                <w:lang w:val="en-US"/>
              </w:rPr>
              <w:t>bdtdir@itu.int</w:t>
            </w:r>
          </w:hyperlink>
          <w:r w:rsidR="007B5A36">
            <w:rPr>
              <w:sz w:val="18"/>
              <w:szCs w:val="18"/>
              <w:lang w:val="en-US"/>
            </w:rPr>
            <w:t xml:space="preserve"> </w:t>
          </w:r>
        </w:p>
      </w:tc>
      <w:bookmarkStart w:id="11" w:name="Email"/>
      <w:bookmarkEnd w:id="11"/>
    </w:tr>
  </w:tbl>
  <w:p w14:paraId="3D765EE0" w14:textId="77777777" w:rsidR="007B5A36" w:rsidRPr="0059420B" w:rsidRDefault="004F07E7" w:rsidP="00191571">
    <w:pPr>
      <w:pStyle w:val="Footer"/>
      <w:spacing w:before="120"/>
      <w:jc w:val="center"/>
      <w:rPr>
        <w:lang w:val="en-GB"/>
      </w:rPr>
    </w:pPr>
    <w:hyperlink r:id="rId2" w:history="1">
      <w:r w:rsidR="007B5A36">
        <w:rPr>
          <w:rStyle w:val="Hyperlink"/>
          <w:caps w:val="0"/>
          <w:noProof w:val="0"/>
          <w:sz w:val="18"/>
          <w:szCs w:val="18"/>
          <w:lang w:val="en-US"/>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558B7" w14:textId="77777777" w:rsidR="000931F7" w:rsidRDefault="000931F7">
      <w:r>
        <w:t>____________________</w:t>
      </w:r>
    </w:p>
  </w:footnote>
  <w:footnote w:type="continuationSeparator" w:id="0">
    <w:p w14:paraId="641871B3" w14:textId="77777777" w:rsidR="000931F7" w:rsidRDefault="000931F7">
      <w:r>
        <w:continuationSeparator/>
      </w:r>
    </w:p>
  </w:footnote>
  <w:footnote w:id="1">
    <w:p w14:paraId="467E9100" w14:textId="77777777" w:rsidR="007B5A36" w:rsidRPr="00F0104D" w:rsidRDefault="007B5A36" w:rsidP="00CC63E3">
      <w:pPr>
        <w:pStyle w:val="FootnoteText"/>
      </w:pPr>
      <w:r>
        <w:rPr>
          <w:rStyle w:val="FootnoteReference"/>
        </w:rPr>
        <w:footnoteRef/>
      </w:r>
      <w:r>
        <w:t xml:space="preserve"> The </w:t>
      </w:r>
      <w:hyperlink r:id="rId1" w:history="1">
        <w:r w:rsidRPr="00F0104D">
          <w:rPr>
            <w:rStyle w:val="Hyperlink"/>
          </w:rPr>
          <w:t>EQUALS</w:t>
        </w:r>
      </w:hyperlink>
      <w:r>
        <w:t xml:space="preserve"> Global Partnership for Gender Equality in the Digital Age ensures that women and girls are given access, equipped with skills, and develop the leadership potential to work and succeed in the ICT sector. The partnership was founded by ITU, UN Women, GSMA, ITC, and UNU and it is governed by a Steering Committee (where ITU is a member) that provides strategic guidance on the development of the partnership. Today, more than 90 partners from every region of the world have responded to this call to action that sets out a collaborative and coordinated framework for stakeholders to make specific, measurable pledges across four focus area coalitions (Access, Skills, Leadership and Research) that contribute to address the multiple facets of the gender divide in technology.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EAE9C" w14:textId="2D3DBABD" w:rsidR="007B5A36" w:rsidRPr="00A525CC" w:rsidRDefault="007B5A36" w:rsidP="00191571">
    <w:pPr>
      <w:tabs>
        <w:tab w:val="clear" w:pos="794"/>
        <w:tab w:val="clear" w:pos="1191"/>
        <w:tab w:val="clear" w:pos="1588"/>
        <w:tab w:val="clear" w:pos="1985"/>
        <w:tab w:val="center" w:pos="4820"/>
        <w:tab w:val="right" w:pos="9639"/>
      </w:tabs>
      <w:spacing w:after="120"/>
      <w:ind w:right="1"/>
      <w:rPr>
        <w:rStyle w:val="PageNumber"/>
      </w:rPr>
    </w:pPr>
    <w:r w:rsidRPr="00972BCD">
      <w:rPr>
        <w:sz w:val="22"/>
        <w:szCs w:val="22"/>
      </w:rPr>
      <w:tab/>
    </w:r>
    <w:r w:rsidRPr="00A54E72">
      <w:rPr>
        <w:sz w:val="22"/>
        <w:szCs w:val="22"/>
        <w:lang w:val="de-CH"/>
      </w:rPr>
      <w:t>TDAG</w:t>
    </w:r>
    <w:r>
      <w:rPr>
        <w:sz w:val="22"/>
        <w:szCs w:val="22"/>
        <w:lang w:val="de-CH"/>
      </w:rPr>
      <w:t>-20</w:t>
    </w:r>
    <w:r w:rsidRPr="00A54E72">
      <w:rPr>
        <w:sz w:val="22"/>
        <w:szCs w:val="22"/>
        <w:lang w:val="de-CH"/>
      </w:rPr>
      <w:t>/</w:t>
    </w:r>
    <w:r>
      <w:rPr>
        <w:sz w:val="22"/>
        <w:szCs w:val="22"/>
        <w:lang w:val="de-CH"/>
      </w:rPr>
      <w:t>2</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2D4CEB">
      <w:rPr>
        <w:noProof/>
        <w:sz w:val="22"/>
        <w:szCs w:val="22"/>
        <w:lang w:val="de-CH"/>
      </w:rPr>
      <w:t>17</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2503A"/>
    <w:multiLevelType w:val="hybridMultilevel"/>
    <w:tmpl w:val="F2EA9E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AE523F"/>
    <w:multiLevelType w:val="multilevel"/>
    <w:tmpl w:val="E05246D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A6C127D"/>
    <w:multiLevelType w:val="hybridMultilevel"/>
    <w:tmpl w:val="E7CAD9E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ED4471"/>
    <w:multiLevelType w:val="hybridMultilevel"/>
    <w:tmpl w:val="742C31B6"/>
    <w:lvl w:ilvl="0" w:tplc="D278E63E">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9118D"/>
    <w:multiLevelType w:val="hybridMultilevel"/>
    <w:tmpl w:val="BDF4E250"/>
    <w:lvl w:ilvl="0" w:tplc="B1E8C40E">
      <w:start w:val="1"/>
      <w:numFmt w:val="bullet"/>
      <w:lvlText w:val=""/>
      <w:lvlJc w:val="left"/>
      <w:pPr>
        <w:ind w:left="360" w:hanging="360"/>
      </w:pPr>
      <w:rPr>
        <w:rFonts w:ascii="Symbol" w:hAnsi="Symbol" w:hint="default"/>
        <w:b/>
        <w:color w:val="auto"/>
      </w:rPr>
    </w:lvl>
    <w:lvl w:ilvl="1" w:tplc="040C0019">
      <w:start w:val="1"/>
      <w:numFmt w:val="lowerLetter"/>
      <w:lvlText w:val="%2."/>
      <w:lvlJc w:val="left"/>
      <w:pPr>
        <w:ind w:left="720" w:hanging="360"/>
      </w:pPr>
    </w:lvl>
    <w:lvl w:ilvl="2" w:tplc="040C001B">
      <w:start w:val="1"/>
      <w:numFmt w:val="lowerRoman"/>
      <w:lvlText w:val="%3."/>
      <w:lvlJc w:val="right"/>
      <w:pPr>
        <w:ind w:left="1440" w:hanging="180"/>
      </w:pPr>
    </w:lvl>
    <w:lvl w:ilvl="3" w:tplc="040C000F">
      <w:start w:val="1"/>
      <w:numFmt w:val="decimal"/>
      <w:lvlText w:val="%4."/>
      <w:lvlJc w:val="left"/>
      <w:pPr>
        <w:ind w:left="2160" w:hanging="360"/>
      </w:pPr>
    </w:lvl>
    <w:lvl w:ilvl="4" w:tplc="040C0019">
      <w:start w:val="1"/>
      <w:numFmt w:val="lowerLetter"/>
      <w:lvlText w:val="%5."/>
      <w:lvlJc w:val="left"/>
      <w:pPr>
        <w:ind w:left="2880" w:hanging="360"/>
      </w:pPr>
    </w:lvl>
    <w:lvl w:ilvl="5" w:tplc="040C001B">
      <w:start w:val="1"/>
      <w:numFmt w:val="lowerRoman"/>
      <w:lvlText w:val="%6."/>
      <w:lvlJc w:val="right"/>
      <w:pPr>
        <w:ind w:left="3600" w:hanging="180"/>
      </w:pPr>
    </w:lvl>
    <w:lvl w:ilvl="6" w:tplc="040C000F">
      <w:start w:val="1"/>
      <w:numFmt w:val="decimal"/>
      <w:lvlText w:val="%7."/>
      <w:lvlJc w:val="left"/>
      <w:pPr>
        <w:ind w:left="4320" w:hanging="360"/>
      </w:pPr>
    </w:lvl>
    <w:lvl w:ilvl="7" w:tplc="040C0019">
      <w:start w:val="1"/>
      <w:numFmt w:val="lowerLetter"/>
      <w:lvlText w:val="%8."/>
      <w:lvlJc w:val="left"/>
      <w:pPr>
        <w:ind w:left="5040" w:hanging="360"/>
      </w:pPr>
    </w:lvl>
    <w:lvl w:ilvl="8" w:tplc="040C001B">
      <w:start w:val="1"/>
      <w:numFmt w:val="lowerRoman"/>
      <w:lvlText w:val="%9."/>
      <w:lvlJc w:val="right"/>
      <w:pPr>
        <w:ind w:left="5760" w:hanging="180"/>
      </w:pPr>
    </w:lvl>
  </w:abstractNum>
  <w:abstractNum w:abstractNumId="5" w15:restartNumberingAfterBreak="0">
    <w:nsid w:val="126F575F"/>
    <w:multiLevelType w:val="hybridMultilevel"/>
    <w:tmpl w:val="8B92FCBE"/>
    <w:lvl w:ilvl="0" w:tplc="22822A48">
      <w:start w:val="1"/>
      <w:numFmt w:val="bullet"/>
      <w:lvlText w:val="•"/>
      <w:lvlJc w:val="left"/>
      <w:pPr>
        <w:tabs>
          <w:tab w:val="num" w:pos="720"/>
        </w:tabs>
        <w:ind w:left="720" w:hanging="360"/>
      </w:pPr>
      <w:rPr>
        <w:rFonts w:ascii="Arial" w:hAnsi="Arial" w:hint="default"/>
      </w:rPr>
    </w:lvl>
    <w:lvl w:ilvl="1" w:tplc="08090001">
      <w:start w:val="1"/>
      <w:numFmt w:val="bullet"/>
      <w:lvlText w:val=""/>
      <w:lvlJc w:val="left"/>
      <w:pPr>
        <w:ind w:left="786" w:hanging="360"/>
      </w:pPr>
      <w:rPr>
        <w:rFonts w:ascii="Symbol" w:hAnsi="Symbol" w:hint="default"/>
        <w:color w:val="00A3E0"/>
        <w:sz w:val="20"/>
        <w:u w:color="FFFFFF" w:themeColor="background1"/>
      </w:rPr>
    </w:lvl>
    <w:lvl w:ilvl="2" w:tplc="884AEA16" w:tentative="1">
      <w:start w:val="1"/>
      <w:numFmt w:val="bullet"/>
      <w:lvlText w:val="•"/>
      <w:lvlJc w:val="left"/>
      <w:pPr>
        <w:tabs>
          <w:tab w:val="num" w:pos="2160"/>
        </w:tabs>
        <w:ind w:left="2160" w:hanging="360"/>
      </w:pPr>
      <w:rPr>
        <w:rFonts w:ascii="Arial" w:hAnsi="Arial" w:hint="default"/>
      </w:rPr>
    </w:lvl>
    <w:lvl w:ilvl="3" w:tplc="FB72D78C" w:tentative="1">
      <w:start w:val="1"/>
      <w:numFmt w:val="bullet"/>
      <w:lvlText w:val="•"/>
      <w:lvlJc w:val="left"/>
      <w:pPr>
        <w:tabs>
          <w:tab w:val="num" w:pos="2880"/>
        </w:tabs>
        <w:ind w:left="2880" w:hanging="360"/>
      </w:pPr>
      <w:rPr>
        <w:rFonts w:ascii="Arial" w:hAnsi="Arial" w:hint="default"/>
      </w:rPr>
    </w:lvl>
    <w:lvl w:ilvl="4" w:tplc="BE403DFA" w:tentative="1">
      <w:start w:val="1"/>
      <w:numFmt w:val="bullet"/>
      <w:lvlText w:val="•"/>
      <w:lvlJc w:val="left"/>
      <w:pPr>
        <w:tabs>
          <w:tab w:val="num" w:pos="3600"/>
        </w:tabs>
        <w:ind w:left="3600" w:hanging="360"/>
      </w:pPr>
      <w:rPr>
        <w:rFonts w:ascii="Arial" w:hAnsi="Arial" w:hint="default"/>
      </w:rPr>
    </w:lvl>
    <w:lvl w:ilvl="5" w:tplc="062E7A26" w:tentative="1">
      <w:start w:val="1"/>
      <w:numFmt w:val="bullet"/>
      <w:lvlText w:val="•"/>
      <w:lvlJc w:val="left"/>
      <w:pPr>
        <w:tabs>
          <w:tab w:val="num" w:pos="4320"/>
        </w:tabs>
        <w:ind w:left="4320" w:hanging="360"/>
      </w:pPr>
      <w:rPr>
        <w:rFonts w:ascii="Arial" w:hAnsi="Arial" w:hint="default"/>
      </w:rPr>
    </w:lvl>
    <w:lvl w:ilvl="6" w:tplc="9280CB60" w:tentative="1">
      <w:start w:val="1"/>
      <w:numFmt w:val="bullet"/>
      <w:lvlText w:val="•"/>
      <w:lvlJc w:val="left"/>
      <w:pPr>
        <w:tabs>
          <w:tab w:val="num" w:pos="5040"/>
        </w:tabs>
        <w:ind w:left="5040" w:hanging="360"/>
      </w:pPr>
      <w:rPr>
        <w:rFonts w:ascii="Arial" w:hAnsi="Arial" w:hint="default"/>
      </w:rPr>
    </w:lvl>
    <w:lvl w:ilvl="7" w:tplc="DAAECFF0" w:tentative="1">
      <w:start w:val="1"/>
      <w:numFmt w:val="bullet"/>
      <w:lvlText w:val="•"/>
      <w:lvlJc w:val="left"/>
      <w:pPr>
        <w:tabs>
          <w:tab w:val="num" w:pos="5760"/>
        </w:tabs>
        <w:ind w:left="5760" w:hanging="360"/>
      </w:pPr>
      <w:rPr>
        <w:rFonts w:ascii="Arial" w:hAnsi="Arial" w:hint="default"/>
      </w:rPr>
    </w:lvl>
    <w:lvl w:ilvl="8" w:tplc="D7C4157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5103BA2"/>
    <w:multiLevelType w:val="hybridMultilevel"/>
    <w:tmpl w:val="CBDAE4FA"/>
    <w:lvl w:ilvl="0" w:tplc="88B2BBF2">
      <w:start w:val="30"/>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BC7ABA"/>
    <w:multiLevelType w:val="hybridMultilevel"/>
    <w:tmpl w:val="0F4C21BE"/>
    <w:lvl w:ilvl="0" w:tplc="B928C8C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AA3257"/>
    <w:multiLevelType w:val="hybridMultilevel"/>
    <w:tmpl w:val="34A0585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A05785"/>
    <w:multiLevelType w:val="hybridMultilevel"/>
    <w:tmpl w:val="4F06ED7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780DFE"/>
    <w:multiLevelType w:val="hybridMultilevel"/>
    <w:tmpl w:val="DC7E8B2A"/>
    <w:lvl w:ilvl="0" w:tplc="22822A48">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D20AF6"/>
    <w:multiLevelType w:val="hybridMultilevel"/>
    <w:tmpl w:val="3466B5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2" w15:restartNumberingAfterBreak="0">
    <w:nsid w:val="233144AA"/>
    <w:multiLevelType w:val="hybridMultilevel"/>
    <w:tmpl w:val="6A5A6D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5A85FE8"/>
    <w:multiLevelType w:val="hybridMultilevel"/>
    <w:tmpl w:val="2DC0A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FD4202"/>
    <w:multiLevelType w:val="hybridMultilevel"/>
    <w:tmpl w:val="A39ACCFE"/>
    <w:lvl w:ilvl="0" w:tplc="787A7FCE">
      <w:start w:val="1"/>
      <w:numFmt w:val="decimal"/>
      <w:lvlText w:val="%1."/>
      <w:lvlJc w:val="left"/>
      <w:pPr>
        <w:ind w:left="1155" w:hanging="360"/>
      </w:pPr>
      <w:rPr>
        <w:rFonts w:hint="default"/>
      </w:rPr>
    </w:lvl>
    <w:lvl w:ilvl="1" w:tplc="100C0019" w:tentative="1">
      <w:start w:val="1"/>
      <w:numFmt w:val="lowerLetter"/>
      <w:lvlText w:val="%2."/>
      <w:lvlJc w:val="left"/>
      <w:pPr>
        <w:ind w:left="1875" w:hanging="360"/>
      </w:pPr>
    </w:lvl>
    <w:lvl w:ilvl="2" w:tplc="100C001B" w:tentative="1">
      <w:start w:val="1"/>
      <w:numFmt w:val="lowerRoman"/>
      <w:lvlText w:val="%3."/>
      <w:lvlJc w:val="right"/>
      <w:pPr>
        <w:ind w:left="2595" w:hanging="180"/>
      </w:pPr>
    </w:lvl>
    <w:lvl w:ilvl="3" w:tplc="100C000F" w:tentative="1">
      <w:start w:val="1"/>
      <w:numFmt w:val="decimal"/>
      <w:lvlText w:val="%4."/>
      <w:lvlJc w:val="left"/>
      <w:pPr>
        <w:ind w:left="3315" w:hanging="360"/>
      </w:pPr>
    </w:lvl>
    <w:lvl w:ilvl="4" w:tplc="100C0019" w:tentative="1">
      <w:start w:val="1"/>
      <w:numFmt w:val="lowerLetter"/>
      <w:lvlText w:val="%5."/>
      <w:lvlJc w:val="left"/>
      <w:pPr>
        <w:ind w:left="4035" w:hanging="360"/>
      </w:pPr>
    </w:lvl>
    <w:lvl w:ilvl="5" w:tplc="100C001B" w:tentative="1">
      <w:start w:val="1"/>
      <w:numFmt w:val="lowerRoman"/>
      <w:lvlText w:val="%6."/>
      <w:lvlJc w:val="right"/>
      <w:pPr>
        <w:ind w:left="4755" w:hanging="180"/>
      </w:pPr>
    </w:lvl>
    <w:lvl w:ilvl="6" w:tplc="100C000F" w:tentative="1">
      <w:start w:val="1"/>
      <w:numFmt w:val="decimal"/>
      <w:lvlText w:val="%7."/>
      <w:lvlJc w:val="left"/>
      <w:pPr>
        <w:ind w:left="5475" w:hanging="360"/>
      </w:pPr>
    </w:lvl>
    <w:lvl w:ilvl="7" w:tplc="100C0019" w:tentative="1">
      <w:start w:val="1"/>
      <w:numFmt w:val="lowerLetter"/>
      <w:lvlText w:val="%8."/>
      <w:lvlJc w:val="left"/>
      <w:pPr>
        <w:ind w:left="6195" w:hanging="360"/>
      </w:pPr>
    </w:lvl>
    <w:lvl w:ilvl="8" w:tplc="100C001B" w:tentative="1">
      <w:start w:val="1"/>
      <w:numFmt w:val="lowerRoman"/>
      <w:lvlText w:val="%9."/>
      <w:lvlJc w:val="right"/>
      <w:pPr>
        <w:ind w:left="6915" w:hanging="180"/>
      </w:pPr>
    </w:lvl>
  </w:abstractNum>
  <w:abstractNum w:abstractNumId="15" w15:restartNumberingAfterBreak="0">
    <w:nsid w:val="2BF473AD"/>
    <w:multiLevelType w:val="hybridMultilevel"/>
    <w:tmpl w:val="0842249C"/>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0E3561"/>
    <w:multiLevelType w:val="hybridMultilevel"/>
    <w:tmpl w:val="B706147E"/>
    <w:lvl w:ilvl="0" w:tplc="6B68ECF8">
      <w:start w:val="1"/>
      <w:numFmt w:val="decimal"/>
      <w:pStyle w:val="normalWSIS"/>
      <w:lvlText w:val="%1."/>
      <w:lvlJc w:val="left"/>
      <w:pPr>
        <w:ind w:left="502" w:hanging="360"/>
      </w:pPr>
      <w:rPr>
        <w:rFonts w:ascii="Calibri" w:hAnsi="Calibri" w:cstheme="majorBidi" w:hint="default"/>
        <w:b w:val="0"/>
        <w:bCs w:val="0"/>
        <w:i w:val="0"/>
        <w:iCs w:val="0"/>
        <w:color w:val="auto"/>
        <w:sz w:val="24"/>
        <w:szCs w:val="24"/>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04090001">
      <w:start w:val="1"/>
      <w:numFmt w:val="bullet"/>
      <w:lvlText w:val=""/>
      <w:lvlJc w:val="left"/>
      <w:pPr>
        <w:ind w:left="888" w:hanging="435"/>
      </w:pPr>
      <w:rPr>
        <w:rFonts w:ascii="Symbol" w:hAnsi="Symbol" w:hint="default"/>
        <w:color w:val="auto"/>
      </w:rPr>
    </w:lvl>
    <w:lvl w:ilvl="6" w:tplc="04090001">
      <w:start w:val="1"/>
      <w:numFmt w:val="bullet"/>
      <w:lvlText w:val=""/>
      <w:lvlJc w:val="left"/>
      <w:pPr>
        <w:ind w:left="1353" w:hanging="360"/>
      </w:pPr>
      <w:rPr>
        <w:rFonts w:ascii="Symbol" w:hAnsi="Symbol" w:hint="default"/>
      </w:rPr>
    </w:lvl>
    <w:lvl w:ilvl="7" w:tplc="04090019">
      <w:start w:val="1"/>
      <w:numFmt w:val="lowerLetter"/>
      <w:lvlText w:val="%8."/>
      <w:lvlJc w:val="left"/>
      <w:pPr>
        <w:ind w:left="2073" w:hanging="360"/>
      </w:pPr>
    </w:lvl>
    <w:lvl w:ilvl="8" w:tplc="0409001B">
      <w:start w:val="1"/>
      <w:numFmt w:val="lowerRoman"/>
      <w:lvlText w:val="%9."/>
      <w:lvlJc w:val="right"/>
      <w:pPr>
        <w:ind w:left="2793" w:hanging="180"/>
      </w:pPr>
    </w:lvl>
  </w:abstractNum>
  <w:abstractNum w:abstractNumId="17" w15:restartNumberingAfterBreak="0">
    <w:nsid w:val="2E843A26"/>
    <w:multiLevelType w:val="hybridMultilevel"/>
    <w:tmpl w:val="93E64C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1D44F76"/>
    <w:multiLevelType w:val="hybridMultilevel"/>
    <w:tmpl w:val="3710C4B0"/>
    <w:lvl w:ilvl="0" w:tplc="304ACCCA">
      <w:start w:val="1"/>
      <w:numFmt w:val="bullet"/>
      <w:lvlText w:val=""/>
      <w:lvlJc w:val="left"/>
      <w:pPr>
        <w:ind w:left="720" w:hanging="360"/>
      </w:pPr>
      <w:rPr>
        <w:rFonts w:ascii="Symbol" w:hAnsi="Symbol" w:hint="default"/>
      </w:rPr>
    </w:lvl>
    <w:lvl w:ilvl="1" w:tplc="0ED2E9F6">
      <w:start w:val="1"/>
      <w:numFmt w:val="bullet"/>
      <w:lvlText w:val="o"/>
      <w:lvlJc w:val="left"/>
      <w:pPr>
        <w:ind w:left="1440" w:hanging="360"/>
      </w:pPr>
      <w:rPr>
        <w:rFonts w:ascii="Courier New" w:hAnsi="Courier New" w:hint="default"/>
      </w:rPr>
    </w:lvl>
    <w:lvl w:ilvl="2" w:tplc="0A1C2DEE">
      <w:start w:val="1"/>
      <w:numFmt w:val="bullet"/>
      <w:lvlText w:val=""/>
      <w:lvlJc w:val="left"/>
      <w:pPr>
        <w:ind w:left="2160" w:hanging="360"/>
      </w:pPr>
      <w:rPr>
        <w:rFonts w:ascii="Wingdings" w:hAnsi="Wingdings" w:hint="default"/>
      </w:rPr>
    </w:lvl>
    <w:lvl w:ilvl="3" w:tplc="75CCAE1A">
      <w:start w:val="1"/>
      <w:numFmt w:val="bullet"/>
      <w:lvlText w:val=""/>
      <w:lvlJc w:val="left"/>
      <w:pPr>
        <w:ind w:left="2880" w:hanging="360"/>
      </w:pPr>
      <w:rPr>
        <w:rFonts w:ascii="Symbol" w:hAnsi="Symbol" w:hint="default"/>
      </w:rPr>
    </w:lvl>
    <w:lvl w:ilvl="4" w:tplc="A1A85798">
      <w:start w:val="1"/>
      <w:numFmt w:val="bullet"/>
      <w:lvlText w:val="o"/>
      <w:lvlJc w:val="left"/>
      <w:pPr>
        <w:ind w:left="3600" w:hanging="360"/>
      </w:pPr>
      <w:rPr>
        <w:rFonts w:ascii="Courier New" w:hAnsi="Courier New" w:hint="default"/>
      </w:rPr>
    </w:lvl>
    <w:lvl w:ilvl="5" w:tplc="BA6A294C">
      <w:start w:val="1"/>
      <w:numFmt w:val="bullet"/>
      <w:lvlText w:val=""/>
      <w:lvlJc w:val="left"/>
      <w:pPr>
        <w:ind w:left="4320" w:hanging="360"/>
      </w:pPr>
      <w:rPr>
        <w:rFonts w:ascii="Wingdings" w:hAnsi="Wingdings" w:hint="default"/>
      </w:rPr>
    </w:lvl>
    <w:lvl w:ilvl="6" w:tplc="D67E544E">
      <w:start w:val="1"/>
      <w:numFmt w:val="bullet"/>
      <w:lvlText w:val=""/>
      <w:lvlJc w:val="left"/>
      <w:pPr>
        <w:ind w:left="5040" w:hanging="360"/>
      </w:pPr>
      <w:rPr>
        <w:rFonts w:ascii="Symbol" w:hAnsi="Symbol" w:hint="default"/>
      </w:rPr>
    </w:lvl>
    <w:lvl w:ilvl="7" w:tplc="AC70BBB4">
      <w:start w:val="1"/>
      <w:numFmt w:val="bullet"/>
      <w:lvlText w:val="o"/>
      <w:lvlJc w:val="left"/>
      <w:pPr>
        <w:ind w:left="5760" w:hanging="360"/>
      </w:pPr>
      <w:rPr>
        <w:rFonts w:ascii="Courier New" w:hAnsi="Courier New" w:hint="default"/>
      </w:rPr>
    </w:lvl>
    <w:lvl w:ilvl="8" w:tplc="66EAB9E0">
      <w:start w:val="1"/>
      <w:numFmt w:val="bullet"/>
      <w:lvlText w:val=""/>
      <w:lvlJc w:val="left"/>
      <w:pPr>
        <w:ind w:left="6480" w:hanging="360"/>
      </w:pPr>
      <w:rPr>
        <w:rFonts w:ascii="Wingdings" w:hAnsi="Wingdings" w:hint="default"/>
      </w:rPr>
    </w:lvl>
  </w:abstractNum>
  <w:abstractNum w:abstractNumId="19" w15:restartNumberingAfterBreak="0">
    <w:nsid w:val="3BE032AE"/>
    <w:multiLevelType w:val="multilevel"/>
    <w:tmpl w:val="EBD254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5A529E"/>
    <w:multiLevelType w:val="hybridMultilevel"/>
    <w:tmpl w:val="26CAA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6711E3"/>
    <w:multiLevelType w:val="hybridMultilevel"/>
    <w:tmpl w:val="48B827E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E44EB1"/>
    <w:multiLevelType w:val="hybridMultilevel"/>
    <w:tmpl w:val="0F6862B2"/>
    <w:lvl w:ilvl="0" w:tplc="F3B64CD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D47516E"/>
    <w:multiLevelType w:val="hybridMultilevel"/>
    <w:tmpl w:val="5A560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226D5A"/>
    <w:multiLevelType w:val="hybridMultilevel"/>
    <w:tmpl w:val="EA30E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A75A65"/>
    <w:multiLevelType w:val="hybridMultilevel"/>
    <w:tmpl w:val="40B6FB6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7E52F9"/>
    <w:multiLevelType w:val="hybridMultilevel"/>
    <w:tmpl w:val="E506BECA"/>
    <w:lvl w:ilvl="0" w:tplc="04090003">
      <w:start w:val="1"/>
      <w:numFmt w:val="bullet"/>
      <w:lvlText w:val="o"/>
      <w:lvlJc w:val="left"/>
      <w:pPr>
        <w:ind w:left="2520" w:hanging="360"/>
      </w:pPr>
      <w:rPr>
        <w:rFonts w:ascii="Courier New" w:hAnsi="Courier New" w:cs="Courier New"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55DF1490"/>
    <w:multiLevelType w:val="hybridMultilevel"/>
    <w:tmpl w:val="9C3401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110295"/>
    <w:multiLevelType w:val="hybridMultilevel"/>
    <w:tmpl w:val="71B0F39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E21D15"/>
    <w:multiLevelType w:val="hybridMultilevel"/>
    <w:tmpl w:val="340628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1" w15:restartNumberingAfterBreak="0">
    <w:nsid w:val="5B3375A8"/>
    <w:multiLevelType w:val="hybridMultilevel"/>
    <w:tmpl w:val="E69C72FE"/>
    <w:lvl w:ilvl="0" w:tplc="62C0BD9E">
      <w:start w:val="1"/>
      <w:numFmt w:val="decimal"/>
      <w:lvlText w:val="%1."/>
      <w:lvlJc w:val="left"/>
      <w:pPr>
        <w:ind w:left="405" w:hanging="360"/>
      </w:pPr>
      <w:rPr>
        <w:rFonts w:hint="default"/>
      </w:rPr>
    </w:lvl>
    <w:lvl w:ilvl="1" w:tplc="08090019">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32" w15:restartNumberingAfterBreak="0">
    <w:nsid w:val="5FF17149"/>
    <w:multiLevelType w:val="hybridMultilevel"/>
    <w:tmpl w:val="9F9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483CE1"/>
    <w:multiLevelType w:val="hybridMultilevel"/>
    <w:tmpl w:val="AA307A2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5E2BDF"/>
    <w:multiLevelType w:val="hybridMultilevel"/>
    <w:tmpl w:val="B0B6C9FA"/>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22B2453"/>
    <w:multiLevelType w:val="hybridMultilevel"/>
    <w:tmpl w:val="9426F6DA"/>
    <w:lvl w:ilvl="0" w:tplc="F3C20674">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225AF6"/>
    <w:multiLevelType w:val="hybridMultilevel"/>
    <w:tmpl w:val="AA5AD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E50C16"/>
    <w:multiLevelType w:val="hybridMultilevel"/>
    <w:tmpl w:val="F6F833FE"/>
    <w:lvl w:ilvl="0" w:tplc="B80E9A4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889022B"/>
    <w:multiLevelType w:val="hybridMultilevel"/>
    <w:tmpl w:val="18CA3E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9F165F1"/>
    <w:multiLevelType w:val="hybridMultilevel"/>
    <w:tmpl w:val="B27E19C0"/>
    <w:lvl w:ilvl="0" w:tplc="2542BA0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BBE7DA0"/>
    <w:multiLevelType w:val="hybridMultilevel"/>
    <w:tmpl w:val="E4461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866970"/>
    <w:multiLevelType w:val="hybridMultilevel"/>
    <w:tmpl w:val="7CA2DBE8"/>
    <w:lvl w:ilvl="0" w:tplc="04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num w:numId="1">
    <w:abstractNumId w:val="30"/>
  </w:num>
  <w:num w:numId="2">
    <w:abstractNumId w:val="5"/>
  </w:num>
  <w:num w:numId="3">
    <w:abstractNumId w:val="38"/>
  </w:num>
  <w:num w:numId="4">
    <w:abstractNumId w:val="11"/>
  </w:num>
  <w:num w:numId="5">
    <w:abstractNumId w:val="7"/>
  </w:num>
  <w:num w:numId="6">
    <w:abstractNumId w:val="6"/>
  </w:num>
  <w:num w:numId="7">
    <w:abstractNumId w:val="3"/>
  </w:num>
  <w:num w:numId="8">
    <w:abstractNumId w:val="23"/>
  </w:num>
  <w:num w:numId="9">
    <w:abstractNumId w:val="13"/>
  </w:num>
  <w:num w:numId="10">
    <w:abstractNumId w:val="40"/>
  </w:num>
  <w:num w:numId="11">
    <w:abstractNumId w:val="20"/>
  </w:num>
  <w:num w:numId="12">
    <w:abstractNumId w:val="32"/>
  </w:num>
  <w:num w:numId="13">
    <w:abstractNumId w:val="14"/>
  </w:num>
  <w:num w:numId="14">
    <w:abstractNumId w:val="31"/>
  </w:num>
  <w:num w:numId="15">
    <w:abstractNumId w:val="0"/>
  </w:num>
  <w:num w:numId="16">
    <w:abstractNumId w:val="39"/>
  </w:num>
  <w:num w:numId="17">
    <w:abstractNumId w:val="18"/>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19">
    <w:abstractNumId w:val="1"/>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num>
  <w:num w:numId="22">
    <w:abstractNumId w:val="29"/>
  </w:num>
  <w:num w:numId="23">
    <w:abstractNumId w:val="37"/>
  </w:num>
  <w:num w:numId="24">
    <w:abstractNumId w:val="9"/>
  </w:num>
  <w:num w:numId="25">
    <w:abstractNumId w:val="28"/>
  </w:num>
  <w:num w:numId="26">
    <w:abstractNumId w:val="8"/>
  </w:num>
  <w:num w:numId="27">
    <w:abstractNumId w:val="27"/>
  </w:num>
  <w:num w:numId="28">
    <w:abstractNumId w:val="2"/>
  </w:num>
  <w:num w:numId="29">
    <w:abstractNumId w:val="21"/>
  </w:num>
  <w:num w:numId="30">
    <w:abstractNumId w:val="33"/>
  </w:num>
  <w:num w:numId="31">
    <w:abstractNumId w:val="16"/>
  </w:num>
  <w:num w:numId="32">
    <w:abstractNumId w:val="24"/>
  </w:num>
  <w:num w:numId="33">
    <w:abstractNumId w:val="36"/>
  </w:num>
  <w:num w:numId="34">
    <w:abstractNumId w:val="19"/>
    <w:lvlOverride w:ilvl="1">
      <w:lvl w:ilvl="1">
        <w:numFmt w:val="bullet"/>
        <w:lvlText w:val=""/>
        <w:lvlJc w:val="left"/>
        <w:pPr>
          <w:tabs>
            <w:tab w:val="num" w:pos="1440"/>
          </w:tabs>
          <w:ind w:left="1440" w:hanging="360"/>
        </w:pPr>
        <w:rPr>
          <w:rFonts w:ascii="Symbol" w:hAnsi="Symbol" w:hint="default"/>
          <w:sz w:val="20"/>
        </w:rPr>
      </w:lvl>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26"/>
  </w:num>
  <w:num w:numId="39">
    <w:abstractNumId w:val="41"/>
  </w:num>
  <w:num w:numId="40">
    <w:abstractNumId w:val="15"/>
  </w:num>
  <w:num w:numId="41">
    <w:abstractNumId w:val="22"/>
  </w:num>
  <w:num w:numId="42">
    <w:abstractNumId w:val="10"/>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CD6"/>
    <w:rsid w:val="00000112"/>
    <w:rsid w:val="000017E3"/>
    <w:rsid w:val="00002716"/>
    <w:rsid w:val="00002CA2"/>
    <w:rsid w:val="00005791"/>
    <w:rsid w:val="00006C41"/>
    <w:rsid w:val="00010827"/>
    <w:rsid w:val="00014190"/>
    <w:rsid w:val="00015089"/>
    <w:rsid w:val="0002520B"/>
    <w:rsid w:val="00033F9D"/>
    <w:rsid w:val="00037A9E"/>
    <w:rsid w:val="00037F91"/>
    <w:rsid w:val="00047903"/>
    <w:rsid w:val="00047B64"/>
    <w:rsid w:val="00051417"/>
    <w:rsid w:val="000539F1"/>
    <w:rsid w:val="00054747"/>
    <w:rsid w:val="00055A2A"/>
    <w:rsid w:val="000615C1"/>
    <w:rsid w:val="00061675"/>
    <w:rsid w:val="00061C93"/>
    <w:rsid w:val="00070197"/>
    <w:rsid w:val="00070ACE"/>
    <w:rsid w:val="00073475"/>
    <w:rsid w:val="000743AA"/>
    <w:rsid w:val="00075B33"/>
    <w:rsid w:val="0008033D"/>
    <w:rsid w:val="0008062E"/>
    <w:rsid w:val="00083274"/>
    <w:rsid w:val="000868A8"/>
    <w:rsid w:val="00091D9C"/>
    <w:rsid w:val="0009225C"/>
    <w:rsid w:val="00092D14"/>
    <w:rsid w:val="000931F7"/>
    <w:rsid w:val="000A1433"/>
    <w:rsid w:val="000A17C4"/>
    <w:rsid w:val="000A3428"/>
    <w:rsid w:val="000A36A4"/>
    <w:rsid w:val="000A5E3B"/>
    <w:rsid w:val="000A6D90"/>
    <w:rsid w:val="000B2352"/>
    <w:rsid w:val="000B7707"/>
    <w:rsid w:val="000C60D8"/>
    <w:rsid w:val="000C7B84"/>
    <w:rsid w:val="000D0430"/>
    <w:rsid w:val="000D261B"/>
    <w:rsid w:val="000D469E"/>
    <w:rsid w:val="000D4939"/>
    <w:rsid w:val="000D58A3"/>
    <w:rsid w:val="000E07D2"/>
    <w:rsid w:val="000E238C"/>
    <w:rsid w:val="000E2573"/>
    <w:rsid w:val="000E32AA"/>
    <w:rsid w:val="000E34A8"/>
    <w:rsid w:val="000E3ED4"/>
    <w:rsid w:val="000E3F9C"/>
    <w:rsid w:val="000E527B"/>
    <w:rsid w:val="000E6693"/>
    <w:rsid w:val="000F1550"/>
    <w:rsid w:val="000F251B"/>
    <w:rsid w:val="000F4DEE"/>
    <w:rsid w:val="000F5FE8"/>
    <w:rsid w:val="000F620B"/>
    <w:rsid w:val="000F6644"/>
    <w:rsid w:val="00100833"/>
    <w:rsid w:val="00102F72"/>
    <w:rsid w:val="00107E85"/>
    <w:rsid w:val="00111D03"/>
    <w:rsid w:val="00113EE8"/>
    <w:rsid w:val="0011455A"/>
    <w:rsid w:val="00114A65"/>
    <w:rsid w:val="00116300"/>
    <w:rsid w:val="00125B50"/>
    <w:rsid w:val="00131DC9"/>
    <w:rsid w:val="001327B2"/>
    <w:rsid w:val="00133061"/>
    <w:rsid w:val="001377A4"/>
    <w:rsid w:val="00141699"/>
    <w:rsid w:val="00147000"/>
    <w:rsid w:val="0015429F"/>
    <w:rsid w:val="001544B3"/>
    <w:rsid w:val="001567D6"/>
    <w:rsid w:val="00163091"/>
    <w:rsid w:val="001645CB"/>
    <w:rsid w:val="00166305"/>
    <w:rsid w:val="00166C0C"/>
    <w:rsid w:val="00167545"/>
    <w:rsid w:val="00170182"/>
    <w:rsid w:val="001703C6"/>
    <w:rsid w:val="00173781"/>
    <w:rsid w:val="00175ADF"/>
    <w:rsid w:val="00175CAE"/>
    <w:rsid w:val="001828DB"/>
    <w:rsid w:val="0018316B"/>
    <w:rsid w:val="00184B6C"/>
    <w:rsid w:val="00184D08"/>
    <w:rsid w:val="001850FE"/>
    <w:rsid w:val="00185135"/>
    <w:rsid w:val="00185C6B"/>
    <w:rsid w:val="0019037C"/>
    <w:rsid w:val="001905A9"/>
    <w:rsid w:val="00191273"/>
    <w:rsid w:val="00191571"/>
    <w:rsid w:val="001942A7"/>
    <w:rsid w:val="0019587B"/>
    <w:rsid w:val="00195AE0"/>
    <w:rsid w:val="001A163D"/>
    <w:rsid w:val="001A441E"/>
    <w:rsid w:val="001A6733"/>
    <w:rsid w:val="001B17C4"/>
    <w:rsid w:val="001B357F"/>
    <w:rsid w:val="001B537B"/>
    <w:rsid w:val="001B7935"/>
    <w:rsid w:val="001C1A7F"/>
    <w:rsid w:val="001C1B7C"/>
    <w:rsid w:val="001C3444"/>
    <w:rsid w:val="001C3702"/>
    <w:rsid w:val="001C4656"/>
    <w:rsid w:val="001C46BC"/>
    <w:rsid w:val="001D1B3F"/>
    <w:rsid w:val="001E1B8B"/>
    <w:rsid w:val="001E4668"/>
    <w:rsid w:val="001F1A0A"/>
    <w:rsid w:val="001F23E6"/>
    <w:rsid w:val="001F3B80"/>
    <w:rsid w:val="001F4238"/>
    <w:rsid w:val="00200A38"/>
    <w:rsid w:val="00200A46"/>
    <w:rsid w:val="00202B8D"/>
    <w:rsid w:val="00206D9E"/>
    <w:rsid w:val="002105CD"/>
    <w:rsid w:val="00211B6F"/>
    <w:rsid w:val="0021796F"/>
    <w:rsid w:val="00217CC3"/>
    <w:rsid w:val="00220AB6"/>
    <w:rsid w:val="0022120F"/>
    <w:rsid w:val="00227061"/>
    <w:rsid w:val="0022754A"/>
    <w:rsid w:val="00231434"/>
    <w:rsid w:val="00236560"/>
    <w:rsid w:val="0023662E"/>
    <w:rsid w:val="00237AC4"/>
    <w:rsid w:val="00245CEA"/>
    <w:rsid w:val="00245D0F"/>
    <w:rsid w:val="002513C1"/>
    <w:rsid w:val="002513F5"/>
    <w:rsid w:val="00253F43"/>
    <w:rsid w:val="002548C3"/>
    <w:rsid w:val="00256858"/>
    <w:rsid w:val="00257ACD"/>
    <w:rsid w:val="00262908"/>
    <w:rsid w:val="002650F4"/>
    <w:rsid w:val="002715FD"/>
    <w:rsid w:val="002770B1"/>
    <w:rsid w:val="00285B33"/>
    <w:rsid w:val="00286E45"/>
    <w:rsid w:val="00287A3C"/>
    <w:rsid w:val="00287F4E"/>
    <w:rsid w:val="002A1843"/>
    <w:rsid w:val="002A2FC6"/>
    <w:rsid w:val="002B1AA1"/>
    <w:rsid w:val="002C1EC7"/>
    <w:rsid w:val="002C3015"/>
    <w:rsid w:val="002C4342"/>
    <w:rsid w:val="002C7EA3"/>
    <w:rsid w:val="002D20AE"/>
    <w:rsid w:val="002D4CEB"/>
    <w:rsid w:val="002D6C61"/>
    <w:rsid w:val="002E1D2A"/>
    <w:rsid w:val="002E2104"/>
    <w:rsid w:val="002E2730"/>
    <w:rsid w:val="002E2DAC"/>
    <w:rsid w:val="002E6963"/>
    <w:rsid w:val="002E6F8F"/>
    <w:rsid w:val="002F05D8"/>
    <w:rsid w:val="002F2DE0"/>
    <w:rsid w:val="002F30AB"/>
    <w:rsid w:val="002F5E25"/>
    <w:rsid w:val="002F74EC"/>
    <w:rsid w:val="00300AB2"/>
    <w:rsid w:val="0030353C"/>
    <w:rsid w:val="003125C3"/>
    <w:rsid w:val="00312AE6"/>
    <w:rsid w:val="00317D1A"/>
    <w:rsid w:val="003211FF"/>
    <w:rsid w:val="00321254"/>
    <w:rsid w:val="00324291"/>
    <w:rsid w:val="003242AB"/>
    <w:rsid w:val="00324DBE"/>
    <w:rsid w:val="003267C8"/>
    <w:rsid w:val="00327247"/>
    <w:rsid w:val="00327A9D"/>
    <w:rsid w:val="0033130E"/>
    <w:rsid w:val="0033269C"/>
    <w:rsid w:val="00336C0C"/>
    <w:rsid w:val="00336F9A"/>
    <w:rsid w:val="00337F8B"/>
    <w:rsid w:val="00351C79"/>
    <w:rsid w:val="0035516C"/>
    <w:rsid w:val="00355A4C"/>
    <w:rsid w:val="00356B1A"/>
    <w:rsid w:val="003604FB"/>
    <w:rsid w:val="00360B73"/>
    <w:rsid w:val="0036134D"/>
    <w:rsid w:val="00362C28"/>
    <w:rsid w:val="00364E25"/>
    <w:rsid w:val="00380B71"/>
    <w:rsid w:val="0038365A"/>
    <w:rsid w:val="0038416B"/>
    <w:rsid w:val="00386A89"/>
    <w:rsid w:val="00387FCF"/>
    <w:rsid w:val="00391107"/>
    <w:rsid w:val="00392BF3"/>
    <w:rsid w:val="0039648E"/>
    <w:rsid w:val="003A5AFE"/>
    <w:rsid w:val="003A5D5F"/>
    <w:rsid w:val="003A691C"/>
    <w:rsid w:val="003A7FFE"/>
    <w:rsid w:val="003B0A63"/>
    <w:rsid w:val="003B0AD6"/>
    <w:rsid w:val="003B0B74"/>
    <w:rsid w:val="003B50E1"/>
    <w:rsid w:val="003C1746"/>
    <w:rsid w:val="003C2AA9"/>
    <w:rsid w:val="003C2E74"/>
    <w:rsid w:val="003C3A33"/>
    <w:rsid w:val="003C58BF"/>
    <w:rsid w:val="003D451D"/>
    <w:rsid w:val="003D795F"/>
    <w:rsid w:val="003E7CD6"/>
    <w:rsid w:val="003F2DD8"/>
    <w:rsid w:val="003F3F2D"/>
    <w:rsid w:val="003F4A08"/>
    <w:rsid w:val="003F50B2"/>
    <w:rsid w:val="00400CCF"/>
    <w:rsid w:val="00401183"/>
    <w:rsid w:val="00401BFF"/>
    <w:rsid w:val="00404015"/>
    <w:rsid w:val="00404424"/>
    <w:rsid w:val="0041156B"/>
    <w:rsid w:val="004122C5"/>
    <w:rsid w:val="00412D0F"/>
    <w:rsid w:val="00413B78"/>
    <w:rsid w:val="00416DDE"/>
    <w:rsid w:val="00416FE5"/>
    <w:rsid w:val="00427FD0"/>
    <w:rsid w:val="004433C0"/>
    <w:rsid w:val="00443D0B"/>
    <w:rsid w:val="0044411E"/>
    <w:rsid w:val="00445936"/>
    <w:rsid w:val="00445B36"/>
    <w:rsid w:val="00446F73"/>
    <w:rsid w:val="00453435"/>
    <w:rsid w:val="00454F31"/>
    <w:rsid w:val="0045554C"/>
    <w:rsid w:val="00457EA9"/>
    <w:rsid w:val="00466398"/>
    <w:rsid w:val="0047306D"/>
    <w:rsid w:val="00473791"/>
    <w:rsid w:val="00476E48"/>
    <w:rsid w:val="004809A0"/>
    <w:rsid w:val="00481A82"/>
    <w:rsid w:val="00481B0A"/>
    <w:rsid w:val="00481DE9"/>
    <w:rsid w:val="00482967"/>
    <w:rsid w:val="0048398A"/>
    <w:rsid w:val="00487A9F"/>
    <w:rsid w:val="0049128B"/>
    <w:rsid w:val="00493B49"/>
    <w:rsid w:val="00493BD3"/>
    <w:rsid w:val="00495118"/>
    <w:rsid w:val="00495501"/>
    <w:rsid w:val="004A070A"/>
    <w:rsid w:val="004A25E4"/>
    <w:rsid w:val="004A320E"/>
    <w:rsid w:val="004A4E9C"/>
    <w:rsid w:val="004B1A3C"/>
    <w:rsid w:val="004B59C8"/>
    <w:rsid w:val="004C4987"/>
    <w:rsid w:val="004D2CC3"/>
    <w:rsid w:val="004D35CB"/>
    <w:rsid w:val="004D3C65"/>
    <w:rsid w:val="004D3E8D"/>
    <w:rsid w:val="004D7DAB"/>
    <w:rsid w:val="004E18FA"/>
    <w:rsid w:val="004E20E5"/>
    <w:rsid w:val="004E23B5"/>
    <w:rsid w:val="004E2ACC"/>
    <w:rsid w:val="004E64EA"/>
    <w:rsid w:val="004E7828"/>
    <w:rsid w:val="004F07E7"/>
    <w:rsid w:val="004F46AA"/>
    <w:rsid w:val="004F6A70"/>
    <w:rsid w:val="00500AD7"/>
    <w:rsid w:val="00502ABF"/>
    <w:rsid w:val="00504DB0"/>
    <w:rsid w:val="00506FA1"/>
    <w:rsid w:val="00507C35"/>
    <w:rsid w:val="00510735"/>
    <w:rsid w:val="005125ED"/>
    <w:rsid w:val="00514D2F"/>
    <w:rsid w:val="00525BB7"/>
    <w:rsid w:val="0052689F"/>
    <w:rsid w:val="0054420E"/>
    <w:rsid w:val="00544D1B"/>
    <w:rsid w:val="0054502F"/>
    <w:rsid w:val="00545DC0"/>
    <w:rsid w:val="00545F6C"/>
    <w:rsid w:val="00546B50"/>
    <w:rsid w:val="005477D9"/>
    <w:rsid w:val="00551A1C"/>
    <w:rsid w:val="00554497"/>
    <w:rsid w:val="0055649A"/>
    <w:rsid w:val="00556ECF"/>
    <w:rsid w:val="0055720C"/>
    <w:rsid w:val="00557B8C"/>
    <w:rsid w:val="00557E91"/>
    <w:rsid w:val="00561796"/>
    <w:rsid w:val="005619C6"/>
    <w:rsid w:val="005632DD"/>
    <w:rsid w:val="00563C28"/>
    <w:rsid w:val="0056423B"/>
    <w:rsid w:val="005644E4"/>
    <w:rsid w:val="0057058E"/>
    <w:rsid w:val="00573424"/>
    <w:rsid w:val="0057402F"/>
    <w:rsid w:val="00576330"/>
    <w:rsid w:val="00580C16"/>
    <w:rsid w:val="00581653"/>
    <w:rsid w:val="005849D6"/>
    <w:rsid w:val="00585367"/>
    <w:rsid w:val="005871A1"/>
    <w:rsid w:val="0058737E"/>
    <w:rsid w:val="00592518"/>
    <w:rsid w:val="00592E87"/>
    <w:rsid w:val="005932D4"/>
    <w:rsid w:val="00593F78"/>
    <w:rsid w:val="0059420B"/>
    <w:rsid w:val="00594C4D"/>
    <w:rsid w:val="005950FD"/>
    <w:rsid w:val="005952F1"/>
    <w:rsid w:val="005A335F"/>
    <w:rsid w:val="005A33B0"/>
    <w:rsid w:val="005B3C27"/>
    <w:rsid w:val="005B3FA6"/>
    <w:rsid w:val="005B5FBD"/>
    <w:rsid w:val="005C26EA"/>
    <w:rsid w:val="005C2972"/>
    <w:rsid w:val="005C2DC2"/>
    <w:rsid w:val="005C304A"/>
    <w:rsid w:val="005C3D69"/>
    <w:rsid w:val="005C7C98"/>
    <w:rsid w:val="005D2C3A"/>
    <w:rsid w:val="005D4434"/>
    <w:rsid w:val="005D55A4"/>
    <w:rsid w:val="005D57C8"/>
    <w:rsid w:val="005D7761"/>
    <w:rsid w:val="005E0278"/>
    <w:rsid w:val="005E090D"/>
    <w:rsid w:val="005E1E08"/>
    <w:rsid w:val="005E3CA0"/>
    <w:rsid w:val="005E44B1"/>
    <w:rsid w:val="005E67B0"/>
    <w:rsid w:val="005E7047"/>
    <w:rsid w:val="005E70D0"/>
    <w:rsid w:val="005E777F"/>
    <w:rsid w:val="005F1CA7"/>
    <w:rsid w:val="005F43DD"/>
    <w:rsid w:val="005F51A9"/>
    <w:rsid w:val="005F6BE1"/>
    <w:rsid w:val="005F7416"/>
    <w:rsid w:val="00600C11"/>
    <w:rsid w:val="00604667"/>
    <w:rsid w:val="00606B89"/>
    <w:rsid w:val="00611EAF"/>
    <w:rsid w:val="006210A5"/>
    <w:rsid w:val="00622EE1"/>
    <w:rsid w:val="00623F30"/>
    <w:rsid w:val="00625FB8"/>
    <w:rsid w:val="006261BD"/>
    <w:rsid w:val="006277B3"/>
    <w:rsid w:val="0063196C"/>
    <w:rsid w:val="0063460F"/>
    <w:rsid w:val="00635EDB"/>
    <w:rsid w:val="00641DC2"/>
    <w:rsid w:val="00643D89"/>
    <w:rsid w:val="0064734E"/>
    <w:rsid w:val="00650137"/>
    <w:rsid w:val="006509D7"/>
    <w:rsid w:val="00651CE8"/>
    <w:rsid w:val="006537B6"/>
    <w:rsid w:val="0065521B"/>
    <w:rsid w:val="0066393F"/>
    <w:rsid w:val="00664321"/>
    <w:rsid w:val="006711CA"/>
    <w:rsid w:val="00671EF6"/>
    <w:rsid w:val="0067205B"/>
    <w:rsid w:val="006748F8"/>
    <w:rsid w:val="00674D3F"/>
    <w:rsid w:val="00675468"/>
    <w:rsid w:val="00676C78"/>
    <w:rsid w:val="00680489"/>
    <w:rsid w:val="00683C32"/>
    <w:rsid w:val="006860CC"/>
    <w:rsid w:val="00690BB2"/>
    <w:rsid w:val="00693D09"/>
    <w:rsid w:val="006A255D"/>
    <w:rsid w:val="006A2FEF"/>
    <w:rsid w:val="006A42E1"/>
    <w:rsid w:val="006A6549"/>
    <w:rsid w:val="006A7710"/>
    <w:rsid w:val="006A7A61"/>
    <w:rsid w:val="006B1E59"/>
    <w:rsid w:val="006B2FFB"/>
    <w:rsid w:val="006B341A"/>
    <w:rsid w:val="006C10A2"/>
    <w:rsid w:val="006C1F18"/>
    <w:rsid w:val="006C25CD"/>
    <w:rsid w:val="006C7A71"/>
    <w:rsid w:val="006D40D5"/>
    <w:rsid w:val="006D6496"/>
    <w:rsid w:val="006E063C"/>
    <w:rsid w:val="006E3EE7"/>
    <w:rsid w:val="006F009A"/>
    <w:rsid w:val="006F17BA"/>
    <w:rsid w:val="006F3D93"/>
    <w:rsid w:val="006F74FD"/>
    <w:rsid w:val="006F7A4D"/>
    <w:rsid w:val="007019B1"/>
    <w:rsid w:val="007020A9"/>
    <w:rsid w:val="00705DD6"/>
    <w:rsid w:val="00721657"/>
    <w:rsid w:val="00724A01"/>
    <w:rsid w:val="007279A8"/>
    <w:rsid w:val="00727B1A"/>
    <w:rsid w:val="00730D85"/>
    <w:rsid w:val="00741337"/>
    <w:rsid w:val="00747457"/>
    <w:rsid w:val="00750E4B"/>
    <w:rsid w:val="00752258"/>
    <w:rsid w:val="007527A2"/>
    <w:rsid w:val="007529E1"/>
    <w:rsid w:val="00756469"/>
    <w:rsid w:val="0075692B"/>
    <w:rsid w:val="00761651"/>
    <w:rsid w:val="0076286B"/>
    <w:rsid w:val="00762880"/>
    <w:rsid w:val="00762AD6"/>
    <w:rsid w:val="00762E02"/>
    <w:rsid w:val="007719F5"/>
    <w:rsid w:val="00772046"/>
    <w:rsid w:val="00772290"/>
    <w:rsid w:val="00774E2B"/>
    <w:rsid w:val="00776763"/>
    <w:rsid w:val="00777265"/>
    <w:rsid w:val="007805E7"/>
    <w:rsid w:val="0078061E"/>
    <w:rsid w:val="0078222A"/>
    <w:rsid w:val="00782328"/>
    <w:rsid w:val="00783EAB"/>
    <w:rsid w:val="00786585"/>
    <w:rsid w:val="007871A7"/>
    <w:rsid w:val="00787D48"/>
    <w:rsid w:val="0079040C"/>
    <w:rsid w:val="0079072F"/>
    <w:rsid w:val="00795294"/>
    <w:rsid w:val="007A09F0"/>
    <w:rsid w:val="007A4E50"/>
    <w:rsid w:val="007B18A7"/>
    <w:rsid w:val="007B250E"/>
    <w:rsid w:val="007B3AF4"/>
    <w:rsid w:val="007B5A36"/>
    <w:rsid w:val="007B737E"/>
    <w:rsid w:val="007C27FC"/>
    <w:rsid w:val="007C4709"/>
    <w:rsid w:val="007C51FF"/>
    <w:rsid w:val="007C5719"/>
    <w:rsid w:val="007C6BCB"/>
    <w:rsid w:val="007C7396"/>
    <w:rsid w:val="007D50E4"/>
    <w:rsid w:val="007D6532"/>
    <w:rsid w:val="007D731B"/>
    <w:rsid w:val="007E2DC5"/>
    <w:rsid w:val="007E7C31"/>
    <w:rsid w:val="007F1CC7"/>
    <w:rsid w:val="007F2443"/>
    <w:rsid w:val="008027AC"/>
    <w:rsid w:val="008028CE"/>
    <w:rsid w:val="0080332E"/>
    <w:rsid w:val="008141E0"/>
    <w:rsid w:val="00816EE1"/>
    <w:rsid w:val="00816F88"/>
    <w:rsid w:val="00821996"/>
    <w:rsid w:val="00822323"/>
    <w:rsid w:val="00827BC6"/>
    <w:rsid w:val="008300AD"/>
    <w:rsid w:val="00833024"/>
    <w:rsid w:val="00835D3C"/>
    <w:rsid w:val="00836AC4"/>
    <w:rsid w:val="008419B1"/>
    <w:rsid w:val="00844A56"/>
    <w:rsid w:val="00845B11"/>
    <w:rsid w:val="00845C85"/>
    <w:rsid w:val="00850A03"/>
    <w:rsid w:val="00850A3B"/>
    <w:rsid w:val="00852081"/>
    <w:rsid w:val="008561CB"/>
    <w:rsid w:val="00870BA0"/>
    <w:rsid w:val="00872B6E"/>
    <w:rsid w:val="00874DFD"/>
    <w:rsid w:val="008802F9"/>
    <w:rsid w:val="00882D5E"/>
    <w:rsid w:val="00883086"/>
    <w:rsid w:val="008879FD"/>
    <w:rsid w:val="00894C37"/>
    <w:rsid w:val="008A00EA"/>
    <w:rsid w:val="008A07B7"/>
    <w:rsid w:val="008A162F"/>
    <w:rsid w:val="008A3F93"/>
    <w:rsid w:val="008A6236"/>
    <w:rsid w:val="008A6E1C"/>
    <w:rsid w:val="008A72FD"/>
    <w:rsid w:val="008B2EDF"/>
    <w:rsid w:val="008B47C7"/>
    <w:rsid w:val="008B54CB"/>
    <w:rsid w:val="008B5A3D"/>
    <w:rsid w:val="008C0017"/>
    <w:rsid w:val="008C0718"/>
    <w:rsid w:val="008C3E40"/>
    <w:rsid w:val="008C4010"/>
    <w:rsid w:val="008C4FDF"/>
    <w:rsid w:val="008C6B1F"/>
    <w:rsid w:val="008C7034"/>
    <w:rsid w:val="008D5E4F"/>
    <w:rsid w:val="008E3010"/>
    <w:rsid w:val="008E663D"/>
    <w:rsid w:val="008F14F5"/>
    <w:rsid w:val="008F57B0"/>
    <w:rsid w:val="008F5B7F"/>
    <w:rsid w:val="008F5B8D"/>
    <w:rsid w:val="008F6BD4"/>
    <w:rsid w:val="008F71C1"/>
    <w:rsid w:val="0090011B"/>
    <w:rsid w:val="00901C97"/>
    <w:rsid w:val="00902D41"/>
    <w:rsid w:val="00902F49"/>
    <w:rsid w:val="00904230"/>
    <w:rsid w:val="0090468E"/>
    <w:rsid w:val="00911EC9"/>
    <w:rsid w:val="00914004"/>
    <w:rsid w:val="00922EC1"/>
    <w:rsid w:val="00923CF1"/>
    <w:rsid w:val="009301F1"/>
    <w:rsid w:val="009307DF"/>
    <w:rsid w:val="00930972"/>
    <w:rsid w:val="009340F6"/>
    <w:rsid w:val="009359B8"/>
    <w:rsid w:val="00935FF0"/>
    <w:rsid w:val="009431F8"/>
    <w:rsid w:val="00947A35"/>
    <w:rsid w:val="009506A9"/>
    <w:rsid w:val="00951C5E"/>
    <w:rsid w:val="0096201B"/>
    <w:rsid w:val="00962081"/>
    <w:rsid w:val="00966A92"/>
    <w:rsid w:val="00966CB5"/>
    <w:rsid w:val="00970D33"/>
    <w:rsid w:val="0097460D"/>
    <w:rsid w:val="00975786"/>
    <w:rsid w:val="00981CB7"/>
    <w:rsid w:val="00983E1F"/>
    <w:rsid w:val="009917F6"/>
    <w:rsid w:val="00993F46"/>
    <w:rsid w:val="00995C85"/>
    <w:rsid w:val="00997358"/>
    <w:rsid w:val="009A30A6"/>
    <w:rsid w:val="009A452B"/>
    <w:rsid w:val="009A6269"/>
    <w:rsid w:val="009A6EDD"/>
    <w:rsid w:val="009B050C"/>
    <w:rsid w:val="009B087F"/>
    <w:rsid w:val="009B2AF4"/>
    <w:rsid w:val="009B55A3"/>
    <w:rsid w:val="009C110B"/>
    <w:rsid w:val="009C5441"/>
    <w:rsid w:val="009C6923"/>
    <w:rsid w:val="009C7BBE"/>
    <w:rsid w:val="009D119F"/>
    <w:rsid w:val="009D30E6"/>
    <w:rsid w:val="009D49A2"/>
    <w:rsid w:val="009E115C"/>
    <w:rsid w:val="009E51EE"/>
    <w:rsid w:val="009E6F82"/>
    <w:rsid w:val="009F3940"/>
    <w:rsid w:val="009F3EB2"/>
    <w:rsid w:val="009F457A"/>
    <w:rsid w:val="009F6EB1"/>
    <w:rsid w:val="00A000C0"/>
    <w:rsid w:val="00A11D05"/>
    <w:rsid w:val="00A12045"/>
    <w:rsid w:val="00A13162"/>
    <w:rsid w:val="00A17565"/>
    <w:rsid w:val="00A20267"/>
    <w:rsid w:val="00A24762"/>
    <w:rsid w:val="00A25158"/>
    <w:rsid w:val="00A27AE9"/>
    <w:rsid w:val="00A3158C"/>
    <w:rsid w:val="00A31BFD"/>
    <w:rsid w:val="00A32DF3"/>
    <w:rsid w:val="00A33E32"/>
    <w:rsid w:val="00A34427"/>
    <w:rsid w:val="00A35E20"/>
    <w:rsid w:val="00A36571"/>
    <w:rsid w:val="00A36F6D"/>
    <w:rsid w:val="00A4581D"/>
    <w:rsid w:val="00A47ED5"/>
    <w:rsid w:val="00A501B0"/>
    <w:rsid w:val="00A502D7"/>
    <w:rsid w:val="00A50CA0"/>
    <w:rsid w:val="00A525CC"/>
    <w:rsid w:val="00A53E7C"/>
    <w:rsid w:val="00A55114"/>
    <w:rsid w:val="00A60087"/>
    <w:rsid w:val="00A62369"/>
    <w:rsid w:val="00A63D14"/>
    <w:rsid w:val="00A6503E"/>
    <w:rsid w:val="00A67E5F"/>
    <w:rsid w:val="00A705E8"/>
    <w:rsid w:val="00A721F4"/>
    <w:rsid w:val="00A72E90"/>
    <w:rsid w:val="00A87BB2"/>
    <w:rsid w:val="00A9392C"/>
    <w:rsid w:val="00A943C4"/>
    <w:rsid w:val="00A9462B"/>
    <w:rsid w:val="00A96964"/>
    <w:rsid w:val="00A97D59"/>
    <w:rsid w:val="00AA0599"/>
    <w:rsid w:val="00AA3E09"/>
    <w:rsid w:val="00AA4011"/>
    <w:rsid w:val="00AA4BEF"/>
    <w:rsid w:val="00AA55BF"/>
    <w:rsid w:val="00AB0DB1"/>
    <w:rsid w:val="00AB1659"/>
    <w:rsid w:val="00AB4962"/>
    <w:rsid w:val="00AB734E"/>
    <w:rsid w:val="00AB740F"/>
    <w:rsid w:val="00AC6F14"/>
    <w:rsid w:val="00AC7221"/>
    <w:rsid w:val="00AD136D"/>
    <w:rsid w:val="00AD5FA6"/>
    <w:rsid w:val="00AD7A74"/>
    <w:rsid w:val="00AE256A"/>
    <w:rsid w:val="00AE3811"/>
    <w:rsid w:val="00AE5961"/>
    <w:rsid w:val="00AE67E7"/>
    <w:rsid w:val="00AE6A86"/>
    <w:rsid w:val="00AE6B0D"/>
    <w:rsid w:val="00AF0745"/>
    <w:rsid w:val="00AF24CC"/>
    <w:rsid w:val="00AF4971"/>
    <w:rsid w:val="00AF5276"/>
    <w:rsid w:val="00AF6EB9"/>
    <w:rsid w:val="00AF72B4"/>
    <w:rsid w:val="00AF7C86"/>
    <w:rsid w:val="00B01046"/>
    <w:rsid w:val="00B014A3"/>
    <w:rsid w:val="00B10AA5"/>
    <w:rsid w:val="00B10BE4"/>
    <w:rsid w:val="00B12797"/>
    <w:rsid w:val="00B14D3C"/>
    <w:rsid w:val="00B245A9"/>
    <w:rsid w:val="00B26EB1"/>
    <w:rsid w:val="00B310F9"/>
    <w:rsid w:val="00B3427A"/>
    <w:rsid w:val="00B35E72"/>
    <w:rsid w:val="00B37866"/>
    <w:rsid w:val="00B412FB"/>
    <w:rsid w:val="00B4576B"/>
    <w:rsid w:val="00B46350"/>
    <w:rsid w:val="00B46DF3"/>
    <w:rsid w:val="00B52A80"/>
    <w:rsid w:val="00B62B1F"/>
    <w:rsid w:val="00B648C7"/>
    <w:rsid w:val="00B654AC"/>
    <w:rsid w:val="00B66173"/>
    <w:rsid w:val="00B66E8F"/>
    <w:rsid w:val="00B80157"/>
    <w:rsid w:val="00B83D5E"/>
    <w:rsid w:val="00B8460A"/>
    <w:rsid w:val="00B8650D"/>
    <w:rsid w:val="00B879B4"/>
    <w:rsid w:val="00B90EE4"/>
    <w:rsid w:val="00B90F07"/>
    <w:rsid w:val="00B95F96"/>
    <w:rsid w:val="00B96A99"/>
    <w:rsid w:val="00B97BB9"/>
    <w:rsid w:val="00BA0009"/>
    <w:rsid w:val="00BA29B9"/>
    <w:rsid w:val="00BA656B"/>
    <w:rsid w:val="00BB1863"/>
    <w:rsid w:val="00BB25EE"/>
    <w:rsid w:val="00BB363A"/>
    <w:rsid w:val="00BB55DB"/>
    <w:rsid w:val="00BB6619"/>
    <w:rsid w:val="00BB7284"/>
    <w:rsid w:val="00BC10A0"/>
    <w:rsid w:val="00BC5EF8"/>
    <w:rsid w:val="00BC7BA2"/>
    <w:rsid w:val="00BD426B"/>
    <w:rsid w:val="00BD797C"/>
    <w:rsid w:val="00BD79F0"/>
    <w:rsid w:val="00BE21F4"/>
    <w:rsid w:val="00BE2B4D"/>
    <w:rsid w:val="00BE7966"/>
    <w:rsid w:val="00BF3DE2"/>
    <w:rsid w:val="00C015F8"/>
    <w:rsid w:val="00C07E26"/>
    <w:rsid w:val="00C1011C"/>
    <w:rsid w:val="00C109D3"/>
    <w:rsid w:val="00C12F94"/>
    <w:rsid w:val="00C14370"/>
    <w:rsid w:val="00C177C5"/>
    <w:rsid w:val="00C2313C"/>
    <w:rsid w:val="00C24AF2"/>
    <w:rsid w:val="00C301CA"/>
    <w:rsid w:val="00C34EC3"/>
    <w:rsid w:val="00C37C12"/>
    <w:rsid w:val="00C4038C"/>
    <w:rsid w:val="00C42BA2"/>
    <w:rsid w:val="00C4373F"/>
    <w:rsid w:val="00C44066"/>
    <w:rsid w:val="00C44E13"/>
    <w:rsid w:val="00C50A38"/>
    <w:rsid w:val="00C53AE1"/>
    <w:rsid w:val="00C60A41"/>
    <w:rsid w:val="00C62766"/>
    <w:rsid w:val="00C62DE8"/>
    <w:rsid w:val="00C62DFB"/>
    <w:rsid w:val="00C630E6"/>
    <w:rsid w:val="00C63812"/>
    <w:rsid w:val="00C64AF3"/>
    <w:rsid w:val="00C66D32"/>
    <w:rsid w:val="00C66F4D"/>
    <w:rsid w:val="00C67BB5"/>
    <w:rsid w:val="00C72713"/>
    <w:rsid w:val="00C73365"/>
    <w:rsid w:val="00C760DC"/>
    <w:rsid w:val="00C774B4"/>
    <w:rsid w:val="00C83DF1"/>
    <w:rsid w:val="00C848EF"/>
    <w:rsid w:val="00C86600"/>
    <w:rsid w:val="00C8779F"/>
    <w:rsid w:val="00C87BCA"/>
    <w:rsid w:val="00C87EED"/>
    <w:rsid w:val="00C94506"/>
    <w:rsid w:val="00C94899"/>
    <w:rsid w:val="00C954BC"/>
    <w:rsid w:val="00CA1F0B"/>
    <w:rsid w:val="00CA7686"/>
    <w:rsid w:val="00CB110F"/>
    <w:rsid w:val="00CB29FF"/>
    <w:rsid w:val="00CB2A2E"/>
    <w:rsid w:val="00CB338A"/>
    <w:rsid w:val="00CB79C5"/>
    <w:rsid w:val="00CC140E"/>
    <w:rsid w:val="00CC2DE7"/>
    <w:rsid w:val="00CC411F"/>
    <w:rsid w:val="00CC4B75"/>
    <w:rsid w:val="00CC63E3"/>
    <w:rsid w:val="00CC732E"/>
    <w:rsid w:val="00CD2FCD"/>
    <w:rsid w:val="00CD7207"/>
    <w:rsid w:val="00CD7D0C"/>
    <w:rsid w:val="00CE0422"/>
    <w:rsid w:val="00CE0DBE"/>
    <w:rsid w:val="00CE400B"/>
    <w:rsid w:val="00CE5E4D"/>
    <w:rsid w:val="00CF02C4"/>
    <w:rsid w:val="00CF167F"/>
    <w:rsid w:val="00CF3EAB"/>
    <w:rsid w:val="00CF72E5"/>
    <w:rsid w:val="00D013EE"/>
    <w:rsid w:val="00D01F54"/>
    <w:rsid w:val="00D040F7"/>
    <w:rsid w:val="00D04A76"/>
    <w:rsid w:val="00D076C0"/>
    <w:rsid w:val="00D10FC7"/>
    <w:rsid w:val="00D1280B"/>
    <w:rsid w:val="00D1519F"/>
    <w:rsid w:val="00D17FD7"/>
    <w:rsid w:val="00D20E99"/>
    <w:rsid w:val="00D21C83"/>
    <w:rsid w:val="00D3057F"/>
    <w:rsid w:val="00D30BCB"/>
    <w:rsid w:val="00D31FFE"/>
    <w:rsid w:val="00D32F59"/>
    <w:rsid w:val="00D34EA0"/>
    <w:rsid w:val="00D35BDD"/>
    <w:rsid w:val="00D37EDF"/>
    <w:rsid w:val="00D434F8"/>
    <w:rsid w:val="00D5010C"/>
    <w:rsid w:val="00D52589"/>
    <w:rsid w:val="00D55BB3"/>
    <w:rsid w:val="00D615FF"/>
    <w:rsid w:val="00D62268"/>
    <w:rsid w:val="00D63006"/>
    <w:rsid w:val="00D6683D"/>
    <w:rsid w:val="00D72301"/>
    <w:rsid w:val="00D82451"/>
    <w:rsid w:val="00D855C8"/>
    <w:rsid w:val="00D85B11"/>
    <w:rsid w:val="00D911DE"/>
    <w:rsid w:val="00D91B97"/>
    <w:rsid w:val="00D93ACC"/>
    <w:rsid w:val="00D93C08"/>
    <w:rsid w:val="00D95DAC"/>
    <w:rsid w:val="00DA0B53"/>
    <w:rsid w:val="00DA1CBF"/>
    <w:rsid w:val="00DB1171"/>
    <w:rsid w:val="00DB1519"/>
    <w:rsid w:val="00DB2840"/>
    <w:rsid w:val="00DB5F8B"/>
    <w:rsid w:val="00DB618E"/>
    <w:rsid w:val="00DC03AE"/>
    <w:rsid w:val="00DC1BD3"/>
    <w:rsid w:val="00DC2C1A"/>
    <w:rsid w:val="00DC372A"/>
    <w:rsid w:val="00DD3F77"/>
    <w:rsid w:val="00DD66B4"/>
    <w:rsid w:val="00DE1972"/>
    <w:rsid w:val="00DE27AB"/>
    <w:rsid w:val="00DE4579"/>
    <w:rsid w:val="00DE5829"/>
    <w:rsid w:val="00DF2AB3"/>
    <w:rsid w:val="00DF5641"/>
    <w:rsid w:val="00DF7250"/>
    <w:rsid w:val="00E00CAA"/>
    <w:rsid w:val="00E00E80"/>
    <w:rsid w:val="00E01016"/>
    <w:rsid w:val="00E03C8B"/>
    <w:rsid w:val="00E03EBF"/>
    <w:rsid w:val="00E05209"/>
    <w:rsid w:val="00E06A10"/>
    <w:rsid w:val="00E11BCF"/>
    <w:rsid w:val="00E20683"/>
    <w:rsid w:val="00E2258E"/>
    <w:rsid w:val="00E23E2E"/>
    <w:rsid w:val="00E260C2"/>
    <w:rsid w:val="00E32596"/>
    <w:rsid w:val="00E362BA"/>
    <w:rsid w:val="00E368F7"/>
    <w:rsid w:val="00E36EB8"/>
    <w:rsid w:val="00E37FB8"/>
    <w:rsid w:val="00E40B07"/>
    <w:rsid w:val="00E42326"/>
    <w:rsid w:val="00E43544"/>
    <w:rsid w:val="00E44D89"/>
    <w:rsid w:val="00E477EA"/>
    <w:rsid w:val="00E52048"/>
    <w:rsid w:val="00E528E2"/>
    <w:rsid w:val="00E53A9E"/>
    <w:rsid w:val="00E55807"/>
    <w:rsid w:val="00E60BD2"/>
    <w:rsid w:val="00E63B14"/>
    <w:rsid w:val="00E65CA0"/>
    <w:rsid w:val="00E6765B"/>
    <w:rsid w:val="00E70D9F"/>
    <w:rsid w:val="00E756E1"/>
    <w:rsid w:val="00E8199B"/>
    <w:rsid w:val="00E83810"/>
    <w:rsid w:val="00E85640"/>
    <w:rsid w:val="00E86933"/>
    <w:rsid w:val="00E9605B"/>
    <w:rsid w:val="00E97298"/>
    <w:rsid w:val="00E97753"/>
    <w:rsid w:val="00E97B1F"/>
    <w:rsid w:val="00E97CF3"/>
    <w:rsid w:val="00EA08EA"/>
    <w:rsid w:val="00EA1032"/>
    <w:rsid w:val="00EA7CE5"/>
    <w:rsid w:val="00EA7DE7"/>
    <w:rsid w:val="00EB7A8A"/>
    <w:rsid w:val="00EC1C8E"/>
    <w:rsid w:val="00EC6FED"/>
    <w:rsid w:val="00EC7F3B"/>
    <w:rsid w:val="00ED68DF"/>
    <w:rsid w:val="00EE19CD"/>
    <w:rsid w:val="00EE3A64"/>
    <w:rsid w:val="00EE50E5"/>
    <w:rsid w:val="00EF01CF"/>
    <w:rsid w:val="00EF21AC"/>
    <w:rsid w:val="00EF3E3B"/>
    <w:rsid w:val="00EF3EDC"/>
    <w:rsid w:val="00F03240"/>
    <w:rsid w:val="00F03590"/>
    <w:rsid w:val="00F03622"/>
    <w:rsid w:val="00F077FD"/>
    <w:rsid w:val="00F1178B"/>
    <w:rsid w:val="00F140C3"/>
    <w:rsid w:val="00F204F3"/>
    <w:rsid w:val="00F218AB"/>
    <w:rsid w:val="00F238B3"/>
    <w:rsid w:val="00F24FED"/>
    <w:rsid w:val="00F25586"/>
    <w:rsid w:val="00F2651D"/>
    <w:rsid w:val="00F27362"/>
    <w:rsid w:val="00F31498"/>
    <w:rsid w:val="00F32FEF"/>
    <w:rsid w:val="00F37B5D"/>
    <w:rsid w:val="00F41B1C"/>
    <w:rsid w:val="00F42E13"/>
    <w:rsid w:val="00F42F1C"/>
    <w:rsid w:val="00F43B44"/>
    <w:rsid w:val="00F440E5"/>
    <w:rsid w:val="00F448F6"/>
    <w:rsid w:val="00F52741"/>
    <w:rsid w:val="00F53D8A"/>
    <w:rsid w:val="00F55EAD"/>
    <w:rsid w:val="00F62110"/>
    <w:rsid w:val="00F626F7"/>
    <w:rsid w:val="00F66DD5"/>
    <w:rsid w:val="00F704CE"/>
    <w:rsid w:val="00F736F9"/>
    <w:rsid w:val="00F73833"/>
    <w:rsid w:val="00F87AE2"/>
    <w:rsid w:val="00F9211C"/>
    <w:rsid w:val="00FA095D"/>
    <w:rsid w:val="00FA4DAD"/>
    <w:rsid w:val="00FA6639"/>
    <w:rsid w:val="00FA6C8B"/>
    <w:rsid w:val="00FA6CDA"/>
    <w:rsid w:val="00FA7C89"/>
    <w:rsid w:val="00FB05BE"/>
    <w:rsid w:val="00FB4139"/>
    <w:rsid w:val="00FB476E"/>
    <w:rsid w:val="00FC0D90"/>
    <w:rsid w:val="00FC7C66"/>
    <w:rsid w:val="00FC7D8C"/>
    <w:rsid w:val="00FD3980"/>
    <w:rsid w:val="00FD431E"/>
    <w:rsid w:val="00FD512F"/>
    <w:rsid w:val="00FD5A2C"/>
    <w:rsid w:val="00FE0D47"/>
    <w:rsid w:val="00FE1D5C"/>
    <w:rsid w:val="00FE2F8B"/>
    <w:rsid w:val="00FE3669"/>
    <w:rsid w:val="00FE5204"/>
    <w:rsid w:val="00FE7C0F"/>
    <w:rsid w:val="00FF1C12"/>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1AF1FBD"/>
  <w15:docId w15:val="{E742512E-C4CA-4905-8040-AE238C00A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paragraph" w:styleId="NormalWeb">
    <w:name w:val="Normal (Web)"/>
    <w:basedOn w:val="Normal"/>
    <w:uiPriority w:val="99"/>
    <w:unhideWhenUsed/>
    <w:rsid w:val="004A25E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m4089252408340308237msolistparagraph">
    <w:name w:val="m_4089252408340308237msolistparagraph"/>
    <w:basedOn w:val="Normal"/>
    <w:rsid w:val="004A25E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apple-converted-space">
    <w:name w:val="apple-converted-space"/>
    <w:basedOn w:val="DefaultParagraphFont"/>
    <w:rsid w:val="004A25E4"/>
  </w:style>
  <w:style w:type="character" w:styleId="Strong">
    <w:name w:val="Strong"/>
    <w:basedOn w:val="DefaultParagraphFont"/>
    <w:uiPriority w:val="22"/>
    <w:qFormat/>
    <w:rsid w:val="00724A01"/>
    <w:rPr>
      <w:b/>
      <w:bCs/>
    </w:rPr>
  </w:style>
  <w:style w:type="character" w:styleId="FollowedHyperlink">
    <w:name w:val="FollowedHyperlink"/>
    <w:basedOn w:val="DefaultParagraphFont"/>
    <w:semiHidden/>
    <w:unhideWhenUsed/>
    <w:rsid w:val="00416FE5"/>
    <w:rPr>
      <w:color w:val="800080" w:themeColor="followedHyperlink"/>
      <w:u w:val="single"/>
    </w:rPr>
  </w:style>
  <w:style w:type="paragraph" w:customStyle="1" w:styleId="font8">
    <w:name w:val="font_8"/>
    <w:basedOn w:val="Normal"/>
    <w:rsid w:val="0075646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ListParagraphChar">
    <w:name w:val="List Paragraph Char"/>
    <w:basedOn w:val="DefaultParagraphFont"/>
    <w:link w:val="ListParagraph"/>
    <w:uiPriority w:val="34"/>
    <w:locked/>
    <w:rsid w:val="00756469"/>
    <w:rPr>
      <w:rFonts w:asciiTheme="minorHAnsi" w:hAnsiTheme="minorHAnsi"/>
      <w:sz w:val="24"/>
      <w:lang w:val="en-GB" w:eastAsia="en-US"/>
    </w:rPr>
  </w:style>
  <w:style w:type="table" w:customStyle="1" w:styleId="TableGrid1">
    <w:name w:val="Table Grid1"/>
    <w:basedOn w:val="TableNormal"/>
    <w:next w:val="TableGrid"/>
    <w:uiPriority w:val="59"/>
    <w:rsid w:val="009C7BB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0E52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44593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59"/>
    <w:rsid w:val="00557B8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F1178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semiHidden/>
    <w:unhideWhenUsed/>
    <w:rsid w:val="00705DD6"/>
    <w:rPr>
      <w:sz w:val="16"/>
      <w:szCs w:val="16"/>
    </w:rPr>
  </w:style>
  <w:style w:type="paragraph" w:styleId="CommentText">
    <w:name w:val="annotation text"/>
    <w:basedOn w:val="Normal"/>
    <w:link w:val="CommentTextChar"/>
    <w:semiHidden/>
    <w:unhideWhenUsed/>
    <w:rsid w:val="00705DD6"/>
    <w:rPr>
      <w:sz w:val="20"/>
    </w:rPr>
  </w:style>
  <w:style w:type="character" w:customStyle="1" w:styleId="CommentTextChar">
    <w:name w:val="Comment Text Char"/>
    <w:basedOn w:val="DefaultParagraphFont"/>
    <w:link w:val="CommentText"/>
    <w:semiHidden/>
    <w:rsid w:val="00705DD6"/>
    <w:rPr>
      <w:rFonts w:asciiTheme="minorHAnsi" w:hAnsiTheme="minorHAnsi"/>
      <w:lang w:val="en-GB" w:eastAsia="en-US"/>
    </w:rPr>
  </w:style>
  <w:style w:type="table" w:customStyle="1" w:styleId="TableGrid6">
    <w:name w:val="Table Grid6"/>
    <w:basedOn w:val="TableNormal"/>
    <w:next w:val="TableGrid"/>
    <w:uiPriority w:val="39"/>
    <w:rsid w:val="006711C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normal">
    <w:name w:val="x_msonormal"/>
    <w:basedOn w:val="Normal"/>
    <w:rsid w:val="008F5B7F"/>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sz w:val="22"/>
      <w:szCs w:val="22"/>
      <w:lang w:val="fr-CH" w:eastAsia="zh-CN"/>
    </w:rPr>
  </w:style>
  <w:style w:type="paragraph" w:styleId="CommentSubject">
    <w:name w:val="annotation subject"/>
    <w:basedOn w:val="CommentText"/>
    <w:next w:val="CommentText"/>
    <w:link w:val="CommentSubjectChar"/>
    <w:semiHidden/>
    <w:unhideWhenUsed/>
    <w:rsid w:val="001B7935"/>
    <w:rPr>
      <w:b/>
      <w:bCs/>
    </w:rPr>
  </w:style>
  <w:style w:type="character" w:customStyle="1" w:styleId="CommentSubjectChar">
    <w:name w:val="Comment Subject Char"/>
    <w:basedOn w:val="CommentTextChar"/>
    <w:link w:val="CommentSubject"/>
    <w:semiHidden/>
    <w:rsid w:val="001B7935"/>
    <w:rPr>
      <w:rFonts w:asciiTheme="minorHAnsi" w:hAnsiTheme="minorHAnsi"/>
      <w:b/>
      <w:bCs/>
      <w:lang w:val="en-GB" w:eastAsia="en-US"/>
    </w:rPr>
  </w:style>
  <w:style w:type="paragraph" w:styleId="Revision">
    <w:name w:val="Revision"/>
    <w:hidden/>
    <w:uiPriority w:val="99"/>
    <w:semiHidden/>
    <w:rsid w:val="001B7935"/>
    <w:rPr>
      <w:rFonts w:asciiTheme="minorHAnsi" w:hAnsiTheme="minorHAnsi"/>
      <w:sz w:val="24"/>
      <w:lang w:val="en-GB" w:eastAsia="en-US"/>
    </w:rPr>
  </w:style>
  <w:style w:type="paragraph" w:styleId="BalloonText">
    <w:name w:val="Balloon Text"/>
    <w:basedOn w:val="Normal"/>
    <w:link w:val="BalloonTextChar"/>
    <w:semiHidden/>
    <w:unhideWhenUsed/>
    <w:rsid w:val="001B793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B7935"/>
    <w:rPr>
      <w:rFonts w:ascii="Segoe UI" w:hAnsi="Segoe UI" w:cs="Segoe UI"/>
      <w:sz w:val="18"/>
      <w:szCs w:val="18"/>
      <w:lang w:val="en-GB" w:eastAsia="en-US"/>
    </w:rPr>
  </w:style>
  <w:style w:type="character" w:customStyle="1" w:styleId="normalWSISChar">
    <w:name w:val="normal WSIS Char"/>
    <w:basedOn w:val="DefaultParagraphFont"/>
    <w:link w:val="normalWSIS"/>
    <w:locked/>
    <w:rsid w:val="00051417"/>
    <w:rPr>
      <w:rFonts w:ascii="Calibri" w:eastAsia="SimSun" w:hAnsi="Calibri" w:cs="Arial"/>
    </w:rPr>
  </w:style>
  <w:style w:type="paragraph" w:customStyle="1" w:styleId="normalWSIS">
    <w:name w:val="normal WSIS"/>
    <w:basedOn w:val="ListParagraph"/>
    <w:link w:val="normalWSISChar"/>
    <w:qFormat/>
    <w:rsid w:val="00051417"/>
    <w:pPr>
      <w:numPr>
        <w:numId w:val="18"/>
      </w:numPr>
      <w:tabs>
        <w:tab w:val="clear" w:pos="1134"/>
        <w:tab w:val="clear" w:pos="1871"/>
        <w:tab w:val="clear" w:pos="2268"/>
        <w:tab w:val="left" w:pos="426"/>
      </w:tabs>
      <w:overflowPunct/>
      <w:autoSpaceDE/>
      <w:autoSpaceDN/>
      <w:adjustRightInd/>
      <w:spacing w:after="200"/>
      <w:contextualSpacing w:val="0"/>
      <w:jc w:val="both"/>
      <w:textAlignment w:val="auto"/>
    </w:pPr>
    <w:rPr>
      <w:rFonts w:ascii="Calibri" w:eastAsia="SimSun" w:hAnsi="Calibri" w:cs="Arial"/>
      <w:sz w:val="20"/>
      <w:lang w:val="en-US" w:eastAsia="zh-CN"/>
    </w:rPr>
  </w:style>
  <w:style w:type="paragraph" w:styleId="PlainText">
    <w:name w:val="Plain Text"/>
    <w:basedOn w:val="Normal"/>
    <w:link w:val="PlainTextChar"/>
    <w:uiPriority w:val="99"/>
    <w:unhideWhenUsed/>
    <w:rsid w:val="005B3FA6"/>
    <w:pPr>
      <w:tabs>
        <w:tab w:val="clear" w:pos="794"/>
        <w:tab w:val="clear" w:pos="1191"/>
        <w:tab w:val="clear" w:pos="1588"/>
        <w:tab w:val="clear" w:pos="1985"/>
      </w:tabs>
      <w:overflowPunct/>
      <w:autoSpaceDE/>
      <w:autoSpaceDN/>
      <w:adjustRightInd/>
      <w:spacing w:before="0"/>
      <w:textAlignment w:val="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B3FA6"/>
    <w:rPr>
      <w:rFonts w:ascii="Calibri" w:eastAsiaTheme="minorHAnsi" w:hAnsi="Calibri" w:cstheme="minorBidi"/>
      <w:sz w:val="22"/>
      <w:szCs w:val="21"/>
      <w:lang w:val="en-GB" w:eastAsia="en-US"/>
    </w:rPr>
  </w:style>
  <w:style w:type="character" w:customStyle="1" w:styleId="UnresolvedMention1">
    <w:name w:val="Unresolved Mention1"/>
    <w:basedOn w:val="DefaultParagraphFont"/>
    <w:uiPriority w:val="99"/>
    <w:semiHidden/>
    <w:unhideWhenUsed/>
    <w:rsid w:val="009A6EDD"/>
    <w:rPr>
      <w:color w:val="605E5C"/>
      <w:shd w:val="clear" w:color="auto" w:fill="E1DFDD"/>
    </w:rPr>
  </w:style>
  <w:style w:type="character" w:customStyle="1" w:styleId="UnresolvedMention2">
    <w:name w:val="Unresolved Mention2"/>
    <w:basedOn w:val="DefaultParagraphFont"/>
    <w:uiPriority w:val="99"/>
    <w:semiHidden/>
    <w:unhideWhenUsed/>
    <w:rsid w:val="001E46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718395">
      <w:bodyDiv w:val="1"/>
      <w:marLeft w:val="0"/>
      <w:marRight w:val="0"/>
      <w:marTop w:val="0"/>
      <w:marBottom w:val="0"/>
      <w:divBdr>
        <w:top w:val="none" w:sz="0" w:space="0" w:color="auto"/>
        <w:left w:val="none" w:sz="0" w:space="0" w:color="auto"/>
        <w:bottom w:val="none" w:sz="0" w:space="0" w:color="auto"/>
        <w:right w:val="none" w:sz="0" w:space="0" w:color="auto"/>
      </w:divBdr>
    </w:div>
    <w:div w:id="183906805">
      <w:bodyDiv w:val="1"/>
      <w:marLeft w:val="0"/>
      <w:marRight w:val="0"/>
      <w:marTop w:val="0"/>
      <w:marBottom w:val="0"/>
      <w:divBdr>
        <w:top w:val="none" w:sz="0" w:space="0" w:color="auto"/>
        <w:left w:val="none" w:sz="0" w:space="0" w:color="auto"/>
        <w:bottom w:val="none" w:sz="0" w:space="0" w:color="auto"/>
        <w:right w:val="none" w:sz="0" w:space="0" w:color="auto"/>
      </w:divBdr>
    </w:div>
    <w:div w:id="379717888">
      <w:bodyDiv w:val="1"/>
      <w:marLeft w:val="0"/>
      <w:marRight w:val="0"/>
      <w:marTop w:val="0"/>
      <w:marBottom w:val="0"/>
      <w:divBdr>
        <w:top w:val="none" w:sz="0" w:space="0" w:color="auto"/>
        <w:left w:val="none" w:sz="0" w:space="0" w:color="auto"/>
        <w:bottom w:val="none" w:sz="0" w:space="0" w:color="auto"/>
        <w:right w:val="none" w:sz="0" w:space="0" w:color="auto"/>
      </w:divBdr>
    </w:div>
    <w:div w:id="788933120">
      <w:bodyDiv w:val="1"/>
      <w:marLeft w:val="0"/>
      <w:marRight w:val="0"/>
      <w:marTop w:val="0"/>
      <w:marBottom w:val="0"/>
      <w:divBdr>
        <w:top w:val="none" w:sz="0" w:space="0" w:color="auto"/>
        <w:left w:val="none" w:sz="0" w:space="0" w:color="auto"/>
        <w:bottom w:val="none" w:sz="0" w:space="0" w:color="auto"/>
        <w:right w:val="none" w:sz="0" w:space="0" w:color="auto"/>
      </w:divBdr>
    </w:div>
    <w:div w:id="831683410">
      <w:bodyDiv w:val="1"/>
      <w:marLeft w:val="0"/>
      <w:marRight w:val="0"/>
      <w:marTop w:val="0"/>
      <w:marBottom w:val="0"/>
      <w:divBdr>
        <w:top w:val="none" w:sz="0" w:space="0" w:color="auto"/>
        <w:left w:val="none" w:sz="0" w:space="0" w:color="auto"/>
        <w:bottom w:val="none" w:sz="0" w:space="0" w:color="auto"/>
        <w:right w:val="none" w:sz="0" w:space="0" w:color="auto"/>
      </w:divBdr>
    </w:div>
    <w:div w:id="914895907">
      <w:bodyDiv w:val="1"/>
      <w:marLeft w:val="0"/>
      <w:marRight w:val="0"/>
      <w:marTop w:val="0"/>
      <w:marBottom w:val="0"/>
      <w:divBdr>
        <w:top w:val="none" w:sz="0" w:space="0" w:color="auto"/>
        <w:left w:val="none" w:sz="0" w:space="0" w:color="auto"/>
        <w:bottom w:val="none" w:sz="0" w:space="0" w:color="auto"/>
        <w:right w:val="none" w:sz="0" w:space="0" w:color="auto"/>
      </w:divBdr>
    </w:div>
    <w:div w:id="960644529">
      <w:bodyDiv w:val="1"/>
      <w:marLeft w:val="0"/>
      <w:marRight w:val="0"/>
      <w:marTop w:val="0"/>
      <w:marBottom w:val="0"/>
      <w:divBdr>
        <w:top w:val="none" w:sz="0" w:space="0" w:color="auto"/>
        <w:left w:val="none" w:sz="0" w:space="0" w:color="auto"/>
        <w:bottom w:val="none" w:sz="0" w:space="0" w:color="auto"/>
        <w:right w:val="none" w:sz="0" w:space="0" w:color="auto"/>
      </w:divBdr>
    </w:div>
    <w:div w:id="1023364727">
      <w:bodyDiv w:val="1"/>
      <w:marLeft w:val="0"/>
      <w:marRight w:val="0"/>
      <w:marTop w:val="0"/>
      <w:marBottom w:val="0"/>
      <w:divBdr>
        <w:top w:val="none" w:sz="0" w:space="0" w:color="auto"/>
        <w:left w:val="none" w:sz="0" w:space="0" w:color="auto"/>
        <w:bottom w:val="none" w:sz="0" w:space="0" w:color="auto"/>
        <w:right w:val="none" w:sz="0" w:space="0" w:color="auto"/>
      </w:divBdr>
    </w:div>
    <w:div w:id="1186097561">
      <w:bodyDiv w:val="1"/>
      <w:marLeft w:val="0"/>
      <w:marRight w:val="0"/>
      <w:marTop w:val="0"/>
      <w:marBottom w:val="0"/>
      <w:divBdr>
        <w:top w:val="none" w:sz="0" w:space="0" w:color="auto"/>
        <w:left w:val="none" w:sz="0" w:space="0" w:color="auto"/>
        <w:bottom w:val="none" w:sz="0" w:space="0" w:color="auto"/>
        <w:right w:val="none" w:sz="0" w:space="0" w:color="auto"/>
      </w:divBdr>
    </w:div>
    <w:div w:id="1316957812">
      <w:bodyDiv w:val="1"/>
      <w:marLeft w:val="0"/>
      <w:marRight w:val="0"/>
      <w:marTop w:val="0"/>
      <w:marBottom w:val="0"/>
      <w:divBdr>
        <w:top w:val="none" w:sz="0" w:space="0" w:color="auto"/>
        <w:left w:val="none" w:sz="0" w:space="0" w:color="auto"/>
        <w:bottom w:val="none" w:sz="0" w:space="0" w:color="auto"/>
        <w:right w:val="none" w:sz="0" w:space="0" w:color="auto"/>
      </w:divBdr>
    </w:div>
    <w:div w:id="1411192331">
      <w:bodyDiv w:val="1"/>
      <w:marLeft w:val="0"/>
      <w:marRight w:val="0"/>
      <w:marTop w:val="0"/>
      <w:marBottom w:val="0"/>
      <w:divBdr>
        <w:top w:val="none" w:sz="0" w:space="0" w:color="auto"/>
        <w:left w:val="none" w:sz="0" w:space="0" w:color="auto"/>
        <w:bottom w:val="none" w:sz="0" w:space="0" w:color="auto"/>
        <w:right w:val="none" w:sz="0" w:space="0" w:color="auto"/>
      </w:divBdr>
    </w:div>
    <w:div w:id="1481844418">
      <w:bodyDiv w:val="1"/>
      <w:marLeft w:val="0"/>
      <w:marRight w:val="0"/>
      <w:marTop w:val="0"/>
      <w:marBottom w:val="0"/>
      <w:divBdr>
        <w:top w:val="none" w:sz="0" w:space="0" w:color="auto"/>
        <w:left w:val="none" w:sz="0" w:space="0" w:color="auto"/>
        <w:bottom w:val="none" w:sz="0" w:space="0" w:color="auto"/>
        <w:right w:val="none" w:sz="0" w:space="0" w:color="auto"/>
      </w:divBdr>
    </w:div>
    <w:div w:id="1616643278">
      <w:bodyDiv w:val="1"/>
      <w:marLeft w:val="0"/>
      <w:marRight w:val="0"/>
      <w:marTop w:val="0"/>
      <w:marBottom w:val="0"/>
      <w:divBdr>
        <w:top w:val="none" w:sz="0" w:space="0" w:color="auto"/>
        <w:left w:val="none" w:sz="0" w:space="0" w:color="auto"/>
        <w:bottom w:val="none" w:sz="0" w:space="0" w:color="auto"/>
        <w:right w:val="none" w:sz="0" w:space="0" w:color="auto"/>
      </w:divBdr>
    </w:div>
    <w:div w:id="1648901408">
      <w:bodyDiv w:val="1"/>
      <w:marLeft w:val="0"/>
      <w:marRight w:val="0"/>
      <w:marTop w:val="0"/>
      <w:marBottom w:val="0"/>
      <w:divBdr>
        <w:top w:val="none" w:sz="0" w:space="0" w:color="auto"/>
        <w:left w:val="none" w:sz="0" w:space="0" w:color="auto"/>
        <w:bottom w:val="none" w:sz="0" w:space="0" w:color="auto"/>
        <w:right w:val="none" w:sz="0" w:space="0" w:color="auto"/>
      </w:divBdr>
    </w:div>
    <w:div w:id="1698697944">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200882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en/ITU-D/Digital-Inclusion/Indigenous-Peoples/Pages/default.aspx" TargetMode="External"/><Relationship Id="rId21" Type="http://schemas.openxmlformats.org/officeDocument/2006/relationships/hyperlink" Target="https://www.itu.int/en/ITU-D/Digital-Inclusion/Women-and-Girls/Girls-in-ICT-Portal/Pages/Portal.aspx" TargetMode="External"/><Relationship Id="rId42" Type="http://schemas.openxmlformats.org/officeDocument/2006/relationships/hyperlink" Target="https://news.itu.int/leaving-no-one-behind-nigers-smart-villages-project/" TargetMode="External"/><Relationship Id="rId47" Type="http://schemas.openxmlformats.org/officeDocument/2006/relationships/hyperlink" Target="https://www.itu.int/en/ITU-D/Study-Groups/2018-2021/Pages/meetings/session-Q2-2-oct19.aspx" TargetMode="External"/><Relationship Id="rId63" Type="http://schemas.openxmlformats.org/officeDocument/2006/relationships/hyperlink" Target="https://www.itu.int/en/ITU-D/bdt-director/Pages/News.aspx?ItemID=205" TargetMode="External"/><Relationship Id="rId68" Type="http://schemas.openxmlformats.org/officeDocument/2006/relationships/hyperlink" Target="https://www.itu.int/en/ITU-D/Study-Groups/2018-2021/Pages/meetings/tutorial_AI_oct19.aspx" TargetMode="External"/><Relationship Id="rId84" Type="http://schemas.openxmlformats.org/officeDocument/2006/relationships/hyperlink" Target="https://www.itu.int/en/ITU-D/Statistics/Pages/events/egh2019/default.aspx" TargetMode="External"/><Relationship Id="rId89" Type="http://schemas.openxmlformats.org/officeDocument/2006/relationships/header" Target="header1.xml"/><Relationship Id="rId16" Type="http://schemas.openxmlformats.org/officeDocument/2006/relationships/hyperlink" Target="https://www.itu.int/en/council/cwg-cop/Pages/default.aspx" TargetMode="External"/><Relationship Id="rId11" Type="http://schemas.openxmlformats.org/officeDocument/2006/relationships/hyperlink" Target="https://academy.itu.int/" TargetMode="External"/><Relationship Id="rId32" Type="http://schemas.openxmlformats.org/officeDocument/2006/relationships/hyperlink" Target="https://academy.itu.int/" TargetMode="External"/><Relationship Id="rId37" Type="http://schemas.openxmlformats.org/officeDocument/2006/relationships/hyperlink" Target="https://www.itu.int/en/ITU-D/Regional-Presence/Americas/Documents/EVENTS/2019/24013/Practical%20Information%20Innovacion%20Uy2019_En.pdf" TargetMode="External"/><Relationship Id="rId53" Type="http://schemas.openxmlformats.org/officeDocument/2006/relationships/hyperlink" Target="https://www.itu.int/en/ITU-D/Study-Groups/2018-2021/Pages/meetings/session-Q5-2-oct19.aspx" TargetMode="External"/><Relationship Id="rId58" Type="http://schemas.openxmlformats.org/officeDocument/2006/relationships/hyperlink" Target="https://itu.int/go/businessplan_toolkit" TargetMode="External"/><Relationship Id="rId74" Type="http://schemas.openxmlformats.org/officeDocument/2006/relationships/hyperlink" Target="https://www.itu.int/pub/D-PREF-EF.BDT_AP-2019" TargetMode="External"/><Relationship Id="rId79" Type="http://schemas.openxmlformats.org/officeDocument/2006/relationships/hyperlink" Target="https://www.itu.int/net4/ITU-D/CDS/sg/rgqlist.asp?lg=1&amp;sp=2018&amp;rgq=D18-SG01-RGQ03.1&amp;stg=1" TargetMode="External"/><Relationship Id="rId5" Type="http://schemas.openxmlformats.org/officeDocument/2006/relationships/webSettings" Target="webSettings.xml"/><Relationship Id="rId90" Type="http://schemas.openxmlformats.org/officeDocument/2006/relationships/footer" Target="footer1.xml"/><Relationship Id="rId14" Type="http://schemas.openxmlformats.org/officeDocument/2006/relationships/hyperlink" Target="https://www.itu.int/en/ITU-D/Digital-Inclusion/Youth-and-Children/Pages/Digital-Skills.aspx" TargetMode="External"/><Relationship Id="rId22" Type="http://schemas.openxmlformats.org/officeDocument/2006/relationships/hyperlink" Target="https://www.itu.int/en/ITU-D/Regional-Presence/Africa/Pages/African-Girls-Can-Code.aspx" TargetMode="External"/><Relationship Id="rId27" Type="http://schemas.openxmlformats.org/officeDocument/2006/relationships/hyperlink" Target="https://www.itu.int/en/ITU-D/Regional-Presence/ArabStates/Pages/Events/2019/DIW/DIW.aspx" TargetMode="External"/><Relationship Id="rId30" Type="http://schemas.openxmlformats.org/officeDocument/2006/relationships/hyperlink" Target="https://academy.itu.int/training-courses/full-catalogue/self-paced-online-training-ict-accessibility-consisting-3-modules-and-concluding-itu-certification-0" TargetMode="External"/><Relationship Id="rId35" Type="http://schemas.openxmlformats.org/officeDocument/2006/relationships/hyperlink" Target="https://www.itu.int/net4/wsis/forum/2019/Agenda?search=Innovation%20Track" TargetMode="External"/><Relationship Id="rId43" Type="http://schemas.openxmlformats.org/officeDocument/2006/relationships/hyperlink" Target="https://www.youtube.com/watch?v=0uYKKJg00eo" TargetMode="External"/><Relationship Id="rId48" Type="http://schemas.openxmlformats.org/officeDocument/2006/relationships/hyperlink" Target="https://www.itu.int/en/ITU-D/Emergency-Telecommunications/Pages/Publications/Guidelines-for-NETPs.aspx" TargetMode="External"/><Relationship Id="rId56" Type="http://schemas.openxmlformats.org/officeDocument/2006/relationships/hyperlink" Target="https://www.itu.int/en/ITU-D/Study-Groups/2018-2021/Pages/meetings/session-Q6-2-oct19.aspx" TargetMode="External"/><Relationship Id="rId64" Type="http://schemas.openxmlformats.org/officeDocument/2006/relationships/hyperlink" Target="https://www.itu.int/oth/D0717000001/" TargetMode="External"/><Relationship Id="rId69" Type="http://schemas.openxmlformats.org/officeDocument/2006/relationships/hyperlink" Target="https://www.itu.int/en/ITU-D/Study-Groups/2018-2021/Pages/meetings/tutorial_AI_oct19.aspx" TargetMode="External"/><Relationship Id="rId77" Type="http://schemas.openxmlformats.org/officeDocument/2006/relationships/hyperlink" Target="https://www.itu.int/en/ITU-D/Conferences/GSR/2019/Documents/G5Benchmark_one-pager.pdf" TargetMode="External"/><Relationship Id="rId8" Type="http://schemas.openxmlformats.org/officeDocument/2006/relationships/image" Target="media/image1.jpeg"/><Relationship Id="rId51" Type="http://schemas.openxmlformats.org/officeDocument/2006/relationships/hyperlink" Target="https://www.itu.int/en/ITU-D/Emergency-Telecommunications/Pages/Events/2019/GET-2019/default.aspx" TargetMode="External"/><Relationship Id="rId72" Type="http://schemas.openxmlformats.org/officeDocument/2006/relationships/hyperlink" Target="https://www.itu.int/pub/D-PREF-EF.BDT_AFR-2019" TargetMode="External"/><Relationship Id="rId80" Type="http://schemas.openxmlformats.org/officeDocument/2006/relationships/hyperlink" Target="https://www.itu.int/net4/ITU-D/CDS/sg/rgqlist.asp?lg=1&amp;sp=2018&amp;rgq=D18-SG01-RGQ04.1&amp;stg=1" TargetMode="External"/><Relationship Id="rId85" Type="http://schemas.openxmlformats.org/officeDocument/2006/relationships/hyperlink" Target="https://www.itu.int/en/ITU-D/Study-Groups/2018-2021/Pages/OngoingWork.aspx" TargetMode="External"/><Relationship Id="rId3" Type="http://schemas.openxmlformats.org/officeDocument/2006/relationships/styles" Target="styles.xml"/><Relationship Id="rId12" Type="http://schemas.openxmlformats.org/officeDocument/2006/relationships/hyperlink" Target="https://www.itu.int/en/ITU-D/Capacity-Building/Pages/events/2019/academia2019.aspx" TargetMode="External"/><Relationship Id="rId17" Type="http://schemas.openxmlformats.org/officeDocument/2006/relationships/hyperlink" Target="https://www.broadbandcommission.org/Documents/working-groups/ChildOnlineSafety_Declaration.pdf" TargetMode="External"/><Relationship Id="rId25" Type="http://schemas.openxmlformats.org/officeDocument/2006/relationships/hyperlink" Target="https://www.itu.int/en/ITU-D/Digital-Inclusion/Pages/Digital_Inclusion_Resources/Strategies%2c%20policies%2c%20toolkits/Toolkit_safe_listening_devices/safe_listening.aspx" TargetMode="External"/><Relationship Id="rId33" Type="http://schemas.openxmlformats.org/officeDocument/2006/relationships/hyperlink" Target="https://www.itu.int/en/ITU-D/Innovation/Pages/Innovation-Ecosystem-Program-.aspx" TargetMode="External"/><Relationship Id="rId38" Type="http://schemas.openxmlformats.org/officeDocument/2006/relationships/hyperlink" Target="https://www.itu.int/net4/ITU-D/CDS/sg/rgqlist.asp?lg=1&amp;sp=2018&amp;rgq=D18-SG02-RGQ01.2&amp;stg=2" TargetMode="External"/><Relationship Id="rId46" Type="http://schemas.openxmlformats.org/officeDocument/2006/relationships/hyperlink" Target="https://www.itu.int/oth/D0717000002/" TargetMode="External"/><Relationship Id="rId59" Type="http://schemas.openxmlformats.org/officeDocument/2006/relationships/hyperlink" Target="https://www.itu.int/en/ITU-D/Regional-Presence/Europe/Documents/Events/2019/Workshop%20Kyiv/Aminata%20Garba%203%20Last%20Mile%20Connectivity%20Kiev.pdf" TargetMode="External"/><Relationship Id="rId67" Type="http://schemas.openxmlformats.org/officeDocument/2006/relationships/hyperlink" Target="https://www.itu.int/en/ITU-D/Study-Groups/2018-2021/Pages/meetings/session-Q4-2-oct19.aspx" TargetMode="External"/><Relationship Id="rId20" Type="http://schemas.openxmlformats.org/officeDocument/2006/relationships/hyperlink" Target="https://www.itu.int/en/ITU-D/Digital-Inclusion/Persons-with-Disabilities/Pages/Internet-for-%40ll.aspx" TargetMode="External"/><Relationship Id="rId41" Type="http://schemas.openxmlformats.org/officeDocument/2006/relationships/hyperlink" Target="https://www.itu.int/en/ITU-D/ICT-Applications/Pages/EU-mhealth-hub.aspx" TargetMode="External"/><Relationship Id="rId54" Type="http://schemas.openxmlformats.org/officeDocument/2006/relationships/hyperlink" Target="https://globalewaste.org/publications/" TargetMode="External"/><Relationship Id="rId62" Type="http://schemas.openxmlformats.org/officeDocument/2006/relationships/hyperlink" Target="https://www.itu.int/md/D18-TDAG25-INF-0003/" TargetMode="External"/><Relationship Id="rId70" Type="http://schemas.openxmlformats.org/officeDocument/2006/relationships/hyperlink" Target="http://www.itu.int/gsr19" TargetMode="External"/><Relationship Id="rId75" Type="http://schemas.openxmlformats.org/officeDocument/2006/relationships/hyperlink" Target="https://broadbandcommission.org/Documents/working-groups/DigitalMoonshotforAfrica_Report.pdf" TargetMode="External"/><Relationship Id="rId83" Type="http://schemas.openxmlformats.org/officeDocument/2006/relationships/hyperlink" Target="https://www.itu.int/en/ITU-D/Statistics/Pages/events/egti2019/default.aspx" TargetMode="External"/><Relationship Id="rId88" Type="http://schemas.openxmlformats.org/officeDocument/2006/relationships/hyperlink" Target="https://www.itu.int/md/D18-TDAG25-C-0013/"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en/cop/Pages/guidelines.aspx" TargetMode="External"/><Relationship Id="rId23" Type="http://schemas.openxmlformats.org/officeDocument/2006/relationships/hyperlink" Target="https://www.youtube.com/watch?v=gkYUlpgasoo" TargetMode="External"/><Relationship Id="rId28" Type="http://schemas.openxmlformats.org/officeDocument/2006/relationships/hyperlink" Target="https://www.itu.int/en/ITU-D/Regional-Presence/Europe/Pages/Events/2019/IF/Innovative-Digital-Solutions-for-an-Accessible-Europe-Fostering-Growth-for-Start-ups.aspx" TargetMode="External"/><Relationship Id="rId36" Type="http://schemas.openxmlformats.org/officeDocument/2006/relationships/hyperlink" Target="https://www.itu.int/en/ITU-D/Innovation/Documents/Publications/Kenya%20Country%20Review%20-%20ICT%20centric%20Innovation%202019.pdf" TargetMode="External"/><Relationship Id="rId49" Type="http://schemas.openxmlformats.org/officeDocument/2006/relationships/hyperlink" Target="https://www.itu.int/en/ITU-D/Emergency-Telecommunications/Documents/2019/Special%20Session/CCC.pdf" TargetMode="External"/><Relationship Id="rId57" Type="http://schemas.openxmlformats.org/officeDocument/2006/relationships/hyperlink" Target="https://itu.int/map-public" TargetMode="External"/><Relationship Id="rId10" Type="http://schemas.openxmlformats.org/officeDocument/2006/relationships/hyperlink" Target="https://www.itu.int/en/ITU-D/Conferences/WTDC/WTDC17/Documents/WTDC17_final_report_en.pdf" TargetMode="External"/><Relationship Id="rId31" Type="http://schemas.openxmlformats.org/officeDocument/2006/relationships/hyperlink" Target="https://academy.itu.int/training-courses/full-catalogue/web-accessibility-cornerstone-inclusive-digital-society" TargetMode="External"/><Relationship Id="rId44" Type="http://schemas.openxmlformats.org/officeDocument/2006/relationships/hyperlink" Target="https://www.itu.int/pub/D-STR-DIGITAL.02-2019" TargetMode="External"/><Relationship Id="rId52" Type="http://schemas.openxmlformats.org/officeDocument/2006/relationships/hyperlink" Target="https://www.itu.int/en/ITU-D/Regional-Presence/Americas/Pages/ACTVTS/PRJ/AMS-PRJ.aspx" TargetMode="External"/><Relationship Id="rId60" Type="http://schemas.openxmlformats.org/officeDocument/2006/relationships/hyperlink" Target="https://www.itu.int/en/ITU-D/Initiatives/GIGA/Pages/default.aspx" TargetMode="External"/><Relationship Id="rId65" Type="http://schemas.openxmlformats.org/officeDocument/2006/relationships/hyperlink" Target="https://www.itu.int/en/ITU-D/Study-Groups/2018-2021/Pages/meetings/session-Q5-1-sept19.aspx" TargetMode="External"/><Relationship Id="rId73" Type="http://schemas.openxmlformats.org/officeDocument/2006/relationships/hyperlink" Target="https://www.itu.int/pub/D-PREF-EF.BDT_AM" TargetMode="External"/><Relationship Id="rId78" Type="http://schemas.openxmlformats.org/officeDocument/2006/relationships/hyperlink" Target="https://ec.europa.eu/digital-single-market/en/news/new-africa-europe-digital-economy-partnership-report-eu-au-digital-economy-task-force" TargetMode="External"/><Relationship Id="rId81" Type="http://schemas.openxmlformats.org/officeDocument/2006/relationships/hyperlink" Target="https://www.itu.int/en/ITU-D/Study-Groups/2018-2021/Pages/meetings/joint-session-Q3-1-Q4-1_oct19.aspx" TargetMode="External"/><Relationship Id="rId86" Type="http://schemas.openxmlformats.org/officeDocument/2006/relationships/hyperlink" Target="https://www.itu.int/en/ITU-D/Study-Groups/2018-2021/Pages/OngoingWork.aspx" TargetMode="External"/><Relationship Id="rId4" Type="http://schemas.openxmlformats.org/officeDocument/2006/relationships/settings" Target="settings.xml"/><Relationship Id="rId9" Type="http://schemas.openxmlformats.org/officeDocument/2006/relationships/hyperlink" Target="https://www.itu.int/en/ITU-D/Conferences/WTDC/WTDC17/Documents/WTDC17_final_report_en.pdf" TargetMode="External"/><Relationship Id="rId13" Type="http://schemas.openxmlformats.org/officeDocument/2006/relationships/hyperlink" Target="https://academy.itu.int/digital-skills-insights-2019" TargetMode="External"/><Relationship Id="rId18" Type="http://schemas.openxmlformats.org/officeDocument/2006/relationships/hyperlink" Target="https://www.itu.int/net4/ITU-D/CDS/projects/display.asp?ProjectNo=9RAS18061" TargetMode="External"/><Relationship Id="rId39" Type="http://schemas.openxmlformats.org/officeDocument/2006/relationships/hyperlink" Target="https://www.itu.int/en/ITU-D/ICT-Applications/eHEALTH/Be_healthy/Pages/FAQ-01.aspx" TargetMode="External"/><Relationship Id="rId34" Type="http://schemas.openxmlformats.org/officeDocument/2006/relationships/hyperlink" Target="https://inputprogram.com/" TargetMode="External"/><Relationship Id="rId50" Type="http://schemas.openxmlformats.org/officeDocument/2006/relationships/hyperlink" Target="https://news.itu.int/why-itu-is-joining-the-crisis-connectivity-charter-doreen-bogdan-martin/" TargetMode="External"/><Relationship Id="rId55" Type="http://schemas.openxmlformats.org/officeDocument/2006/relationships/hyperlink" Target="https://www.itu.int/en/ITU-D/Climate-Change/Pages/ewaste/E-waste-Coalition.aspx" TargetMode="External"/><Relationship Id="rId76" Type="http://schemas.openxmlformats.org/officeDocument/2006/relationships/hyperlink" Target="https://www.itu.int/net4/itu-d/irt/" TargetMode="External"/><Relationship Id="rId7" Type="http://schemas.openxmlformats.org/officeDocument/2006/relationships/endnotes" Target="endnotes.xml"/><Relationship Id="rId71" Type="http://schemas.openxmlformats.org/officeDocument/2006/relationships/hyperlink" Target="https://www.itu.int/pub/D-PREF-EF.BDR-2018" TargetMode="External"/><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www.itu.int/net4/ITU-D/CDS/sg/blkmeetings.asp?lg=1&amp;sp=2018&amp;blk=21834" TargetMode="External"/><Relationship Id="rId24" Type="http://schemas.openxmlformats.org/officeDocument/2006/relationships/hyperlink" Target="https://www.equals.org/awards" TargetMode="External"/><Relationship Id="rId40" Type="http://schemas.openxmlformats.org/officeDocument/2006/relationships/hyperlink" Target="https://www.itu.int/dms_pub/itu-d/opb/str/D-STR-E_HEALTH.14-2019-PDF-E.pdf" TargetMode="External"/><Relationship Id="rId45" Type="http://schemas.openxmlformats.org/officeDocument/2006/relationships/hyperlink" Target="https://www.itu.int/net4/ITU-D/CDS/sg/rgqlist.asp?lg=1&amp;sp=2018&amp;rgq=D18-SG02-RGQ01.2&amp;stg=2" TargetMode="External"/><Relationship Id="rId66" Type="http://schemas.openxmlformats.org/officeDocument/2006/relationships/hyperlink" Target="https://www.itu.int/en/ITU-D/Study-Groups/2018-2021/Pages/meetings/session-Q1-1-sept19.aspx" TargetMode="External"/><Relationship Id="rId87" Type="http://schemas.openxmlformats.org/officeDocument/2006/relationships/hyperlink" Target="https://www.itu.int/md/D18-TDAG25-C-0012/" TargetMode="External"/><Relationship Id="rId61" Type="http://schemas.openxmlformats.org/officeDocument/2006/relationships/hyperlink" Target="https://www.youtube.com/watch?v=6NYLHZqeEvo" TargetMode="External"/><Relationship Id="rId82" Type="http://schemas.openxmlformats.org/officeDocument/2006/relationships/hyperlink" Target="https://www.itu.int/en/ITU-D/Statistics/Pages/facts/default.aspx" TargetMode="External"/><Relationship Id="rId19" Type="http://schemas.openxmlformats.org/officeDocument/2006/relationships/hyperlink" Target="https://www.itu.int/en/ITU-D/Cybersecurity/Pages/cybersecurity-national-strategies.aspx"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bdtdir@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qua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97815-7573-4440-A03F-7C9D8DCB8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12172</Words>
  <Characters>79227</Characters>
  <Application>Microsoft Office Word</Application>
  <DocSecurity>0</DocSecurity>
  <Lines>660</Lines>
  <Paragraphs>182</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91217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BDT-mcb</dc:creator>
  <cp:lastModifiedBy>BDT</cp:lastModifiedBy>
  <cp:revision>5</cp:revision>
  <cp:lastPrinted>2020-02-03T15:15:00Z</cp:lastPrinted>
  <dcterms:created xsi:type="dcterms:W3CDTF">2020-02-21T14:00:00Z</dcterms:created>
  <dcterms:modified xsi:type="dcterms:W3CDTF">2020-03-02T13:16:00Z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