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37A84" w14:paraId="12F924A5" w14:textId="77777777" w:rsidTr="006D7E3A">
        <w:trPr>
          <w:cantSplit/>
          <w:trHeight w:val="1134"/>
        </w:trPr>
        <w:tc>
          <w:tcPr>
            <w:tcW w:w="7251" w:type="dxa"/>
          </w:tcPr>
          <w:p w14:paraId="3ABE5B6C" w14:textId="77777777" w:rsidR="0021438F" w:rsidRPr="00A37A84" w:rsidRDefault="0021438F" w:rsidP="00672B67">
            <w:pPr>
              <w:tabs>
                <w:tab w:val="left" w:pos="1871"/>
                <w:tab w:val="left" w:pos="2268"/>
              </w:tabs>
              <w:spacing w:before="20" w:after="48"/>
              <w:ind w:left="34"/>
              <w:rPr>
                <w:b/>
                <w:bCs/>
                <w:sz w:val="32"/>
                <w:szCs w:val="32"/>
                <w:lang w:val="fr-FR"/>
              </w:rPr>
            </w:pPr>
            <w:r w:rsidRPr="00A37A84">
              <w:rPr>
                <w:b/>
                <w:sz w:val="32"/>
                <w:szCs w:val="32"/>
                <w:lang w:val="fr-FR"/>
              </w:rPr>
              <w:t>Groupe</w:t>
            </w:r>
            <w:r w:rsidRPr="00A37A84">
              <w:rPr>
                <w:b/>
                <w:bCs/>
                <w:sz w:val="32"/>
                <w:szCs w:val="32"/>
                <w:lang w:val="fr-FR"/>
              </w:rPr>
              <w:t xml:space="preserve"> consultatif pour le développement </w:t>
            </w:r>
            <w:r w:rsidRPr="00A37A84">
              <w:rPr>
                <w:b/>
                <w:bCs/>
                <w:sz w:val="32"/>
                <w:szCs w:val="32"/>
                <w:lang w:val="fr-FR"/>
              </w:rPr>
              <w:br/>
              <w:t>des télécommunications (GCDT)</w:t>
            </w:r>
          </w:p>
          <w:p w14:paraId="33C62483" w14:textId="77777777" w:rsidR="0021438F" w:rsidRPr="00A37A84" w:rsidRDefault="00D87E6C" w:rsidP="00672B67">
            <w:pPr>
              <w:tabs>
                <w:tab w:val="clear" w:pos="1191"/>
                <w:tab w:val="clear" w:pos="1588"/>
                <w:tab w:val="clear" w:pos="1985"/>
              </w:tabs>
              <w:spacing w:before="100" w:after="120"/>
              <w:ind w:left="34"/>
              <w:rPr>
                <w:rFonts w:ascii="Verdana" w:hAnsi="Verdana"/>
                <w:sz w:val="28"/>
                <w:szCs w:val="28"/>
                <w:lang w:val="fr-FR"/>
              </w:rPr>
            </w:pPr>
            <w:r w:rsidRPr="00A37A84">
              <w:rPr>
                <w:b/>
                <w:bCs/>
                <w:sz w:val="26"/>
                <w:szCs w:val="26"/>
                <w:lang w:val="fr-FR"/>
              </w:rPr>
              <w:t>2</w:t>
            </w:r>
            <w:r w:rsidR="002577C1" w:rsidRPr="00A37A84">
              <w:rPr>
                <w:b/>
                <w:bCs/>
                <w:sz w:val="26"/>
                <w:szCs w:val="26"/>
                <w:lang w:val="fr-FR"/>
              </w:rPr>
              <w:t>5</w:t>
            </w:r>
            <w:r w:rsidRPr="00A37A84">
              <w:rPr>
                <w:b/>
                <w:bCs/>
                <w:sz w:val="26"/>
                <w:szCs w:val="26"/>
                <w:lang w:val="fr-FR"/>
              </w:rPr>
              <w:t xml:space="preserve">ème réunion, Genève, </w:t>
            </w:r>
            <w:r w:rsidR="002577C1" w:rsidRPr="00A37A84">
              <w:rPr>
                <w:b/>
                <w:bCs/>
                <w:sz w:val="26"/>
                <w:szCs w:val="26"/>
                <w:lang w:val="fr-FR"/>
              </w:rPr>
              <w:t>24</w:t>
            </w:r>
            <w:r w:rsidRPr="00A37A84">
              <w:rPr>
                <w:b/>
                <w:bCs/>
                <w:sz w:val="26"/>
                <w:szCs w:val="26"/>
                <w:lang w:val="fr-FR"/>
              </w:rPr>
              <w:t>-</w:t>
            </w:r>
            <w:r w:rsidR="002577C1" w:rsidRPr="00A37A84">
              <w:rPr>
                <w:b/>
                <w:bCs/>
                <w:sz w:val="26"/>
                <w:szCs w:val="26"/>
                <w:lang w:val="fr-FR"/>
              </w:rPr>
              <w:t>27</w:t>
            </w:r>
            <w:r w:rsidRPr="00A37A84">
              <w:rPr>
                <w:b/>
                <w:bCs/>
                <w:sz w:val="26"/>
                <w:szCs w:val="26"/>
                <w:lang w:val="fr-FR"/>
              </w:rPr>
              <w:t xml:space="preserve"> </w:t>
            </w:r>
            <w:r w:rsidR="002577C1" w:rsidRPr="00A37A84">
              <w:rPr>
                <w:b/>
                <w:bCs/>
                <w:sz w:val="26"/>
                <w:szCs w:val="26"/>
                <w:lang w:val="fr-FR"/>
              </w:rPr>
              <w:t>mars</w:t>
            </w:r>
            <w:r w:rsidRPr="00A37A84">
              <w:rPr>
                <w:b/>
                <w:bCs/>
                <w:sz w:val="26"/>
                <w:szCs w:val="26"/>
                <w:lang w:val="fr-FR"/>
              </w:rPr>
              <w:t xml:space="preserve"> 20</w:t>
            </w:r>
            <w:r w:rsidR="00EB44C7" w:rsidRPr="00A37A84">
              <w:rPr>
                <w:b/>
                <w:bCs/>
                <w:sz w:val="26"/>
                <w:szCs w:val="26"/>
                <w:lang w:val="fr-FR"/>
              </w:rPr>
              <w:t>20</w:t>
            </w:r>
          </w:p>
        </w:tc>
        <w:tc>
          <w:tcPr>
            <w:tcW w:w="2996" w:type="dxa"/>
          </w:tcPr>
          <w:p w14:paraId="53738D1B" w14:textId="77777777" w:rsidR="0021438F" w:rsidRPr="00A37A84" w:rsidRDefault="00D87E6C" w:rsidP="00672B67">
            <w:pPr>
              <w:spacing w:before="0"/>
              <w:ind w:right="142"/>
              <w:jc w:val="right"/>
              <w:rPr>
                <w:lang w:val="fr-FR"/>
              </w:rPr>
            </w:pPr>
            <w:r w:rsidRPr="00A37A84">
              <w:rPr>
                <w:noProof/>
                <w:color w:val="3399FF"/>
                <w:lang w:val="fr-FR" w:eastAsia="en-GB"/>
              </w:rPr>
              <w:drawing>
                <wp:inline distT="0" distB="0" distL="0" distR="0" wp14:anchorId="7A9FCF38" wp14:editId="5FDD7DF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A37A84" w14:paraId="67A79523" w14:textId="77777777" w:rsidTr="000C61E9">
        <w:trPr>
          <w:cantSplit/>
        </w:trPr>
        <w:tc>
          <w:tcPr>
            <w:tcW w:w="7251" w:type="dxa"/>
            <w:tcBorders>
              <w:top w:val="single" w:sz="12" w:space="0" w:color="auto"/>
            </w:tcBorders>
          </w:tcPr>
          <w:p w14:paraId="7AFF8DA1" w14:textId="77777777" w:rsidR="00683C32" w:rsidRPr="00A37A84" w:rsidRDefault="00683C32" w:rsidP="00672B67">
            <w:pPr>
              <w:spacing w:before="0"/>
              <w:rPr>
                <w:rFonts w:cs="Arial"/>
                <w:b/>
                <w:bCs/>
                <w:sz w:val="20"/>
                <w:lang w:val="fr-FR"/>
              </w:rPr>
            </w:pPr>
          </w:p>
        </w:tc>
        <w:tc>
          <w:tcPr>
            <w:tcW w:w="2996" w:type="dxa"/>
            <w:tcBorders>
              <w:top w:val="single" w:sz="12" w:space="0" w:color="auto"/>
            </w:tcBorders>
          </w:tcPr>
          <w:p w14:paraId="38E94277" w14:textId="77777777" w:rsidR="00683C32" w:rsidRPr="00A37A84" w:rsidRDefault="00683C32" w:rsidP="00672B67">
            <w:pPr>
              <w:spacing w:before="0"/>
              <w:rPr>
                <w:b/>
                <w:bCs/>
                <w:sz w:val="20"/>
                <w:lang w:val="fr-FR"/>
              </w:rPr>
            </w:pPr>
          </w:p>
        </w:tc>
      </w:tr>
      <w:tr w:rsidR="00683C32" w:rsidRPr="00A37A84" w14:paraId="1D144305" w14:textId="77777777" w:rsidTr="000C61E9">
        <w:trPr>
          <w:cantSplit/>
        </w:trPr>
        <w:tc>
          <w:tcPr>
            <w:tcW w:w="7251" w:type="dxa"/>
          </w:tcPr>
          <w:p w14:paraId="23114B9D" w14:textId="77777777" w:rsidR="00683C32" w:rsidRPr="00A37A84" w:rsidRDefault="00683C32" w:rsidP="00672B67">
            <w:pPr>
              <w:pStyle w:val="Committee"/>
              <w:spacing w:before="0"/>
              <w:rPr>
                <w:b w:val="0"/>
                <w:szCs w:val="24"/>
                <w:lang w:val="fr-FR"/>
              </w:rPr>
            </w:pPr>
          </w:p>
        </w:tc>
        <w:tc>
          <w:tcPr>
            <w:tcW w:w="2996" w:type="dxa"/>
          </w:tcPr>
          <w:p w14:paraId="698E8F17" w14:textId="71037DB5" w:rsidR="00683C32" w:rsidRPr="00A37A84" w:rsidRDefault="00323587" w:rsidP="00672B67">
            <w:pPr>
              <w:spacing w:before="0"/>
              <w:rPr>
                <w:bCs/>
                <w:szCs w:val="24"/>
                <w:lang w:val="fr-FR"/>
              </w:rPr>
            </w:pPr>
            <w:r w:rsidRPr="00A37A84">
              <w:rPr>
                <w:b/>
                <w:bCs/>
                <w:szCs w:val="28"/>
                <w:lang w:val="fr-FR"/>
              </w:rPr>
              <w:t xml:space="preserve">Document </w:t>
            </w:r>
            <w:bookmarkStart w:id="0" w:name="DocRef1"/>
            <w:bookmarkEnd w:id="0"/>
            <w:r w:rsidRPr="00A37A84">
              <w:rPr>
                <w:b/>
                <w:bCs/>
                <w:szCs w:val="28"/>
                <w:lang w:val="fr-FR"/>
              </w:rPr>
              <w:t>TDAG</w:t>
            </w:r>
            <w:r w:rsidR="008F20EB" w:rsidRPr="00A37A84">
              <w:rPr>
                <w:b/>
                <w:bCs/>
                <w:szCs w:val="28"/>
                <w:lang w:val="fr-FR"/>
              </w:rPr>
              <w:t>-</w:t>
            </w:r>
            <w:r w:rsidR="002577C1" w:rsidRPr="00A37A84">
              <w:rPr>
                <w:b/>
                <w:bCs/>
                <w:szCs w:val="28"/>
                <w:lang w:val="fr-FR"/>
              </w:rPr>
              <w:t>20</w:t>
            </w:r>
            <w:r w:rsidRPr="00A37A84">
              <w:rPr>
                <w:b/>
                <w:bCs/>
                <w:szCs w:val="28"/>
                <w:lang w:val="fr-FR"/>
              </w:rPr>
              <w:t>/</w:t>
            </w:r>
            <w:bookmarkStart w:id="1" w:name="DocNo1"/>
            <w:bookmarkEnd w:id="1"/>
            <w:r w:rsidR="002E3DF8" w:rsidRPr="00A37A84">
              <w:rPr>
                <w:b/>
                <w:bCs/>
                <w:szCs w:val="28"/>
                <w:lang w:val="fr-FR"/>
              </w:rPr>
              <w:t>3</w:t>
            </w:r>
            <w:r w:rsidRPr="00A37A84">
              <w:rPr>
                <w:b/>
                <w:bCs/>
                <w:szCs w:val="28"/>
                <w:lang w:val="fr-FR"/>
              </w:rPr>
              <w:t>-F</w:t>
            </w:r>
          </w:p>
        </w:tc>
      </w:tr>
      <w:tr w:rsidR="00683C32" w:rsidRPr="00A37A84" w14:paraId="4F5B81EB" w14:textId="77777777" w:rsidTr="000C61E9">
        <w:trPr>
          <w:cantSplit/>
        </w:trPr>
        <w:tc>
          <w:tcPr>
            <w:tcW w:w="7251" w:type="dxa"/>
          </w:tcPr>
          <w:p w14:paraId="2D5BCC3E" w14:textId="77777777" w:rsidR="00683C32" w:rsidRPr="00A37A84" w:rsidRDefault="00683C32" w:rsidP="00672B67">
            <w:pPr>
              <w:spacing w:before="0"/>
              <w:rPr>
                <w:b/>
                <w:bCs/>
                <w:smallCaps/>
                <w:szCs w:val="24"/>
                <w:lang w:val="fr-FR"/>
              </w:rPr>
            </w:pPr>
          </w:p>
        </w:tc>
        <w:tc>
          <w:tcPr>
            <w:tcW w:w="2996" w:type="dxa"/>
          </w:tcPr>
          <w:p w14:paraId="35B72D8E" w14:textId="294D6353" w:rsidR="00683C32" w:rsidRPr="00A37A84" w:rsidRDefault="002E3DF8" w:rsidP="00672B67">
            <w:pPr>
              <w:spacing w:before="0"/>
              <w:rPr>
                <w:b/>
                <w:szCs w:val="24"/>
                <w:lang w:val="fr-FR"/>
              </w:rPr>
            </w:pPr>
            <w:bookmarkStart w:id="2" w:name="CreationDate"/>
            <w:bookmarkEnd w:id="2"/>
            <w:r w:rsidRPr="00A37A84">
              <w:rPr>
                <w:b/>
                <w:bCs/>
                <w:szCs w:val="28"/>
                <w:lang w:val="fr-FR"/>
              </w:rPr>
              <w:t>5 février</w:t>
            </w:r>
            <w:r w:rsidR="00323587" w:rsidRPr="00A37A84">
              <w:rPr>
                <w:b/>
                <w:bCs/>
                <w:szCs w:val="28"/>
                <w:lang w:val="fr-FR"/>
              </w:rPr>
              <w:t xml:space="preserve"> 20</w:t>
            </w:r>
            <w:r w:rsidR="002577C1" w:rsidRPr="00A37A84">
              <w:rPr>
                <w:b/>
                <w:bCs/>
                <w:szCs w:val="28"/>
                <w:lang w:val="fr-FR"/>
              </w:rPr>
              <w:t>20</w:t>
            </w:r>
          </w:p>
        </w:tc>
      </w:tr>
      <w:tr w:rsidR="00683C32" w:rsidRPr="00A37A84" w14:paraId="28421C02" w14:textId="77777777" w:rsidTr="000C61E9">
        <w:trPr>
          <w:cantSplit/>
        </w:trPr>
        <w:tc>
          <w:tcPr>
            <w:tcW w:w="7251" w:type="dxa"/>
          </w:tcPr>
          <w:p w14:paraId="0493EC57" w14:textId="77777777" w:rsidR="00683C32" w:rsidRPr="00A37A84" w:rsidRDefault="00683C32" w:rsidP="00672B67">
            <w:pPr>
              <w:spacing w:before="0"/>
              <w:rPr>
                <w:b/>
                <w:bCs/>
                <w:smallCaps/>
                <w:szCs w:val="24"/>
                <w:lang w:val="fr-FR"/>
              </w:rPr>
            </w:pPr>
          </w:p>
        </w:tc>
        <w:tc>
          <w:tcPr>
            <w:tcW w:w="2996" w:type="dxa"/>
          </w:tcPr>
          <w:p w14:paraId="39DE8286" w14:textId="3978EE14" w:rsidR="00514D2F" w:rsidRPr="00A37A84" w:rsidRDefault="00323587" w:rsidP="00672B67">
            <w:pPr>
              <w:spacing w:before="0"/>
              <w:rPr>
                <w:szCs w:val="24"/>
                <w:lang w:val="fr-FR"/>
              </w:rPr>
            </w:pPr>
            <w:r w:rsidRPr="00A37A84">
              <w:rPr>
                <w:b/>
                <w:szCs w:val="28"/>
                <w:lang w:val="fr-FR"/>
              </w:rPr>
              <w:t>Original:</w:t>
            </w:r>
            <w:bookmarkStart w:id="3" w:name="Original"/>
            <w:bookmarkEnd w:id="3"/>
            <w:r w:rsidR="002E3DF8" w:rsidRPr="00A37A84">
              <w:rPr>
                <w:b/>
                <w:szCs w:val="28"/>
                <w:lang w:val="fr-FR"/>
              </w:rPr>
              <w:t xml:space="preserve"> anglais</w:t>
            </w:r>
          </w:p>
        </w:tc>
      </w:tr>
      <w:tr w:rsidR="00A13162" w:rsidRPr="00A37A84" w14:paraId="2DFC7A8F" w14:textId="77777777" w:rsidTr="000C61E9">
        <w:trPr>
          <w:cantSplit/>
          <w:trHeight w:val="852"/>
        </w:trPr>
        <w:tc>
          <w:tcPr>
            <w:tcW w:w="10247" w:type="dxa"/>
            <w:gridSpan w:val="2"/>
          </w:tcPr>
          <w:p w14:paraId="0B393D97" w14:textId="3F023B1A" w:rsidR="00A13162" w:rsidRPr="00A37A84" w:rsidRDefault="002E3DF8" w:rsidP="00672B67">
            <w:pPr>
              <w:pStyle w:val="Source"/>
              <w:rPr>
                <w:lang w:val="fr-FR"/>
              </w:rPr>
            </w:pPr>
            <w:bookmarkStart w:id="4" w:name="Source"/>
            <w:bookmarkEnd w:id="4"/>
            <w:r w:rsidRPr="00A37A84">
              <w:rPr>
                <w:lang w:val="fr-FR"/>
              </w:rPr>
              <w:t>Directrice du Bureau de développement des télécommunications</w:t>
            </w:r>
          </w:p>
        </w:tc>
      </w:tr>
      <w:tr w:rsidR="00AC6F14" w:rsidRPr="00A37A84" w14:paraId="14D867A9" w14:textId="77777777" w:rsidTr="000C61E9">
        <w:trPr>
          <w:cantSplit/>
        </w:trPr>
        <w:tc>
          <w:tcPr>
            <w:tcW w:w="10247" w:type="dxa"/>
            <w:gridSpan w:val="2"/>
          </w:tcPr>
          <w:p w14:paraId="49F69C56" w14:textId="3E8A87E7" w:rsidR="00AC6F14" w:rsidRPr="00A37A84" w:rsidRDefault="002E3DF8" w:rsidP="00672B67">
            <w:pPr>
              <w:pStyle w:val="Title1"/>
              <w:rPr>
                <w:lang w:val="fr-FR"/>
              </w:rPr>
            </w:pPr>
            <w:bookmarkStart w:id="5" w:name="Title"/>
            <w:bookmarkEnd w:id="5"/>
            <w:r w:rsidRPr="00A37A84">
              <w:rPr>
                <w:bCs/>
                <w:szCs w:val="28"/>
                <w:lang w:val="fr-FR"/>
              </w:rPr>
              <w:t>CONTRIBUTION DE L</w:t>
            </w:r>
            <w:r w:rsidR="00163B5F" w:rsidRPr="00A37A84">
              <w:rPr>
                <w:bCs/>
                <w:szCs w:val="28"/>
                <w:lang w:val="fr-FR"/>
              </w:rPr>
              <w:t>'</w:t>
            </w:r>
            <w:r w:rsidRPr="00A37A84">
              <w:rPr>
                <w:bCs/>
                <w:szCs w:val="28"/>
                <w:lang w:val="fr-FR"/>
              </w:rPr>
              <w:t xml:space="preserve">UIT-D À LA MISE EN OEUVRE DES RÉSULTATS DU SMSI </w:t>
            </w:r>
            <w:r w:rsidRPr="00A37A84">
              <w:rPr>
                <w:bCs/>
                <w:szCs w:val="28"/>
                <w:lang w:val="fr-FR"/>
              </w:rPr>
              <w:br/>
              <w:t xml:space="preserve">ET </w:t>
            </w:r>
            <w:r w:rsidR="00C35CE4" w:rsidRPr="00A37A84">
              <w:rPr>
                <w:bCs/>
                <w:szCs w:val="28"/>
                <w:lang w:val="fr-FR"/>
              </w:rPr>
              <w:t>D</w:t>
            </w:r>
            <w:r w:rsidRPr="00A37A84">
              <w:rPr>
                <w:bCs/>
                <w:szCs w:val="28"/>
                <w:lang w:val="fr-FR"/>
              </w:rPr>
              <w:t>U PROGRAMME DE DÉVELOPPEMENT DURABLE À L</w:t>
            </w:r>
            <w:r w:rsidR="00163B5F" w:rsidRPr="00A37A84">
              <w:rPr>
                <w:bCs/>
                <w:szCs w:val="28"/>
                <w:lang w:val="fr-FR"/>
              </w:rPr>
              <w:t>'</w:t>
            </w:r>
            <w:r w:rsidRPr="00A37A84">
              <w:rPr>
                <w:bCs/>
                <w:szCs w:val="28"/>
                <w:lang w:val="fr-FR"/>
              </w:rPr>
              <w:t>HORIZON 2030</w:t>
            </w:r>
          </w:p>
        </w:tc>
      </w:tr>
      <w:tr w:rsidR="00A721F4" w:rsidRPr="00A37A84" w14:paraId="19C4B371" w14:textId="77777777" w:rsidTr="000C61E9">
        <w:trPr>
          <w:cantSplit/>
        </w:trPr>
        <w:tc>
          <w:tcPr>
            <w:tcW w:w="10247" w:type="dxa"/>
            <w:gridSpan w:val="2"/>
            <w:tcBorders>
              <w:bottom w:val="single" w:sz="4" w:space="0" w:color="auto"/>
            </w:tcBorders>
          </w:tcPr>
          <w:p w14:paraId="4D0D7EC2" w14:textId="77777777" w:rsidR="00A721F4" w:rsidRPr="00A37A84" w:rsidRDefault="00A721F4" w:rsidP="00672B67">
            <w:pPr>
              <w:rPr>
                <w:lang w:val="fr-FR"/>
              </w:rPr>
            </w:pPr>
          </w:p>
        </w:tc>
      </w:tr>
      <w:tr w:rsidR="00A721F4" w:rsidRPr="00A37A84" w14:paraId="0E11C2AE"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2A24BD29" w14:textId="77777777" w:rsidR="00A721F4" w:rsidRPr="00A37A84" w:rsidRDefault="00156BF6" w:rsidP="00672B67">
            <w:pPr>
              <w:rPr>
                <w:b/>
                <w:bCs/>
                <w:szCs w:val="24"/>
                <w:lang w:val="fr-FR"/>
              </w:rPr>
            </w:pPr>
            <w:r w:rsidRPr="00A37A84">
              <w:rPr>
                <w:b/>
                <w:bCs/>
                <w:szCs w:val="24"/>
                <w:lang w:val="fr-FR"/>
              </w:rPr>
              <w:t>Résumé:</w:t>
            </w:r>
          </w:p>
          <w:p w14:paraId="5E798FD4" w14:textId="78B51D34" w:rsidR="00A721F4" w:rsidRPr="00A37A84" w:rsidRDefault="002E3DF8" w:rsidP="00672B67">
            <w:pPr>
              <w:rPr>
                <w:szCs w:val="24"/>
                <w:lang w:val="fr-FR"/>
              </w:rPr>
            </w:pPr>
            <w:r w:rsidRPr="00A37A84">
              <w:rPr>
                <w:szCs w:val="24"/>
                <w:lang w:val="fr-FR"/>
              </w:rPr>
              <w:t>Le présent document fait le point sur la contribution du Secteur du développement des télécommunications de l</w:t>
            </w:r>
            <w:r w:rsidR="00163B5F" w:rsidRPr="00A37A84">
              <w:rPr>
                <w:szCs w:val="24"/>
                <w:lang w:val="fr-FR"/>
              </w:rPr>
              <w:t>'</w:t>
            </w:r>
            <w:r w:rsidRPr="00A37A84">
              <w:rPr>
                <w:szCs w:val="24"/>
                <w:lang w:val="fr-FR"/>
              </w:rPr>
              <w:t>UIT (UIT-D) à la mise en œuvre des résultats du Sommet mondial sur la société de l</w:t>
            </w:r>
            <w:r w:rsidR="00163B5F" w:rsidRPr="00A37A84">
              <w:rPr>
                <w:szCs w:val="24"/>
                <w:lang w:val="fr-FR"/>
              </w:rPr>
              <w:t>'</w:t>
            </w:r>
            <w:r w:rsidRPr="00A37A84">
              <w:rPr>
                <w:szCs w:val="24"/>
                <w:lang w:val="fr-FR"/>
              </w:rPr>
              <w:t xml:space="preserve">information (SMSI) </w:t>
            </w:r>
            <w:r w:rsidR="00C35CE4" w:rsidRPr="00A37A84">
              <w:rPr>
                <w:szCs w:val="24"/>
                <w:lang w:val="fr-FR"/>
              </w:rPr>
              <w:t>et d</w:t>
            </w:r>
            <w:r w:rsidRPr="00A37A84">
              <w:rPr>
                <w:szCs w:val="24"/>
                <w:lang w:val="fr-FR"/>
              </w:rPr>
              <w:t>u Programme de développement durable à l</w:t>
            </w:r>
            <w:r w:rsidR="00163B5F" w:rsidRPr="00A37A84">
              <w:rPr>
                <w:szCs w:val="24"/>
                <w:lang w:val="fr-FR"/>
              </w:rPr>
              <w:t>'</w:t>
            </w:r>
            <w:r w:rsidRPr="00A37A84">
              <w:rPr>
                <w:szCs w:val="24"/>
                <w:lang w:val="fr-FR"/>
              </w:rPr>
              <w:t>horizon 2030.</w:t>
            </w:r>
          </w:p>
          <w:p w14:paraId="788FB238" w14:textId="77777777" w:rsidR="00A721F4" w:rsidRPr="00A37A84" w:rsidRDefault="00156BF6" w:rsidP="00672B67">
            <w:pPr>
              <w:rPr>
                <w:b/>
                <w:bCs/>
                <w:szCs w:val="24"/>
                <w:lang w:val="fr-FR"/>
              </w:rPr>
            </w:pPr>
            <w:r w:rsidRPr="00A37A84">
              <w:rPr>
                <w:b/>
                <w:bCs/>
                <w:szCs w:val="24"/>
                <w:lang w:val="fr-FR"/>
              </w:rPr>
              <w:t>Suite à donner:</w:t>
            </w:r>
          </w:p>
          <w:p w14:paraId="3BB5185D" w14:textId="360DB7D0" w:rsidR="00A721F4" w:rsidRPr="00A37A84" w:rsidRDefault="002E3DF8" w:rsidP="00672B67">
            <w:pPr>
              <w:rPr>
                <w:szCs w:val="24"/>
                <w:lang w:val="fr-FR"/>
              </w:rPr>
            </w:pPr>
            <w:r w:rsidRPr="00A37A84">
              <w:rPr>
                <w:szCs w:val="24"/>
                <w:lang w:val="fr-FR"/>
              </w:rPr>
              <w:t>Le GCDT est invité à prendre note du présent document et à fournir les indications qu</w:t>
            </w:r>
            <w:r w:rsidR="00163B5F" w:rsidRPr="00A37A84">
              <w:rPr>
                <w:szCs w:val="24"/>
                <w:lang w:val="fr-FR"/>
              </w:rPr>
              <w:t>'</w:t>
            </w:r>
            <w:r w:rsidRPr="00A37A84">
              <w:rPr>
                <w:szCs w:val="24"/>
                <w:lang w:val="fr-FR"/>
              </w:rPr>
              <w:t>il jugera nécessaires.</w:t>
            </w:r>
          </w:p>
          <w:p w14:paraId="2D7471BE" w14:textId="77777777" w:rsidR="00A721F4" w:rsidRPr="00A37A84" w:rsidRDefault="00156BF6" w:rsidP="00672B67">
            <w:pPr>
              <w:rPr>
                <w:b/>
                <w:bCs/>
                <w:szCs w:val="24"/>
                <w:lang w:val="fr-FR"/>
              </w:rPr>
            </w:pPr>
            <w:r w:rsidRPr="00A37A84">
              <w:rPr>
                <w:b/>
                <w:bCs/>
                <w:szCs w:val="24"/>
                <w:lang w:val="fr-FR"/>
              </w:rPr>
              <w:t>Références:</w:t>
            </w:r>
          </w:p>
          <w:p w14:paraId="673C4436" w14:textId="47D8D4EA" w:rsidR="00A721F4" w:rsidRPr="00A37A84" w:rsidRDefault="002E3DF8" w:rsidP="00672B67">
            <w:pPr>
              <w:spacing w:after="120"/>
              <w:rPr>
                <w:lang w:val="fr-FR"/>
              </w:rPr>
            </w:pPr>
            <w:r w:rsidRPr="00A37A84">
              <w:rPr>
                <w:lang w:val="fr-FR"/>
              </w:rPr>
              <w:t>Résolution 30 (Rév.Buenos Aires, 2017) de la Conférence mondiale de développement des télécommunications (CMDT), Résolution 140 (Rév. Dubaï, 2018) de la Conférence de plénipotentiaires et Résolution 1332 (modifiée en 2016) du Conseil de l</w:t>
            </w:r>
            <w:r w:rsidR="00163B5F" w:rsidRPr="00A37A84">
              <w:rPr>
                <w:lang w:val="fr-FR"/>
              </w:rPr>
              <w:t>'</w:t>
            </w:r>
            <w:r w:rsidRPr="00A37A84">
              <w:rPr>
                <w:lang w:val="fr-FR"/>
              </w:rPr>
              <w:t>UIT.</w:t>
            </w:r>
          </w:p>
        </w:tc>
      </w:tr>
    </w:tbl>
    <w:p w14:paraId="1560FCEA" w14:textId="77777777" w:rsidR="002577C1" w:rsidRPr="00A37A84" w:rsidRDefault="002577C1" w:rsidP="00672B67">
      <w:pPr>
        <w:tabs>
          <w:tab w:val="clear" w:pos="794"/>
          <w:tab w:val="clear" w:pos="1191"/>
          <w:tab w:val="clear" w:pos="1588"/>
          <w:tab w:val="clear" w:pos="1985"/>
        </w:tabs>
        <w:overflowPunct/>
        <w:autoSpaceDE/>
        <w:autoSpaceDN/>
        <w:adjustRightInd/>
        <w:spacing w:before="0"/>
        <w:textAlignment w:val="auto"/>
        <w:rPr>
          <w:lang w:val="fr-FR"/>
        </w:rPr>
      </w:pPr>
      <w:r w:rsidRPr="00A37A84">
        <w:rPr>
          <w:lang w:val="fr-FR"/>
        </w:rPr>
        <w:br w:type="page"/>
      </w:r>
    </w:p>
    <w:p w14:paraId="7703A939" w14:textId="77777777" w:rsidR="002E3DF8" w:rsidRPr="00A37A84" w:rsidRDefault="002E3DF8" w:rsidP="00672B67">
      <w:pPr>
        <w:pStyle w:val="Headingb"/>
        <w:rPr>
          <w:lang w:val="fr-FR"/>
        </w:rPr>
      </w:pPr>
      <w:r w:rsidRPr="00A37A84">
        <w:rPr>
          <w:lang w:val="fr-FR"/>
        </w:rPr>
        <w:lastRenderedPageBreak/>
        <w:t>Introduction</w:t>
      </w:r>
    </w:p>
    <w:p w14:paraId="627FDDB3" w14:textId="42D743B6" w:rsidR="002E3DF8" w:rsidRPr="00A37A84" w:rsidRDefault="002E3DF8" w:rsidP="00672B67">
      <w:pPr>
        <w:rPr>
          <w:lang w:val="fr-FR"/>
        </w:rPr>
      </w:pPr>
      <w:r w:rsidRPr="00A37A84">
        <w:rPr>
          <w:lang w:val="fr-FR"/>
        </w:rPr>
        <w:t>1</w:t>
      </w:r>
      <w:r w:rsidRPr="00A37A84">
        <w:rPr>
          <w:lang w:val="fr-FR"/>
        </w:rPr>
        <w:tab/>
        <w:t xml:space="preserve">La </w:t>
      </w:r>
      <w:hyperlink r:id="rId9" w:history="1">
        <w:r w:rsidRPr="00A37A84">
          <w:rPr>
            <w:rStyle w:val="Hyperlink"/>
            <w:lang w:val="fr-FR"/>
          </w:rPr>
          <w:t>Conférence de plénipotentiaires de l</w:t>
        </w:r>
        <w:r w:rsidR="00163B5F" w:rsidRPr="00A37A84">
          <w:rPr>
            <w:rStyle w:val="Hyperlink"/>
            <w:lang w:val="fr-FR"/>
          </w:rPr>
          <w:t>'</w:t>
        </w:r>
        <w:r w:rsidRPr="00A37A84">
          <w:rPr>
            <w:rStyle w:val="Hyperlink"/>
            <w:lang w:val="fr-FR"/>
          </w:rPr>
          <w:t>UIT</w:t>
        </w:r>
      </w:hyperlink>
      <w:r w:rsidRPr="00A37A84">
        <w:rPr>
          <w:lang w:val="fr-FR"/>
        </w:rPr>
        <w:t>, qui s</w:t>
      </w:r>
      <w:r w:rsidR="00163B5F" w:rsidRPr="00A37A84">
        <w:rPr>
          <w:lang w:val="fr-FR"/>
        </w:rPr>
        <w:t>'</w:t>
      </w:r>
      <w:r w:rsidRPr="00A37A84">
        <w:rPr>
          <w:lang w:val="fr-FR"/>
        </w:rPr>
        <w:t>est tenue du 29 octobre au</w:t>
      </w:r>
      <w:r w:rsidR="00155F10">
        <w:rPr>
          <w:lang w:val="fr-FR"/>
        </w:rPr>
        <w:t> </w:t>
      </w:r>
      <w:r w:rsidRPr="00A37A84">
        <w:rPr>
          <w:lang w:val="fr-FR"/>
        </w:rPr>
        <w:t>16</w:t>
      </w:r>
      <w:r w:rsidR="00A37A84">
        <w:rPr>
          <w:lang w:val="fr-FR"/>
        </w:rPr>
        <w:t> </w:t>
      </w:r>
      <w:r w:rsidRPr="00A37A84">
        <w:rPr>
          <w:lang w:val="fr-FR"/>
        </w:rPr>
        <w:t>novembre</w:t>
      </w:r>
      <w:r w:rsidR="00A37A84">
        <w:rPr>
          <w:lang w:val="fr-FR"/>
        </w:rPr>
        <w:t> </w:t>
      </w:r>
      <w:r w:rsidRPr="00A37A84">
        <w:rPr>
          <w:lang w:val="fr-FR"/>
        </w:rPr>
        <w:t>2018 à Dubaï (Émirats arabes unis), a réaffirmé le mandat de l</w:t>
      </w:r>
      <w:r w:rsidR="00163B5F" w:rsidRPr="00A37A84">
        <w:rPr>
          <w:lang w:val="fr-FR"/>
        </w:rPr>
        <w:t>'</w:t>
      </w:r>
      <w:r w:rsidRPr="00A37A84">
        <w:rPr>
          <w:lang w:val="fr-FR"/>
        </w:rPr>
        <w:t>UIT et sa contribution à la mise en œuvre des grandes orientations du Sommet mondial sur la société de l</w:t>
      </w:r>
      <w:r w:rsidR="00163B5F" w:rsidRPr="00A37A84">
        <w:rPr>
          <w:lang w:val="fr-FR"/>
        </w:rPr>
        <w:t>'</w:t>
      </w:r>
      <w:r w:rsidRPr="00A37A84">
        <w:rPr>
          <w:lang w:val="fr-FR"/>
        </w:rPr>
        <w:t>information (SMSI) ainsi qu</w:t>
      </w:r>
      <w:r w:rsidR="00163B5F" w:rsidRPr="00A37A84">
        <w:rPr>
          <w:lang w:val="fr-FR"/>
        </w:rPr>
        <w:t>'</w:t>
      </w:r>
      <w:r w:rsidRPr="00A37A84">
        <w:rPr>
          <w:lang w:val="fr-FR"/>
        </w:rPr>
        <w:t>à la réalisation des Objectifs de développement durable (ODD).</w:t>
      </w:r>
      <w:r w:rsidR="00EF32CE" w:rsidRPr="00A37A84">
        <w:rPr>
          <w:lang w:val="fr-FR"/>
        </w:rPr>
        <w:t xml:space="preserve"> La</w:t>
      </w:r>
      <w:r w:rsidRPr="00A37A84">
        <w:rPr>
          <w:lang w:val="fr-FR"/>
        </w:rPr>
        <w:t xml:space="preserve"> </w:t>
      </w:r>
      <w:hyperlink r:id="rId10" w:history="1">
        <w:r w:rsidRPr="00A37A84">
          <w:rPr>
            <w:rStyle w:val="Hyperlink"/>
            <w:lang w:val="fr-FR"/>
          </w:rPr>
          <w:t>Conférence mondiale de développement des télécommunications</w:t>
        </w:r>
      </w:hyperlink>
      <w:r w:rsidRPr="00A37A84">
        <w:rPr>
          <w:lang w:val="fr-FR"/>
        </w:rPr>
        <w:t xml:space="preserve"> (CMDT-17), qui s</w:t>
      </w:r>
      <w:r w:rsidR="00163B5F" w:rsidRPr="00A37A84">
        <w:rPr>
          <w:lang w:val="fr-FR"/>
        </w:rPr>
        <w:t>'</w:t>
      </w:r>
      <w:r w:rsidRPr="00A37A84">
        <w:rPr>
          <w:lang w:val="fr-FR"/>
        </w:rPr>
        <w:t>est tenue du 9 au 20</w:t>
      </w:r>
      <w:r w:rsidR="00A37A84">
        <w:rPr>
          <w:lang w:val="fr-FR"/>
        </w:rPr>
        <w:t> </w:t>
      </w:r>
      <w:r w:rsidRPr="00A37A84">
        <w:rPr>
          <w:lang w:val="fr-FR"/>
        </w:rPr>
        <w:t>octobre 2017 à Buenos Aires (Argentine), a établi des liens clairs entre les objectifs, les résultats et les produits de l</w:t>
      </w:r>
      <w:r w:rsidR="00163B5F" w:rsidRPr="00A37A84">
        <w:rPr>
          <w:lang w:val="fr-FR"/>
        </w:rPr>
        <w:t>'</w:t>
      </w:r>
      <w:r w:rsidRPr="00A37A84">
        <w:rPr>
          <w:lang w:val="fr-FR"/>
        </w:rPr>
        <w:t>UIT-D, les grandes orientations du SMSI et les ODD et les cibles correspondantes (Annexe 1). La mise en correspondance des Questions confiées aux Commissions d</w:t>
      </w:r>
      <w:r w:rsidR="00163B5F" w:rsidRPr="00A37A84">
        <w:rPr>
          <w:lang w:val="fr-FR"/>
        </w:rPr>
        <w:t>'</w:t>
      </w:r>
      <w:r w:rsidRPr="00A37A84">
        <w:rPr>
          <w:lang w:val="fr-FR"/>
        </w:rPr>
        <w:t>études de l</w:t>
      </w:r>
      <w:r w:rsidR="00163B5F" w:rsidRPr="00A37A84">
        <w:rPr>
          <w:lang w:val="fr-FR"/>
        </w:rPr>
        <w:t>'</w:t>
      </w:r>
      <w:r w:rsidRPr="00A37A84">
        <w:rPr>
          <w:lang w:val="fr-FR"/>
        </w:rPr>
        <w:t xml:space="preserve">UIT-D </w:t>
      </w:r>
      <w:r w:rsidR="00C35CE4" w:rsidRPr="00A37A84">
        <w:rPr>
          <w:lang w:val="fr-FR"/>
        </w:rPr>
        <w:t>avec</w:t>
      </w:r>
      <w:r w:rsidRPr="00A37A84">
        <w:rPr>
          <w:lang w:val="fr-FR"/>
        </w:rPr>
        <w:t xml:space="preserve"> les grandes orientations du SMSI et les ODD fournit des indications supplémentaires sur la contribution apportée par les commissions d</w:t>
      </w:r>
      <w:r w:rsidR="00163B5F" w:rsidRPr="00A37A84">
        <w:rPr>
          <w:lang w:val="fr-FR"/>
        </w:rPr>
        <w:t>'</w:t>
      </w:r>
      <w:r w:rsidRPr="00A37A84">
        <w:rPr>
          <w:lang w:val="fr-FR"/>
        </w:rPr>
        <w:t>études aux processus du SMSI et des ODD (Annexe</w:t>
      </w:r>
      <w:r w:rsidR="00672B67" w:rsidRPr="00A37A84">
        <w:rPr>
          <w:lang w:val="fr-FR"/>
        </w:rPr>
        <w:t> </w:t>
      </w:r>
      <w:r w:rsidRPr="00A37A84">
        <w:rPr>
          <w:lang w:val="fr-FR"/>
        </w:rPr>
        <w:t xml:space="preserve">2). Dans cette perspective, toutes les </w:t>
      </w:r>
      <w:r w:rsidR="00EF32CE" w:rsidRPr="00A37A84">
        <w:rPr>
          <w:lang w:val="fr-FR"/>
        </w:rPr>
        <w:t>activités</w:t>
      </w:r>
      <w:r w:rsidRPr="00A37A84">
        <w:rPr>
          <w:lang w:val="fr-FR"/>
        </w:rPr>
        <w:t xml:space="preserve"> menées par l</w:t>
      </w:r>
      <w:r w:rsidR="00163B5F" w:rsidRPr="00A37A84">
        <w:rPr>
          <w:lang w:val="fr-FR"/>
        </w:rPr>
        <w:t>'</w:t>
      </w:r>
      <w:r w:rsidRPr="00A37A84">
        <w:rPr>
          <w:lang w:val="fr-FR"/>
        </w:rPr>
        <w:t>UIT-D contribuent à la réalisation des ODD et à la mise en œuvre des résultats du SMSI. Il est régulièrement rendu compte de ces activités aux membres de l</w:t>
      </w:r>
      <w:r w:rsidR="00163B5F" w:rsidRPr="00A37A84">
        <w:rPr>
          <w:lang w:val="fr-FR"/>
        </w:rPr>
        <w:t>'</w:t>
      </w:r>
      <w:r w:rsidRPr="00A37A84">
        <w:rPr>
          <w:lang w:val="fr-FR"/>
        </w:rPr>
        <w:t>UIT dans le cadre des réunions du GCDT, des Forums régionaux de développement et du Groupe de travail du Conseil sur le SMSI (GTC-SMSI).</w:t>
      </w:r>
    </w:p>
    <w:p w14:paraId="5E690EBE" w14:textId="34AA41CD" w:rsidR="002E3DF8" w:rsidRPr="00A37A84" w:rsidRDefault="002E3DF8" w:rsidP="00672B67">
      <w:pPr>
        <w:rPr>
          <w:lang w:val="fr-FR"/>
        </w:rPr>
      </w:pPr>
      <w:r w:rsidRPr="00A37A84">
        <w:rPr>
          <w:lang w:val="fr-FR"/>
        </w:rPr>
        <w:t>2</w:t>
      </w:r>
      <w:r w:rsidRPr="00A37A84">
        <w:rPr>
          <w:lang w:val="fr-FR"/>
        </w:rPr>
        <w:tab/>
      </w:r>
      <w:r w:rsidR="00EF32CE" w:rsidRPr="00A37A84">
        <w:rPr>
          <w:lang w:val="fr-FR"/>
        </w:rPr>
        <w:t>Les</w:t>
      </w:r>
      <w:r w:rsidRPr="00A37A84">
        <w:rPr>
          <w:lang w:val="fr-FR"/>
        </w:rPr>
        <w:t xml:space="preserve"> activités phares du BDT représentent une part importante des informations dont il</w:t>
      </w:r>
      <w:r w:rsidR="00155F10">
        <w:rPr>
          <w:lang w:val="fr-FR"/>
        </w:rPr>
        <w:t> </w:t>
      </w:r>
      <w:r w:rsidRPr="00A37A84">
        <w:rPr>
          <w:lang w:val="fr-FR"/>
        </w:rPr>
        <w:t>est</w:t>
      </w:r>
      <w:r w:rsidR="00155F10">
        <w:rPr>
          <w:lang w:val="fr-FR"/>
        </w:rPr>
        <w:t> </w:t>
      </w:r>
      <w:r w:rsidRPr="00A37A84">
        <w:rPr>
          <w:lang w:val="fr-FR"/>
        </w:rPr>
        <w:t xml:space="preserve">fait état chaque année dans la </w:t>
      </w:r>
      <w:r w:rsidR="00EF32CE" w:rsidRPr="00A37A84">
        <w:rPr>
          <w:i/>
          <w:lang w:val="fr-FR"/>
        </w:rPr>
        <w:t>C</w:t>
      </w:r>
      <w:r w:rsidRPr="00A37A84">
        <w:rPr>
          <w:i/>
          <w:lang w:val="fr-FR"/>
        </w:rPr>
        <w:t>ontribution de l</w:t>
      </w:r>
      <w:r w:rsidR="00163B5F" w:rsidRPr="00A37A84">
        <w:rPr>
          <w:i/>
          <w:lang w:val="fr-FR"/>
        </w:rPr>
        <w:t>'</w:t>
      </w:r>
      <w:r w:rsidRPr="00A37A84">
        <w:rPr>
          <w:i/>
          <w:lang w:val="fr-FR"/>
        </w:rPr>
        <w:t>UIT à la mise en œuvre des résultats du</w:t>
      </w:r>
      <w:r w:rsidR="00155F10">
        <w:rPr>
          <w:i/>
          <w:lang w:val="fr-FR"/>
        </w:rPr>
        <w:t> </w:t>
      </w:r>
      <w:r w:rsidRPr="00A37A84">
        <w:rPr>
          <w:i/>
          <w:lang w:val="fr-FR"/>
        </w:rPr>
        <w:t>SMSI.</w:t>
      </w:r>
      <w:r w:rsidR="00155F10">
        <w:rPr>
          <w:lang w:val="fr-FR"/>
        </w:rPr>
        <w:t> </w:t>
      </w:r>
      <w:r w:rsidRPr="00A37A84">
        <w:rPr>
          <w:lang w:val="fr-FR"/>
        </w:rPr>
        <w:t>L</w:t>
      </w:r>
      <w:r w:rsidR="00163B5F" w:rsidRPr="00A37A84">
        <w:rPr>
          <w:lang w:val="fr-FR"/>
        </w:rPr>
        <w:t>'</w:t>
      </w:r>
      <w:r w:rsidRPr="00A37A84">
        <w:rPr>
          <w:lang w:val="fr-FR"/>
        </w:rPr>
        <w:t>édition de 2019 de ce rapport est accessible à l</w:t>
      </w:r>
      <w:r w:rsidR="00163B5F" w:rsidRPr="00A37A84">
        <w:rPr>
          <w:lang w:val="fr-FR"/>
        </w:rPr>
        <w:t>'</w:t>
      </w:r>
      <w:r w:rsidRPr="00A37A84">
        <w:rPr>
          <w:lang w:val="fr-FR"/>
        </w:rPr>
        <w:t xml:space="preserve">adresse suivante: </w:t>
      </w:r>
      <w:hyperlink r:id="rId11" w:history="1">
        <w:r w:rsidRPr="00A37A84">
          <w:rPr>
            <w:rStyle w:val="Hyperlink"/>
            <w:lang w:val="fr-FR"/>
          </w:rPr>
          <w:t>https://www.itu.int/en/itu-wsis/Pages/Contribution.aspx</w:t>
        </w:r>
      </w:hyperlink>
      <w:r w:rsidRPr="00A37A84">
        <w:rPr>
          <w:lang w:val="fr-FR"/>
        </w:rPr>
        <w:t>.</w:t>
      </w:r>
    </w:p>
    <w:p w14:paraId="7F676C61" w14:textId="77777777" w:rsidR="002E3DF8" w:rsidRPr="00A37A84" w:rsidRDefault="002E3DF8" w:rsidP="00672B67">
      <w:pPr>
        <w:pStyle w:val="Headingb"/>
        <w:rPr>
          <w:lang w:val="fr-FR"/>
        </w:rPr>
      </w:pPr>
      <w:r w:rsidRPr="00A37A84">
        <w:rPr>
          <w:lang w:val="fr-FR"/>
        </w:rPr>
        <w:t>Activités spécifiques du BDT relatives au SMSI et aux ODD</w:t>
      </w:r>
    </w:p>
    <w:p w14:paraId="3DB5D1E1" w14:textId="20E9D515" w:rsidR="002E3DF8" w:rsidRPr="00A37A84" w:rsidRDefault="001405E3" w:rsidP="00672B67">
      <w:pPr>
        <w:rPr>
          <w:lang w:val="fr-FR"/>
        </w:rPr>
      </w:pPr>
      <w:r w:rsidRPr="00A37A84">
        <w:rPr>
          <w:lang w:val="fr-FR"/>
        </w:rPr>
        <w:t>3</w:t>
      </w:r>
      <w:r w:rsidRPr="00A37A84">
        <w:rPr>
          <w:lang w:val="fr-FR"/>
        </w:rPr>
        <w:tab/>
      </w:r>
      <w:r w:rsidR="002E3DF8" w:rsidRPr="00A37A84">
        <w:rPr>
          <w:lang w:val="fr-FR"/>
        </w:rPr>
        <w:t xml:space="preserve">Aux termes </w:t>
      </w:r>
      <w:r w:rsidR="00EF32CE" w:rsidRPr="00A37A84">
        <w:rPr>
          <w:lang w:val="fr-FR"/>
        </w:rPr>
        <w:t xml:space="preserve">des </w:t>
      </w:r>
      <w:r w:rsidR="00EF32CE" w:rsidRPr="00A37A84">
        <w:rPr>
          <w:i/>
          <w:iCs/>
          <w:lang w:val="fr-FR"/>
        </w:rPr>
        <w:t>décide</w:t>
      </w:r>
      <w:r w:rsidR="00EF32CE" w:rsidRPr="00A37A84">
        <w:rPr>
          <w:lang w:val="fr-FR"/>
        </w:rPr>
        <w:t xml:space="preserve"> de</w:t>
      </w:r>
      <w:r w:rsidR="002E3DF8" w:rsidRPr="00A37A84">
        <w:rPr>
          <w:lang w:val="fr-FR"/>
        </w:rPr>
        <w:t xml:space="preserve"> la Résolution 140 (Rév. Dubaï, 2018) de la Conférence de plénipotentiaires et de la Résolution 30 (Rév.Buenos Aires, 2017) de la CMDT, le BDT contribue à</w:t>
      </w:r>
      <w:r w:rsidR="00155F10">
        <w:rPr>
          <w:lang w:val="fr-FR"/>
        </w:rPr>
        <w:t> </w:t>
      </w:r>
      <w:r w:rsidR="002E3DF8" w:rsidRPr="00A37A84">
        <w:rPr>
          <w:lang w:val="fr-FR"/>
        </w:rPr>
        <w:t>la</w:t>
      </w:r>
      <w:r w:rsidR="00155F10">
        <w:rPr>
          <w:lang w:val="fr-FR"/>
        </w:rPr>
        <w:t> </w:t>
      </w:r>
      <w:r w:rsidR="002E3DF8" w:rsidRPr="00A37A84">
        <w:rPr>
          <w:lang w:val="fr-FR"/>
        </w:rPr>
        <w:t>mise en œuvre des résultats du SMSI et du Programme de développement durable à l</w:t>
      </w:r>
      <w:r w:rsidR="00163B5F" w:rsidRPr="00A37A84">
        <w:rPr>
          <w:lang w:val="fr-FR"/>
        </w:rPr>
        <w:t>'</w:t>
      </w:r>
      <w:r w:rsidR="002E3DF8" w:rsidRPr="00A37A84">
        <w:rPr>
          <w:lang w:val="fr-FR"/>
        </w:rPr>
        <w:t>horizon</w:t>
      </w:r>
      <w:r w:rsidR="00155F10">
        <w:rPr>
          <w:lang w:val="fr-FR"/>
        </w:rPr>
        <w:t> </w:t>
      </w:r>
      <w:r w:rsidR="002E3DF8" w:rsidRPr="00A37A84">
        <w:rPr>
          <w:lang w:val="fr-FR"/>
        </w:rPr>
        <w:t>2030, comme suit:</w:t>
      </w:r>
    </w:p>
    <w:p w14:paraId="03417C55" w14:textId="33A623D4" w:rsidR="002E3DF8" w:rsidRPr="00A37A84" w:rsidRDefault="001405E3" w:rsidP="00672B67">
      <w:pPr>
        <w:pStyle w:val="enumlev1"/>
        <w:rPr>
          <w:lang w:val="fr-FR"/>
        </w:rPr>
      </w:pPr>
      <w:r w:rsidRPr="00A37A84">
        <w:rPr>
          <w:lang w:val="fr-FR"/>
        </w:rPr>
        <w:t>a)</w:t>
      </w:r>
      <w:r w:rsidRPr="00A37A84">
        <w:rPr>
          <w:lang w:val="fr-FR"/>
        </w:rPr>
        <w:tab/>
      </w:r>
      <w:r w:rsidR="002E3DF8" w:rsidRPr="00A37A84">
        <w:rPr>
          <w:b/>
          <w:bCs/>
          <w:lang w:val="fr-FR"/>
        </w:rPr>
        <w:t>Coordination des grandes orientations du SMSI</w:t>
      </w:r>
      <w:r w:rsidR="002E3DF8" w:rsidRPr="00A37A84">
        <w:rPr>
          <w:lang w:val="fr-FR"/>
        </w:rPr>
        <w:t xml:space="preserve">: </w:t>
      </w:r>
      <w:r w:rsidR="00155F10">
        <w:rPr>
          <w:lang w:val="fr-FR"/>
        </w:rPr>
        <w:t>A</w:t>
      </w:r>
      <w:r w:rsidR="002E3DF8" w:rsidRPr="00A37A84">
        <w:rPr>
          <w:lang w:val="fr-FR"/>
        </w:rPr>
        <w:t>u nom de l</w:t>
      </w:r>
      <w:r w:rsidR="00163B5F" w:rsidRPr="00A37A84">
        <w:rPr>
          <w:lang w:val="fr-FR"/>
        </w:rPr>
        <w:t>'</w:t>
      </w:r>
      <w:r w:rsidR="002E3DF8" w:rsidRPr="00A37A84">
        <w:rPr>
          <w:lang w:val="fr-FR"/>
        </w:rPr>
        <w:t xml:space="preserve">UIT, le BDT </w:t>
      </w:r>
      <w:r w:rsidR="00EF32CE" w:rsidRPr="00A37A84">
        <w:rPr>
          <w:lang w:val="fr-FR"/>
        </w:rPr>
        <w:t>assure</w:t>
      </w:r>
      <w:r w:rsidR="002E3DF8" w:rsidRPr="00A37A84">
        <w:rPr>
          <w:lang w:val="fr-FR"/>
        </w:rPr>
        <w:t xml:space="preserve"> la fonction de coordonnateur de l</w:t>
      </w:r>
      <w:r w:rsidR="00163B5F" w:rsidRPr="00A37A84">
        <w:rPr>
          <w:lang w:val="fr-FR"/>
        </w:rPr>
        <w:t>'</w:t>
      </w:r>
      <w:r w:rsidR="002E3DF8" w:rsidRPr="00A37A84">
        <w:rPr>
          <w:lang w:val="fr-FR"/>
        </w:rPr>
        <w:t>UIT pour les grandes orientations C2 (L</w:t>
      </w:r>
      <w:r w:rsidR="00163B5F" w:rsidRPr="00A37A84">
        <w:rPr>
          <w:lang w:val="fr-FR"/>
        </w:rPr>
        <w:t>'</w:t>
      </w:r>
      <w:r w:rsidR="002E3DF8" w:rsidRPr="00A37A84">
        <w:rPr>
          <w:lang w:val="fr-FR"/>
        </w:rPr>
        <w:t>infrastructure de l</w:t>
      </w:r>
      <w:r w:rsidR="00163B5F" w:rsidRPr="00A37A84">
        <w:rPr>
          <w:lang w:val="fr-FR"/>
        </w:rPr>
        <w:t>'</w:t>
      </w:r>
      <w:r w:rsidR="002E3DF8" w:rsidRPr="00A37A84">
        <w:rPr>
          <w:lang w:val="fr-FR"/>
        </w:rPr>
        <w:t xml:space="preserve">information et de la communication) et C6 (Créer un environnement propice). </w:t>
      </w:r>
      <w:r w:rsidR="00EF32CE" w:rsidRPr="00A37A84">
        <w:rPr>
          <w:lang w:val="fr-FR"/>
        </w:rPr>
        <w:t>De plus, le</w:t>
      </w:r>
      <w:r w:rsidR="00155F10">
        <w:rPr>
          <w:lang w:val="fr-FR"/>
        </w:rPr>
        <w:t> </w:t>
      </w:r>
      <w:r w:rsidR="00EF32CE" w:rsidRPr="00A37A84">
        <w:rPr>
          <w:lang w:val="fr-FR"/>
        </w:rPr>
        <w:t>BDT met en œuvre</w:t>
      </w:r>
      <w:r w:rsidR="002E3DF8" w:rsidRPr="00A37A84">
        <w:rPr>
          <w:lang w:val="fr-FR"/>
        </w:rPr>
        <w:t xml:space="preserve"> plusieurs activités dans le cadre de la grande orientation C5 du SMSI (</w:t>
      </w:r>
      <w:r w:rsidR="00EF32CE" w:rsidRPr="00A37A84">
        <w:rPr>
          <w:lang w:val="fr-FR"/>
        </w:rPr>
        <w:t>É</w:t>
      </w:r>
      <w:r w:rsidR="002E3DF8" w:rsidRPr="00A37A84">
        <w:rPr>
          <w:lang w:val="fr-FR"/>
        </w:rPr>
        <w:t>tablir la confiance et la sécurité dans l</w:t>
      </w:r>
      <w:r w:rsidR="00163B5F" w:rsidRPr="00A37A84">
        <w:rPr>
          <w:lang w:val="fr-FR"/>
        </w:rPr>
        <w:t>'</w:t>
      </w:r>
      <w:r w:rsidR="002E3DF8" w:rsidRPr="00A37A84">
        <w:rPr>
          <w:lang w:val="fr-FR"/>
        </w:rPr>
        <w:t>utilisation des TIC), pour laquelle l</w:t>
      </w:r>
      <w:r w:rsidR="00163B5F" w:rsidRPr="00A37A84">
        <w:rPr>
          <w:lang w:val="fr-FR"/>
        </w:rPr>
        <w:t>'</w:t>
      </w:r>
      <w:r w:rsidR="002E3DF8" w:rsidRPr="00A37A84">
        <w:rPr>
          <w:lang w:val="fr-FR"/>
        </w:rPr>
        <w:t>UIT est le coordonnateur unique. En 2019, les grandes orientations du SMSI ont été actualisées à la demande des membres.</w:t>
      </w:r>
    </w:p>
    <w:p w14:paraId="024B8952" w14:textId="070CD744" w:rsidR="002E3DF8" w:rsidRPr="00A37A84" w:rsidRDefault="001405E3" w:rsidP="00672B67">
      <w:pPr>
        <w:pStyle w:val="enumlev1"/>
        <w:rPr>
          <w:lang w:val="fr-FR"/>
        </w:rPr>
      </w:pPr>
      <w:r w:rsidRPr="00A37A84">
        <w:rPr>
          <w:lang w:val="fr-FR"/>
        </w:rPr>
        <w:tab/>
      </w:r>
      <w:r w:rsidR="002E3DF8" w:rsidRPr="00A37A84">
        <w:rPr>
          <w:lang w:val="fr-FR"/>
        </w:rPr>
        <w:t>En concertation avec le Programme des Nations Unies pour le développement (PNUD) et</w:t>
      </w:r>
      <w:r w:rsidR="00155F10">
        <w:rPr>
          <w:lang w:val="fr-FR"/>
        </w:rPr>
        <w:t> </w:t>
      </w:r>
      <w:r w:rsidR="002E3DF8" w:rsidRPr="00A37A84">
        <w:rPr>
          <w:lang w:val="fr-FR"/>
        </w:rPr>
        <w:t>l</w:t>
      </w:r>
      <w:r w:rsidR="00163B5F" w:rsidRPr="00A37A84">
        <w:rPr>
          <w:lang w:val="fr-FR"/>
        </w:rPr>
        <w:t>'</w:t>
      </w:r>
      <w:r w:rsidR="002E3DF8" w:rsidRPr="00A37A84">
        <w:rPr>
          <w:lang w:val="fr-FR"/>
        </w:rPr>
        <w:t>Organisation des Nations Unies pour l</w:t>
      </w:r>
      <w:r w:rsidR="00163B5F" w:rsidRPr="00A37A84">
        <w:rPr>
          <w:lang w:val="fr-FR"/>
        </w:rPr>
        <w:t>'</w:t>
      </w:r>
      <w:r w:rsidR="002E3DF8" w:rsidRPr="00A37A84">
        <w:rPr>
          <w:lang w:val="fr-FR"/>
        </w:rPr>
        <w:t>éducation, la science et la culture (UNESCO), le</w:t>
      </w:r>
      <w:r w:rsidR="00155F10">
        <w:rPr>
          <w:lang w:val="fr-FR"/>
        </w:rPr>
        <w:t> </w:t>
      </w:r>
      <w:r w:rsidR="002E3DF8" w:rsidRPr="00A37A84">
        <w:rPr>
          <w:lang w:val="fr-FR"/>
        </w:rPr>
        <w:t>BDT joue aussi le rôle de coordonnateur par intérim pour la grande orientation C4 du</w:t>
      </w:r>
      <w:r w:rsidR="00155F10">
        <w:rPr>
          <w:lang w:val="fr-FR"/>
        </w:rPr>
        <w:t> </w:t>
      </w:r>
      <w:r w:rsidR="002E3DF8" w:rsidRPr="00A37A84">
        <w:rPr>
          <w:lang w:val="fr-FR"/>
        </w:rPr>
        <w:t>SMSI (</w:t>
      </w:r>
      <w:r w:rsidR="00EF32CE" w:rsidRPr="00A37A84">
        <w:rPr>
          <w:lang w:val="fr-FR"/>
        </w:rPr>
        <w:t>R</w:t>
      </w:r>
      <w:r w:rsidR="002E3DF8" w:rsidRPr="00A37A84">
        <w:rPr>
          <w:lang w:val="fr-FR"/>
        </w:rPr>
        <w:t xml:space="preserve">enforcement des capacités). Le </w:t>
      </w:r>
      <w:r w:rsidR="00EF32CE" w:rsidRPr="00A37A84">
        <w:rPr>
          <w:lang w:val="fr-FR"/>
        </w:rPr>
        <w:t>BDT</w:t>
      </w:r>
      <w:r w:rsidR="002E3DF8" w:rsidRPr="00A37A84">
        <w:rPr>
          <w:lang w:val="fr-FR"/>
        </w:rPr>
        <w:t xml:space="preserve"> assure par ailleurs la fonction de coordonnateur officiel </w:t>
      </w:r>
      <w:r w:rsidR="00EF32CE" w:rsidRPr="00A37A84">
        <w:rPr>
          <w:lang w:val="fr-FR"/>
        </w:rPr>
        <w:t>de l'</w:t>
      </w:r>
      <w:r w:rsidR="002E3DF8" w:rsidRPr="00A37A84">
        <w:rPr>
          <w:lang w:val="fr-FR"/>
        </w:rPr>
        <w:t>UIT pour la plupart des grandes orientations (C1, C3, C4, C7 et</w:t>
      </w:r>
      <w:r w:rsidR="00155F10">
        <w:rPr>
          <w:lang w:val="fr-FR"/>
        </w:rPr>
        <w:t> </w:t>
      </w:r>
      <w:r w:rsidR="002E3DF8" w:rsidRPr="00A37A84">
        <w:rPr>
          <w:lang w:val="fr-FR"/>
        </w:rPr>
        <w:t>C11) du SMSI pour lesquelles l</w:t>
      </w:r>
      <w:r w:rsidR="00163B5F" w:rsidRPr="00A37A84">
        <w:rPr>
          <w:lang w:val="fr-FR"/>
        </w:rPr>
        <w:t>'</w:t>
      </w:r>
      <w:r w:rsidR="002E3DF8" w:rsidRPr="00A37A84">
        <w:rPr>
          <w:lang w:val="fr-FR"/>
        </w:rPr>
        <w:t>Union est le co</w:t>
      </w:r>
      <w:r w:rsidR="00566DD3">
        <w:rPr>
          <w:lang w:val="fr-FR"/>
        </w:rPr>
        <w:t>-</w:t>
      </w:r>
      <w:bookmarkStart w:id="6" w:name="_GoBack"/>
      <w:bookmarkEnd w:id="6"/>
      <w:r w:rsidR="002E3DF8" w:rsidRPr="00A37A84">
        <w:rPr>
          <w:lang w:val="fr-FR"/>
        </w:rPr>
        <w:t>coordonnateur, ainsi que pour la grande orientation C9</w:t>
      </w:r>
      <w:r w:rsidR="00EF32CE" w:rsidRPr="00A37A84">
        <w:rPr>
          <w:lang w:val="fr-FR"/>
        </w:rPr>
        <w:t>,</w:t>
      </w:r>
      <w:r w:rsidR="002E3DF8" w:rsidRPr="00A37A84">
        <w:rPr>
          <w:lang w:val="fr-FR"/>
        </w:rPr>
        <w:t xml:space="preserve"> pour laquelle l</w:t>
      </w:r>
      <w:r w:rsidR="00163B5F" w:rsidRPr="00A37A84">
        <w:rPr>
          <w:lang w:val="fr-FR"/>
        </w:rPr>
        <w:t>'</w:t>
      </w:r>
      <w:r w:rsidR="002E3DF8" w:rsidRPr="00A37A84">
        <w:rPr>
          <w:lang w:val="fr-FR"/>
        </w:rPr>
        <w:t>Union est partenaire.</w:t>
      </w:r>
    </w:p>
    <w:p w14:paraId="26DFCA5C" w14:textId="1E479DCD" w:rsidR="002E3DF8" w:rsidRPr="00A37A84" w:rsidRDefault="001405E3" w:rsidP="00672B67">
      <w:pPr>
        <w:pStyle w:val="enumlev1"/>
        <w:rPr>
          <w:lang w:val="fr-FR"/>
        </w:rPr>
      </w:pPr>
      <w:r w:rsidRPr="00A37A84">
        <w:rPr>
          <w:lang w:val="fr-FR"/>
        </w:rPr>
        <w:t>b)</w:t>
      </w:r>
      <w:r w:rsidRPr="00A37A84">
        <w:rPr>
          <w:lang w:val="fr-FR"/>
        </w:rPr>
        <w:tab/>
      </w:r>
      <w:r w:rsidR="002E3DF8" w:rsidRPr="00A37A84">
        <w:rPr>
          <w:b/>
          <w:bCs/>
          <w:lang w:val="fr-FR"/>
        </w:rPr>
        <w:t>Partenariat sur la mesure des TIC au service du développement</w:t>
      </w:r>
      <w:r w:rsidR="002E3DF8" w:rsidRPr="00A37A84">
        <w:rPr>
          <w:lang w:val="fr-FR"/>
        </w:rPr>
        <w:t xml:space="preserve">: </w:t>
      </w:r>
      <w:r w:rsidR="00155F10">
        <w:rPr>
          <w:lang w:val="fr-FR"/>
        </w:rPr>
        <w:t>L</w:t>
      </w:r>
      <w:r w:rsidR="002E3DF8" w:rsidRPr="00A37A84">
        <w:rPr>
          <w:lang w:val="fr-FR"/>
        </w:rPr>
        <w:t xml:space="preserve">e BDT continue de diriger le Partenariat sur la mesure des TIC au service du développement, initiative internationale multi-parties prenantes visant à améliorer la disponibilité et la qualité des données et indicateurs relatifs aux TIC. Ce Partenariat participe activement au suivi des Objectifs de développement durable. Plusieurs cibles des ODD ont trait aux TIC et à la technologie, </w:t>
      </w:r>
      <w:r w:rsidR="00EF32CE" w:rsidRPr="00A37A84">
        <w:rPr>
          <w:lang w:val="fr-FR"/>
        </w:rPr>
        <w:t>d'où</w:t>
      </w:r>
      <w:r w:rsidR="002E3DF8" w:rsidRPr="00A37A84">
        <w:rPr>
          <w:lang w:val="fr-FR"/>
        </w:rPr>
        <w:t xml:space="preserve"> la nécessité d</w:t>
      </w:r>
      <w:r w:rsidR="00163B5F" w:rsidRPr="00A37A84">
        <w:rPr>
          <w:lang w:val="fr-FR"/>
        </w:rPr>
        <w:t>'</w:t>
      </w:r>
      <w:r w:rsidR="002E3DF8" w:rsidRPr="00A37A84">
        <w:rPr>
          <w:lang w:val="fr-FR"/>
        </w:rPr>
        <w:t>intégrer des indicateurs relatifs aux TIC dans le cadre de suivi.</w:t>
      </w:r>
    </w:p>
    <w:p w14:paraId="72630567" w14:textId="7F78C9BC" w:rsidR="002E3DF8" w:rsidRPr="00A37A84" w:rsidRDefault="001405E3" w:rsidP="00672B67">
      <w:pPr>
        <w:pStyle w:val="enumlev1"/>
        <w:rPr>
          <w:lang w:val="fr-FR"/>
        </w:rPr>
      </w:pPr>
      <w:r w:rsidRPr="00A37A84">
        <w:rPr>
          <w:lang w:val="fr-FR"/>
        </w:rPr>
        <w:tab/>
      </w:r>
      <w:r w:rsidR="002E3DF8" w:rsidRPr="00A37A84">
        <w:rPr>
          <w:lang w:val="fr-FR"/>
        </w:rPr>
        <w:t>Le cadre mondial pour les indicateurs relatifs aux ODD, qui permet de suivre les</w:t>
      </w:r>
      <w:r w:rsidR="00155F10">
        <w:rPr>
          <w:lang w:val="fr-FR"/>
        </w:rPr>
        <w:t> </w:t>
      </w:r>
      <w:r w:rsidR="002E3DF8" w:rsidRPr="00A37A84">
        <w:rPr>
          <w:lang w:val="fr-FR"/>
        </w:rPr>
        <w:t>progrès</w:t>
      </w:r>
      <w:r w:rsidR="00155F10">
        <w:rPr>
          <w:lang w:val="fr-FR"/>
        </w:rPr>
        <w:t> </w:t>
      </w:r>
      <w:r w:rsidR="002E3DF8" w:rsidRPr="00A37A84">
        <w:rPr>
          <w:lang w:val="fr-FR"/>
        </w:rPr>
        <w:t>accomplis, d</w:t>
      </w:r>
      <w:r w:rsidR="00163B5F" w:rsidRPr="00A37A84">
        <w:rPr>
          <w:lang w:val="fr-FR"/>
        </w:rPr>
        <w:t>'</w:t>
      </w:r>
      <w:r w:rsidR="002E3DF8" w:rsidRPr="00A37A84">
        <w:rPr>
          <w:lang w:val="fr-FR"/>
        </w:rPr>
        <w:t>identifier les problèmes et d</w:t>
      </w:r>
      <w:r w:rsidR="00EF32CE" w:rsidRPr="00A37A84">
        <w:rPr>
          <w:lang w:val="fr-FR"/>
        </w:rPr>
        <w:t xml:space="preserve">'orienter </w:t>
      </w:r>
      <w:r w:rsidR="002E3DF8" w:rsidRPr="00A37A84">
        <w:rPr>
          <w:lang w:val="fr-FR"/>
        </w:rPr>
        <w:t>les décideurs, comporte 231</w:t>
      </w:r>
      <w:r w:rsidR="00155F10">
        <w:rPr>
          <w:lang w:val="fr-FR"/>
        </w:rPr>
        <w:t> </w:t>
      </w:r>
      <w:r w:rsidR="002E3DF8" w:rsidRPr="00A37A84">
        <w:rPr>
          <w:lang w:val="fr-FR"/>
        </w:rPr>
        <w:t>indicateurs. Toutefois, seuls sept de ces indicateurs concernent les TIC. Ils portent sur</w:t>
      </w:r>
      <w:r w:rsidR="00155F10">
        <w:rPr>
          <w:lang w:val="fr-FR"/>
        </w:rPr>
        <w:t> </w:t>
      </w:r>
      <w:r w:rsidR="002E3DF8" w:rsidRPr="00A37A84">
        <w:rPr>
          <w:lang w:val="fr-FR"/>
        </w:rPr>
        <w:t xml:space="preserve">six cibles relevant des </w:t>
      </w:r>
      <w:r w:rsidR="00EF32CE" w:rsidRPr="00A37A84">
        <w:rPr>
          <w:lang w:val="fr-FR"/>
        </w:rPr>
        <w:t>ODD</w:t>
      </w:r>
      <w:r w:rsidR="002E3DF8" w:rsidRPr="00A37A84">
        <w:rPr>
          <w:lang w:val="fr-FR"/>
        </w:rPr>
        <w:t xml:space="preserve"> 4, 5, 9 et 17. Cinq des sept indicateurs sont collectés et diffusés par l</w:t>
      </w:r>
      <w:r w:rsidR="00163B5F" w:rsidRPr="00A37A84">
        <w:rPr>
          <w:lang w:val="fr-FR"/>
        </w:rPr>
        <w:t>'</w:t>
      </w:r>
      <w:r w:rsidR="002E3DF8" w:rsidRPr="00A37A84">
        <w:rPr>
          <w:lang w:val="fr-FR"/>
        </w:rPr>
        <w:t>UIT.</w:t>
      </w:r>
    </w:p>
    <w:p w14:paraId="5BD33EBF" w14:textId="0AFCAACF" w:rsidR="002E3DF8" w:rsidRPr="00A37A84" w:rsidRDefault="001405E3" w:rsidP="00672B67">
      <w:pPr>
        <w:pStyle w:val="enumlev1"/>
        <w:rPr>
          <w:lang w:val="fr-FR"/>
        </w:rPr>
      </w:pPr>
      <w:r w:rsidRPr="00A37A84">
        <w:rPr>
          <w:lang w:val="fr-FR"/>
        </w:rPr>
        <w:tab/>
      </w:r>
      <w:r w:rsidR="002E3DF8" w:rsidRPr="00A37A84">
        <w:rPr>
          <w:lang w:val="fr-FR"/>
        </w:rPr>
        <w:t>Il est important que tous les domaines dans lesquels les TIC ont un rôle à jouer soient mesurés et fassent l</w:t>
      </w:r>
      <w:r w:rsidR="00163B5F" w:rsidRPr="00A37A84">
        <w:rPr>
          <w:lang w:val="fr-FR"/>
        </w:rPr>
        <w:t>'</w:t>
      </w:r>
      <w:r w:rsidR="002E3DF8" w:rsidRPr="00A37A84">
        <w:rPr>
          <w:lang w:val="fr-FR"/>
        </w:rPr>
        <w:t>objet d</w:t>
      </w:r>
      <w:r w:rsidR="00163B5F" w:rsidRPr="00A37A84">
        <w:rPr>
          <w:lang w:val="fr-FR"/>
        </w:rPr>
        <w:t>'</w:t>
      </w:r>
      <w:r w:rsidR="002E3DF8" w:rsidRPr="00A37A84">
        <w:rPr>
          <w:lang w:val="fr-FR"/>
        </w:rPr>
        <w:t>un suivi. À cette fin, le Groupe d</w:t>
      </w:r>
      <w:r w:rsidR="00163B5F" w:rsidRPr="00A37A84">
        <w:rPr>
          <w:lang w:val="fr-FR"/>
        </w:rPr>
        <w:t>'</w:t>
      </w:r>
      <w:r w:rsidR="002E3DF8" w:rsidRPr="00A37A84">
        <w:rPr>
          <w:lang w:val="fr-FR"/>
        </w:rPr>
        <w:t>action sur les TIC au service des ODD, qui relève du Partenariat et dont la direction est assurée de manière conjointe par l</w:t>
      </w:r>
      <w:r w:rsidR="00163B5F" w:rsidRPr="00A37A84">
        <w:rPr>
          <w:lang w:val="fr-FR"/>
        </w:rPr>
        <w:t>'</w:t>
      </w:r>
      <w:r w:rsidR="002E3DF8" w:rsidRPr="00A37A84">
        <w:rPr>
          <w:lang w:val="fr-FR"/>
        </w:rPr>
        <w:t>UIT et le Département des affaires économiques et sociales (DAES) des Nations</w:t>
      </w:r>
      <w:r w:rsidR="00620F2B" w:rsidRPr="00A37A84">
        <w:rPr>
          <w:lang w:val="fr-FR"/>
        </w:rPr>
        <w:t> </w:t>
      </w:r>
      <w:r w:rsidR="002E3DF8" w:rsidRPr="00A37A84">
        <w:rPr>
          <w:lang w:val="fr-FR"/>
        </w:rPr>
        <w:t>Unies, a élaboré une liste thématique de 26 indicateurs des TIC</w:t>
      </w:r>
      <w:r w:rsidR="002E3DF8" w:rsidRPr="00A37A84">
        <w:rPr>
          <w:vertAlign w:val="superscript"/>
          <w:lang w:val="fr-FR"/>
        </w:rPr>
        <w:footnoteReference w:id="1"/>
      </w:r>
      <w:r w:rsidR="002E3DF8" w:rsidRPr="00A37A84">
        <w:rPr>
          <w:lang w:val="fr-FR"/>
        </w:rPr>
        <w:t xml:space="preserve"> qui peuvent être utilisés pour mesurer la disponibilité et l</w:t>
      </w:r>
      <w:r w:rsidR="00163B5F" w:rsidRPr="00A37A84">
        <w:rPr>
          <w:lang w:val="fr-FR"/>
        </w:rPr>
        <w:t>'</w:t>
      </w:r>
      <w:r w:rsidR="002E3DF8" w:rsidRPr="00A37A84">
        <w:rPr>
          <w:lang w:val="fr-FR"/>
        </w:rPr>
        <w:t>utilisation des TIC dans des secteurs pertinents au regard des ODD dont il n</w:t>
      </w:r>
      <w:r w:rsidR="00163B5F" w:rsidRPr="00A37A84">
        <w:rPr>
          <w:lang w:val="fr-FR"/>
        </w:rPr>
        <w:t>'</w:t>
      </w:r>
      <w:r w:rsidR="002E3DF8" w:rsidRPr="00A37A84">
        <w:rPr>
          <w:lang w:val="fr-FR"/>
        </w:rPr>
        <w:t xml:space="preserve">est pas tenu compte dans le cadre mondial pour les indicateurs des ODD. Les 26 indicateurs des TIC portent sur 27 cibles associées à 11 </w:t>
      </w:r>
      <w:r w:rsidR="00EF32CE" w:rsidRPr="00A37A84">
        <w:rPr>
          <w:lang w:val="fr-FR"/>
        </w:rPr>
        <w:t>ODD</w:t>
      </w:r>
      <w:r w:rsidR="002E3DF8" w:rsidRPr="00A37A84">
        <w:rPr>
          <w:lang w:val="fr-FR"/>
        </w:rPr>
        <w:t>. Le Partenariat a approuvé la liste thématique et l</w:t>
      </w:r>
      <w:r w:rsidR="00163B5F" w:rsidRPr="00A37A84">
        <w:rPr>
          <w:lang w:val="fr-FR"/>
        </w:rPr>
        <w:t>'</w:t>
      </w:r>
      <w:r w:rsidR="002E3DF8" w:rsidRPr="00A37A84">
        <w:rPr>
          <w:lang w:val="fr-FR"/>
        </w:rPr>
        <w:t>a soumise en vue de la 51ème session de la Commission des statistiques des Nations Unies, qui doit se tenir en mars 2020. Il est demandé à la Commission d</w:t>
      </w:r>
      <w:r w:rsidR="00163B5F" w:rsidRPr="00A37A84">
        <w:rPr>
          <w:lang w:val="fr-FR"/>
        </w:rPr>
        <w:t>'</w:t>
      </w:r>
      <w:r w:rsidR="002E3DF8" w:rsidRPr="00A37A84">
        <w:rPr>
          <w:lang w:val="fr-FR"/>
        </w:rPr>
        <w:t xml:space="preserve">approuver la liste thématique des indicateurs </w:t>
      </w:r>
      <w:r w:rsidR="00EF32CE" w:rsidRPr="00A37A84">
        <w:rPr>
          <w:lang w:val="fr-FR"/>
        </w:rPr>
        <w:t xml:space="preserve">des </w:t>
      </w:r>
      <w:r w:rsidR="002E3DF8" w:rsidRPr="00A37A84">
        <w:rPr>
          <w:lang w:val="fr-FR"/>
        </w:rPr>
        <w:t>TIC, afin de suivre les progrès réalisés dans la mise en œuvre du Programme de développement durable à l</w:t>
      </w:r>
      <w:r w:rsidR="00163B5F" w:rsidRPr="00A37A84">
        <w:rPr>
          <w:lang w:val="fr-FR"/>
        </w:rPr>
        <w:t>'</w:t>
      </w:r>
      <w:r w:rsidR="002E3DF8" w:rsidRPr="00A37A84">
        <w:rPr>
          <w:lang w:val="fr-FR"/>
        </w:rPr>
        <w:t xml:space="preserve">horizon 2030. </w:t>
      </w:r>
    </w:p>
    <w:p w14:paraId="521B08D1" w14:textId="6690A247" w:rsidR="002E3DF8" w:rsidRPr="00A37A84" w:rsidRDefault="001405E3" w:rsidP="00672B67">
      <w:pPr>
        <w:pStyle w:val="enumlev1"/>
        <w:rPr>
          <w:lang w:val="fr-FR"/>
        </w:rPr>
      </w:pPr>
      <w:r w:rsidRPr="00A37A84">
        <w:rPr>
          <w:b/>
          <w:lang w:val="fr-FR"/>
        </w:rPr>
        <w:tab/>
      </w:r>
      <w:r w:rsidR="002E3DF8" w:rsidRPr="00A37A84">
        <w:rPr>
          <w:b/>
          <w:lang w:val="fr-FR"/>
        </w:rPr>
        <w:t>Mesure</w:t>
      </w:r>
      <w:r w:rsidR="002E3DF8" w:rsidRPr="00155F10">
        <w:rPr>
          <w:bCs/>
          <w:lang w:val="fr-FR"/>
        </w:rPr>
        <w:t>:</w:t>
      </w:r>
      <w:r w:rsidR="002E3DF8" w:rsidRPr="00A37A84">
        <w:rPr>
          <w:lang w:val="fr-FR"/>
        </w:rPr>
        <w:t xml:space="preserve"> </w:t>
      </w:r>
      <w:r w:rsidR="00155F10">
        <w:rPr>
          <w:lang w:val="fr-FR"/>
        </w:rPr>
        <w:t>C</w:t>
      </w:r>
      <w:r w:rsidR="002E3DF8" w:rsidRPr="00A37A84">
        <w:rPr>
          <w:lang w:val="fr-FR"/>
        </w:rPr>
        <w:t xml:space="preserve">onformément aux résultats du SMSI, le BDT continue de favoriser les échanges de vues au niveau international concernant la mesure des TIC au service du développement. En 2019, le BDT a publié le rapport </w:t>
      </w:r>
      <w:r w:rsidR="00163B5F" w:rsidRPr="00A37A84">
        <w:rPr>
          <w:lang w:val="fr-FR"/>
        </w:rPr>
        <w:t>"</w:t>
      </w:r>
      <w:r w:rsidR="002E3DF8" w:rsidRPr="00A37A84">
        <w:rPr>
          <w:i/>
          <w:iCs/>
          <w:lang w:val="fr-FR"/>
        </w:rPr>
        <w:t>Measuring digital development: Facts and figures 2019</w:t>
      </w:r>
      <w:r w:rsidR="00163B5F" w:rsidRPr="00A37A84">
        <w:rPr>
          <w:lang w:val="fr-FR"/>
        </w:rPr>
        <w:t>"</w:t>
      </w:r>
      <w:r w:rsidR="002E3DF8" w:rsidRPr="00A37A84">
        <w:rPr>
          <w:lang w:val="fr-FR"/>
        </w:rPr>
        <w:t xml:space="preserve"> (Mesurer le développement numérique: faits et chiffres 2019). Cette première édition de la nouvelle série de publications </w:t>
      </w:r>
      <w:r w:rsidR="00163B5F" w:rsidRPr="00A37A84">
        <w:rPr>
          <w:lang w:val="fr-FR"/>
        </w:rPr>
        <w:t>"</w:t>
      </w:r>
      <w:r w:rsidR="002E3DF8" w:rsidRPr="00A37A84">
        <w:rPr>
          <w:i/>
          <w:iCs/>
          <w:lang w:val="fr-FR"/>
        </w:rPr>
        <w:t>Measuring digital development</w:t>
      </w:r>
      <w:r w:rsidR="00163B5F" w:rsidRPr="00A37A84">
        <w:rPr>
          <w:lang w:val="fr-FR"/>
        </w:rPr>
        <w:t>"</w:t>
      </w:r>
      <w:r w:rsidR="002E3DF8" w:rsidRPr="00A37A84">
        <w:rPr>
          <w:lang w:val="fr-FR"/>
        </w:rPr>
        <w:t xml:space="preserve"> donne un aperçu des indicateurs des TIC les plus importants, notamment des estimations pour 2019. Le Colloque mondial sur les indicateurs des télécommunications/TIC dans le monde (WTIS) est la principale tribune mondiale consacrée à la mesure des télécommunications et de la société de l</w:t>
      </w:r>
      <w:r w:rsidR="00163B5F" w:rsidRPr="00A37A84">
        <w:rPr>
          <w:lang w:val="fr-FR"/>
        </w:rPr>
        <w:t>'</w:t>
      </w:r>
      <w:r w:rsidR="002E3DF8" w:rsidRPr="00A37A84">
        <w:rPr>
          <w:lang w:val="fr-FR"/>
        </w:rPr>
        <w:t>information. L</w:t>
      </w:r>
      <w:r w:rsidR="00163B5F" w:rsidRPr="00A37A84">
        <w:rPr>
          <w:lang w:val="fr-FR"/>
        </w:rPr>
        <w:t>'</w:t>
      </w:r>
      <w:r w:rsidR="002E3DF8" w:rsidRPr="00A37A84">
        <w:rPr>
          <w:lang w:val="fr-FR"/>
        </w:rPr>
        <w:t xml:space="preserve">édition de 2020 du </w:t>
      </w:r>
      <w:r w:rsidR="00EF32CE" w:rsidRPr="00A37A84">
        <w:rPr>
          <w:lang w:val="fr-FR"/>
        </w:rPr>
        <w:t>WTIS</w:t>
      </w:r>
      <w:r w:rsidR="002E3DF8" w:rsidRPr="00A37A84">
        <w:rPr>
          <w:lang w:val="fr-FR"/>
        </w:rPr>
        <w:t xml:space="preserve"> aura lieu à Genève (Suisse) du 15 au 17 avril 2020.</w:t>
      </w:r>
    </w:p>
    <w:p w14:paraId="722E1530" w14:textId="4FB28DDD" w:rsidR="002E3DF8" w:rsidRPr="00A37A84" w:rsidRDefault="001405E3" w:rsidP="00672B67">
      <w:pPr>
        <w:pStyle w:val="enumlev1"/>
        <w:rPr>
          <w:lang w:val="fr-FR"/>
        </w:rPr>
      </w:pPr>
      <w:r w:rsidRPr="00A37A84">
        <w:rPr>
          <w:bCs/>
          <w:lang w:val="fr-FR"/>
        </w:rPr>
        <w:t>c)</w:t>
      </w:r>
      <w:r w:rsidRPr="00A37A84">
        <w:rPr>
          <w:b/>
          <w:lang w:val="fr-FR"/>
        </w:rPr>
        <w:tab/>
      </w:r>
      <w:r w:rsidR="002E3DF8" w:rsidRPr="00A37A84">
        <w:rPr>
          <w:b/>
          <w:lang w:val="fr-FR"/>
        </w:rPr>
        <w:t>Forum du SMSI</w:t>
      </w:r>
      <w:r w:rsidR="002E3DF8" w:rsidRPr="00A37A84">
        <w:rPr>
          <w:lang w:val="fr-FR"/>
        </w:rPr>
        <w:t xml:space="preserve">: </w:t>
      </w:r>
      <w:r w:rsidR="00155F10">
        <w:rPr>
          <w:lang w:val="fr-FR"/>
        </w:rPr>
        <w:t>L</w:t>
      </w:r>
      <w:r w:rsidR="002E3DF8" w:rsidRPr="00A37A84">
        <w:rPr>
          <w:lang w:val="fr-FR"/>
        </w:rPr>
        <w:t>e BDT a contribué au processus préparatoire et à l</w:t>
      </w:r>
      <w:r w:rsidR="00163B5F" w:rsidRPr="00A37A84">
        <w:rPr>
          <w:lang w:val="fr-FR"/>
        </w:rPr>
        <w:t>'</w:t>
      </w:r>
      <w:r w:rsidR="002E3DF8" w:rsidRPr="00A37A84">
        <w:rPr>
          <w:lang w:val="fr-FR"/>
        </w:rPr>
        <w:t>organisation de l</w:t>
      </w:r>
      <w:r w:rsidR="00163B5F" w:rsidRPr="00A37A84">
        <w:rPr>
          <w:lang w:val="fr-FR"/>
        </w:rPr>
        <w:t>'</w:t>
      </w:r>
      <w:r w:rsidR="002E3DF8" w:rsidRPr="00A37A84">
        <w:rPr>
          <w:lang w:val="fr-FR"/>
        </w:rPr>
        <w:t xml:space="preserve">édition de </w:t>
      </w:r>
      <w:r w:rsidR="00EF32CE" w:rsidRPr="00A37A84">
        <w:rPr>
          <w:lang w:val="fr-FR"/>
        </w:rPr>
        <w:t>2019</w:t>
      </w:r>
      <w:r w:rsidR="002E3DF8" w:rsidRPr="00A37A84">
        <w:rPr>
          <w:lang w:val="fr-FR"/>
        </w:rPr>
        <w:t xml:space="preserve"> du Forum du SMSI, qui s</w:t>
      </w:r>
      <w:r w:rsidR="00163B5F" w:rsidRPr="00A37A84">
        <w:rPr>
          <w:lang w:val="fr-FR"/>
        </w:rPr>
        <w:t>'</w:t>
      </w:r>
      <w:r w:rsidR="002E3DF8" w:rsidRPr="00A37A84">
        <w:rPr>
          <w:lang w:val="fr-FR"/>
        </w:rPr>
        <w:t>est tenue du 8 au 12 avril, et a dirigé plusieurs axes thématiques du Forum, tout en encourageant l</w:t>
      </w:r>
      <w:r w:rsidR="00163B5F" w:rsidRPr="00A37A84">
        <w:rPr>
          <w:lang w:val="fr-FR"/>
        </w:rPr>
        <w:t>'</w:t>
      </w:r>
      <w:r w:rsidR="002E3DF8" w:rsidRPr="00A37A84">
        <w:rPr>
          <w:lang w:val="fr-FR"/>
        </w:rPr>
        <w:t xml:space="preserve">établissement de partenariats et la création de projets, comme indiqué dans le </w:t>
      </w:r>
      <w:hyperlink r:id="rId12" w:history="1">
        <w:r w:rsidR="002E3DF8" w:rsidRPr="00A37A84">
          <w:rPr>
            <w:rStyle w:val="Hyperlink"/>
            <w:lang w:val="fr-FR"/>
          </w:rPr>
          <w:t xml:space="preserve">document </w:t>
        </w:r>
        <w:r w:rsidR="002E3DF8" w:rsidRPr="00A37A84">
          <w:rPr>
            <w:rStyle w:val="Hyperlink"/>
            <w:lang w:val="fr-FR"/>
          </w:rPr>
          <w:t>f</w:t>
        </w:r>
        <w:r w:rsidR="002E3DF8" w:rsidRPr="00A37A84">
          <w:rPr>
            <w:rStyle w:val="Hyperlink"/>
            <w:lang w:val="fr-FR"/>
          </w:rPr>
          <w:t>inal</w:t>
        </w:r>
      </w:hyperlink>
      <w:r w:rsidR="002E3DF8" w:rsidRPr="00A37A84">
        <w:rPr>
          <w:lang w:val="fr-FR"/>
        </w:rPr>
        <w:t>. En 2020, le programme du Forum du SMSI, qui se tiendra du 6 au 9 avril à Genève (Suisse)</w:t>
      </w:r>
      <w:r w:rsidR="00C35CE4" w:rsidRPr="00A37A84">
        <w:rPr>
          <w:lang w:val="fr-FR"/>
        </w:rPr>
        <w:t>,</w:t>
      </w:r>
      <w:r w:rsidR="002E3DF8" w:rsidRPr="00A37A84">
        <w:rPr>
          <w:lang w:val="fr-FR"/>
        </w:rPr>
        <w:t xml:space="preserve"> comportera également une série de sessions dirigées par le BDT, parmi lesquelles on peut citer les activités suivantes:</w:t>
      </w:r>
    </w:p>
    <w:p w14:paraId="6CEFB56A" w14:textId="6E2DA17D" w:rsidR="002E3DF8" w:rsidRPr="00A37A84" w:rsidRDefault="001405E3" w:rsidP="000D45A6">
      <w:pPr>
        <w:pStyle w:val="enumlev2"/>
        <w:rPr>
          <w:lang w:val="fr-FR"/>
        </w:rPr>
      </w:pPr>
      <w:r w:rsidRPr="00A37A84">
        <w:rPr>
          <w:lang w:val="fr-FR"/>
        </w:rPr>
        <w:t>–</w:t>
      </w:r>
      <w:r w:rsidRPr="00A37A84">
        <w:rPr>
          <w:lang w:val="fr-FR"/>
        </w:rPr>
        <w:tab/>
      </w:r>
      <w:r w:rsidR="002E3DF8" w:rsidRPr="00A37A84">
        <w:rPr>
          <w:lang w:val="fr-FR"/>
        </w:rPr>
        <w:t>Réunions de coordination des grandes orientations du SMSI</w:t>
      </w:r>
      <w:r w:rsidR="00620F2B" w:rsidRPr="00A37A84">
        <w:rPr>
          <w:lang w:val="fr-FR"/>
        </w:rPr>
        <w:t>:</w:t>
      </w:r>
    </w:p>
    <w:p w14:paraId="430FA1C3" w14:textId="1A316D6A"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C2 du SMSI: Infrastructure des TIC</w:t>
      </w:r>
      <w:r w:rsidR="00620F2B" w:rsidRPr="00A37A84">
        <w:rPr>
          <w:lang w:val="fr-FR"/>
        </w:rPr>
        <w:t>.</w:t>
      </w:r>
    </w:p>
    <w:p w14:paraId="49BD923A" w14:textId="753F4768"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C4 du SMSI: Renforcement des capacités</w:t>
      </w:r>
      <w:r w:rsidR="00620F2B" w:rsidRPr="00A37A84">
        <w:rPr>
          <w:lang w:val="fr-FR"/>
        </w:rPr>
        <w:t>.</w:t>
      </w:r>
    </w:p>
    <w:p w14:paraId="089F937D" w14:textId="17A36110"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C5 du SMSI: Cybersécurité (rôle de contributeur, session dirigée par le Département SPM)</w:t>
      </w:r>
      <w:r w:rsidR="00620F2B" w:rsidRPr="00A37A84">
        <w:rPr>
          <w:lang w:val="fr-FR"/>
        </w:rPr>
        <w:t>.</w:t>
      </w:r>
    </w:p>
    <w:p w14:paraId="6CE9E2C5" w14:textId="71CF5516"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C6 du SMSI: Créer un environnement propice</w:t>
      </w:r>
      <w:r w:rsidR="00620F2B" w:rsidRPr="00A37A84">
        <w:rPr>
          <w:lang w:val="fr-FR"/>
        </w:rPr>
        <w:t>.</w:t>
      </w:r>
    </w:p>
    <w:p w14:paraId="63ADA0E4" w14:textId="3A0028A0"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C7 du SMSI: Déchets d</w:t>
      </w:r>
      <w:r w:rsidR="00163B5F" w:rsidRPr="00A37A84">
        <w:rPr>
          <w:lang w:val="fr-FR"/>
        </w:rPr>
        <w:t>'</w:t>
      </w:r>
      <w:r w:rsidR="002E3DF8" w:rsidRPr="00A37A84">
        <w:rPr>
          <w:lang w:val="fr-FR"/>
        </w:rPr>
        <w:t>équipements électriques et électroniques (UIT/PNUE)</w:t>
      </w:r>
      <w:r w:rsidR="00620F2B" w:rsidRPr="00A37A84">
        <w:rPr>
          <w:lang w:val="fr-FR"/>
        </w:rPr>
        <w:t>.</w:t>
      </w:r>
    </w:p>
    <w:p w14:paraId="17023873" w14:textId="332350E0"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C7 du SMSI: Cyberécologie (UIT/OMM)</w:t>
      </w:r>
      <w:r w:rsidR="00620F2B" w:rsidRPr="00A37A84">
        <w:rPr>
          <w:lang w:val="fr-FR"/>
        </w:rPr>
        <w:t>.</w:t>
      </w:r>
    </w:p>
    <w:p w14:paraId="4B3C63A7" w14:textId="6CE2778A"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C7 du SMSI: Cyberagriculture (UIT/FAO)</w:t>
      </w:r>
      <w:r w:rsidR="00620F2B" w:rsidRPr="00A37A84">
        <w:rPr>
          <w:lang w:val="fr-FR"/>
        </w:rPr>
        <w:t>.</w:t>
      </w:r>
    </w:p>
    <w:p w14:paraId="66C7C945" w14:textId="4710E4FD"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C7 du SMSI: Cybersanté (UIT/OMS)</w:t>
      </w:r>
      <w:r w:rsidR="00620F2B" w:rsidRPr="00A37A84">
        <w:rPr>
          <w:lang w:val="fr-FR"/>
        </w:rPr>
        <w:t>.</w:t>
      </w:r>
    </w:p>
    <w:p w14:paraId="19814079" w14:textId="6799219B" w:rsidR="002E3DF8" w:rsidRPr="00A37A84" w:rsidRDefault="001405E3" w:rsidP="000D45A6">
      <w:pPr>
        <w:pStyle w:val="enumlev2"/>
        <w:rPr>
          <w:lang w:val="fr-FR"/>
        </w:rPr>
      </w:pPr>
      <w:r w:rsidRPr="00A37A84">
        <w:rPr>
          <w:lang w:val="fr-FR"/>
        </w:rPr>
        <w:t>–</w:t>
      </w:r>
      <w:r w:rsidRPr="00A37A84">
        <w:rPr>
          <w:lang w:val="fr-FR"/>
        </w:rPr>
        <w:tab/>
      </w:r>
      <w:r w:rsidR="002E3DF8" w:rsidRPr="00A37A84">
        <w:rPr>
          <w:lang w:val="fr-FR"/>
        </w:rPr>
        <w:t>Dialogue de haut niveau</w:t>
      </w:r>
      <w:r w:rsidR="00620F2B" w:rsidRPr="00A37A84">
        <w:rPr>
          <w:lang w:val="fr-FR"/>
        </w:rPr>
        <w:t>:</w:t>
      </w:r>
    </w:p>
    <w:p w14:paraId="0E9324B9" w14:textId="78AB3868"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Sauver des vies en situation de catastrophe au moyen des TIC</w:t>
      </w:r>
      <w:r w:rsidR="00620F2B" w:rsidRPr="00A37A84">
        <w:rPr>
          <w:lang w:val="fr-FR"/>
        </w:rPr>
        <w:t>.</w:t>
      </w:r>
    </w:p>
    <w:p w14:paraId="3DF47A9D" w14:textId="5B9FECB5" w:rsidR="002E3DF8" w:rsidRPr="00A37A84" w:rsidRDefault="001405E3" w:rsidP="000D45A6">
      <w:pPr>
        <w:pStyle w:val="enumlev2"/>
        <w:rPr>
          <w:lang w:val="fr-FR"/>
        </w:rPr>
      </w:pPr>
      <w:r w:rsidRPr="00A37A84">
        <w:rPr>
          <w:lang w:val="fr-FR"/>
        </w:rPr>
        <w:t>–</w:t>
      </w:r>
      <w:r w:rsidRPr="00A37A84">
        <w:rPr>
          <w:lang w:val="fr-FR"/>
        </w:rPr>
        <w:tab/>
      </w:r>
      <w:r w:rsidR="002E3DF8" w:rsidRPr="00A37A84">
        <w:rPr>
          <w:lang w:val="fr-FR"/>
        </w:rPr>
        <w:t>Réunion annuelle du Partenariat sur la mesure des TIC au service du développement</w:t>
      </w:r>
      <w:r w:rsidR="00620F2B" w:rsidRPr="00A37A84">
        <w:rPr>
          <w:lang w:val="fr-FR"/>
        </w:rPr>
        <w:t>.</w:t>
      </w:r>
    </w:p>
    <w:p w14:paraId="6710B5B8" w14:textId="1EEFA022" w:rsidR="002E3DF8" w:rsidRPr="00A37A84" w:rsidRDefault="001405E3" w:rsidP="000D45A6">
      <w:pPr>
        <w:pStyle w:val="enumlev2"/>
        <w:rPr>
          <w:lang w:val="fr-FR"/>
        </w:rPr>
      </w:pPr>
      <w:r w:rsidRPr="00A37A84">
        <w:rPr>
          <w:lang w:val="fr-FR"/>
        </w:rPr>
        <w:t>–</w:t>
      </w:r>
      <w:r w:rsidRPr="00A37A84">
        <w:rPr>
          <w:lang w:val="fr-FR"/>
        </w:rPr>
        <w:tab/>
      </w:r>
      <w:r w:rsidR="002E3DF8" w:rsidRPr="00A37A84">
        <w:rPr>
          <w:lang w:val="fr-FR"/>
        </w:rPr>
        <w:t>Thématiques spéciales</w:t>
      </w:r>
      <w:r w:rsidR="00620F2B" w:rsidRPr="00A37A84">
        <w:rPr>
          <w:lang w:val="fr-FR"/>
        </w:rPr>
        <w:t>:</w:t>
      </w:r>
    </w:p>
    <w:p w14:paraId="07184823" w14:textId="69DF053A"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Thématique du Forum du SMSI sur l</w:t>
      </w:r>
      <w:r w:rsidR="00163B5F" w:rsidRPr="00A37A84">
        <w:rPr>
          <w:lang w:val="fr-FR"/>
        </w:rPr>
        <w:t>'</w:t>
      </w:r>
      <w:r w:rsidR="002E3DF8" w:rsidRPr="00A37A84">
        <w:rPr>
          <w:lang w:val="fr-FR"/>
        </w:rPr>
        <w:t>innovation</w:t>
      </w:r>
      <w:r w:rsidR="00620F2B" w:rsidRPr="00A37A84">
        <w:rPr>
          <w:lang w:val="fr-FR"/>
        </w:rPr>
        <w:t>.</w:t>
      </w:r>
    </w:p>
    <w:p w14:paraId="49941698" w14:textId="2BD869D9"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Thématique sur le sport</w:t>
      </w:r>
      <w:r w:rsidR="00620F2B" w:rsidRPr="00A37A84">
        <w:rPr>
          <w:lang w:val="fr-FR"/>
        </w:rPr>
        <w:t>.</w:t>
      </w:r>
    </w:p>
    <w:p w14:paraId="5133A1AE" w14:textId="3D8FAB7B"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Thématique sur l</w:t>
      </w:r>
      <w:r w:rsidR="00163B5F" w:rsidRPr="00A37A84">
        <w:rPr>
          <w:lang w:val="fr-FR"/>
        </w:rPr>
        <w:t>'</w:t>
      </w:r>
      <w:r w:rsidR="002E3DF8" w:rsidRPr="00A37A84">
        <w:rPr>
          <w:lang w:val="fr-FR"/>
        </w:rPr>
        <w:t>accessibilité</w:t>
      </w:r>
      <w:r w:rsidR="00620F2B" w:rsidRPr="00A37A84">
        <w:rPr>
          <w:lang w:val="fr-FR"/>
        </w:rPr>
        <w:t>.</w:t>
      </w:r>
    </w:p>
    <w:p w14:paraId="44CE6F98" w14:textId="5E2D2653" w:rsidR="002E3DF8" w:rsidRPr="00A37A84" w:rsidRDefault="002E3DF8" w:rsidP="00672B67">
      <w:pPr>
        <w:rPr>
          <w:lang w:val="fr-FR"/>
        </w:rPr>
      </w:pPr>
      <w:r w:rsidRPr="00A37A84">
        <w:rPr>
          <w:lang w:val="fr-FR"/>
        </w:rPr>
        <w:t>En outre, le BDT organisera divers ateliers et sessions thématiques sur l</w:t>
      </w:r>
      <w:r w:rsidR="00163B5F" w:rsidRPr="00A37A84">
        <w:rPr>
          <w:lang w:val="fr-FR"/>
        </w:rPr>
        <w:t>'</w:t>
      </w:r>
      <w:r w:rsidRPr="00A37A84">
        <w:rPr>
          <w:lang w:val="fr-FR"/>
        </w:rPr>
        <w:t xml:space="preserve">égalité hommes-femmes, la protection en ligne des enfants, la connectivité dans les écoles, la radiodiffusion et les compétences numériques, entre autres sujets. </w:t>
      </w:r>
      <w:r w:rsidR="00EF32CE" w:rsidRPr="00A37A84">
        <w:rPr>
          <w:lang w:val="fr-FR"/>
        </w:rPr>
        <w:t>Il</w:t>
      </w:r>
      <w:r w:rsidRPr="00A37A84">
        <w:rPr>
          <w:lang w:val="fr-FR"/>
        </w:rPr>
        <w:t xml:space="preserve"> contribuera également à une série de dialogues interactifs de haut niveau, aux réunions de coordination sur l</w:t>
      </w:r>
      <w:r w:rsidR="00EF32CE" w:rsidRPr="00A37A84">
        <w:rPr>
          <w:lang w:val="fr-FR"/>
        </w:rPr>
        <w:t>es</w:t>
      </w:r>
      <w:r w:rsidRPr="00A37A84">
        <w:rPr>
          <w:lang w:val="fr-FR"/>
        </w:rPr>
        <w:t xml:space="preserve"> grande</w:t>
      </w:r>
      <w:r w:rsidR="00EF32CE" w:rsidRPr="00A37A84">
        <w:rPr>
          <w:lang w:val="fr-FR"/>
        </w:rPr>
        <w:t>s</w:t>
      </w:r>
      <w:r w:rsidRPr="00A37A84">
        <w:rPr>
          <w:lang w:val="fr-FR"/>
        </w:rPr>
        <w:t xml:space="preserve"> orientation</w:t>
      </w:r>
      <w:r w:rsidR="00EF32CE" w:rsidRPr="00A37A84">
        <w:rPr>
          <w:lang w:val="fr-FR"/>
        </w:rPr>
        <w:t>s</w:t>
      </w:r>
      <w:r w:rsidRPr="00A37A84">
        <w:rPr>
          <w:lang w:val="fr-FR"/>
        </w:rPr>
        <w:t xml:space="preserve"> C1 (rôle des gouvernements), C11 (coopération internationale) et C7 (cyberscience, cyberapprentissage, cybergouvernement) du SMSI, ainsi qu</w:t>
      </w:r>
      <w:r w:rsidR="00163B5F" w:rsidRPr="00A37A84">
        <w:rPr>
          <w:lang w:val="fr-FR"/>
        </w:rPr>
        <w:t>'</w:t>
      </w:r>
      <w:r w:rsidRPr="00A37A84">
        <w:rPr>
          <w:lang w:val="fr-FR"/>
        </w:rPr>
        <w:t>à la réunion des coordonnateurs des grandes orientations du SMSI.</w:t>
      </w:r>
    </w:p>
    <w:p w14:paraId="3E9BFCD3" w14:textId="3391D6DA" w:rsidR="002E3DF8" w:rsidRPr="00A37A84" w:rsidRDefault="001405E3" w:rsidP="00672B67">
      <w:pPr>
        <w:pStyle w:val="enumlev1"/>
        <w:rPr>
          <w:lang w:val="fr-FR"/>
        </w:rPr>
      </w:pPr>
      <w:r w:rsidRPr="00A37A84">
        <w:rPr>
          <w:bCs/>
          <w:lang w:val="fr-FR"/>
        </w:rPr>
        <w:t>d)</w:t>
      </w:r>
      <w:r w:rsidRPr="00A37A84">
        <w:rPr>
          <w:bCs/>
          <w:lang w:val="fr-FR"/>
        </w:rPr>
        <w:tab/>
      </w:r>
      <w:r w:rsidR="002E3DF8" w:rsidRPr="00A37A84">
        <w:rPr>
          <w:b/>
          <w:lang w:val="fr-FR"/>
        </w:rPr>
        <w:t>Prix du SMSI</w:t>
      </w:r>
      <w:r w:rsidR="002E3DF8" w:rsidRPr="00155F10">
        <w:rPr>
          <w:bCs/>
          <w:lang w:val="fr-FR"/>
        </w:rPr>
        <w:t>:</w:t>
      </w:r>
      <w:r w:rsidR="002E3DF8" w:rsidRPr="00A37A84">
        <w:rPr>
          <w:b/>
          <w:lang w:val="fr-FR"/>
        </w:rPr>
        <w:t xml:space="preserve"> </w:t>
      </w:r>
      <w:r w:rsidR="002E3DF8" w:rsidRPr="00A37A84">
        <w:rPr>
          <w:lang w:val="fr-FR"/>
        </w:rPr>
        <w:t>Le BDT continue de jouer un rôle important au sein de la commission chargée d</w:t>
      </w:r>
      <w:r w:rsidR="00163B5F" w:rsidRPr="00A37A84">
        <w:rPr>
          <w:lang w:val="fr-FR"/>
        </w:rPr>
        <w:t>'</w:t>
      </w:r>
      <w:r w:rsidR="002E3DF8" w:rsidRPr="00A37A84">
        <w:rPr>
          <w:lang w:val="fr-FR"/>
        </w:rPr>
        <w:t>étudier les dossiers des candidats au</w:t>
      </w:r>
      <w:r w:rsidR="00C35CE4" w:rsidRPr="00A37A84">
        <w:rPr>
          <w:lang w:val="fr-FR"/>
        </w:rPr>
        <w:t>x</w:t>
      </w:r>
      <w:r w:rsidR="002E3DF8" w:rsidRPr="00A37A84">
        <w:rPr>
          <w:lang w:val="fr-FR"/>
        </w:rPr>
        <w:t xml:space="preserve"> prix du SMSI et dans les activités de suivi liées à l</w:t>
      </w:r>
      <w:r w:rsidR="00163B5F" w:rsidRPr="00A37A84">
        <w:rPr>
          <w:lang w:val="fr-FR"/>
        </w:rPr>
        <w:t>'</w:t>
      </w:r>
      <w:r w:rsidR="002E3DF8" w:rsidRPr="00A37A84">
        <w:rPr>
          <w:lang w:val="fr-FR"/>
        </w:rPr>
        <w:t>établissement de partenariats et à l</w:t>
      </w:r>
      <w:r w:rsidR="00163B5F" w:rsidRPr="00A37A84">
        <w:rPr>
          <w:lang w:val="fr-FR"/>
        </w:rPr>
        <w:t>'</w:t>
      </w:r>
      <w:r w:rsidR="002E3DF8" w:rsidRPr="00A37A84">
        <w:rPr>
          <w:lang w:val="fr-FR"/>
        </w:rPr>
        <w:t>échange de bonnes pratiques. Dix-huit prix du</w:t>
      </w:r>
      <w:r w:rsidR="00155F10">
        <w:rPr>
          <w:lang w:val="fr-FR"/>
        </w:rPr>
        <w:t> </w:t>
      </w:r>
      <w:r w:rsidR="002E3DF8" w:rsidRPr="00A37A84">
        <w:rPr>
          <w:lang w:val="fr-FR"/>
        </w:rPr>
        <w:t>SMSI sont décernés chaque année</w:t>
      </w:r>
      <w:r w:rsidR="00C35CE4" w:rsidRPr="00A37A84">
        <w:rPr>
          <w:lang w:val="fr-FR"/>
        </w:rPr>
        <w:t>,</w:t>
      </w:r>
      <w:r w:rsidR="002E3DF8" w:rsidRPr="00A37A84">
        <w:rPr>
          <w:lang w:val="fr-FR"/>
        </w:rPr>
        <w:t xml:space="preserve"> et un hommage particulier est rendu aux lauréats pour leur contribution aux grandes orientations du SMSI en tant que coordonnateurs. En</w:t>
      </w:r>
      <w:r w:rsidR="00155F10">
        <w:rPr>
          <w:lang w:val="fr-FR"/>
        </w:rPr>
        <w:t> </w:t>
      </w:r>
      <w:r w:rsidR="002E3DF8" w:rsidRPr="00A37A84">
        <w:rPr>
          <w:lang w:val="fr-FR"/>
        </w:rPr>
        <w:t>2020, plus de 800 projets relatifs aux TIC au service des ODD ont été examinés et nominés pour la phase de vote, grâce à la contribution du BDT.</w:t>
      </w:r>
    </w:p>
    <w:p w14:paraId="013F05FE" w14:textId="1F2AFF32" w:rsidR="002E3DF8" w:rsidRPr="00A37A84" w:rsidRDefault="001405E3" w:rsidP="00672B67">
      <w:pPr>
        <w:pStyle w:val="enumlev1"/>
        <w:rPr>
          <w:lang w:val="fr-FR"/>
        </w:rPr>
      </w:pPr>
      <w:r w:rsidRPr="00A37A84">
        <w:rPr>
          <w:bCs/>
          <w:lang w:val="fr-FR"/>
        </w:rPr>
        <w:t>e)</w:t>
      </w:r>
      <w:r w:rsidRPr="00A37A84">
        <w:rPr>
          <w:bCs/>
          <w:lang w:val="fr-FR"/>
        </w:rPr>
        <w:tab/>
      </w:r>
      <w:r w:rsidR="002E3DF8" w:rsidRPr="00A37A84">
        <w:rPr>
          <w:b/>
          <w:lang w:val="fr-FR"/>
        </w:rPr>
        <w:t>Commissions d</w:t>
      </w:r>
      <w:r w:rsidR="00163B5F" w:rsidRPr="00A37A84">
        <w:rPr>
          <w:b/>
          <w:lang w:val="fr-FR"/>
        </w:rPr>
        <w:t>'</w:t>
      </w:r>
      <w:r w:rsidR="002E3DF8" w:rsidRPr="00A37A84">
        <w:rPr>
          <w:b/>
          <w:lang w:val="fr-FR"/>
        </w:rPr>
        <w:t>études de l</w:t>
      </w:r>
      <w:r w:rsidR="00163B5F" w:rsidRPr="00A37A84">
        <w:rPr>
          <w:b/>
          <w:lang w:val="fr-FR"/>
        </w:rPr>
        <w:t>'</w:t>
      </w:r>
      <w:r w:rsidR="002E3DF8" w:rsidRPr="00A37A84">
        <w:rPr>
          <w:b/>
          <w:lang w:val="fr-FR"/>
        </w:rPr>
        <w:t>UIT-D</w:t>
      </w:r>
      <w:r w:rsidR="002E3DF8" w:rsidRPr="00A37A84">
        <w:rPr>
          <w:lang w:val="fr-FR"/>
        </w:rPr>
        <w:t>: À la suite de la CMDT-17, les Questions confiées aux Commissions d</w:t>
      </w:r>
      <w:r w:rsidR="00163B5F" w:rsidRPr="00A37A84">
        <w:rPr>
          <w:lang w:val="fr-FR"/>
        </w:rPr>
        <w:t>'</w:t>
      </w:r>
      <w:r w:rsidR="002E3DF8" w:rsidRPr="00A37A84">
        <w:rPr>
          <w:lang w:val="fr-FR"/>
        </w:rPr>
        <w:t>études de l</w:t>
      </w:r>
      <w:r w:rsidR="00163B5F" w:rsidRPr="00A37A84">
        <w:rPr>
          <w:lang w:val="fr-FR"/>
        </w:rPr>
        <w:t>'</w:t>
      </w:r>
      <w:r w:rsidR="002E3DF8" w:rsidRPr="00A37A84">
        <w:rPr>
          <w:lang w:val="fr-FR"/>
        </w:rPr>
        <w:t xml:space="preserve">UIT-D ont été mises en correspondance avec les grandes orientations du SMSI et les ODD, afin de fournir des orientations supplémentaires sur la contribution que pourraient apporter </w:t>
      </w:r>
      <w:r w:rsidR="00EF32CE" w:rsidRPr="00A37A84">
        <w:rPr>
          <w:lang w:val="fr-FR"/>
        </w:rPr>
        <w:t>l</w:t>
      </w:r>
      <w:r w:rsidR="002E3DF8" w:rsidRPr="00A37A84">
        <w:rPr>
          <w:lang w:val="fr-FR"/>
        </w:rPr>
        <w:t>es commissions d</w:t>
      </w:r>
      <w:r w:rsidR="00163B5F" w:rsidRPr="00A37A84">
        <w:rPr>
          <w:lang w:val="fr-FR"/>
        </w:rPr>
        <w:t>'</w:t>
      </w:r>
      <w:r w:rsidR="002E3DF8" w:rsidRPr="00A37A84">
        <w:rPr>
          <w:lang w:val="fr-FR"/>
        </w:rPr>
        <w:t>études aux deux processus (voir l</w:t>
      </w:r>
      <w:r w:rsidR="00163B5F" w:rsidRPr="00A37A84">
        <w:rPr>
          <w:lang w:val="fr-FR"/>
        </w:rPr>
        <w:t>'</w:t>
      </w:r>
      <w:r w:rsidR="00EF32CE" w:rsidRPr="00A37A84">
        <w:rPr>
          <w:lang w:val="fr-FR"/>
        </w:rPr>
        <w:t>A</w:t>
      </w:r>
      <w:r w:rsidR="002E3DF8" w:rsidRPr="00A37A84">
        <w:rPr>
          <w:lang w:val="fr-FR"/>
        </w:rPr>
        <w:t xml:space="preserve">nnexe 2). </w:t>
      </w:r>
      <w:r w:rsidR="002E3DF8" w:rsidRPr="00A37A84">
        <w:rPr>
          <w:bCs/>
          <w:lang w:val="fr-FR"/>
        </w:rPr>
        <w:t>Les Commissions d</w:t>
      </w:r>
      <w:r w:rsidR="00163B5F" w:rsidRPr="00A37A84">
        <w:rPr>
          <w:bCs/>
          <w:lang w:val="fr-FR"/>
        </w:rPr>
        <w:t>'</w:t>
      </w:r>
      <w:r w:rsidR="002E3DF8" w:rsidRPr="00A37A84">
        <w:rPr>
          <w:bCs/>
          <w:lang w:val="fr-FR"/>
        </w:rPr>
        <w:t>études de l</w:t>
      </w:r>
      <w:r w:rsidR="00163B5F" w:rsidRPr="00A37A84">
        <w:rPr>
          <w:bCs/>
          <w:lang w:val="fr-FR"/>
        </w:rPr>
        <w:t>'</w:t>
      </w:r>
      <w:r w:rsidR="002E3DF8" w:rsidRPr="00A37A84">
        <w:rPr>
          <w:bCs/>
          <w:lang w:val="fr-FR"/>
        </w:rPr>
        <w:t>UIT-D tirent parti de la richesse des informations partagées par les parties prenantes dans le cadre du SMSI et des possibilités de dialogue et d</w:t>
      </w:r>
      <w:r w:rsidR="00163B5F" w:rsidRPr="00A37A84">
        <w:rPr>
          <w:bCs/>
          <w:lang w:val="fr-FR"/>
        </w:rPr>
        <w:t>'</w:t>
      </w:r>
      <w:r w:rsidR="002E3DF8" w:rsidRPr="00A37A84">
        <w:rPr>
          <w:bCs/>
          <w:lang w:val="fr-FR"/>
        </w:rPr>
        <w:t>échange avec divers acteurs participant au processus du SMSI.</w:t>
      </w:r>
    </w:p>
    <w:p w14:paraId="69D5A4DB" w14:textId="0E41E88A" w:rsidR="002E3DF8" w:rsidRPr="00A37A84" w:rsidRDefault="001405E3" w:rsidP="00620F2B">
      <w:pPr>
        <w:pStyle w:val="enumlev1"/>
        <w:rPr>
          <w:bCs/>
          <w:lang w:val="fr-FR"/>
        </w:rPr>
      </w:pPr>
      <w:r w:rsidRPr="00A37A84">
        <w:rPr>
          <w:bCs/>
          <w:lang w:val="fr-FR"/>
        </w:rPr>
        <w:tab/>
      </w:r>
      <w:r w:rsidR="002E3DF8" w:rsidRPr="00A37A84">
        <w:rPr>
          <w:bCs/>
          <w:lang w:val="fr-FR"/>
        </w:rPr>
        <w:t>Durant les réunions des Groupes du Rapporteur des Commissions d</w:t>
      </w:r>
      <w:r w:rsidR="00163B5F" w:rsidRPr="00A37A84">
        <w:rPr>
          <w:bCs/>
          <w:lang w:val="fr-FR"/>
        </w:rPr>
        <w:t>'</w:t>
      </w:r>
      <w:r w:rsidR="002E3DF8" w:rsidRPr="00A37A84">
        <w:rPr>
          <w:bCs/>
          <w:lang w:val="fr-FR"/>
        </w:rPr>
        <w:t>études 1 et 2 de l</w:t>
      </w:r>
      <w:r w:rsidR="00163B5F" w:rsidRPr="00A37A84">
        <w:rPr>
          <w:bCs/>
          <w:lang w:val="fr-FR"/>
        </w:rPr>
        <w:t>'</w:t>
      </w:r>
      <w:r w:rsidR="002E3DF8" w:rsidRPr="00A37A84">
        <w:rPr>
          <w:bCs/>
          <w:lang w:val="fr-FR"/>
        </w:rPr>
        <w:t>UIT</w:t>
      </w:r>
      <w:r w:rsidR="00620F2B" w:rsidRPr="00A37A84">
        <w:rPr>
          <w:bCs/>
          <w:lang w:val="fr-FR"/>
        </w:rPr>
        <w:noBreakHyphen/>
      </w:r>
      <w:r w:rsidR="002E3DF8" w:rsidRPr="00A37A84">
        <w:rPr>
          <w:bCs/>
          <w:lang w:val="fr-FR"/>
        </w:rPr>
        <w:t>D, qui ont eu lieu du 23 septembre au 18 octobre 2019 à Genève, le BDT a élaboré un document (</w:t>
      </w:r>
      <w:hyperlink r:id="rId13" w:history="1">
        <w:r w:rsidR="002E3DF8" w:rsidRPr="00A37A84">
          <w:rPr>
            <w:rStyle w:val="Hyperlink"/>
            <w:bCs/>
            <w:lang w:val="fr-FR"/>
          </w:rPr>
          <w:t>SG1RGQ/258</w:t>
        </w:r>
      </w:hyperlink>
      <w:r w:rsidR="002E3DF8" w:rsidRPr="00A37A84">
        <w:rPr>
          <w:bCs/>
          <w:lang w:val="fr-FR"/>
        </w:rPr>
        <w:t xml:space="preserve"> et </w:t>
      </w:r>
      <w:hyperlink r:id="rId14" w:history="1">
        <w:r w:rsidR="002E3DF8" w:rsidRPr="00A37A84">
          <w:rPr>
            <w:rStyle w:val="Hyperlink"/>
            <w:bCs/>
            <w:lang w:val="fr-FR"/>
          </w:rPr>
          <w:t>SG2RGQ/167</w:t>
        </w:r>
      </w:hyperlink>
      <w:r w:rsidR="002E3DF8" w:rsidRPr="00A37A84">
        <w:rPr>
          <w:bCs/>
          <w:lang w:val="fr-FR"/>
        </w:rPr>
        <w:t xml:space="preserve">) </w:t>
      </w:r>
      <w:r w:rsidR="00EF32CE" w:rsidRPr="00A37A84">
        <w:rPr>
          <w:bCs/>
          <w:lang w:val="fr-FR"/>
        </w:rPr>
        <w:t xml:space="preserve">visant à </w:t>
      </w:r>
      <w:r w:rsidR="002E3DF8" w:rsidRPr="00A37A84">
        <w:rPr>
          <w:bCs/>
          <w:lang w:val="fr-FR"/>
        </w:rPr>
        <w:t>étudier plus en détail</w:t>
      </w:r>
      <w:r w:rsidR="00EF32CE" w:rsidRPr="00A37A84">
        <w:rPr>
          <w:bCs/>
          <w:lang w:val="fr-FR"/>
        </w:rPr>
        <w:t>s</w:t>
      </w:r>
      <w:r w:rsidR="002E3DF8" w:rsidRPr="00A37A84">
        <w:rPr>
          <w:bCs/>
          <w:lang w:val="fr-FR"/>
        </w:rPr>
        <w:t xml:space="preserve"> les avantages de la collaboration entre les Commissions d</w:t>
      </w:r>
      <w:r w:rsidR="00163B5F" w:rsidRPr="00A37A84">
        <w:rPr>
          <w:bCs/>
          <w:lang w:val="fr-FR"/>
        </w:rPr>
        <w:t>'</w:t>
      </w:r>
      <w:r w:rsidR="002E3DF8" w:rsidRPr="00A37A84">
        <w:rPr>
          <w:bCs/>
          <w:lang w:val="fr-FR"/>
        </w:rPr>
        <w:t xml:space="preserve">études et la plate-forme du SMSI et les prochaines étapes potentielles. </w:t>
      </w:r>
      <w:r w:rsidR="002E3DF8" w:rsidRPr="00A37A84">
        <w:rPr>
          <w:lang w:val="fr-FR"/>
        </w:rPr>
        <w:t>Ce document fait suite à un précédent document (</w:t>
      </w:r>
      <w:hyperlink r:id="rId15" w:history="1">
        <w:r w:rsidR="002E3DF8" w:rsidRPr="00A37A84">
          <w:rPr>
            <w:rStyle w:val="Hyperlink"/>
            <w:bCs/>
            <w:lang w:val="fr-FR"/>
          </w:rPr>
          <w:t>1/207</w:t>
        </w:r>
      </w:hyperlink>
      <w:r w:rsidR="002E3DF8" w:rsidRPr="00A37A84">
        <w:rPr>
          <w:bCs/>
          <w:lang w:val="fr-FR"/>
        </w:rPr>
        <w:t xml:space="preserve"> et </w:t>
      </w:r>
      <w:hyperlink r:id="rId16" w:history="1">
        <w:r w:rsidR="002E3DF8" w:rsidRPr="00A37A84">
          <w:rPr>
            <w:rStyle w:val="Hyperlink"/>
            <w:bCs/>
            <w:lang w:val="fr-FR"/>
          </w:rPr>
          <w:t>2/190</w:t>
        </w:r>
      </w:hyperlink>
      <w:r w:rsidR="002E3DF8" w:rsidRPr="00A37A84">
        <w:rPr>
          <w:bCs/>
          <w:lang w:val="fr-FR"/>
        </w:rPr>
        <w:t>) portant sur les liens possibles entre les lauréats et les champions des Prix du</w:t>
      </w:r>
      <w:r w:rsidR="00155F10">
        <w:rPr>
          <w:bCs/>
          <w:lang w:val="fr-FR"/>
        </w:rPr>
        <w:t> </w:t>
      </w:r>
      <w:r w:rsidR="002E3DF8" w:rsidRPr="00A37A84">
        <w:rPr>
          <w:bCs/>
          <w:lang w:val="fr-FR"/>
        </w:rPr>
        <w:t>SMSI en 2018 et 2019 et les Questions confiées aux Commissions d</w:t>
      </w:r>
      <w:r w:rsidR="00163B5F" w:rsidRPr="00A37A84">
        <w:rPr>
          <w:bCs/>
          <w:lang w:val="fr-FR"/>
        </w:rPr>
        <w:t>'</w:t>
      </w:r>
      <w:r w:rsidR="002E3DF8" w:rsidRPr="00A37A84">
        <w:rPr>
          <w:bCs/>
          <w:lang w:val="fr-FR"/>
        </w:rPr>
        <w:t xml:space="preserve">études 1 et 2 de </w:t>
      </w:r>
      <w:r w:rsidR="00620F2B" w:rsidRPr="00A37A84">
        <w:rPr>
          <w:bCs/>
          <w:lang w:val="fr-FR"/>
        </w:rPr>
        <w:br w:type="page"/>
      </w:r>
      <w:r w:rsidR="002E3DF8" w:rsidRPr="00A37A84">
        <w:rPr>
          <w:bCs/>
          <w:lang w:val="fr-FR"/>
        </w:rPr>
        <w:t>l</w:t>
      </w:r>
      <w:r w:rsidR="00163B5F" w:rsidRPr="00A37A84">
        <w:rPr>
          <w:bCs/>
          <w:lang w:val="fr-FR"/>
        </w:rPr>
        <w:t>'</w:t>
      </w:r>
      <w:r w:rsidR="002E3DF8" w:rsidRPr="00A37A84">
        <w:rPr>
          <w:bCs/>
          <w:lang w:val="fr-FR"/>
        </w:rPr>
        <w:t>UIT</w:t>
      </w:r>
      <w:r w:rsidR="00620F2B" w:rsidRPr="00A37A84">
        <w:rPr>
          <w:bCs/>
          <w:lang w:val="fr-FR"/>
        </w:rPr>
        <w:noBreakHyphen/>
      </w:r>
      <w:r w:rsidR="002E3DF8" w:rsidRPr="00A37A84">
        <w:rPr>
          <w:bCs/>
          <w:lang w:val="fr-FR"/>
        </w:rPr>
        <w:t>D.</w:t>
      </w:r>
      <w:r w:rsidR="002E3DF8" w:rsidRPr="00A37A84">
        <w:rPr>
          <w:lang w:val="fr-FR"/>
        </w:rPr>
        <w:t xml:space="preserve"> Le nouveau document met notamment en évidence l</w:t>
      </w:r>
      <w:r w:rsidR="00163B5F" w:rsidRPr="00A37A84">
        <w:rPr>
          <w:lang w:val="fr-FR"/>
        </w:rPr>
        <w:t>'</w:t>
      </w:r>
      <w:r w:rsidR="002E3DF8" w:rsidRPr="00A37A84">
        <w:rPr>
          <w:lang w:val="fr-FR"/>
        </w:rPr>
        <w:t>utilité de la base de données de l</w:t>
      </w:r>
      <w:r w:rsidR="00163B5F" w:rsidRPr="00A37A84">
        <w:rPr>
          <w:lang w:val="fr-FR"/>
        </w:rPr>
        <w:t>'</w:t>
      </w:r>
      <w:r w:rsidR="002E3DF8" w:rsidRPr="00A37A84">
        <w:rPr>
          <w:lang w:val="fr-FR"/>
        </w:rPr>
        <w:t>inventaire des activités du SMSI, et les membres des commissions d</w:t>
      </w:r>
      <w:r w:rsidR="00163B5F" w:rsidRPr="00A37A84">
        <w:rPr>
          <w:lang w:val="fr-FR"/>
        </w:rPr>
        <w:t>'</w:t>
      </w:r>
      <w:r w:rsidR="002E3DF8" w:rsidRPr="00A37A84">
        <w:rPr>
          <w:lang w:val="fr-FR"/>
        </w:rPr>
        <w:t>études y sont invités à examiner les projets contenus dans cette base de données pour trouver de possibles synergies avec les travaux actuellement menés et les résultats attendus.</w:t>
      </w:r>
    </w:p>
    <w:p w14:paraId="44225F9E" w14:textId="759BA89B" w:rsidR="002E3DF8" w:rsidRPr="00A37A84" w:rsidRDefault="001405E3" w:rsidP="00672B67">
      <w:pPr>
        <w:pStyle w:val="enumlev1"/>
        <w:rPr>
          <w:u w:val="single"/>
          <w:lang w:val="fr-FR"/>
        </w:rPr>
      </w:pPr>
      <w:r w:rsidRPr="00A37A84">
        <w:rPr>
          <w:lang w:val="fr-FR"/>
        </w:rPr>
        <w:tab/>
      </w:r>
      <w:r w:rsidR="002E3DF8" w:rsidRPr="00A37A84">
        <w:rPr>
          <w:lang w:val="fr-FR"/>
        </w:rPr>
        <w:t>En conséquence, une session portant sur les travaux des Commissions d</w:t>
      </w:r>
      <w:r w:rsidR="00163B5F" w:rsidRPr="00A37A84">
        <w:rPr>
          <w:lang w:val="fr-FR"/>
        </w:rPr>
        <w:t>'</w:t>
      </w:r>
      <w:r w:rsidR="002E3DF8" w:rsidRPr="00A37A84">
        <w:rPr>
          <w:lang w:val="fr-FR"/>
        </w:rPr>
        <w:t>études de l</w:t>
      </w:r>
      <w:r w:rsidR="00163B5F" w:rsidRPr="00A37A84">
        <w:rPr>
          <w:lang w:val="fr-FR"/>
        </w:rPr>
        <w:t>'</w:t>
      </w:r>
      <w:r w:rsidR="002E3DF8" w:rsidRPr="00A37A84">
        <w:rPr>
          <w:lang w:val="fr-FR"/>
        </w:rPr>
        <w:t>UIT-D sera organisée pendant l</w:t>
      </w:r>
      <w:r w:rsidR="00163B5F" w:rsidRPr="00A37A84">
        <w:rPr>
          <w:lang w:val="fr-FR"/>
        </w:rPr>
        <w:t>'</w:t>
      </w:r>
      <w:r w:rsidR="002E3DF8" w:rsidRPr="00A37A84">
        <w:rPr>
          <w:lang w:val="fr-FR"/>
        </w:rPr>
        <w:t>édition de 2020 du Forum du SMSI, afin d</w:t>
      </w:r>
      <w:r w:rsidR="00163B5F" w:rsidRPr="00A37A84">
        <w:rPr>
          <w:lang w:val="fr-FR"/>
        </w:rPr>
        <w:t>'</w:t>
      </w:r>
      <w:r w:rsidR="002E3DF8" w:rsidRPr="00A37A84">
        <w:rPr>
          <w:lang w:val="fr-FR"/>
        </w:rPr>
        <w:t>élargir les possibilités de collaboration avec la plate-forme du SMSI. En outre, les Présidents, Vice-Présidents, Rapporteurs et Vice-Rapporteurs des deux Commissions d</w:t>
      </w:r>
      <w:r w:rsidR="00163B5F" w:rsidRPr="00A37A84">
        <w:rPr>
          <w:lang w:val="fr-FR"/>
        </w:rPr>
        <w:t>'</w:t>
      </w:r>
      <w:r w:rsidR="002E3DF8" w:rsidRPr="00A37A84">
        <w:rPr>
          <w:lang w:val="fr-FR"/>
        </w:rPr>
        <w:t>études de l</w:t>
      </w:r>
      <w:r w:rsidR="00163B5F" w:rsidRPr="00A37A84">
        <w:rPr>
          <w:lang w:val="fr-FR"/>
        </w:rPr>
        <w:t>'</w:t>
      </w:r>
      <w:r w:rsidR="002E3DF8" w:rsidRPr="00A37A84">
        <w:rPr>
          <w:lang w:val="fr-FR"/>
        </w:rPr>
        <w:t>UIT-D participeront en qualité d</w:t>
      </w:r>
      <w:r w:rsidR="00163B5F" w:rsidRPr="00A37A84">
        <w:rPr>
          <w:lang w:val="fr-FR"/>
        </w:rPr>
        <w:t>'</w:t>
      </w:r>
      <w:r w:rsidR="002E3DF8" w:rsidRPr="00A37A84">
        <w:rPr>
          <w:lang w:val="fr-FR"/>
        </w:rPr>
        <w:t>intervenants et de contributeurs actifs aux différentes sessions ainsi qu</w:t>
      </w:r>
      <w:r w:rsidR="00163B5F" w:rsidRPr="00A37A84">
        <w:rPr>
          <w:lang w:val="fr-FR"/>
        </w:rPr>
        <w:t>'</w:t>
      </w:r>
      <w:r w:rsidR="002E3DF8" w:rsidRPr="00A37A84">
        <w:rPr>
          <w:lang w:val="fr-FR"/>
        </w:rPr>
        <w:t>aux séances sur les grandes orientations du SMSI, afin de promouvoir les résultats de leur commission d</w:t>
      </w:r>
      <w:r w:rsidR="00163B5F" w:rsidRPr="00A37A84">
        <w:rPr>
          <w:lang w:val="fr-FR"/>
        </w:rPr>
        <w:t>'</w:t>
      </w:r>
      <w:r w:rsidR="002E3DF8" w:rsidRPr="00A37A84">
        <w:rPr>
          <w:lang w:val="fr-FR"/>
        </w:rPr>
        <w:t>études.</w:t>
      </w:r>
    </w:p>
    <w:p w14:paraId="75BB1194" w14:textId="5F63784E" w:rsidR="002E3DF8" w:rsidRPr="00A37A84" w:rsidRDefault="001405E3" w:rsidP="00672B67">
      <w:pPr>
        <w:pStyle w:val="enumlev1"/>
        <w:rPr>
          <w:lang w:val="fr-FR"/>
        </w:rPr>
      </w:pPr>
      <w:r w:rsidRPr="00A37A84">
        <w:rPr>
          <w:bCs/>
          <w:lang w:val="fr-FR"/>
        </w:rPr>
        <w:t>f)</w:t>
      </w:r>
      <w:r w:rsidRPr="00A37A84">
        <w:rPr>
          <w:bCs/>
          <w:lang w:val="fr-FR"/>
        </w:rPr>
        <w:tab/>
      </w:r>
      <w:r w:rsidR="002E3DF8" w:rsidRPr="00A37A84">
        <w:rPr>
          <w:b/>
          <w:lang w:val="fr-FR"/>
        </w:rPr>
        <w:t>Initiatives spéciales</w:t>
      </w:r>
      <w:r w:rsidR="002E3DF8" w:rsidRPr="00A37A84">
        <w:rPr>
          <w:lang w:val="fr-FR"/>
        </w:rPr>
        <w:t xml:space="preserve">: </w:t>
      </w:r>
      <w:r w:rsidR="00155F10">
        <w:rPr>
          <w:lang w:val="fr-FR"/>
        </w:rPr>
        <w:t>L</w:t>
      </w:r>
      <w:r w:rsidR="002E3DF8" w:rsidRPr="00A37A84">
        <w:rPr>
          <w:lang w:val="fr-FR"/>
        </w:rPr>
        <w:t>e BDT continue d</w:t>
      </w:r>
      <w:r w:rsidR="00163B5F" w:rsidRPr="00A37A84">
        <w:rPr>
          <w:lang w:val="fr-FR"/>
        </w:rPr>
        <w:t>'</w:t>
      </w:r>
      <w:r w:rsidR="002E3DF8" w:rsidRPr="00A37A84">
        <w:rPr>
          <w:lang w:val="fr-FR"/>
        </w:rPr>
        <w:t>appuyer un certain nombre d</w:t>
      </w:r>
      <w:r w:rsidR="00163B5F" w:rsidRPr="00A37A84">
        <w:rPr>
          <w:lang w:val="fr-FR"/>
        </w:rPr>
        <w:t>'</w:t>
      </w:r>
      <w:r w:rsidR="002E3DF8" w:rsidRPr="00A37A84">
        <w:rPr>
          <w:lang w:val="fr-FR"/>
        </w:rPr>
        <w:t>initiatives spéciales pour encourager les partenariats aux</w:t>
      </w:r>
      <w:r w:rsidR="00EF32CE" w:rsidRPr="00A37A84">
        <w:rPr>
          <w:lang w:val="fr-FR"/>
        </w:rPr>
        <w:t>quels</w:t>
      </w:r>
      <w:r w:rsidR="002E3DF8" w:rsidRPr="00A37A84">
        <w:rPr>
          <w:lang w:val="fr-FR"/>
        </w:rPr>
        <w:t xml:space="preserve"> un rang de priorité élevé a été </w:t>
      </w:r>
      <w:r w:rsidR="00EF32CE" w:rsidRPr="00A37A84">
        <w:rPr>
          <w:lang w:val="fr-FR"/>
        </w:rPr>
        <w:t>donné</w:t>
      </w:r>
      <w:r w:rsidR="002E3DF8" w:rsidRPr="00A37A84">
        <w:rPr>
          <w:lang w:val="fr-FR"/>
        </w:rPr>
        <w:t xml:space="preserve"> en vertu des résultats du SMSI et du Programme de développement durable à l</w:t>
      </w:r>
      <w:r w:rsidR="00163B5F" w:rsidRPr="00A37A84">
        <w:rPr>
          <w:lang w:val="fr-FR"/>
        </w:rPr>
        <w:t>'</w:t>
      </w:r>
      <w:r w:rsidR="002E3DF8" w:rsidRPr="00A37A84">
        <w:rPr>
          <w:lang w:val="fr-FR"/>
        </w:rPr>
        <w:t xml:space="preserve">horizon 2030. Parmi ceux-ci figurent la Commission </w:t>
      </w:r>
      <w:r w:rsidR="00163B5F" w:rsidRPr="00A37A84">
        <w:rPr>
          <w:lang w:val="fr-FR"/>
        </w:rPr>
        <w:t>"</w:t>
      </w:r>
      <w:r w:rsidR="002E3DF8" w:rsidRPr="00A37A84">
        <w:rPr>
          <w:lang w:val="fr-FR"/>
        </w:rPr>
        <w:t>Le large bande au service du développement durable</w:t>
      </w:r>
      <w:r w:rsidR="00163B5F" w:rsidRPr="00A37A84">
        <w:rPr>
          <w:lang w:val="fr-FR"/>
        </w:rPr>
        <w:t>"</w:t>
      </w:r>
      <w:r w:rsidR="002E3DF8" w:rsidRPr="00A37A84">
        <w:rPr>
          <w:lang w:val="fr-FR"/>
        </w:rPr>
        <w:t xml:space="preserve"> et le Partenariat mondial EQUALS. En 2019, l</w:t>
      </w:r>
      <w:r w:rsidR="00163B5F" w:rsidRPr="00A37A84">
        <w:rPr>
          <w:lang w:val="fr-FR"/>
        </w:rPr>
        <w:t>'</w:t>
      </w:r>
      <w:r w:rsidR="002E3DF8" w:rsidRPr="00A37A84">
        <w:rPr>
          <w:lang w:val="fr-FR"/>
        </w:rPr>
        <w:t>UIT et le Fonds des Nations Unies pour l</w:t>
      </w:r>
      <w:r w:rsidR="00163B5F" w:rsidRPr="00A37A84">
        <w:rPr>
          <w:lang w:val="fr-FR"/>
        </w:rPr>
        <w:t>'</w:t>
      </w:r>
      <w:r w:rsidR="002E3DF8" w:rsidRPr="00A37A84">
        <w:rPr>
          <w:lang w:val="fr-FR"/>
        </w:rPr>
        <w:t>enfance (UNICEF) ont uni leurs forces en vue de connecter toutes les écoles à l</w:t>
      </w:r>
      <w:r w:rsidR="00163B5F" w:rsidRPr="00A37A84">
        <w:rPr>
          <w:lang w:val="fr-FR"/>
        </w:rPr>
        <w:t>'</w:t>
      </w:r>
      <w:r w:rsidR="002E3DF8" w:rsidRPr="00A37A84">
        <w:rPr>
          <w:lang w:val="fr-FR"/>
        </w:rPr>
        <w:t>Internet d</w:t>
      </w:r>
      <w:r w:rsidR="00163B5F" w:rsidRPr="00A37A84">
        <w:rPr>
          <w:lang w:val="fr-FR"/>
        </w:rPr>
        <w:t>'</w:t>
      </w:r>
      <w:r w:rsidR="002E3DF8" w:rsidRPr="00A37A84">
        <w:rPr>
          <w:lang w:val="fr-FR"/>
        </w:rPr>
        <w:t xml:space="preserve">ici à 2030, en lançant une initiative spéciale baptisée </w:t>
      </w:r>
      <w:r w:rsidR="00163B5F" w:rsidRPr="00A37A84">
        <w:rPr>
          <w:lang w:val="fr-FR"/>
        </w:rPr>
        <w:t>"</w:t>
      </w:r>
      <w:hyperlink r:id="rId17" w:history="1">
        <w:r w:rsidR="002E3DF8" w:rsidRPr="00A37A84">
          <w:rPr>
            <w:rStyle w:val="Hyperlink"/>
            <w:lang w:val="fr-FR"/>
          </w:rPr>
          <w:t>G</w:t>
        </w:r>
        <w:r w:rsidR="002E3DF8" w:rsidRPr="00A37A84">
          <w:rPr>
            <w:rStyle w:val="Hyperlink"/>
            <w:lang w:val="fr-FR"/>
          </w:rPr>
          <w:t>I</w:t>
        </w:r>
        <w:r w:rsidR="002E3DF8" w:rsidRPr="00A37A84">
          <w:rPr>
            <w:rStyle w:val="Hyperlink"/>
            <w:lang w:val="fr-FR"/>
          </w:rPr>
          <w:t>GA – Connecter chaque école à l</w:t>
        </w:r>
        <w:r w:rsidR="00163B5F" w:rsidRPr="00A37A84">
          <w:rPr>
            <w:rStyle w:val="Hyperlink"/>
            <w:lang w:val="fr-FR"/>
          </w:rPr>
          <w:t>'</w:t>
        </w:r>
        <w:r w:rsidR="002E3DF8" w:rsidRPr="00A37A84">
          <w:rPr>
            <w:rStyle w:val="Hyperlink"/>
            <w:lang w:val="fr-FR"/>
          </w:rPr>
          <w:t>Internet</w:t>
        </w:r>
      </w:hyperlink>
      <w:r w:rsidR="00163B5F" w:rsidRPr="00A37A84">
        <w:rPr>
          <w:lang w:val="fr-FR"/>
        </w:rPr>
        <w:t>"</w:t>
      </w:r>
      <w:r w:rsidR="002E3DF8" w:rsidRPr="00A37A84">
        <w:rPr>
          <w:lang w:val="fr-FR"/>
        </w:rPr>
        <w:t>. Cette initiative vise à tirer parti d</w:t>
      </w:r>
      <w:r w:rsidR="00163B5F" w:rsidRPr="00A37A84">
        <w:rPr>
          <w:lang w:val="fr-FR"/>
        </w:rPr>
        <w:t>'</w:t>
      </w:r>
      <w:r w:rsidR="002E3DF8" w:rsidRPr="00A37A84">
        <w:rPr>
          <w:lang w:val="fr-FR"/>
        </w:rPr>
        <w:t>une connectivité efficace pour accélérer l</w:t>
      </w:r>
      <w:r w:rsidR="00163B5F" w:rsidRPr="00A37A84">
        <w:rPr>
          <w:lang w:val="fr-FR"/>
        </w:rPr>
        <w:t>'</w:t>
      </w:r>
      <w:r w:rsidR="002E3DF8" w:rsidRPr="00A37A84">
        <w:rPr>
          <w:lang w:val="fr-FR"/>
        </w:rPr>
        <w:t>accès des jeunes aux ressources éducatives et aux possibilités.</w:t>
      </w:r>
    </w:p>
    <w:p w14:paraId="249E4B29" w14:textId="78E421EF" w:rsidR="002E3DF8" w:rsidRPr="00A37A84" w:rsidRDefault="001405E3" w:rsidP="00672B67">
      <w:pPr>
        <w:pStyle w:val="enumlev1"/>
        <w:rPr>
          <w:lang w:val="fr-FR"/>
        </w:rPr>
      </w:pPr>
      <w:r w:rsidRPr="00A37A84">
        <w:rPr>
          <w:lang w:val="fr-FR"/>
        </w:rPr>
        <w:t>g)</w:t>
      </w:r>
      <w:r w:rsidRPr="00A37A84">
        <w:rPr>
          <w:lang w:val="fr-FR"/>
        </w:rPr>
        <w:tab/>
      </w:r>
      <w:r w:rsidR="002E3DF8" w:rsidRPr="00A37A84">
        <w:rPr>
          <w:b/>
          <w:bCs/>
          <w:lang w:val="fr-FR"/>
        </w:rPr>
        <w:t>Mise en œuvre des résultats du SMSI et des ODD au niveau régiona</w:t>
      </w:r>
      <w:r w:rsidR="002E3DF8" w:rsidRPr="00A37A84">
        <w:rPr>
          <w:lang w:val="fr-FR"/>
        </w:rPr>
        <w:t xml:space="preserve">l: Conformément à la Résolution 140 (Rév. Dubaï, 2018) de la Conférence de plénipotentiaires, les </w:t>
      </w:r>
      <w:r w:rsidR="00EF32CE" w:rsidRPr="00A37A84">
        <w:rPr>
          <w:lang w:val="fr-FR"/>
        </w:rPr>
        <w:t>b</w:t>
      </w:r>
      <w:r w:rsidR="002E3DF8" w:rsidRPr="00A37A84">
        <w:rPr>
          <w:lang w:val="fr-FR"/>
        </w:rPr>
        <w:t>ureaux régionaux de l</w:t>
      </w:r>
      <w:r w:rsidR="00163B5F" w:rsidRPr="00A37A84">
        <w:rPr>
          <w:lang w:val="fr-FR"/>
        </w:rPr>
        <w:t>'</w:t>
      </w:r>
      <w:r w:rsidR="002E3DF8" w:rsidRPr="00A37A84">
        <w:rPr>
          <w:lang w:val="fr-FR"/>
        </w:rPr>
        <w:t>UIT continuent de prendre des mesures afin de renforcer la coordination et la collaboration au niveau régional avec</w:t>
      </w:r>
      <w:r w:rsidR="00EF32CE" w:rsidRPr="00A37A84">
        <w:rPr>
          <w:lang w:val="fr-FR"/>
        </w:rPr>
        <w:t xml:space="preserve"> les commissions économiques régionales de</w:t>
      </w:r>
      <w:r w:rsidR="00672B67" w:rsidRPr="00A37A84">
        <w:rPr>
          <w:lang w:val="fr-FR"/>
        </w:rPr>
        <w:t>s</w:t>
      </w:r>
      <w:r w:rsidR="00EF32CE" w:rsidRPr="00A37A84">
        <w:rPr>
          <w:lang w:val="fr-FR"/>
        </w:rPr>
        <w:t xml:space="preserve"> Nations Unies,</w:t>
      </w:r>
      <w:r w:rsidR="002E3DF8" w:rsidRPr="00A37A84">
        <w:rPr>
          <w:lang w:val="fr-FR"/>
        </w:rPr>
        <w:t xml:space="preserve"> les Groupes </w:t>
      </w:r>
      <w:r w:rsidR="00AE4BC1" w:rsidRPr="00A37A84">
        <w:rPr>
          <w:lang w:val="fr-FR"/>
        </w:rPr>
        <w:t xml:space="preserve">régionaux </w:t>
      </w:r>
      <w:r w:rsidR="002E3DF8" w:rsidRPr="00A37A84">
        <w:rPr>
          <w:lang w:val="fr-FR"/>
        </w:rPr>
        <w:t xml:space="preserve">des Nations Unies pour le développement </w:t>
      </w:r>
      <w:r w:rsidR="00AE4BC1" w:rsidRPr="00A37A84">
        <w:rPr>
          <w:lang w:val="fr-FR"/>
        </w:rPr>
        <w:t>durable</w:t>
      </w:r>
      <w:r w:rsidR="002E3DF8" w:rsidRPr="00A37A84">
        <w:rPr>
          <w:lang w:val="fr-FR"/>
        </w:rPr>
        <w:t>, ainsi qu</w:t>
      </w:r>
      <w:r w:rsidR="00163B5F" w:rsidRPr="00A37A84">
        <w:rPr>
          <w:lang w:val="fr-FR"/>
        </w:rPr>
        <w:t>'</w:t>
      </w:r>
      <w:r w:rsidR="002E3DF8" w:rsidRPr="00A37A84">
        <w:rPr>
          <w:lang w:val="fr-FR"/>
        </w:rPr>
        <w:t>avec toutes les institutions des Nations Unies (en particulier celles qui jouent le rôle de coordonnateur pour des grandes orientations du SMSI) et les autres organisations régionales concernées, en particulier dans le domaine des télécommunications/TIC.</w:t>
      </w:r>
    </w:p>
    <w:p w14:paraId="67B6290D" w14:textId="77E3B518" w:rsidR="002E3DF8" w:rsidRPr="00A37A84" w:rsidRDefault="001405E3" w:rsidP="00672B67">
      <w:pPr>
        <w:pStyle w:val="enumlev1"/>
        <w:rPr>
          <w:lang w:val="fr-FR"/>
        </w:rPr>
      </w:pPr>
      <w:r w:rsidRPr="00A37A84">
        <w:rPr>
          <w:lang w:val="fr-FR"/>
        </w:rPr>
        <w:tab/>
      </w:r>
      <w:r w:rsidR="002E3DF8" w:rsidRPr="00A37A84">
        <w:rPr>
          <w:lang w:val="fr-FR"/>
        </w:rPr>
        <w:t xml:space="preserve">Les </w:t>
      </w:r>
      <w:r w:rsidR="00AE4BC1" w:rsidRPr="00A37A84">
        <w:rPr>
          <w:lang w:val="fr-FR"/>
        </w:rPr>
        <w:t>b</w:t>
      </w:r>
      <w:r w:rsidR="002E3DF8" w:rsidRPr="00A37A84">
        <w:rPr>
          <w:lang w:val="fr-FR"/>
        </w:rPr>
        <w:t>ureaux régionaux de l</w:t>
      </w:r>
      <w:r w:rsidR="00163B5F" w:rsidRPr="00A37A84">
        <w:rPr>
          <w:lang w:val="fr-FR"/>
        </w:rPr>
        <w:t>'</w:t>
      </w:r>
      <w:r w:rsidR="002E3DF8" w:rsidRPr="00A37A84">
        <w:rPr>
          <w:lang w:val="fr-FR"/>
        </w:rPr>
        <w:t xml:space="preserve">UIT continuent de contribuer activement aux réunions des mécanismes de coordination régionaux des Nations Unies et des Groupes </w:t>
      </w:r>
      <w:r w:rsidR="00AE4BC1" w:rsidRPr="00A37A84">
        <w:rPr>
          <w:lang w:val="fr-FR"/>
        </w:rPr>
        <w:t xml:space="preserve">régionaux </w:t>
      </w:r>
      <w:r w:rsidR="002E3DF8" w:rsidRPr="00A37A84">
        <w:rPr>
          <w:lang w:val="fr-FR"/>
        </w:rPr>
        <w:t xml:space="preserve">des Nations Unies pour le développement </w:t>
      </w:r>
      <w:r w:rsidR="00AE4BC1" w:rsidRPr="00A37A84">
        <w:rPr>
          <w:lang w:val="fr-FR"/>
        </w:rPr>
        <w:t>durable</w:t>
      </w:r>
      <w:r w:rsidR="002E3DF8" w:rsidRPr="00A37A84">
        <w:rPr>
          <w:lang w:val="fr-FR"/>
        </w:rPr>
        <w:t xml:space="preserve">, </w:t>
      </w:r>
      <w:r w:rsidR="00AE4BC1" w:rsidRPr="00A37A84">
        <w:rPr>
          <w:lang w:val="fr-FR"/>
        </w:rPr>
        <w:t xml:space="preserve">en </w:t>
      </w:r>
      <w:r w:rsidR="002E3DF8" w:rsidRPr="00A37A84">
        <w:rPr>
          <w:lang w:val="fr-FR"/>
        </w:rPr>
        <w:t xml:space="preserve">plaidant en faveur du rôle de catalyseur que jouent les TIC au service des ODD, </w:t>
      </w:r>
      <w:r w:rsidR="00AE4BC1" w:rsidRPr="00A37A84">
        <w:rPr>
          <w:lang w:val="fr-FR"/>
        </w:rPr>
        <w:t xml:space="preserve">en </w:t>
      </w:r>
      <w:r w:rsidR="002E3DF8" w:rsidRPr="00A37A84">
        <w:rPr>
          <w:lang w:val="fr-FR"/>
        </w:rPr>
        <w:t>s</w:t>
      </w:r>
      <w:r w:rsidR="00163B5F" w:rsidRPr="00A37A84">
        <w:rPr>
          <w:lang w:val="fr-FR"/>
        </w:rPr>
        <w:t>'</w:t>
      </w:r>
      <w:r w:rsidR="002E3DF8" w:rsidRPr="00A37A84">
        <w:rPr>
          <w:lang w:val="fr-FR"/>
        </w:rPr>
        <w:t>adaptant au processus de repositionnement du Système des Nations Unies pour le développement</w:t>
      </w:r>
      <w:r w:rsidR="00AE4BC1" w:rsidRPr="00A37A84">
        <w:rPr>
          <w:lang w:val="fr-FR"/>
        </w:rPr>
        <w:t xml:space="preserve"> et en </w:t>
      </w:r>
      <w:r w:rsidR="002E3DF8" w:rsidRPr="00A37A84">
        <w:rPr>
          <w:lang w:val="fr-FR"/>
        </w:rPr>
        <w:t>identifiant de nouvelles manières d</w:t>
      </w:r>
      <w:r w:rsidR="00163B5F" w:rsidRPr="00A37A84">
        <w:rPr>
          <w:lang w:val="fr-FR"/>
        </w:rPr>
        <w:t>'</w:t>
      </w:r>
      <w:r w:rsidR="002E3DF8" w:rsidRPr="00A37A84">
        <w:rPr>
          <w:lang w:val="fr-FR"/>
        </w:rPr>
        <w:t>intégrer les TIC dans les plans-cadres des Nations Unies pour l</w:t>
      </w:r>
      <w:r w:rsidR="00163B5F" w:rsidRPr="00A37A84">
        <w:rPr>
          <w:lang w:val="fr-FR"/>
        </w:rPr>
        <w:t>'</w:t>
      </w:r>
      <w:r w:rsidR="002E3DF8" w:rsidRPr="00A37A84">
        <w:rPr>
          <w:lang w:val="fr-FR"/>
        </w:rPr>
        <w:t>aide au développement durable et les projets menés à bien par d</w:t>
      </w:r>
      <w:r w:rsidR="00163B5F" w:rsidRPr="00A37A84">
        <w:rPr>
          <w:lang w:val="fr-FR"/>
        </w:rPr>
        <w:t>'</w:t>
      </w:r>
      <w:r w:rsidR="002E3DF8" w:rsidRPr="00A37A84">
        <w:rPr>
          <w:lang w:val="fr-FR"/>
        </w:rPr>
        <w:t>autres organismes des Nations</w:t>
      </w:r>
      <w:r w:rsidR="00620F2B" w:rsidRPr="00A37A84">
        <w:rPr>
          <w:lang w:val="fr-FR"/>
        </w:rPr>
        <w:t> </w:t>
      </w:r>
      <w:r w:rsidR="002E3DF8" w:rsidRPr="00A37A84">
        <w:rPr>
          <w:lang w:val="fr-FR"/>
        </w:rPr>
        <w:t>Unies, tout en établissant des partenariats stratégiques avec des bureaux régionaux du système des Nations Unies et d</w:t>
      </w:r>
      <w:r w:rsidR="00163B5F" w:rsidRPr="00A37A84">
        <w:rPr>
          <w:lang w:val="fr-FR"/>
        </w:rPr>
        <w:t>'</w:t>
      </w:r>
      <w:r w:rsidR="002E3DF8" w:rsidRPr="00A37A84">
        <w:rPr>
          <w:lang w:val="fr-FR"/>
        </w:rPr>
        <w:t>autres parties prenantes concernées. Afin de continuer à promouvoir des partenariats en vue de garantir une connectivité efficace pour tous, et compte tenu de la mise en œuvre des initiatives régionales, l</w:t>
      </w:r>
      <w:r w:rsidR="00163B5F" w:rsidRPr="00A37A84">
        <w:rPr>
          <w:lang w:val="fr-FR"/>
        </w:rPr>
        <w:t>'</w:t>
      </w:r>
      <w:r w:rsidR="002E3DF8" w:rsidRPr="00A37A84">
        <w:rPr>
          <w:lang w:val="fr-FR"/>
        </w:rPr>
        <w:t>UIT, le Haut</w:t>
      </w:r>
      <w:r w:rsidR="00620F2B" w:rsidRPr="00A37A84">
        <w:rPr>
          <w:lang w:val="fr-FR"/>
        </w:rPr>
        <w:noBreakHyphen/>
      </w:r>
      <w:r w:rsidR="002E3DF8" w:rsidRPr="00A37A84">
        <w:rPr>
          <w:lang w:val="fr-FR"/>
        </w:rPr>
        <w:t>Commissariat des Nations Unies pour les réfugiés (HCR) et la GSMA ont parrainé une</w:t>
      </w:r>
      <w:r w:rsidR="000D45A6">
        <w:rPr>
          <w:lang w:val="fr-FR"/>
        </w:rPr>
        <w:t> </w:t>
      </w:r>
      <w:r w:rsidR="002E3DF8" w:rsidRPr="00A37A84">
        <w:rPr>
          <w:lang w:val="fr-FR"/>
        </w:rPr>
        <w:t>session, organisée lors du tout premier Forum mondial pour les réfugiés, en décembre</w:t>
      </w:r>
      <w:r w:rsidR="000D45A6">
        <w:rPr>
          <w:lang w:val="fr-FR"/>
        </w:rPr>
        <w:t> </w:t>
      </w:r>
      <w:r w:rsidR="002E3DF8" w:rsidRPr="00A37A84">
        <w:rPr>
          <w:lang w:val="fr-FR"/>
        </w:rPr>
        <w:t>2019, visant à</w:t>
      </w:r>
      <w:r w:rsidR="00AE4BC1" w:rsidRPr="00A37A84">
        <w:rPr>
          <w:lang w:val="fr-FR"/>
        </w:rPr>
        <w:t xml:space="preserve"> examiner</w:t>
      </w:r>
      <w:r w:rsidR="002E3DF8" w:rsidRPr="00A37A84">
        <w:rPr>
          <w:lang w:val="fr-FR"/>
        </w:rPr>
        <w:t xml:space="preserve"> les problèmes que pose</w:t>
      </w:r>
      <w:r w:rsidR="00AE4BC1" w:rsidRPr="00A37A84">
        <w:rPr>
          <w:lang w:val="fr-FR"/>
        </w:rPr>
        <w:t xml:space="preserve"> </w:t>
      </w:r>
      <w:r w:rsidR="002E3DF8" w:rsidRPr="00A37A84">
        <w:rPr>
          <w:lang w:val="fr-FR"/>
        </w:rPr>
        <w:t>la fourniture d</w:t>
      </w:r>
      <w:r w:rsidR="00163B5F" w:rsidRPr="00A37A84">
        <w:rPr>
          <w:lang w:val="fr-FR"/>
        </w:rPr>
        <w:t>'</w:t>
      </w:r>
      <w:r w:rsidR="002E3DF8" w:rsidRPr="00A37A84">
        <w:rPr>
          <w:lang w:val="fr-FR"/>
        </w:rPr>
        <w:t>une connectivité aux réfugiés, aux personnes déplacées et aux communautés qui les accueillent.</w:t>
      </w:r>
    </w:p>
    <w:p w14:paraId="4989887C" w14:textId="77777777" w:rsidR="00620F2B" w:rsidRPr="00A37A84" w:rsidRDefault="00620F2B" w:rsidP="00672B67">
      <w:pPr>
        <w:pStyle w:val="enumlev1"/>
        <w:rPr>
          <w:lang w:val="fr-FR"/>
        </w:rPr>
      </w:pPr>
      <w:r w:rsidRPr="00A37A84">
        <w:rPr>
          <w:lang w:val="fr-FR"/>
        </w:rPr>
        <w:br w:type="page"/>
      </w:r>
    </w:p>
    <w:p w14:paraId="5251CAA9" w14:textId="2512490F" w:rsidR="002E3DF8" w:rsidRPr="00A37A84" w:rsidRDefault="001405E3" w:rsidP="00672B67">
      <w:pPr>
        <w:pStyle w:val="enumlev1"/>
        <w:rPr>
          <w:lang w:val="fr-FR"/>
        </w:rPr>
      </w:pPr>
      <w:r w:rsidRPr="00A37A84">
        <w:rPr>
          <w:lang w:val="fr-FR"/>
        </w:rPr>
        <w:tab/>
      </w:r>
      <w:r w:rsidR="002E3DF8" w:rsidRPr="00A37A84">
        <w:rPr>
          <w:lang w:val="fr-FR"/>
        </w:rPr>
        <w:t>S</w:t>
      </w:r>
      <w:r w:rsidR="00163B5F" w:rsidRPr="00A37A84">
        <w:rPr>
          <w:lang w:val="fr-FR"/>
        </w:rPr>
        <w:t>'</w:t>
      </w:r>
      <w:r w:rsidR="002E3DF8" w:rsidRPr="00A37A84">
        <w:rPr>
          <w:lang w:val="fr-FR"/>
        </w:rPr>
        <w:t>appuyant sur le processus de suivi des plans nationaux de développement durable et les évaluations nationales volontaires concernant les ODD effectuées par les États Membres, des efforts constants sont déployés afin de renforcer le rôle des TIC au niveau de la planification stratégique des pays.</w:t>
      </w:r>
    </w:p>
    <w:p w14:paraId="26D8A7A9" w14:textId="319314A6" w:rsidR="002E3DF8" w:rsidRPr="00A37A84" w:rsidRDefault="001405E3" w:rsidP="00672B67">
      <w:pPr>
        <w:pStyle w:val="enumlev1"/>
        <w:rPr>
          <w:lang w:val="fr-FR"/>
        </w:rPr>
      </w:pPr>
      <w:r w:rsidRPr="00A37A84">
        <w:rPr>
          <w:lang w:val="fr-FR"/>
        </w:rPr>
        <w:tab/>
      </w:r>
      <w:r w:rsidR="002E3DF8" w:rsidRPr="00A37A84">
        <w:rPr>
          <w:lang w:val="fr-FR"/>
        </w:rPr>
        <w:t>Les Bureaux régionaux de l</w:t>
      </w:r>
      <w:r w:rsidR="00163B5F" w:rsidRPr="00A37A84">
        <w:rPr>
          <w:lang w:val="fr-FR"/>
        </w:rPr>
        <w:t>'</w:t>
      </w:r>
      <w:r w:rsidR="002E3DF8" w:rsidRPr="00A37A84">
        <w:rPr>
          <w:lang w:val="fr-FR"/>
        </w:rPr>
        <w:t xml:space="preserve">UIT continuent de contribuer à la série de </w:t>
      </w:r>
      <w:r w:rsidR="002E3DF8" w:rsidRPr="00A37A84">
        <w:rPr>
          <w:i/>
          <w:iCs/>
          <w:lang w:val="fr-FR"/>
        </w:rPr>
        <w:t>Forums régionaux des Nations Unies sur le développement durable</w:t>
      </w:r>
      <w:r w:rsidR="002E3DF8" w:rsidRPr="00A37A84">
        <w:rPr>
          <w:lang w:val="fr-FR"/>
        </w:rPr>
        <w:t>, qui se déroulent selon une périodicité annuelle dans six régions. Un certain nombre de sessions thématiques, d</w:t>
      </w:r>
      <w:r w:rsidR="00163B5F" w:rsidRPr="00A37A84">
        <w:rPr>
          <w:lang w:val="fr-FR"/>
        </w:rPr>
        <w:t>'</w:t>
      </w:r>
      <w:r w:rsidR="002E3DF8" w:rsidRPr="00A37A84">
        <w:rPr>
          <w:lang w:val="fr-FR"/>
        </w:rPr>
        <w:t>interventions ciblées et d</w:t>
      </w:r>
      <w:r w:rsidR="00163B5F" w:rsidRPr="00A37A84">
        <w:rPr>
          <w:lang w:val="fr-FR"/>
        </w:rPr>
        <w:t>'</w:t>
      </w:r>
      <w:r w:rsidR="002E3DF8" w:rsidRPr="00A37A84">
        <w:rPr>
          <w:lang w:val="fr-FR"/>
        </w:rPr>
        <w:t>expositions ont été organisées en 2019 afin d</w:t>
      </w:r>
      <w:r w:rsidR="00163B5F" w:rsidRPr="00A37A84">
        <w:rPr>
          <w:lang w:val="fr-FR"/>
        </w:rPr>
        <w:t>'</w:t>
      </w:r>
      <w:r w:rsidR="002E3DF8" w:rsidRPr="00A37A84">
        <w:rPr>
          <w:lang w:val="fr-FR"/>
        </w:rPr>
        <w:t xml:space="preserve">établir des partenariats </w:t>
      </w:r>
      <w:r w:rsidR="00AE4BC1" w:rsidRPr="00A37A84">
        <w:rPr>
          <w:lang w:val="fr-FR"/>
        </w:rPr>
        <w:t>multi</w:t>
      </w:r>
      <w:r w:rsidR="00620F2B" w:rsidRPr="00A37A84">
        <w:rPr>
          <w:lang w:val="fr-FR"/>
        </w:rPr>
        <w:noBreakHyphen/>
      </w:r>
      <w:r w:rsidR="00AE4BC1" w:rsidRPr="00A37A84">
        <w:rPr>
          <w:lang w:val="fr-FR"/>
        </w:rPr>
        <w:t>parties prenantes</w:t>
      </w:r>
      <w:r w:rsidR="002E3DF8" w:rsidRPr="00A37A84">
        <w:rPr>
          <w:lang w:val="fr-FR"/>
        </w:rPr>
        <w:t xml:space="preserve"> et de progresser dans la mise en œuvre de projets et d</w:t>
      </w:r>
      <w:r w:rsidR="00AE4BC1" w:rsidRPr="00A37A84">
        <w:rPr>
          <w:lang w:val="fr-FR"/>
        </w:rPr>
        <w:t>'</w:t>
      </w:r>
      <w:r w:rsidR="002E3DF8" w:rsidRPr="00A37A84">
        <w:rPr>
          <w:lang w:val="fr-FR"/>
        </w:rPr>
        <w:t>initiatives concernant les TIC au service des ODD, tout en harmonisant les grandes orientations du</w:t>
      </w:r>
      <w:r w:rsidR="000D45A6">
        <w:rPr>
          <w:lang w:val="fr-FR"/>
        </w:rPr>
        <w:t> </w:t>
      </w:r>
      <w:r w:rsidR="002E3DF8" w:rsidRPr="00A37A84">
        <w:rPr>
          <w:lang w:val="fr-FR"/>
        </w:rPr>
        <w:t>SMSI et les ODD. Une série de Forums régionaux des Nations Unies sur le développement durable a également été planifiée pour 2020, comme suit:</w:t>
      </w:r>
    </w:p>
    <w:p w14:paraId="60A4D84F" w14:textId="442600A2" w:rsidR="002E3DF8" w:rsidRPr="00A37A84" w:rsidRDefault="000D45A6" w:rsidP="00672B67">
      <w:pPr>
        <w:pStyle w:val="enumlev2"/>
        <w:rPr>
          <w:lang w:val="fr-FR"/>
        </w:rPr>
      </w:pPr>
      <w:r w:rsidRPr="000D45A6">
        <w:rPr>
          <w:lang w:val="fr-FR"/>
        </w:rPr>
        <w:t>–</w:t>
      </w:r>
      <w:r w:rsidR="001405E3" w:rsidRPr="00A37A84">
        <w:rPr>
          <w:lang w:val="fr-FR"/>
        </w:rPr>
        <w:tab/>
      </w:r>
      <w:hyperlink r:id="rId18" w:history="1">
        <w:r w:rsidR="002E3DF8" w:rsidRPr="00A37A84">
          <w:rPr>
            <w:rStyle w:val="Hyperlink"/>
            <w:bCs/>
            <w:lang w:val="fr-FR"/>
          </w:rPr>
          <w:t>Commission écon</w:t>
        </w:r>
        <w:r w:rsidR="002E3DF8" w:rsidRPr="00A37A84">
          <w:rPr>
            <w:rStyle w:val="Hyperlink"/>
            <w:bCs/>
            <w:lang w:val="fr-FR"/>
          </w:rPr>
          <w:t>o</w:t>
        </w:r>
        <w:r w:rsidR="002E3DF8" w:rsidRPr="00A37A84">
          <w:rPr>
            <w:rStyle w:val="Hyperlink"/>
            <w:bCs/>
            <w:lang w:val="fr-FR"/>
          </w:rPr>
          <w:t>mique pour l</w:t>
        </w:r>
        <w:r w:rsidR="00163B5F" w:rsidRPr="00A37A84">
          <w:rPr>
            <w:rStyle w:val="Hyperlink"/>
            <w:bCs/>
            <w:lang w:val="fr-FR"/>
          </w:rPr>
          <w:t>'</w:t>
        </w:r>
        <w:r w:rsidR="002E3DF8" w:rsidRPr="00A37A84">
          <w:rPr>
            <w:rStyle w:val="Hyperlink"/>
            <w:bCs/>
            <w:lang w:val="fr-FR"/>
          </w:rPr>
          <w:t>Afrique (CEA): Sixième session du Forum régional africain pour le développement durable</w:t>
        </w:r>
      </w:hyperlink>
      <w:r w:rsidR="002E3DF8" w:rsidRPr="00A37A84">
        <w:rPr>
          <w:lang w:val="fr-FR"/>
        </w:rPr>
        <w:br/>
        <w:t>24-27 février 2020, Victoria Falls Town (Zimbabwe)</w:t>
      </w:r>
      <w:r w:rsidR="00620F2B" w:rsidRPr="00A37A84">
        <w:rPr>
          <w:lang w:val="fr-FR"/>
        </w:rPr>
        <w:t>.</w:t>
      </w:r>
    </w:p>
    <w:p w14:paraId="2F0B2757" w14:textId="0BC6A621" w:rsidR="002E3DF8" w:rsidRPr="00A37A84" w:rsidRDefault="000D45A6" w:rsidP="00672B67">
      <w:pPr>
        <w:pStyle w:val="enumlev2"/>
        <w:rPr>
          <w:lang w:val="fr-FR"/>
        </w:rPr>
      </w:pPr>
      <w:r w:rsidRPr="000D45A6">
        <w:rPr>
          <w:lang w:val="fr-FR"/>
        </w:rPr>
        <w:t>–</w:t>
      </w:r>
      <w:r w:rsidR="001405E3" w:rsidRPr="00A37A84">
        <w:rPr>
          <w:lang w:val="fr-FR"/>
        </w:rPr>
        <w:tab/>
      </w:r>
      <w:hyperlink r:id="rId19" w:history="1">
        <w:r w:rsidR="002E3DF8" w:rsidRPr="00A37A84">
          <w:rPr>
            <w:rStyle w:val="Hyperlink"/>
            <w:bCs/>
            <w:lang w:val="fr-FR"/>
          </w:rPr>
          <w:t xml:space="preserve">Commission </w:t>
        </w:r>
        <w:r w:rsidR="002E3DF8" w:rsidRPr="00A37A84">
          <w:rPr>
            <w:rStyle w:val="Hyperlink"/>
            <w:bCs/>
            <w:lang w:val="fr-FR"/>
          </w:rPr>
          <w:t>é</w:t>
        </w:r>
        <w:r w:rsidR="002E3DF8" w:rsidRPr="00A37A84">
          <w:rPr>
            <w:rStyle w:val="Hyperlink"/>
            <w:bCs/>
            <w:lang w:val="fr-FR"/>
          </w:rPr>
          <w:t>conomique des Nations Unies pour l</w:t>
        </w:r>
        <w:r w:rsidR="00163B5F" w:rsidRPr="00A37A84">
          <w:rPr>
            <w:rStyle w:val="Hyperlink"/>
            <w:bCs/>
            <w:lang w:val="fr-FR"/>
          </w:rPr>
          <w:t>'</w:t>
        </w:r>
        <w:r w:rsidR="002E3DF8" w:rsidRPr="00A37A84">
          <w:rPr>
            <w:rStyle w:val="Hyperlink"/>
            <w:bCs/>
            <w:lang w:val="fr-FR"/>
          </w:rPr>
          <w:t>Europe (CEE): Troisième session du Forum régional sur le développement durable pour la région de la CEE</w:t>
        </w:r>
      </w:hyperlink>
      <w:r w:rsidR="002E3DF8" w:rsidRPr="00A37A84">
        <w:rPr>
          <w:lang w:val="fr-FR"/>
        </w:rPr>
        <w:t xml:space="preserve"> </w:t>
      </w:r>
      <w:r w:rsidR="001F5D75" w:rsidRPr="00A37A84">
        <w:rPr>
          <w:lang w:val="fr-FR"/>
        </w:rPr>
        <w:br/>
      </w:r>
      <w:r w:rsidR="002E3DF8" w:rsidRPr="00A37A84">
        <w:rPr>
          <w:lang w:val="fr-FR"/>
        </w:rPr>
        <w:t>19-20 mars 2020, Genève (Suisse)</w:t>
      </w:r>
      <w:r w:rsidR="00620F2B" w:rsidRPr="00A37A84">
        <w:rPr>
          <w:lang w:val="fr-FR"/>
        </w:rPr>
        <w:t>.</w:t>
      </w:r>
    </w:p>
    <w:p w14:paraId="59F109DF" w14:textId="517D6E8A" w:rsidR="002E3DF8" w:rsidRPr="00A37A84" w:rsidRDefault="000D45A6" w:rsidP="00672B67">
      <w:pPr>
        <w:pStyle w:val="enumlev2"/>
        <w:rPr>
          <w:lang w:val="fr-FR"/>
        </w:rPr>
      </w:pPr>
      <w:r w:rsidRPr="000D45A6">
        <w:rPr>
          <w:lang w:val="fr-FR"/>
        </w:rPr>
        <w:t>–</w:t>
      </w:r>
      <w:r w:rsidR="001405E3" w:rsidRPr="00A37A84">
        <w:rPr>
          <w:lang w:val="fr-FR"/>
        </w:rPr>
        <w:tab/>
      </w:r>
      <w:hyperlink r:id="rId20" w:history="1">
        <w:r w:rsidR="002E3DF8" w:rsidRPr="00A37A84">
          <w:rPr>
            <w:rStyle w:val="Hyperlink"/>
            <w:bCs/>
            <w:lang w:val="fr-FR"/>
          </w:rPr>
          <w:t>Commission économique et sociale pour l</w:t>
        </w:r>
        <w:r w:rsidR="00163B5F" w:rsidRPr="00A37A84">
          <w:rPr>
            <w:rStyle w:val="Hyperlink"/>
            <w:bCs/>
            <w:lang w:val="fr-FR"/>
          </w:rPr>
          <w:t>'</w:t>
        </w:r>
        <w:r w:rsidR="002E3DF8" w:rsidRPr="00A37A84">
          <w:rPr>
            <w:rStyle w:val="Hyperlink"/>
            <w:bCs/>
            <w:lang w:val="fr-FR"/>
          </w:rPr>
          <w:t xml:space="preserve">Asie et le Pacifique (ECLAC): </w:t>
        </w:r>
        <w:r w:rsidR="00AE4BC1" w:rsidRPr="00A37A84">
          <w:rPr>
            <w:rStyle w:val="Hyperlink"/>
            <w:bCs/>
            <w:lang w:val="fr-FR"/>
          </w:rPr>
          <w:t>S</w:t>
        </w:r>
        <w:r w:rsidR="002E3DF8" w:rsidRPr="00A37A84">
          <w:rPr>
            <w:rStyle w:val="Hyperlink"/>
            <w:bCs/>
            <w:lang w:val="fr-FR"/>
          </w:rPr>
          <w:t>eptième session du Forum Asie-Pacifique</w:t>
        </w:r>
        <w:r w:rsidR="002E3DF8" w:rsidRPr="00A37A84">
          <w:rPr>
            <w:rStyle w:val="Hyperlink"/>
            <w:bCs/>
            <w:lang w:val="fr-FR"/>
          </w:rPr>
          <w:t xml:space="preserve"> </w:t>
        </w:r>
        <w:r w:rsidR="002E3DF8" w:rsidRPr="00A37A84">
          <w:rPr>
            <w:rStyle w:val="Hyperlink"/>
            <w:bCs/>
            <w:lang w:val="fr-FR"/>
          </w:rPr>
          <w:t>pour le développement durable</w:t>
        </w:r>
      </w:hyperlink>
      <w:r w:rsidR="002E3DF8" w:rsidRPr="00A37A84">
        <w:rPr>
          <w:lang w:val="fr-FR"/>
        </w:rPr>
        <w:br/>
        <w:t>25-27 mars 2020, Bangkok (Thaïlande)</w:t>
      </w:r>
      <w:r w:rsidR="00620F2B" w:rsidRPr="00A37A84">
        <w:rPr>
          <w:lang w:val="fr-FR"/>
        </w:rPr>
        <w:t>.</w:t>
      </w:r>
    </w:p>
    <w:p w14:paraId="0F14A4FA" w14:textId="1A18543E" w:rsidR="002E3DF8" w:rsidRPr="00A37A84" w:rsidRDefault="000D45A6" w:rsidP="00672B67">
      <w:pPr>
        <w:pStyle w:val="enumlev2"/>
        <w:rPr>
          <w:lang w:val="fr-FR"/>
        </w:rPr>
      </w:pPr>
      <w:r w:rsidRPr="000D45A6">
        <w:rPr>
          <w:lang w:val="fr-FR"/>
        </w:rPr>
        <w:t>–</w:t>
      </w:r>
      <w:r w:rsidR="001405E3" w:rsidRPr="00A37A84">
        <w:rPr>
          <w:lang w:val="fr-FR"/>
        </w:rPr>
        <w:tab/>
      </w:r>
      <w:hyperlink r:id="rId21" w:history="1">
        <w:r w:rsidR="002E3DF8" w:rsidRPr="00A37A84">
          <w:rPr>
            <w:rStyle w:val="Hyperlink"/>
            <w:bCs/>
            <w:lang w:val="fr-FR"/>
          </w:rPr>
          <w:t xml:space="preserve">Commission économique </w:t>
        </w:r>
        <w:r w:rsidR="002E3DF8" w:rsidRPr="00A37A84">
          <w:rPr>
            <w:rStyle w:val="Hyperlink"/>
            <w:bCs/>
            <w:lang w:val="fr-FR"/>
          </w:rPr>
          <w:t>p</w:t>
        </w:r>
        <w:r w:rsidR="002E3DF8" w:rsidRPr="00A37A84">
          <w:rPr>
            <w:rStyle w:val="Hyperlink"/>
            <w:bCs/>
            <w:lang w:val="fr-FR"/>
          </w:rPr>
          <w:t>our l</w:t>
        </w:r>
        <w:r w:rsidR="00163B5F" w:rsidRPr="00A37A84">
          <w:rPr>
            <w:rStyle w:val="Hyperlink"/>
            <w:bCs/>
            <w:lang w:val="fr-FR"/>
          </w:rPr>
          <w:t>'</w:t>
        </w:r>
        <w:r w:rsidR="002E3DF8" w:rsidRPr="00A37A84">
          <w:rPr>
            <w:rStyle w:val="Hyperlink"/>
            <w:bCs/>
            <w:lang w:val="fr-FR"/>
          </w:rPr>
          <w:t>Amérique latine et les Caraïbes: Quatrième session du Forum des pays d</w:t>
        </w:r>
        <w:r w:rsidR="00163B5F" w:rsidRPr="00A37A84">
          <w:rPr>
            <w:rStyle w:val="Hyperlink"/>
            <w:bCs/>
            <w:lang w:val="fr-FR"/>
          </w:rPr>
          <w:t>'</w:t>
        </w:r>
        <w:r w:rsidR="002E3DF8" w:rsidRPr="00A37A84">
          <w:rPr>
            <w:rStyle w:val="Hyperlink"/>
            <w:bCs/>
            <w:lang w:val="fr-FR"/>
          </w:rPr>
          <w:t>Améri</w:t>
        </w:r>
        <w:r w:rsidR="002E3DF8" w:rsidRPr="00A37A84">
          <w:rPr>
            <w:rStyle w:val="Hyperlink"/>
            <w:bCs/>
            <w:lang w:val="fr-FR"/>
          </w:rPr>
          <w:t>q</w:t>
        </w:r>
        <w:r w:rsidR="002E3DF8" w:rsidRPr="00A37A84">
          <w:rPr>
            <w:rStyle w:val="Hyperlink"/>
            <w:bCs/>
            <w:lang w:val="fr-FR"/>
          </w:rPr>
          <w:t>ue latine et des Caraïbes sur le développement durable</w:t>
        </w:r>
      </w:hyperlink>
      <w:r w:rsidR="002E3DF8" w:rsidRPr="00A37A84">
        <w:rPr>
          <w:lang w:val="fr-FR"/>
        </w:rPr>
        <w:t xml:space="preserve"> </w:t>
      </w:r>
      <w:r w:rsidR="001F5D75" w:rsidRPr="00A37A84">
        <w:rPr>
          <w:lang w:val="fr-FR"/>
        </w:rPr>
        <w:br/>
      </w:r>
      <w:r w:rsidR="002E3DF8" w:rsidRPr="00A37A84">
        <w:rPr>
          <w:lang w:val="fr-FR"/>
        </w:rPr>
        <w:t>28-31 mars 2020, La Havane (Cuba).</w:t>
      </w:r>
    </w:p>
    <w:p w14:paraId="2609D30E" w14:textId="54B6AD5A" w:rsidR="002E3DF8" w:rsidRPr="00A37A84" w:rsidRDefault="000D45A6" w:rsidP="00672B67">
      <w:pPr>
        <w:pStyle w:val="enumlev2"/>
        <w:rPr>
          <w:lang w:val="fr-FR"/>
        </w:rPr>
      </w:pPr>
      <w:r w:rsidRPr="000D45A6">
        <w:rPr>
          <w:lang w:val="fr-FR"/>
        </w:rPr>
        <w:t>–</w:t>
      </w:r>
      <w:r w:rsidR="001405E3" w:rsidRPr="00A37A84">
        <w:rPr>
          <w:lang w:val="fr-FR"/>
        </w:rPr>
        <w:tab/>
      </w:r>
      <w:hyperlink r:id="rId22" w:history="1">
        <w:r w:rsidR="002E3DF8" w:rsidRPr="000D45A6">
          <w:rPr>
            <w:rStyle w:val="Hyperlink"/>
            <w:lang w:val="fr-FR"/>
          </w:rPr>
          <w:t>Commission économique et sociale pour l</w:t>
        </w:r>
        <w:r w:rsidR="00163B5F" w:rsidRPr="000D45A6">
          <w:rPr>
            <w:rStyle w:val="Hyperlink"/>
            <w:lang w:val="fr-FR"/>
          </w:rPr>
          <w:t>'</w:t>
        </w:r>
        <w:r w:rsidR="002E3DF8" w:rsidRPr="000D45A6">
          <w:rPr>
            <w:rStyle w:val="Hyperlink"/>
            <w:lang w:val="fr-FR"/>
          </w:rPr>
          <w:t xml:space="preserve">Asie occidentale (CESAO): </w:t>
        </w:r>
        <w:r w:rsidR="00AE4BC1" w:rsidRPr="000D45A6">
          <w:rPr>
            <w:rStyle w:val="Hyperlink"/>
            <w:lang w:val="fr-FR"/>
          </w:rPr>
          <w:t>S</w:t>
        </w:r>
        <w:r w:rsidR="002E3DF8" w:rsidRPr="000D45A6">
          <w:rPr>
            <w:rStyle w:val="Hyperlink"/>
            <w:lang w:val="fr-FR"/>
          </w:rPr>
          <w:t>eptième session du Forum arabe pour le développement durable de 2020</w:t>
        </w:r>
      </w:hyperlink>
      <w:r w:rsidR="002E3DF8" w:rsidRPr="00A37A84">
        <w:rPr>
          <w:lang w:val="fr-FR"/>
        </w:rPr>
        <w:br/>
        <w:t>7-9 avril 2020, Beyrouth (Liban)</w:t>
      </w:r>
      <w:r w:rsidR="00AC62F7" w:rsidRPr="00A37A84">
        <w:rPr>
          <w:lang w:val="fr-FR"/>
        </w:rPr>
        <w:t>.</w:t>
      </w:r>
    </w:p>
    <w:p w14:paraId="61F27775" w14:textId="64685DA3" w:rsidR="002E3DF8" w:rsidRPr="00A37A84" w:rsidRDefault="00AC62F7" w:rsidP="00AC62F7">
      <w:pPr>
        <w:pStyle w:val="enumlev1"/>
        <w:rPr>
          <w:lang w:val="fr-FR"/>
        </w:rPr>
      </w:pPr>
      <w:r w:rsidRPr="00A37A84">
        <w:rPr>
          <w:lang w:val="fr-FR"/>
        </w:rPr>
        <w:tab/>
      </w:r>
      <w:r w:rsidR="002E3DF8" w:rsidRPr="00A37A84">
        <w:rPr>
          <w:lang w:val="fr-FR"/>
        </w:rPr>
        <w:t xml:space="preserve">Outre les contributions ordinaires des </w:t>
      </w:r>
      <w:r w:rsidR="00AE4BC1" w:rsidRPr="00A37A84">
        <w:rPr>
          <w:lang w:val="fr-FR"/>
        </w:rPr>
        <w:t>b</w:t>
      </w:r>
      <w:r w:rsidR="002E3DF8" w:rsidRPr="00A37A84">
        <w:rPr>
          <w:lang w:val="fr-FR"/>
        </w:rPr>
        <w:t>ureaux régionaux de l</w:t>
      </w:r>
      <w:r w:rsidR="00163B5F" w:rsidRPr="00A37A84">
        <w:rPr>
          <w:lang w:val="fr-FR"/>
        </w:rPr>
        <w:t>'</w:t>
      </w:r>
      <w:r w:rsidR="002E3DF8" w:rsidRPr="00A37A84">
        <w:rPr>
          <w:lang w:val="fr-FR"/>
        </w:rPr>
        <w:t>UIT à ces réunions, des interventions spéciales ont été prévues en vue de souligner l</w:t>
      </w:r>
      <w:r w:rsidR="00163B5F" w:rsidRPr="00A37A84">
        <w:rPr>
          <w:lang w:val="fr-FR"/>
        </w:rPr>
        <w:t>'</w:t>
      </w:r>
      <w:r w:rsidR="002E3DF8" w:rsidRPr="00A37A84">
        <w:rPr>
          <w:lang w:val="fr-FR"/>
        </w:rPr>
        <w:t>importance de l</w:t>
      </w:r>
      <w:r w:rsidR="00163B5F" w:rsidRPr="00A37A84">
        <w:rPr>
          <w:lang w:val="fr-FR"/>
        </w:rPr>
        <w:t>'</w:t>
      </w:r>
      <w:r w:rsidR="002E3DF8" w:rsidRPr="00A37A84">
        <w:rPr>
          <w:lang w:val="fr-FR"/>
        </w:rPr>
        <w:t>harmonisation des processus du SMSI et des ODD ainsi que de leur mise en œuvre, conformément à la Résolution 70/125 de l</w:t>
      </w:r>
      <w:r w:rsidR="00163B5F" w:rsidRPr="00A37A84">
        <w:rPr>
          <w:lang w:val="fr-FR"/>
        </w:rPr>
        <w:t>'</w:t>
      </w:r>
      <w:r w:rsidR="002E3DF8" w:rsidRPr="00A37A84">
        <w:rPr>
          <w:lang w:val="fr-FR"/>
        </w:rPr>
        <w:t>Assemblée générale des Nations Unies.</w:t>
      </w:r>
    </w:p>
    <w:p w14:paraId="2DDDA643" w14:textId="12DD1B5F" w:rsidR="002E3DF8" w:rsidRPr="00A37A84" w:rsidRDefault="00AC62F7" w:rsidP="00AC62F7">
      <w:pPr>
        <w:pStyle w:val="enumlev1"/>
        <w:rPr>
          <w:lang w:val="fr-FR"/>
        </w:rPr>
      </w:pPr>
      <w:r w:rsidRPr="00A37A84">
        <w:rPr>
          <w:lang w:val="fr-FR"/>
        </w:rPr>
        <w:tab/>
      </w:r>
      <w:r w:rsidR="002E3DF8" w:rsidRPr="00A37A84">
        <w:rPr>
          <w:lang w:val="fr-FR"/>
        </w:rPr>
        <w:t>Dans le cadre d</w:t>
      </w:r>
      <w:r w:rsidR="00163B5F" w:rsidRPr="00A37A84">
        <w:rPr>
          <w:lang w:val="fr-FR"/>
        </w:rPr>
        <w:t>'</w:t>
      </w:r>
      <w:r w:rsidR="002E3DF8" w:rsidRPr="00A37A84">
        <w:rPr>
          <w:lang w:val="fr-FR"/>
        </w:rPr>
        <w:t>une collaboration placée sous l</w:t>
      </w:r>
      <w:r w:rsidR="00163B5F" w:rsidRPr="00A37A84">
        <w:rPr>
          <w:lang w:val="fr-FR"/>
        </w:rPr>
        <w:t>'</w:t>
      </w:r>
      <w:r w:rsidR="002E3DF8" w:rsidRPr="00A37A84">
        <w:rPr>
          <w:lang w:val="fr-FR"/>
        </w:rPr>
        <w:t>égide de l</w:t>
      </w:r>
      <w:r w:rsidR="00163B5F" w:rsidRPr="00A37A84">
        <w:rPr>
          <w:lang w:val="fr-FR"/>
        </w:rPr>
        <w:t>'</w:t>
      </w:r>
      <w:r w:rsidR="002E3DF8" w:rsidRPr="00A37A84">
        <w:rPr>
          <w:lang w:val="fr-FR"/>
        </w:rPr>
        <w:t>Initiative mondiale pour l</w:t>
      </w:r>
      <w:r w:rsidR="00163B5F" w:rsidRPr="00A37A84">
        <w:rPr>
          <w:lang w:val="fr-FR"/>
        </w:rPr>
        <w:t>'</w:t>
      </w:r>
      <w:r w:rsidR="002E3DF8" w:rsidRPr="00A37A84">
        <w:rPr>
          <w:lang w:val="fr-FR"/>
        </w:rPr>
        <w:t>emploi décent des jeunes, l</w:t>
      </w:r>
      <w:r w:rsidR="00163B5F" w:rsidRPr="00A37A84">
        <w:rPr>
          <w:lang w:val="fr-FR"/>
        </w:rPr>
        <w:t>'</w:t>
      </w:r>
      <w:r w:rsidR="002E3DF8" w:rsidRPr="00A37A84">
        <w:rPr>
          <w:lang w:val="fr-FR"/>
        </w:rPr>
        <w:t>Organisation internationale du travail et l</w:t>
      </w:r>
      <w:r w:rsidR="00163B5F" w:rsidRPr="00A37A84">
        <w:rPr>
          <w:lang w:val="fr-FR"/>
        </w:rPr>
        <w:t>'</w:t>
      </w:r>
      <w:r w:rsidR="002E3DF8" w:rsidRPr="00A37A84">
        <w:rPr>
          <w:lang w:val="fr-FR"/>
        </w:rPr>
        <w:t>Union internationale des télécommunications (UIT), avec l</w:t>
      </w:r>
      <w:r w:rsidR="00163B5F" w:rsidRPr="00A37A84">
        <w:rPr>
          <w:lang w:val="fr-FR"/>
        </w:rPr>
        <w:t>'</w:t>
      </w:r>
      <w:r w:rsidR="002E3DF8" w:rsidRPr="00A37A84">
        <w:rPr>
          <w:lang w:val="fr-FR"/>
        </w:rPr>
        <w:t>appui de l</w:t>
      </w:r>
      <w:r w:rsidR="00163B5F" w:rsidRPr="00A37A84">
        <w:rPr>
          <w:lang w:val="fr-FR"/>
        </w:rPr>
        <w:t>'</w:t>
      </w:r>
      <w:r w:rsidR="002E3DF8" w:rsidRPr="00A37A84">
        <w:rPr>
          <w:lang w:val="fr-FR"/>
        </w:rPr>
        <w:t>Union africaine, ont élaboré une approche globale concernant la création d</w:t>
      </w:r>
      <w:r w:rsidR="00163B5F" w:rsidRPr="00A37A84">
        <w:rPr>
          <w:lang w:val="fr-FR"/>
        </w:rPr>
        <w:t>'</w:t>
      </w:r>
      <w:r w:rsidR="002E3DF8" w:rsidRPr="00A37A84">
        <w:rPr>
          <w:lang w:val="fr-FR"/>
        </w:rPr>
        <w:t>emplois pour les jeunes dans l</w:t>
      </w:r>
      <w:r w:rsidR="00163B5F" w:rsidRPr="00A37A84">
        <w:rPr>
          <w:lang w:val="fr-FR"/>
        </w:rPr>
        <w:t>'</w:t>
      </w:r>
      <w:r w:rsidR="002E3DF8" w:rsidRPr="00A37A84">
        <w:rPr>
          <w:lang w:val="fr-FR"/>
        </w:rPr>
        <w:t xml:space="preserve">économie numérique, baptisée </w:t>
      </w:r>
      <w:r w:rsidR="00163B5F" w:rsidRPr="00A37A84">
        <w:rPr>
          <w:lang w:val="fr-FR"/>
        </w:rPr>
        <w:t>"</w:t>
      </w:r>
      <w:r w:rsidR="002E3DF8" w:rsidRPr="00A37A84">
        <w:rPr>
          <w:lang w:val="fr-FR"/>
        </w:rPr>
        <w:t>Promouvoir des emplois décents et renforcer les compétences des jeunes dans l</w:t>
      </w:r>
      <w:r w:rsidR="00163B5F" w:rsidRPr="00A37A84">
        <w:rPr>
          <w:lang w:val="fr-FR"/>
        </w:rPr>
        <w:t>'</w:t>
      </w:r>
      <w:r w:rsidR="002E3DF8" w:rsidRPr="00A37A84">
        <w:rPr>
          <w:lang w:val="fr-FR"/>
        </w:rPr>
        <w:t>économie numérique de l</w:t>
      </w:r>
      <w:r w:rsidR="00163B5F" w:rsidRPr="00A37A84">
        <w:rPr>
          <w:lang w:val="fr-FR"/>
        </w:rPr>
        <w:t>'</w:t>
      </w:r>
      <w:r w:rsidR="002E3DF8" w:rsidRPr="00A37A84">
        <w:rPr>
          <w:lang w:val="fr-FR"/>
        </w:rPr>
        <w:t>Afrique</w:t>
      </w:r>
      <w:r w:rsidR="00163B5F" w:rsidRPr="00A37A84">
        <w:rPr>
          <w:lang w:val="fr-FR"/>
        </w:rPr>
        <w:t>"</w:t>
      </w:r>
      <w:r w:rsidR="002E3DF8" w:rsidRPr="00A37A84">
        <w:rPr>
          <w:lang w:val="fr-FR"/>
        </w:rPr>
        <w:t>. Une session d</w:t>
      </w:r>
      <w:r w:rsidR="00163B5F" w:rsidRPr="00A37A84">
        <w:rPr>
          <w:lang w:val="fr-FR"/>
        </w:rPr>
        <w:t>'</w:t>
      </w:r>
      <w:r w:rsidR="002E3DF8" w:rsidRPr="00A37A84">
        <w:rPr>
          <w:lang w:val="fr-FR"/>
        </w:rPr>
        <w:t>information et de sensibilisation sera organisée parallèlement à la sixième session du Forum régional africain pour le développement durable, qui aura lieu du 24 au 27 février à Victoria Falls Town (Zimbabwe).</w:t>
      </w:r>
    </w:p>
    <w:p w14:paraId="4F55055A" w14:textId="77777777" w:rsidR="00AC62F7" w:rsidRPr="00A37A84" w:rsidRDefault="00AC62F7" w:rsidP="00AC62F7">
      <w:pPr>
        <w:pStyle w:val="enumlev1"/>
        <w:rPr>
          <w:lang w:val="fr-FR"/>
        </w:rPr>
      </w:pPr>
      <w:r w:rsidRPr="00A37A84">
        <w:rPr>
          <w:lang w:val="fr-FR"/>
        </w:rPr>
        <w:br w:type="page"/>
      </w:r>
    </w:p>
    <w:p w14:paraId="2B401B41" w14:textId="476FC73B" w:rsidR="002E3DF8" w:rsidRPr="00A37A84" w:rsidRDefault="00AC62F7" w:rsidP="00AC62F7">
      <w:pPr>
        <w:pStyle w:val="enumlev1"/>
        <w:rPr>
          <w:lang w:val="fr-FR"/>
        </w:rPr>
      </w:pPr>
      <w:r w:rsidRPr="00A37A84">
        <w:rPr>
          <w:lang w:val="fr-FR"/>
        </w:rPr>
        <w:tab/>
      </w:r>
      <w:r w:rsidR="002E3DF8" w:rsidRPr="00A37A84">
        <w:rPr>
          <w:lang w:val="fr-FR"/>
        </w:rPr>
        <w:t>S</w:t>
      </w:r>
      <w:r w:rsidR="00163B5F" w:rsidRPr="00A37A84">
        <w:rPr>
          <w:lang w:val="fr-FR"/>
        </w:rPr>
        <w:t>'</w:t>
      </w:r>
      <w:r w:rsidR="002E3DF8" w:rsidRPr="00A37A84">
        <w:rPr>
          <w:lang w:val="fr-FR"/>
        </w:rPr>
        <w:t xml:space="preserve">inscrivant dans la droite ligne du partenariat avec la CESAO, le </w:t>
      </w:r>
      <w:hyperlink r:id="rId23" w:history="1">
        <w:r w:rsidR="002E3DF8" w:rsidRPr="00A37A84">
          <w:rPr>
            <w:rStyle w:val="Hyperlink"/>
            <w:lang w:val="fr-FR"/>
          </w:rPr>
          <w:t>Forum arabe de haut niveau sur le S</w:t>
        </w:r>
        <w:r w:rsidR="00AE4BC1" w:rsidRPr="00A37A84">
          <w:rPr>
            <w:rStyle w:val="Hyperlink"/>
            <w:lang w:val="fr-FR"/>
          </w:rPr>
          <w:t xml:space="preserve">ommet mondial sur la société de l'information </w:t>
        </w:r>
        <w:r w:rsidR="002E3DF8" w:rsidRPr="00A37A84">
          <w:rPr>
            <w:rStyle w:val="Hyperlink"/>
            <w:lang w:val="fr-FR"/>
          </w:rPr>
          <w:t>et le Programme de développement durable à</w:t>
        </w:r>
        <w:r w:rsidR="002E3DF8" w:rsidRPr="00A37A84">
          <w:rPr>
            <w:rStyle w:val="Hyperlink"/>
            <w:lang w:val="fr-FR"/>
          </w:rPr>
          <w:t xml:space="preserve"> </w:t>
        </w:r>
        <w:r w:rsidR="002E3DF8" w:rsidRPr="00A37A84">
          <w:rPr>
            <w:rStyle w:val="Hyperlink"/>
            <w:lang w:val="fr-FR"/>
          </w:rPr>
          <w:t>l</w:t>
        </w:r>
        <w:r w:rsidR="00163B5F" w:rsidRPr="00A37A84">
          <w:rPr>
            <w:rStyle w:val="Hyperlink"/>
            <w:lang w:val="fr-FR"/>
          </w:rPr>
          <w:t>'</w:t>
        </w:r>
        <w:r w:rsidR="002E3DF8" w:rsidRPr="00A37A84">
          <w:rPr>
            <w:rStyle w:val="Hyperlink"/>
            <w:lang w:val="fr-FR"/>
          </w:rPr>
          <w:t>horizon 2030</w:t>
        </w:r>
      </w:hyperlink>
      <w:r w:rsidR="002E3DF8" w:rsidRPr="00A37A84">
        <w:rPr>
          <w:lang w:val="fr-FR"/>
        </w:rPr>
        <w:t xml:space="preserve"> a également été organisé. Cette manifestation avait pour objectif de mettre en évidence les besoins en matière de collaboration entre toutes les parties prenantes en vue de mettre en œuvre le </w:t>
      </w:r>
      <w:r w:rsidR="00AE4BC1" w:rsidRPr="00A37A84">
        <w:rPr>
          <w:lang w:val="fr-FR"/>
        </w:rPr>
        <w:t>P</w:t>
      </w:r>
      <w:r w:rsidR="002E3DF8" w:rsidRPr="00A37A84">
        <w:rPr>
          <w:lang w:val="fr-FR"/>
        </w:rPr>
        <w:t>rogramme de développement durable à l</w:t>
      </w:r>
      <w:r w:rsidR="00163B5F" w:rsidRPr="00A37A84">
        <w:rPr>
          <w:lang w:val="fr-FR"/>
        </w:rPr>
        <w:t>'</w:t>
      </w:r>
      <w:r w:rsidR="002E3DF8" w:rsidRPr="00A37A84">
        <w:rPr>
          <w:lang w:val="fr-FR"/>
        </w:rPr>
        <w:t xml:space="preserve">horizon 2030 et </w:t>
      </w:r>
      <w:r w:rsidR="00AE4BC1" w:rsidRPr="00A37A84">
        <w:rPr>
          <w:lang w:val="fr-FR"/>
        </w:rPr>
        <w:t>d'atteindre les</w:t>
      </w:r>
      <w:r w:rsidR="002E3DF8" w:rsidRPr="00A37A84">
        <w:rPr>
          <w:lang w:val="fr-FR"/>
        </w:rPr>
        <w:t xml:space="preserve"> ODD dans la région des États arabes.</w:t>
      </w:r>
    </w:p>
    <w:p w14:paraId="556247F5" w14:textId="263AF35C" w:rsidR="002E3DF8" w:rsidRPr="00A37A84" w:rsidRDefault="00AC62F7" w:rsidP="00AC62F7">
      <w:pPr>
        <w:pStyle w:val="enumlev1"/>
        <w:rPr>
          <w:lang w:val="fr-FR"/>
        </w:rPr>
      </w:pPr>
      <w:r w:rsidRPr="00A37A84">
        <w:rPr>
          <w:lang w:val="fr-FR"/>
        </w:rPr>
        <w:tab/>
      </w:r>
      <w:r w:rsidR="002E3DF8" w:rsidRPr="00A37A84">
        <w:rPr>
          <w:lang w:val="fr-FR"/>
        </w:rPr>
        <w:t xml:space="preserve">Le </w:t>
      </w:r>
      <w:r w:rsidR="00AE4BC1" w:rsidRPr="00A37A84">
        <w:rPr>
          <w:lang w:val="fr-FR"/>
        </w:rPr>
        <w:t>b</w:t>
      </w:r>
      <w:r w:rsidR="002E3DF8" w:rsidRPr="00A37A84">
        <w:rPr>
          <w:lang w:val="fr-FR"/>
        </w:rPr>
        <w:t>ureau régional de l</w:t>
      </w:r>
      <w:r w:rsidR="00163B5F" w:rsidRPr="00A37A84">
        <w:rPr>
          <w:lang w:val="fr-FR"/>
        </w:rPr>
        <w:t>'</w:t>
      </w:r>
      <w:r w:rsidR="002E3DF8" w:rsidRPr="00A37A84">
        <w:rPr>
          <w:lang w:val="fr-FR"/>
        </w:rPr>
        <w:t>UIT pour les États arabes a organisé deux sessions dans le cadre de ce Forum:</w:t>
      </w:r>
    </w:p>
    <w:p w14:paraId="366F5673" w14:textId="52637F12" w:rsidR="002E3DF8" w:rsidRPr="00A37A84" w:rsidRDefault="00163B5F" w:rsidP="00AC62F7">
      <w:pPr>
        <w:pStyle w:val="enumlev2"/>
        <w:rPr>
          <w:lang w:val="fr-FR"/>
        </w:rPr>
      </w:pPr>
      <w:r w:rsidRPr="00A37A84">
        <w:rPr>
          <w:lang w:val="fr-FR"/>
        </w:rPr>
        <w:t>–</w:t>
      </w:r>
      <w:r w:rsidRPr="00A37A84">
        <w:rPr>
          <w:lang w:val="fr-FR"/>
        </w:rPr>
        <w:tab/>
      </w:r>
      <w:r w:rsidR="002E3DF8" w:rsidRPr="00A37A84">
        <w:rPr>
          <w:lang w:val="fr-FR"/>
        </w:rPr>
        <w:t xml:space="preserve">Une session sur les villes intelligentes et le nouvel Agenda urbain: </w:t>
      </w:r>
      <w:r w:rsidR="00AE4BC1" w:rsidRPr="00A37A84">
        <w:rPr>
          <w:lang w:val="fr-FR"/>
        </w:rPr>
        <w:t>L'objectif de cette session était de</w:t>
      </w:r>
      <w:r w:rsidR="002E3DF8" w:rsidRPr="00A37A84">
        <w:rPr>
          <w:lang w:val="fr-FR"/>
        </w:rPr>
        <w:t xml:space="preserve"> présenter les villes intelligentes et durable en tant qu</w:t>
      </w:r>
      <w:r w:rsidRPr="00A37A84">
        <w:rPr>
          <w:lang w:val="fr-FR"/>
        </w:rPr>
        <w:t>'</w:t>
      </w:r>
      <w:r w:rsidR="002E3DF8" w:rsidRPr="00A37A84">
        <w:rPr>
          <w:lang w:val="fr-FR"/>
        </w:rPr>
        <w:t xml:space="preserve">approche permettant la mise en œuvre du nouvel Agenda urbain et </w:t>
      </w:r>
      <w:r w:rsidR="00AE4BC1" w:rsidRPr="00A37A84">
        <w:rPr>
          <w:lang w:val="fr-FR"/>
        </w:rPr>
        <w:t>de</w:t>
      </w:r>
      <w:r w:rsidR="002E3DF8" w:rsidRPr="00A37A84">
        <w:rPr>
          <w:lang w:val="fr-FR"/>
        </w:rPr>
        <w:t xml:space="preserve"> faire connaître les travaux menés par l</w:t>
      </w:r>
      <w:r w:rsidRPr="00A37A84">
        <w:rPr>
          <w:lang w:val="fr-FR"/>
        </w:rPr>
        <w:t>'</w:t>
      </w:r>
      <w:r w:rsidR="002E3DF8" w:rsidRPr="00A37A84">
        <w:rPr>
          <w:lang w:val="fr-FR"/>
        </w:rPr>
        <w:t>UIT dans le domaine des villes intelligentes et durables, de l</w:t>
      </w:r>
      <w:r w:rsidRPr="00A37A84">
        <w:rPr>
          <w:lang w:val="fr-FR"/>
        </w:rPr>
        <w:t>'</w:t>
      </w:r>
      <w:r w:rsidR="002E3DF8" w:rsidRPr="00A37A84">
        <w:rPr>
          <w:lang w:val="fr-FR"/>
        </w:rPr>
        <w:t>Internet des objets et des indicateurs fondamentaux de performance en vue de mesurer les progrès accomplis par les villes dans la transition vers un modèle intelligent et durable. Cette session a servi de cadre à la présentation du projet de ville intelligente de Beyrouth, mis en œuvre par OGERO, ainsi que de l</w:t>
      </w:r>
      <w:r w:rsidRPr="00A37A84">
        <w:rPr>
          <w:lang w:val="fr-FR"/>
        </w:rPr>
        <w:t>'</w:t>
      </w:r>
      <w:r w:rsidR="002E3DF8" w:rsidRPr="00A37A84">
        <w:rPr>
          <w:lang w:val="fr-FR"/>
        </w:rPr>
        <w:t>initiative régionale de l</w:t>
      </w:r>
      <w:r w:rsidRPr="00A37A84">
        <w:rPr>
          <w:lang w:val="fr-FR"/>
        </w:rPr>
        <w:t>'</w:t>
      </w:r>
      <w:r w:rsidR="002E3DF8" w:rsidRPr="00A37A84">
        <w:rPr>
          <w:lang w:val="fr-FR"/>
        </w:rPr>
        <w:t>UIT sur l</w:t>
      </w:r>
      <w:r w:rsidRPr="00A37A84">
        <w:rPr>
          <w:lang w:val="fr-FR"/>
        </w:rPr>
        <w:t>'</w:t>
      </w:r>
      <w:r w:rsidR="002E3DF8" w:rsidRPr="00A37A84">
        <w:rPr>
          <w:lang w:val="fr-FR"/>
        </w:rPr>
        <w:t>IoT, les villes intelligentes et les mégadonnées.</w:t>
      </w:r>
    </w:p>
    <w:p w14:paraId="68544873" w14:textId="491AB0FB" w:rsidR="002E3DF8" w:rsidRPr="00A37A84" w:rsidRDefault="00163B5F" w:rsidP="00AC62F7">
      <w:pPr>
        <w:pStyle w:val="enumlev2"/>
        <w:rPr>
          <w:lang w:val="fr-FR"/>
        </w:rPr>
      </w:pPr>
      <w:r w:rsidRPr="00A37A84">
        <w:rPr>
          <w:lang w:val="fr-FR"/>
        </w:rPr>
        <w:t>–</w:t>
      </w:r>
      <w:r w:rsidRPr="00A37A84">
        <w:rPr>
          <w:lang w:val="fr-FR"/>
        </w:rPr>
        <w:tab/>
      </w:r>
      <w:r w:rsidR="00C35CE4" w:rsidRPr="00A37A84">
        <w:rPr>
          <w:lang w:val="fr-FR"/>
        </w:rPr>
        <w:t>Une s</w:t>
      </w:r>
      <w:r w:rsidR="002E3DF8" w:rsidRPr="00A37A84">
        <w:rPr>
          <w:lang w:val="fr-FR"/>
        </w:rPr>
        <w:t>ession sur la cybersécurité dans la région des États arabes: Cette session a permis de présenter le Programme mondial cybersécurité (GCA) de l</w:t>
      </w:r>
      <w:r w:rsidRPr="00A37A84">
        <w:rPr>
          <w:lang w:val="fr-FR"/>
        </w:rPr>
        <w:t>'</w:t>
      </w:r>
      <w:r w:rsidR="002E3DF8" w:rsidRPr="00A37A84">
        <w:rPr>
          <w:lang w:val="fr-FR"/>
        </w:rPr>
        <w:t>UIT, ainsi que le Programme de cybersécurité du BDT, de promouvoir la confiance et la sécurité dans l</w:t>
      </w:r>
      <w:r w:rsidRPr="00A37A84">
        <w:rPr>
          <w:lang w:val="fr-FR"/>
        </w:rPr>
        <w:t>'</w:t>
      </w:r>
      <w:r w:rsidR="002E3DF8" w:rsidRPr="00A37A84">
        <w:rPr>
          <w:lang w:val="fr-FR"/>
        </w:rPr>
        <w:t>utilisation des télécommunications/technologies de l</w:t>
      </w:r>
      <w:r w:rsidRPr="00A37A84">
        <w:rPr>
          <w:lang w:val="fr-FR"/>
        </w:rPr>
        <w:t>'</w:t>
      </w:r>
      <w:r w:rsidR="002E3DF8" w:rsidRPr="00A37A84">
        <w:rPr>
          <w:lang w:val="fr-FR"/>
        </w:rPr>
        <w:t>information et de la communication (TIC) et la protection de l</w:t>
      </w:r>
      <w:r w:rsidRPr="00A37A84">
        <w:rPr>
          <w:lang w:val="fr-FR"/>
        </w:rPr>
        <w:t>'</w:t>
      </w:r>
      <w:r w:rsidR="002E3DF8" w:rsidRPr="00A37A84">
        <w:rPr>
          <w:lang w:val="fr-FR"/>
        </w:rPr>
        <w:t>infrastructure informatique essentielle et d</w:t>
      </w:r>
      <w:r w:rsidRPr="00A37A84">
        <w:rPr>
          <w:lang w:val="fr-FR"/>
        </w:rPr>
        <w:t>'</w:t>
      </w:r>
      <w:r w:rsidR="002E3DF8" w:rsidRPr="00A37A84">
        <w:rPr>
          <w:lang w:val="fr-FR"/>
        </w:rPr>
        <w:t>examiner les aspects et les défis importants en matière de cybersécurité dans la région des États arabes. En outre, elle a servi de cadre à la promotion de l</w:t>
      </w:r>
      <w:r w:rsidRPr="00A37A84">
        <w:rPr>
          <w:lang w:val="fr-FR"/>
        </w:rPr>
        <w:t>'</w:t>
      </w:r>
      <w:r w:rsidR="002E3DF8" w:rsidRPr="00A37A84">
        <w:rPr>
          <w:lang w:val="fr-FR"/>
        </w:rPr>
        <w:t>initiative régionale de l</w:t>
      </w:r>
      <w:r w:rsidRPr="00A37A84">
        <w:rPr>
          <w:lang w:val="fr-FR"/>
        </w:rPr>
        <w:t>'</w:t>
      </w:r>
      <w:r w:rsidR="002E3DF8" w:rsidRPr="00A37A84">
        <w:rPr>
          <w:lang w:val="fr-FR"/>
        </w:rPr>
        <w:t>UIT sur la confiance et la sécurité dans l</w:t>
      </w:r>
      <w:r w:rsidRPr="00A37A84">
        <w:rPr>
          <w:lang w:val="fr-FR"/>
        </w:rPr>
        <w:t>'</w:t>
      </w:r>
      <w:r w:rsidR="002E3DF8" w:rsidRPr="00A37A84">
        <w:rPr>
          <w:lang w:val="fr-FR"/>
        </w:rPr>
        <w:t>utilisation des télécommunications/TIC.</w:t>
      </w:r>
    </w:p>
    <w:p w14:paraId="046C5958" w14:textId="3E96CA7E" w:rsidR="002E3DF8" w:rsidRPr="00A37A84" w:rsidRDefault="00AC62F7" w:rsidP="00AC62F7">
      <w:pPr>
        <w:pStyle w:val="enumlev1"/>
        <w:rPr>
          <w:lang w:val="fr-FR"/>
        </w:rPr>
      </w:pPr>
      <w:r w:rsidRPr="00A37A84">
        <w:rPr>
          <w:lang w:val="fr-FR"/>
        </w:rPr>
        <w:tab/>
      </w:r>
      <w:r w:rsidR="002E3DF8" w:rsidRPr="00A37A84">
        <w:rPr>
          <w:lang w:val="fr-FR"/>
        </w:rPr>
        <w:t>Quatre Forums régionaux de l</w:t>
      </w:r>
      <w:r w:rsidR="00163B5F" w:rsidRPr="00A37A84">
        <w:rPr>
          <w:lang w:val="fr-FR"/>
        </w:rPr>
        <w:t>'</w:t>
      </w:r>
      <w:r w:rsidR="002E3DF8" w:rsidRPr="00A37A84">
        <w:rPr>
          <w:lang w:val="fr-FR"/>
        </w:rPr>
        <w:t xml:space="preserve">UIT sur le développement (RDF) ont été organisés en 2019 (voir le </w:t>
      </w:r>
      <w:hyperlink r:id="rId24" w:history="1">
        <w:r w:rsidR="002E3DF8" w:rsidRPr="00A37A84">
          <w:rPr>
            <w:rStyle w:val="Hyperlink"/>
            <w:lang w:val="fr-FR"/>
          </w:rPr>
          <w:t>site web</w:t>
        </w:r>
      </w:hyperlink>
      <w:r w:rsidR="002E3DF8" w:rsidRPr="00A37A84">
        <w:rPr>
          <w:lang w:val="fr-FR"/>
        </w:rPr>
        <w:t xml:space="preserve"> consacré à ces manifestations).</w:t>
      </w:r>
    </w:p>
    <w:p w14:paraId="4BAC3838" w14:textId="553028A2" w:rsidR="002E3DF8" w:rsidRPr="00A37A84" w:rsidRDefault="0058202C" w:rsidP="00AC62F7">
      <w:pPr>
        <w:pStyle w:val="enumlev2"/>
        <w:rPr>
          <w:lang w:val="fr-FR"/>
        </w:rPr>
      </w:pPr>
      <w:r w:rsidRPr="0058202C">
        <w:rPr>
          <w:lang w:val="fr-FR"/>
        </w:rPr>
        <w:t>–</w:t>
      </w:r>
      <w:r w:rsidR="00163B5F" w:rsidRPr="00A37A84">
        <w:rPr>
          <w:lang w:val="fr-FR"/>
        </w:rPr>
        <w:tab/>
      </w:r>
      <w:r w:rsidR="002E3DF8" w:rsidRPr="00A37A84">
        <w:rPr>
          <w:lang w:val="fr-FR"/>
        </w:rPr>
        <w:t>Le Forum régional de l</w:t>
      </w:r>
      <w:r w:rsidR="00163B5F" w:rsidRPr="00A37A84">
        <w:rPr>
          <w:lang w:val="fr-FR"/>
        </w:rPr>
        <w:t>'</w:t>
      </w:r>
      <w:r w:rsidR="002E3DF8" w:rsidRPr="00A37A84">
        <w:rPr>
          <w:lang w:val="fr-FR"/>
        </w:rPr>
        <w:t>UIT sur le développement pour les États arabes a eu lieu le</w:t>
      </w:r>
      <w:r>
        <w:rPr>
          <w:lang w:val="fr-FR"/>
        </w:rPr>
        <w:t> </w:t>
      </w:r>
      <w:r w:rsidR="002E3DF8" w:rsidRPr="00A37A84">
        <w:rPr>
          <w:lang w:val="fr-FR"/>
        </w:rPr>
        <w:t>19</w:t>
      </w:r>
      <w:r w:rsidR="00AC62F7" w:rsidRPr="00A37A84">
        <w:rPr>
          <w:lang w:val="fr-FR"/>
        </w:rPr>
        <w:t> </w:t>
      </w:r>
      <w:r w:rsidR="002E3DF8" w:rsidRPr="00A37A84">
        <w:rPr>
          <w:lang w:val="fr-FR"/>
        </w:rPr>
        <w:t>mars</w:t>
      </w:r>
      <w:r w:rsidR="00AC62F7" w:rsidRPr="00A37A84">
        <w:rPr>
          <w:lang w:val="fr-FR"/>
        </w:rPr>
        <w:t> </w:t>
      </w:r>
      <w:r w:rsidR="002E3DF8" w:rsidRPr="00A37A84">
        <w:rPr>
          <w:lang w:val="fr-FR"/>
        </w:rPr>
        <w:t>2019 à Beyrouth (Liban) dans le cadre du Forum arabe de haut niveau sur le</w:t>
      </w:r>
      <w:r>
        <w:rPr>
          <w:lang w:val="fr-FR"/>
        </w:rPr>
        <w:t> </w:t>
      </w:r>
      <w:r w:rsidR="002E3DF8" w:rsidRPr="00A37A84">
        <w:rPr>
          <w:lang w:val="fr-FR"/>
        </w:rPr>
        <w:t>SMSI et les ODD organisé par la CESAO.</w:t>
      </w:r>
    </w:p>
    <w:p w14:paraId="28F59F7A" w14:textId="43BE1455" w:rsidR="002E3DF8" w:rsidRPr="00A37A84" w:rsidRDefault="0058202C" w:rsidP="00AC62F7">
      <w:pPr>
        <w:pStyle w:val="enumlev2"/>
        <w:rPr>
          <w:lang w:val="fr-FR"/>
        </w:rPr>
      </w:pPr>
      <w:r w:rsidRPr="0058202C">
        <w:rPr>
          <w:lang w:val="fr-FR"/>
        </w:rPr>
        <w:t>–</w:t>
      </w:r>
      <w:r w:rsidR="00163B5F" w:rsidRPr="00A37A84">
        <w:rPr>
          <w:lang w:val="fr-FR"/>
        </w:rPr>
        <w:tab/>
      </w:r>
      <w:r w:rsidR="002E3DF8" w:rsidRPr="00A37A84">
        <w:rPr>
          <w:lang w:val="fr-FR"/>
        </w:rPr>
        <w:t>Le Forum régional de l</w:t>
      </w:r>
      <w:r w:rsidR="00163B5F" w:rsidRPr="00A37A84">
        <w:rPr>
          <w:lang w:val="fr-FR"/>
        </w:rPr>
        <w:t>'</w:t>
      </w:r>
      <w:r w:rsidR="002E3DF8" w:rsidRPr="00A37A84">
        <w:rPr>
          <w:lang w:val="fr-FR"/>
        </w:rPr>
        <w:t>UIT sur le développement pour les Amériques a eu lieu le</w:t>
      </w:r>
      <w:r>
        <w:rPr>
          <w:lang w:val="fr-FR"/>
        </w:rPr>
        <w:t> </w:t>
      </w:r>
      <w:r w:rsidR="002E3DF8" w:rsidRPr="00A37A84">
        <w:rPr>
          <w:lang w:val="fr-FR"/>
        </w:rPr>
        <w:t>30</w:t>
      </w:r>
      <w:r w:rsidR="00AC62F7" w:rsidRPr="00A37A84">
        <w:rPr>
          <w:lang w:val="fr-FR"/>
        </w:rPr>
        <w:t> </w:t>
      </w:r>
      <w:r w:rsidR="002E3DF8" w:rsidRPr="00A37A84">
        <w:rPr>
          <w:lang w:val="fr-FR"/>
        </w:rPr>
        <w:t>septembre 2019 à Asunción (Paraguay).</w:t>
      </w:r>
    </w:p>
    <w:p w14:paraId="71F3CAB5" w14:textId="4A073276" w:rsidR="002E3DF8" w:rsidRPr="00A37A84" w:rsidRDefault="0058202C" w:rsidP="00AC62F7">
      <w:pPr>
        <w:pStyle w:val="enumlev2"/>
        <w:rPr>
          <w:lang w:val="fr-FR"/>
        </w:rPr>
      </w:pPr>
      <w:r w:rsidRPr="0058202C">
        <w:rPr>
          <w:lang w:val="fr-FR"/>
        </w:rPr>
        <w:t>–</w:t>
      </w:r>
      <w:r w:rsidR="00163B5F" w:rsidRPr="00A37A84">
        <w:rPr>
          <w:lang w:val="fr-FR"/>
        </w:rPr>
        <w:tab/>
      </w:r>
      <w:r w:rsidR="002E3DF8" w:rsidRPr="00A37A84">
        <w:rPr>
          <w:lang w:val="fr-FR"/>
        </w:rPr>
        <w:t>Le Forum régional de l</w:t>
      </w:r>
      <w:r w:rsidR="00163B5F" w:rsidRPr="00A37A84">
        <w:rPr>
          <w:lang w:val="fr-FR"/>
        </w:rPr>
        <w:t>'</w:t>
      </w:r>
      <w:r w:rsidR="002E3DF8" w:rsidRPr="00A37A84">
        <w:rPr>
          <w:lang w:val="fr-FR"/>
        </w:rPr>
        <w:t>UIT sur le développement pour la Communauté des États indépendants (CEI) a eu lieu les 2 et 3 octobre 2019 à Bichkek (République kirghize).</w:t>
      </w:r>
    </w:p>
    <w:p w14:paraId="30B47538" w14:textId="390B71EE" w:rsidR="002E3DF8" w:rsidRPr="00A37A84" w:rsidRDefault="0058202C" w:rsidP="00AC62F7">
      <w:pPr>
        <w:pStyle w:val="enumlev2"/>
        <w:rPr>
          <w:lang w:val="fr-FR"/>
        </w:rPr>
      </w:pPr>
      <w:r w:rsidRPr="0058202C">
        <w:rPr>
          <w:lang w:val="fr-FR"/>
        </w:rPr>
        <w:t>–</w:t>
      </w:r>
      <w:r w:rsidR="00163B5F" w:rsidRPr="00A37A84">
        <w:rPr>
          <w:lang w:val="fr-FR"/>
        </w:rPr>
        <w:tab/>
      </w:r>
      <w:r w:rsidR="002E3DF8" w:rsidRPr="00A37A84">
        <w:rPr>
          <w:lang w:val="fr-FR"/>
        </w:rPr>
        <w:t>Le Forum régional de l</w:t>
      </w:r>
      <w:r w:rsidR="00163B5F" w:rsidRPr="00A37A84">
        <w:rPr>
          <w:lang w:val="fr-FR"/>
        </w:rPr>
        <w:t>'</w:t>
      </w:r>
      <w:r w:rsidR="002E3DF8" w:rsidRPr="00A37A84">
        <w:rPr>
          <w:lang w:val="fr-FR"/>
        </w:rPr>
        <w:t>UIT sur le développement pour l</w:t>
      </w:r>
      <w:r w:rsidR="00163B5F" w:rsidRPr="00A37A84">
        <w:rPr>
          <w:lang w:val="fr-FR"/>
        </w:rPr>
        <w:t>'</w:t>
      </w:r>
      <w:r w:rsidR="002E3DF8" w:rsidRPr="00A37A84">
        <w:rPr>
          <w:lang w:val="fr-FR"/>
        </w:rPr>
        <w:t>Europe a eu lieu le 6 mai 2019 à Rome (Italie).</w:t>
      </w:r>
    </w:p>
    <w:p w14:paraId="1EC7E7C7" w14:textId="38E19DDB" w:rsidR="00AC62F7" w:rsidRPr="00A37A84" w:rsidRDefault="00AC62F7" w:rsidP="00AC62F7">
      <w:pPr>
        <w:pStyle w:val="enumlev1"/>
        <w:rPr>
          <w:lang w:val="fr-FR"/>
        </w:rPr>
      </w:pPr>
      <w:r w:rsidRPr="00A37A84">
        <w:rPr>
          <w:lang w:val="fr-FR"/>
        </w:rPr>
        <w:tab/>
      </w:r>
      <w:r w:rsidR="002E3DF8" w:rsidRPr="00A37A84">
        <w:rPr>
          <w:lang w:val="fr-FR"/>
        </w:rPr>
        <w:t>Ces forums ont servi de tribune ouverte pour la création de partenariats et la coordination de la mise en œuvre des initiatives régionales approuvées par la CMDT-17 et visant à contribuer à la mise en œuvre des grandes orientations du SMSI et à la réalisation des</w:t>
      </w:r>
      <w:r w:rsidR="0058202C">
        <w:rPr>
          <w:lang w:val="fr-FR"/>
        </w:rPr>
        <w:t> </w:t>
      </w:r>
      <w:r w:rsidR="002E3DF8" w:rsidRPr="00A37A84">
        <w:rPr>
          <w:lang w:val="fr-FR"/>
        </w:rPr>
        <w:t>ODD. Compte tenu des recommandations formulées par le GCDT en 2019, l</w:t>
      </w:r>
      <w:r w:rsidR="00AE4BC1" w:rsidRPr="00A37A84">
        <w:rPr>
          <w:lang w:val="fr-FR"/>
        </w:rPr>
        <w:t xml:space="preserve">es </w:t>
      </w:r>
      <w:r w:rsidR="002E3DF8" w:rsidRPr="00A37A84">
        <w:rPr>
          <w:lang w:val="fr-FR"/>
        </w:rPr>
        <w:t>ordre</w:t>
      </w:r>
      <w:r w:rsidR="00AE4BC1" w:rsidRPr="00A37A84">
        <w:rPr>
          <w:lang w:val="fr-FR"/>
        </w:rPr>
        <w:t>s</w:t>
      </w:r>
      <w:r w:rsidR="002E3DF8" w:rsidRPr="00A37A84">
        <w:rPr>
          <w:lang w:val="fr-FR"/>
        </w:rPr>
        <w:t xml:space="preserve"> du jour des Forums régionaux sur le développement comportaient des points liés à la mise en œuvre des résultats du SMSI et des ODD.</w:t>
      </w:r>
      <w:r w:rsidRPr="00A37A84">
        <w:rPr>
          <w:lang w:val="fr-FR"/>
        </w:rPr>
        <w:br w:type="page"/>
      </w:r>
    </w:p>
    <w:p w14:paraId="1601BBBD" w14:textId="57A390D6" w:rsidR="002E3DF8" w:rsidRPr="00A37A84" w:rsidRDefault="00AC62F7" w:rsidP="00AC62F7">
      <w:pPr>
        <w:pStyle w:val="enumlev1"/>
        <w:rPr>
          <w:lang w:val="fr-FR"/>
        </w:rPr>
      </w:pPr>
      <w:r w:rsidRPr="00A37A84">
        <w:rPr>
          <w:lang w:val="fr-FR"/>
        </w:rPr>
        <w:tab/>
      </w:r>
      <w:r w:rsidR="002E3DF8" w:rsidRPr="00A37A84">
        <w:rPr>
          <w:lang w:val="fr-FR"/>
        </w:rPr>
        <w:t>Les Forums régionaux sur le développement continuent de mobiliser des parties prenantes régionales, de contribuer à la création de partenariats et d</w:t>
      </w:r>
      <w:r w:rsidR="00163B5F" w:rsidRPr="00A37A84">
        <w:rPr>
          <w:lang w:val="fr-FR"/>
        </w:rPr>
        <w:t>'</w:t>
      </w:r>
      <w:r w:rsidR="002E3DF8" w:rsidRPr="00A37A84">
        <w:rPr>
          <w:lang w:val="fr-FR"/>
        </w:rPr>
        <w:t>impliquer des organisations régionales/internationales et des organismes des Nations Unies. Une autre série de Forums régionaux sur le développement est prévue en 2020.</w:t>
      </w:r>
    </w:p>
    <w:p w14:paraId="5B8C05B2" w14:textId="77777777" w:rsidR="002E3DF8" w:rsidRPr="00A37A84" w:rsidRDefault="002E3DF8" w:rsidP="00672B67">
      <w:pPr>
        <w:pStyle w:val="Headingb"/>
        <w:rPr>
          <w:lang w:val="fr-FR"/>
        </w:rPr>
      </w:pPr>
      <w:r w:rsidRPr="00A37A84">
        <w:rPr>
          <w:lang w:val="fr-FR"/>
        </w:rPr>
        <w:t>Conclusions</w:t>
      </w:r>
    </w:p>
    <w:p w14:paraId="25C354CF" w14:textId="6E1EE701" w:rsidR="002E3DF8" w:rsidRPr="00A37A84" w:rsidRDefault="00163B5F" w:rsidP="0058202C">
      <w:pPr>
        <w:rPr>
          <w:lang w:val="fr-FR"/>
        </w:rPr>
      </w:pPr>
      <w:r w:rsidRPr="00A37A84">
        <w:rPr>
          <w:lang w:val="fr-FR"/>
        </w:rPr>
        <w:t>4</w:t>
      </w:r>
      <w:r w:rsidRPr="00A37A84">
        <w:rPr>
          <w:lang w:val="fr-FR"/>
        </w:rPr>
        <w:tab/>
      </w:r>
      <w:r w:rsidR="002E3DF8" w:rsidRPr="00A37A84">
        <w:rPr>
          <w:lang w:val="fr-FR"/>
        </w:rPr>
        <w:t>Les membres de l</w:t>
      </w:r>
      <w:r w:rsidRPr="00A37A84">
        <w:rPr>
          <w:lang w:val="fr-FR"/>
        </w:rPr>
        <w:t>'</w:t>
      </w:r>
      <w:r w:rsidR="002E3DF8" w:rsidRPr="00A37A84">
        <w:rPr>
          <w:lang w:val="fr-FR"/>
        </w:rPr>
        <w:t>UIT sont invités à prendre une part active aux activités du BDT qui contribuent à la mise en œuvre des résultats du SMSI et du Programme de développement durable à l</w:t>
      </w:r>
      <w:r w:rsidRPr="00A37A84">
        <w:rPr>
          <w:lang w:val="fr-FR"/>
        </w:rPr>
        <w:t>'</w:t>
      </w:r>
      <w:r w:rsidR="002E3DF8" w:rsidRPr="00A37A84">
        <w:rPr>
          <w:lang w:val="fr-FR"/>
        </w:rPr>
        <w:t>horizon 2030, conformément à la CMDT-17.</w:t>
      </w:r>
    </w:p>
    <w:p w14:paraId="51994631" w14:textId="3291014F" w:rsidR="002E3DF8" w:rsidRPr="00A37A84" w:rsidRDefault="00163B5F" w:rsidP="0058202C">
      <w:pPr>
        <w:rPr>
          <w:lang w:val="fr-FR"/>
        </w:rPr>
      </w:pPr>
      <w:r w:rsidRPr="00A37A84">
        <w:rPr>
          <w:lang w:val="fr-FR"/>
        </w:rPr>
        <w:t>5</w:t>
      </w:r>
      <w:r w:rsidRPr="00A37A84">
        <w:rPr>
          <w:lang w:val="fr-FR"/>
        </w:rPr>
        <w:tab/>
      </w:r>
      <w:r w:rsidR="002E3DF8" w:rsidRPr="00A37A84">
        <w:rPr>
          <w:lang w:val="fr-FR"/>
        </w:rPr>
        <w:t>Les membres de l</w:t>
      </w:r>
      <w:r w:rsidRPr="00A37A84">
        <w:rPr>
          <w:lang w:val="fr-FR"/>
        </w:rPr>
        <w:t>'</w:t>
      </w:r>
      <w:r w:rsidR="002E3DF8" w:rsidRPr="00A37A84">
        <w:rPr>
          <w:lang w:val="fr-FR"/>
        </w:rPr>
        <w:t>UIT sont invités à participer activement aux processus préparatoires relatifs aux Forums du SMSI, au processus d</w:t>
      </w:r>
      <w:r w:rsidRPr="00A37A84">
        <w:rPr>
          <w:lang w:val="fr-FR"/>
        </w:rPr>
        <w:t>'</w:t>
      </w:r>
      <w:r w:rsidR="002E3DF8" w:rsidRPr="00A37A84">
        <w:rPr>
          <w:lang w:val="fr-FR"/>
        </w:rPr>
        <w:t>Inventaire du SMSI et aux prix du SMSI.</w:t>
      </w:r>
    </w:p>
    <w:p w14:paraId="00269A19" w14:textId="7FEBF58F" w:rsidR="002E3DF8" w:rsidRPr="00A37A84" w:rsidRDefault="00163B5F" w:rsidP="0058202C">
      <w:pPr>
        <w:rPr>
          <w:lang w:val="fr-FR"/>
        </w:rPr>
      </w:pPr>
      <w:r w:rsidRPr="00A37A84">
        <w:rPr>
          <w:lang w:val="fr-FR"/>
        </w:rPr>
        <w:t>6</w:t>
      </w:r>
      <w:r w:rsidRPr="00A37A84">
        <w:rPr>
          <w:lang w:val="fr-FR"/>
        </w:rPr>
        <w:tab/>
      </w:r>
      <w:r w:rsidR="002E3DF8" w:rsidRPr="00A37A84">
        <w:rPr>
          <w:lang w:val="fr-FR"/>
        </w:rPr>
        <w:t>Au niveau national, les membres de l</w:t>
      </w:r>
      <w:r w:rsidRPr="00A37A84">
        <w:rPr>
          <w:lang w:val="fr-FR"/>
        </w:rPr>
        <w:t>'</w:t>
      </w:r>
      <w:r w:rsidR="002E3DF8" w:rsidRPr="00A37A84">
        <w:rPr>
          <w:lang w:val="fr-FR"/>
        </w:rPr>
        <w:t>UIT sont encouragés à intégrer les TIC aux plans de développement durable et aux plans-cadres pour l</w:t>
      </w:r>
      <w:r w:rsidRPr="00A37A84">
        <w:rPr>
          <w:lang w:val="fr-FR"/>
        </w:rPr>
        <w:t>'</w:t>
      </w:r>
      <w:r w:rsidR="002E3DF8" w:rsidRPr="00A37A84">
        <w:rPr>
          <w:lang w:val="fr-FR"/>
        </w:rPr>
        <w:t>aide au développement des Nations</w:t>
      </w:r>
      <w:r w:rsidR="00AC62F7" w:rsidRPr="00A37A84">
        <w:rPr>
          <w:lang w:val="fr-FR"/>
        </w:rPr>
        <w:t> </w:t>
      </w:r>
      <w:r w:rsidR="002E3DF8" w:rsidRPr="00A37A84">
        <w:rPr>
          <w:lang w:val="fr-FR"/>
        </w:rPr>
        <w:t>Unies, et à envisager de soutenir les efforts déployés par l</w:t>
      </w:r>
      <w:r w:rsidRPr="00A37A84">
        <w:rPr>
          <w:lang w:val="fr-FR"/>
        </w:rPr>
        <w:t>'</w:t>
      </w:r>
      <w:r w:rsidR="002E3DF8" w:rsidRPr="00A37A84">
        <w:rPr>
          <w:lang w:val="fr-FR"/>
        </w:rPr>
        <w:t>UIT pour produire des résultats dans le cadre des TIC au service des ODD par le biais de l</w:t>
      </w:r>
      <w:r w:rsidRPr="00A37A84">
        <w:rPr>
          <w:lang w:val="fr-FR"/>
        </w:rPr>
        <w:t>'</w:t>
      </w:r>
      <w:r w:rsidR="002E3DF8" w:rsidRPr="00A37A84">
        <w:rPr>
          <w:lang w:val="fr-FR"/>
        </w:rPr>
        <w:t>approche des Nations</w:t>
      </w:r>
      <w:r w:rsidR="00AC62F7" w:rsidRPr="00A37A84">
        <w:rPr>
          <w:lang w:val="fr-FR"/>
        </w:rPr>
        <w:t> </w:t>
      </w:r>
      <w:r w:rsidR="002E3DF8" w:rsidRPr="00A37A84">
        <w:rPr>
          <w:lang w:val="fr-FR"/>
        </w:rPr>
        <w:t xml:space="preserve">Unies </w:t>
      </w:r>
      <w:r w:rsidRPr="00A37A84">
        <w:rPr>
          <w:lang w:val="fr-FR"/>
        </w:rPr>
        <w:t>"</w:t>
      </w:r>
      <w:r w:rsidR="002E3DF8" w:rsidRPr="00A37A84">
        <w:rPr>
          <w:lang w:val="fr-FR"/>
        </w:rPr>
        <w:t>Unis dans l</w:t>
      </w:r>
      <w:r w:rsidRPr="00A37A84">
        <w:rPr>
          <w:lang w:val="fr-FR"/>
        </w:rPr>
        <w:t>'</w:t>
      </w:r>
      <w:r w:rsidR="002E3DF8" w:rsidRPr="00A37A84">
        <w:rPr>
          <w:lang w:val="fr-FR"/>
        </w:rPr>
        <w:t>action</w:t>
      </w:r>
      <w:r w:rsidRPr="00A37A84">
        <w:rPr>
          <w:lang w:val="fr-FR"/>
        </w:rPr>
        <w:t>"</w:t>
      </w:r>
      <w:r w:rsidR="002E3DF8" w:rsidRPr="00A37A84">
        <w:rPr>
          <w:lang w:val="fr-FR"/>
        </w:rPr>
        <w:t>, en tenant compte du mandat de l</w:t>
      </w:r>
      <w:r w:rsidRPr="00A37A84">
        <w:rPr>
          <w:lang w:val="fr-FR"/>
        </w:rPr>
        <w:t>'</w:t>
      </w:r>
      <w:r w:rsidR="002E3DF8" w:rsidRPr="00A37A84">
        <w:rPr>
          <w:lang w:val="fr-FR"/>
        </w:rPr>
        <w:t>UIT et de ses compétences fondamentales.</w:t>
      </w:r>
    </w:p>
    <w:p w14:paraId="63F271D1" w14:textId="1A386231" w:rsidR="002E3DF8" w:rsidRPr="00A37A84" w:rsidRDefault="00163B5F" w:rsidP="0058202C">
      <w:pPr>
        <w:rPr>
          <w:lang w:val="fr-FR"/>
        </w:rPr>
      </w:pPr>
      <w:r w:rsidRPr="00A37A84">
        <w:rPr>
          <w:lang w:val="fr-FR"/>
        </w:rPr>
        <w:t>7</w:t>
      </w:r>
      <w:r w:rsidRPr="00A37A84">
        <w:rPr>
          <w:lang w:val="fr-FR"/>
        </w:rPr>
        <w:tab/>
      </w:r>
      <w:r w:rsidR="002E3DF8" w:rsidRPr="00A37A84">
        <w:rPr>
          <w:lang w:val="fr-FR"/>
        </w:rPr>
        <w:t>Les États Membres sont invités à renforcer leurs capacités en matière de collecte de statistiques et d</w:t>
      </w:r>
      <w:r w:rsidRPr="00A37A84">
        <w:rPr>
          <w:lang w:val="fr-FR"/>
        </w:rPr>
        <w:t>'</w:t>
      </w:r>
      <w:r w:rsidR="002E3DF8" w:rsidRPr="00A37A84">
        <w:rPr>
          <w:lang w:val="fr-FR"/>
        </w:rPr>
        <w:t>indicateurs nécessaires pour la mesure des ODD</w:t>
      </w:r>
      <w:r w:rsidR="000D7F60" w:rsidRPr="00A37A84">
        <w:rPr>
          <w:lang w:val="fr-FR"/>
        </w:rPr>
        <w:t>.</w:t>
      </w:r>
    </w:p>
    <w:p w14:paraId="67055CBB" w14:textId="06FFC7F9" w:rsidR="002E3DF8" w:rsidRPr="00A37A84" w:rsidRDefault="00163B5F" w:rsidP="0058202C">
      <w:pPr>
        <w:rPr>
          <w:lang w:val="fr-FR"/>
        </w:rPr>
      </w:pPr>
      <w:r w:rsidRPr="00A37A84">
        <w:rPr>
          <w:lang w:val="fr-FR"/>
        </w:rPr>
        <w:t>8</w:t>
      </w:r>
      <w:r w:rsidRPr="00A37A84">
        <w:rPr>
          <w:lang w:val="fr-FR"/>
        </w:rPr>
        <w:tab/>
      </w:r>
      <w:r w:rsidR="002E3DF8" w:rsidRPr="00A37A84">
        <w:rPr>
          <w:lang w:val="fr-FR"/>
        </w:rPr>
        <w:t>Au niveau régional, toutes les parties prenantes sont invitées à prendre part aux préparatifs en vue des Forums régionaux sur le développement, des Forums des Nations</w:t>
      </w:r>
      <w:r w:rsidR="00AC62F7" w:rsidRPr="00A37A84">
        <w:rPr>
          <w:lang w:val="fr-FR"/>
        </w:rPr>
        <w:t> </w:t>
      </w:r>
      <w:r w:rsidR="002E3DF8" w:rsidRPr="00A37A84">
        <w:rPr>
          <w:lang w:val="fr-FR"/>
        </w:rPr>
        <w:t>Unies sur le développement durable, de manifestations régionales spécifiques relatives au SMSI ou aux ODD et d</w:t>
      </w:r>
      <w:r w:rsidRPr="00A37A84">
        <w:rPr>
          <w:lang w:val="fr-FR"/>
        </w:rPr>
        <w:t>'</w:t>
      </w:r>
      <w:r w:rsidR="002E3DF8" w:rsidRPr="00A37A84">
        <w:rPr>
          <w:lang w:val="fr-FR"/>
        </w:rPr>
        <w:t>autres manifestations, en mettant en lumière l</w:t>
      </w:r>
      <w:r w:rsidRPr="00A37A84">
        <w:rPr>
          <w:lang w:val="fr-FR"/>
        </w:rPr>
        <w:t>'</w:t>
      </w:r>
      <w:r w:rsidR="002E3DF8" w:rsidRPr="00A37A84">
        <w:rPr>
          <w:lang w:val="fr-FR"/>
        </w:rPr>
        <w:t>importance des TIC au service des ODD et de l</w:t>
      </w:r>
      <w:r w:rsidRPr="00A37A84">
        <w:rPr>
          <w:lang w:val="fr-FR"/>
        </w:rPr>
        <w:t>'</w:t>
      </w:r>
      <w:r w:rsidR="002E3DF8" w:rsidRPr="00A37A84">
        <w:rPr>
          <w:lang w:val="fr-FR"/>
        </w:rPr>
        <w:t>alignement du processus du SMSI sur celui des ODD, et en tenant compte des résultats de la</w:t>
      </w:r>
      <w:r w:rsidR="0058202C">
        <w:rPr>
          <w:lang w:val="fr-FR"/>
        </w:rPr>
        <w:t> </w:t>
      </w:r>
      <w:r w:rsidR="002E3DF8" w:rsidRPr="00A37A84">
        <w:rPr>
          <w:lang w:val="fr-FR"/>
        </w:rPr>
        <w:t>CMDT-17.</w:t>
      </w:r>
    </w:p>
    <w:p w14:paraId="53C3592F" w14:textId="35BFE1AE" w:rsidR="002E3DF8" w:rsidRPr="00A37A84" w:rsidRDefault="00163B5F" w:rsidP="0058202C">
      <w:pPr>
        <w:rPr>
          <w:lang w:val="fr-FR"/>
        </w:rPr>
      </w:pPr>
      <w:r w:rsidRPr="00A37A84">
        <w:rPr>
          <w:lang w:val="fr-FR"/>
        </w:rPr>
        <w:t>9</w:t>
      </w:r>
      <w:r w:rsidRPr="00A37A84">
        <w:rPr>
          <w:lang w:val="fr-FR"/>
        </w:rPr>
        <w:tab/>
      </w:r>
      <w:r w:rsidR="002E3DF8" w:rsidRPr="00A37A84">
        <w:rPr>
          <w:lang w:val="fr-FR"/>
        </w:rPr>
        <w:t>Les membres de l</w:t>
      </w:r>
      <w:r w:rsidRPr="00A37A84">
        <w:rPr>
          <w:lang w:val="fr-FR"/>
        </w:rPr>
        <w:t>'</w:t>
      </w:r>
      <w:r w:rsidR="002E3DF8" w:rsidRPr="00A37A84">
        <w:rPr>
          <w:lang w:val="fr-FR"/>
        </w:rPr>
        <w:t>UIT sont invités à participer activement aux activités menées par le BDT en vue d</w:t>
      </w:r>
      <w:r w:rsidRPr="00A37A84">
        <w:rPr>
          <w:lang w:val="fr-FR"/>
        </w:rPr>
        <w:t>'</w:t>
      </w:r>
      <w:r w:rsidR="002E3DF8" w:rsidRPr="00A37A84">
        <w:rPr>
          <w:lang w:val="fr-FR"/>
        </w:rPr>
        <w:t>établir des partenariats et de contribuer à la mise en œuvre des résultats du SMSI et à la réalisation des ODD, y compris à la mise en œuvre des initiatives régionales approuvées par la</w:t>
      </w:r>
      <w:r w:rsidR="0058202C">
        <w:rPr>
          <w:lang w:val="fr-FR"/>
        </w:rPr>
        <w:t> </w:t>
      </w:r>
      <w:r w:rsidR="002E3DF8" w:rsidRPr="00A37A84">
        <w:rPr>
          <w:lang w:val="fr-FR"/>
        </w:rPr>
        <w:t>CMDT-17, en facilitant notamment la participation de parties prenantes issues d</w:t>
      </w:r>
      <w:r w:rsidRPr="00A37A84">
        <w:rPr>
          <w:lang w:val="fr-FR"/>
        </w:rPr>
        <w:t>'</w:t>
      </w:r>
      <w:r w:rsidR="002E3DF8" w:rsidRPr="00A37A84">
        <w:rPr>
          <w:lang w:val="fr-FR"/>
        </w:rPr>
        <w:t>autres secteurs que celui des télécommunications/TIC.</w:t>
      </w:r>
    </w:p>
    <w:p w14:paraId="08414575" w14:textId="2B0BDF35" w:rsidR="002E3DF8" w:rsidRPr="00A37A84" w:rsidRDefault="00163B5F" w:rsidP="0058202C">
      <w:pPr>
        <w:rPr>
          <w:lang w:val="fr-FR"/>
        </w:rPr>
      </w:pPr>
      <w:r w:rsidRPr="00A37A84">
        <w:rPr>
          <w:lang w:val="fr-FR"/>
        </w:rPr>
        <w:t>10</w:t>
      </w:r>
      <w:r w:rsidRPr="00A37A84">
        <w:rPr>
          <w:lang w:val="fr-FR"/>
        </w:rPr>
        <w:tab/>
      </w:r>
      <w:r w:rsidR="002E3DF8" w:rsidRPr="00A37A84">
        <w:rPr>
          <w:lang w:val="fr-FR"/>
        </w:rPr>
        <w:t>Les membres de l</w:t>
      </w:r>
      <w:r w:rsidRPr="00A37A84">
        <w:rPr>
          <w:lang w:val="fr-FR"/>
        </w:rPr>
        <w:t>'</w:t>
      </w:r>
      <w:r w:rsidR="002E3DF8" w:rsidRPr="00A37A84">
        <w:rPr>
          <w:lang w:val="fr-FR"/>
        </w:rPr>
        <w:t>UIT sont encouragés à s</w:t>
      </w:r>
      <w:r w:rsidRPr="00A37A84">
        <w:rPr>
          <w:lang w:val="fr-FR"/>
        </w:rPr>
        <w:t>'</w:t>
      </w:r>
      <w:r w:rsidR="002E3DF8" w:rsidRPr="00A37A84">
        <w:rPr>
          <w:lang w:val="fr-FR"/>
        </w:rPr>
        <w:t>appuyer sur l</w:t>
      </w:r>
      <w:r w:rsidRPr="00A37A84">
        <w:rPr>
          <w:lang w:val="fr-FR"/>
        </w:rPr>
        <w:t>'</w:t>
      </w:r>
      <w:r w:rsidR="002E3DF8" w:rsidRPr="00A37A84">
        <w:rPr>
          <w:lang w:val="fr-FR"/>
        </w:rPr>
        <w:t>assistance fournie aux pays en matière de transformation numérique, qui stimule la croissance durable de l</w:t>
      </w:r>
      <w:r w:rsidRPr="00A37A84">
        <w:rPr>
          <w:lang w:val="fr-FR"/>
        </w:rPr>
        <w:t>'</w:t>
      </w:r>
      <w:r w:rsidR="002E3DF8" w:rsidRPr="00A37A84">
        <w:rPr>
          <w:lang w:val="fr-FR"/>
        </w:rPr>
        <w:t>économie numérique et encourage les progrès dans la mise en œuvre des grandes orientations du SMSI et dans la réalisation des ODD.</w:t>
      </w:r>
    </w:p>
    <w:p w14:paraId="4B1243C3" w14:textId="704CFDE8" w:rsidR="002E3DF8" w:rsidRDefault="00163B5F" w:rsidP="0058202C">
      <w:pPr>
        <w:rPr>
          <w:lang w:val="fr-FR"/>
        </w:rPr>
      </w:pPr>
      <w:r w:rsidRPr="00A37A84">
        <w:rPr>
          <w:lang w:val="fr-FR"/>
        </w:rPr>
        <w:t>11</w:t>
      </w:r>
      <w:r w:rsidRPr="00A37A84">
        <w:rPr>
          <w:lang w:val="fr-FR"/>
        </w:rPr>
        <w:tab/>
      </w:r>
      <w:r w:rsidR="002E3DF8" w:rsidRPr="00A37A84">
        <w:rPr>
          <w:lang w:val="fr-FR"/>
        </w:rPr>
        <w:t>Les membres de l</w:t>
      </w:r>
      <w:r w:rsidRPr="00A37A84">
        <w:rPr>
          <w:lang w:val="fr-FR"/>
        </w:rPr>
        <w:t>'</w:t>
      </w:r>
      <w:r w:rsidR="002E3DF8" w:rsidRPr="00A37A84">
        <w:rPr>
          <w:lang w:val="fr-FR"/>
        </w:rPr>
        <w:t>UIT sont invités à soumettre des contributions au Groupe consultatif pour le développement des télécommunications et aux commissions d</w:t>
      </w:r>
      <w:r w:rsidRPr="00A37A84">
        <w:rPr>
          <w:lang w:val="fr-FR"/>
        </w:rPr>
        <w:t>'</w:t>
      </w:r>
      <w:r w:rsidR="002E3DF8" w:rsidRPr="00A37A84">
        <w:rPr>
          <w:lang w:val="fr-FR"/>
        </w:rPr>
        <w:t>études concernées de l</w:t>
      </w:r>
      <w:r w:rsidRPr="00A37A84">
        <w:rPr>
          <w:lang w:val="fr-FR"/>
        </w:rPr>
        <w:t>'</w:t>
      </w:r>
      <w:r w:rsidR="002E3DF8" w:rsidRPr="00A37A84">
        <w:rPr>
          <w:lang w:val="fr-FR"/>
        </w:rPr>
        <w:t>UIT</w:t>
      </w:r>
      <w:r w:rsidR="0058202C">
        <w:rPr>
          <w:lang w:val="fr-FR"/>
        </w:rPr>
        <w:noBreakHyphen/>
      </w:r>
      <w:r w:rsidR="002E3DF8" w:rsidRPr="00A37A84">
        <w:rPr>
          <w:lang w:val="fr-FR"/>
        </w:rPr>
        <w:t>D, s</w:t>
      </w:r>
      <w:r w:rsidRPr="00A37A84">
        <w:rPr>
          <w:lang w:val="fr-FR"/>
        </w:rPr>
        <w:t>'</w:t>
      </w:r>
      <w:r w:rsidR="002E3DF8" w:rsidRPr="00A37A84">
        <w:rPr>
          <w:lang w:val="fr-FR"/>
        </w:rPr>
        <w:t>il y a lieu, et à contribuer aux travaux du GTC-SMSI sur la mise en œuvre des résultats du</w:t>
      </w:r>
      <w:r w:rsidR="0058202C">
        <w:rPr>
          <w:lang w:val="fr-FR"/>
        </w:rPr>
        <w:t> </w:t>
      </w:r>
      <w:r w:rsidR="002E3DF8" w:rsidRPr="00A37A84">
        <w:rPr>
          <w:lang w:val="fr-FR"/>
        </w:rPr>
        <w:t>SMSI, dans le cadre du mandat de l</w:t>
      </w:r>
      <w:r w:rsidRPr="00A37A84">
        <w:rPr>
          <w:lang w:val="fr-FR"/>
        </w:rPr>
        <w:t>'</w:t>
      </w:r>
      <w:r w:rsidR="002E3DF8" w:rsidRPr="00A37A84">
        <w:rPr>
          <w:lang w:val="fr-FR"/>
        </w:rPr>
        <w:t>UIT, compte tenu du Programme de développement durable à l</w:t>
      </w:r>
      <w:r w:rsidRPr="00A37A84">
        <w:rPr>
          <w:lang w:val="fr-FR"/>
        </w:rPr>
        <w:t>'</w:t>
      </w:r>
      <w:r w:rsidR="002E3DF8" w:rsidRPr="00A37A84">
        <w:rPr>
          <w:lang w:val="fr-FR"/>
        </w:rPr>
        <w:t xml:space="preserve">horizon 2030. </w:t>
      </w:r>
    </w:p>
    <w:p w14:paraId="033D8012" w14:textId="77777777" w:rsidR="0058202C" w:rsidRPr="00A37A84" w:rsidRDefault="0058202C" w:rsidP="0058202C">
      <w:pPr>
        <w:rPr>
          <w:lang w:val="fr-FR"/>
        </w:rPr>
      </w:pPr>
    </w:p>
    <w:p w14:paraId="049C89FD" w14:textId="77777777" w:rsidR="00163B5F" w:rsidRPr="00A37A84" w:rsidRDefault="00163B5F" w:rsidP="0058202C">
      <w:pPr>
        <w:rPr>
          <w:lang w:val="fr-FR"/>
        </w:rPr>
        <w:sectPr w:rsidR="00163B5F" w:rsidRPr="00A37A84" w:rsidSect="00473791">
          <w:headerReference w:type="default" r:id="rId25"/>
          <w:footerReference w:type="default" r:id="rId26"/>
          <w:footerReference w:type="first" r:id="rId27"/>
          <w:pgSz w:w="11907" w:h="16834" w:code="9"/>
          <w:pgMar w:top="1418" w:right="1134" w:bottom="1418" w:left="1134" w:header="720" w:footer="720" w:gutter="0"/>
          <w:paperSrc w:first="7" w:other="7"/>
          <w:cols w:space="720"/>
          <w:titlePg/>
          <w:docGrid w:linePitch="326"/>
        </w:sectPr>
      </w:pPr>
    </w:p>
    <w:p w14:paraId="082F1143" w14:textId="77777777" w:rsidR="00163B5F" w:rsidRPr="00A37A84" w:rsidRDefault="00163B5F" w:rsidP="00672B67">
      <w:pPr>
        <w:pStyle w:val="AnnexNo"/>
        <w:spacing w:before="120"/>
        <w:rPr>
          <w:lang w:val="fr-FR"/>
        </w:rPr>
      </w:pPr>
      <w:r w:rsidRPr="00A37A84">
        <w:rPr>
          <w:lang w:val="fr-FR"/>
        </w:rPr>
        <w:t>ANNEXE 1</w:t>
      </w:r>
    </w:p>
    <w:p w14:paraId="10B5E5B9" w14:textId="5781B24D" w:rsidR="00163B5F" w:rsidRPr="00A37A84" w:rsidRDefault="00163B5F" w:rsidP="0058202C">
      <w:pPr>
        <w:pStyle w:val="Annextitle"/>
        <w:spacing w:after="120"/>
        <w:rPr>
          <w:lang w:val="fr-FR"/>
        </w:rPr>
      </w:pPr>
      <w:r w:rsidRPr="00A37A84">
        <w:rPr>
          <w:lang w:val="fr-FR"/>
        </w:rPr>
        <w:t xml:space="preserve">Contribution de l'UIT-D au Plan stratégique de l'UIT pour la période 2020-2023: </w:t>
      </w:r>
      <w:r w:rsidRPr="00A37A84">
        <w:rPr>
          <w:lang w:val="fr-FR"/>
        </w:rPr>
        <w:br/>
        <w:t>Objectifs, résultats, ODD et grandes orientations du SMSI</w:t>
      </w:r>
    </w:p>
    <w:tbl>
      <w:tblPr>
        <w:tblStyle w:val="GridTable4-Accent12"/>
        <w:tblW w:w="14850" w:type="dxa"/>
        <w:jc w:val="center"/>
        <w:tblLayout w:type="fixed"/>
        <w:tblLook w:val="06A0" w:firstRow="1" w:lastRow="0" w:firstColumn="1" w:lastColumn="0" w:noHBand="1" w:noVBand="1"/>
      </w:tblPr>
      <w:tblGrid>
        <w:gridCol w:w="421"/>
        <w:gridCol w:w="3827"/>
        <w:gridCol w:w="3260"/>
        <w:gridCol w:w="3515"/>
        <w:gridCol w:w="3827"/>
      </w:tblGrid>
      <w:tr w:rsidR="00163B5F" w:rsidRPr="0058202C" w14:paraId="0446C697" w14:textId="77777777" w:rsidTr="0058202C">
        <w:trPr>
          <w:cnfStyle w:val="100000000000" w:firstRow="1" w:lastRow="0" w:firstColumn="0" w:lastColumn="0" w:oddVBand="0" w:evenVBand="0" w:oddHBand="0" w:evenHBand="0" w:firstRowFirstColumn="0" w:firstRowLastColumn="0" w:lastRowFirstColumn="0" w:lastRowLastColumn="0"/>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24F87911" w14:textId="77777777" w:rsidR="00163B5F" w:rsidRPr="0058202C" w:rsidRDefault="00163B5F" w:rsidP="00672B67">
            <w:pPr>
              <w:spacing w:before="40" w:after="40"/>
              <w:ind w:left="113" w:right="113"/>
              <w:jc w:val="center"/>
              <w:rPr>
                <w:rFonts w:eastAsia="Calibri" w:cstheme="minorHAnsi"/>
                <w:color w:val="4F81BD" w:themeColor="accent1"/>
                <w:sz w:val="15"/>
                <w:szCs w:val="15"/>
                <w:lang w:val="fr-FR"/>
              </w:rPr>
            </w:pPr>
            <w:r w:rsidRPr="0058202C">
              <w:rPr>
                <w:rFonts w:eastAsia="Calibri" w:cstheme="minorHAnsi"/>
                <w:sz w:val="15"/>
                <w:szCs w:val="15"/>
                <w:lang w:val="fr-FR"/>
              </w:rPr>
              <w:t>Objectifs</w:t>
            </w:r>
          </w:p>
        </w:tc>
        <w:tc>
          <w:tcPr>
            <w:tcW w:w="3827" w:type="dxa"/>
          </w:tcPr>
          <w:p w14:paraId="6B494848" w14:textId="68FDD90C" w:rsidR="00163B5F" w:rsidRPr="0058202C" w:rsidRDefault="00163B5F" w:rsidP="00672B67">
            <w:pPr>
              <w:spacing w:before="40" w:after="40"/>
              <w:cnfStyle w:val="100000000000" w:firstRow="1"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sz w:val="15"/>
                <w:szCs w:val="15"/>
                <w:lang w:val="fr-FR"/>
              </w:rPr>
              <w:t>D.1 Coordination: Promouvoir la coopération et la conclusion d'accords à l'échelle internationale concernant les questions de développement des télécommunications/TIC</w:t>
            </w:r>
          </w:p>
        </w:tc>
        <w:tc>
          <w:tcPr>
            <w:tcW w:w="3260" w:type="dxa"/>
          </w:tcPr>
          <w:p w14:paraId="7566DA74" w14:textId="6C22930F" w:rsidR="00163B5F" w:rsidRPr="0058202C" w:rsidRDefault="00163B5F" w:rsidP="00672B67">
            <w:pPr>
              <w:spacing w:before="40" w:after="40"/>
              <w:cnfStyle w:val="100000000000" w:firstRow="1"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sz w:val="15"/>
                <w:szCs w:val="15"/>
                <w:lang w:val="fr-FR"/>
              </w:rPr>
              <w:t xml:space="preserve">D.2 Infrastructure moderne et sûre pour les télécommunications/TIC: Promouvoir le développement d'infrastructures et de services, et notamment établir la confiance et la sécurité dans l'utilisation des télécommunications/TIC </w:t>
            </w:r>
          </w:p>
        </w:tc>
        <w:tc>
          <w:tcPr>
            <w:tcW w:w="3515" w:type="dxa"/>
          </w:tcPr>
          <w:p w14:paraId="05D78E5A" w14:textId="0F33092A" w:rsidR="00163B5F" w:rsidRPr="0058202C" w:rsidRDefault="00163B5F" w:rsidP="00672B67">
            <w:pPr>
              <w:spacing w:before="40" w:after="40"/>
              <w:cnfStyle w:val="100000000000" w:firstRow="1"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sz w:val="15"/>
                <w:szCs w:val="15"/>
                <w:lang w:val="fr-FR"/>
              </w:rPr>
              <w:t xml:space="preserve">D.3 Environnement favorable: Promouvoir la mise en place de politiques et d'un environnement réglementaire propices au développement durable des télécommunications/TIC </w:t>
            </w:r>
          </w:p>
        </w:tc>
        <w:tc>
          <w:tcPr>
            <w:tcW w:w="3827" w:type="dxa"/>
          </w:tcPr>
          <w:p w14:paraId="397CD010" w14:textId="60EB5C1C" w:rsidR="00163B5F" w:rsidRPr="0058202C" w:rsidRDefault="00163B5F" w:rsidP="00672B67">
            <w:pPr>
              <w:spacing w:before="40" w:after="40"/>
              <w:cnfStyle w:val="100000000000" w:firstRow="1"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sz w:val="15"/>
                <w:szCs w:val="15"/>
                <w:lang w:val="fr-FR"/>
              </w:rPr>
              <w:t xml:space="preserve">D.4 Société numérique inclusive: Promouvoir le développement et l'utilisation des télécommunications/TIC et d'applications pour donner aux individus et aux sociétés des moyens d'agir en faveur du développement durable </w:t>
            </w:r>
          </w:p>
        </w:tc>
      </w:tr>
      <w:tr w:rsidR="00163B5F" w:rsidRPr="0058202C" w14:paraId="194250F7" w14:textId="77777777" w:rsidTr="0058202C">
        <w:trPr>
          <w:cantSplit/>
          <w:trHeight w:val="4063"/>
          <w:jc w:val="center"/>
        </w:trPr>
        <w:tc>
          <w:tcPr>
            <w:cnfStyle w:val="001000000000" w:firstRow="0" w:lastRow="0" w:firstColumn="1" w:lastColumn="0" w:oddVBand="0" w:evenVBand="0" w:oddHBand="0" w:evenHBand="0" w:firstRowFirstColumn="0" w:firstRowLastColumn="0" w:lastRowFirstColumn="0" w:lastRowLastColumn="0"/>
            <w:tcW w:w="421" w:type="dxa"/>
            <w:textDirection w:val="btLr"/>
            <w:vAlign w:val="center"/>
          </w:tcPr>
          <w:p w14:paraId="2A3D3AFD" w14:textId="77777777" w:rsidR="00163B5F" w:rsidRPr="0058202C" w:rsidRDefault="00163B5F" w:rsidP="00672B67">
            <w:pPr>
              <w:spacing w:after="60"/>
              <w:ind w:left="113" w:right="113"/>
              <w:jc w:val="center"/>
              <w:rPr>
                <w:rFonts w:eastAsia="Calibri" w:cstheme="minorHAnsi"/>
                <w:color w:val="4F81BD" w:themeColor="accent1"/>
                <w:sz w:val="15"/>
                <w:szCs w:val="15"/>
                <w:lang w:val="fr-FR"/>
              </w:rPr>
            </w:pPr>
            <w:r w:rsidRPr="0058202C">
              <w:rPr>
                <w:rFonts w:eastAsia="Calibri" w:cstheme="minorHAnsi"/>
                <w:color w:val="4F81BD" w:themeColor="accent1"/>
                <w:sz w:val="15"/>
                <w:szCs w:val="15"/>
                <w:lang w:val="fr-FR"/>
              </w:rPr>
              <w:t>Résultats</w:t>
            </w:r>
          </w:p>
        </w:tc>
        <w:tc>
          <w:tcPr>
            <w:tcW w:w="3827" w:type="dxa"/>
          </w:tcPr>
          <w:p w14:paraId="0A0CD53A" w14:textId="0ED3496C"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D.1-1: </w:t>
            </w:r>
            <w:r w:rsidRPr="0058202C">
              <w:rPr>
                <w:rFonts w:eastAsia="Calibri" w:cstheme="minorHAnsi"/>
                <w:bCs/>
                <w:sz w:val="15"/>
                <w:szCs w:val="15"/>
                <w:lang w:val="fr-FR"/>
              </w:rPr>
              <w:t>Examen plus approfondi et meilleure adhésion à la contribution de l'UIT-D au plan stratégique de l'UIT, à la Déclaration de la Conférence mondiale de développement des télécommunications (CMDT) et au Plan d'action de la</w:t>
            </w:r>
            <w:r w:rsidR="00566DD3">
              <w:rPr>
                <w:rFonts w:eastAsia="Calibri" w:cstheme="minorHAnsi"/>
                <w:bCs/>
                <w:sz w:val="15"/>
                <w:szCs w:val="15"/>
                <w:lang w:val="fr-FR"/>
              </w:rPr>
              <w:t> </w:t>
            </w:r>
            <w:r w:rsidRPr="0058202C">
              <w:rPr>
                <w:rFonts w:eastAsia="Calibri" w:cstheme="minorHAnsi"/>
                <w:bCs/>
                <w:sz w:val="15"/>
                <w:szCs w:val="15"/>
                <w:lang w:val="fr-FR"/>
              </w:rPr>
              <w:t>CMDT.</w:t>
            </w:r>
          </w:p>
          <w:p w14:paraId="295CD954" w14:textId="589C248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3, 5, 10, 16 et 17 des ODD</w:t>
            </w:r>
          </w:p>
          <w:p w14:paraId="6A0A3B63" w14:textId="10D60DD1"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b/>
                <w:bCs/>
                <w:color w:val="4F81BD" w:themeColor="accent1"/>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C1 et C11</w:t>
            </w:r>
          </w:p>
          <w:p w14:paraId="259536EF" w14:textId="775D02FC"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D.1-2: </w:t>
            </w:r>
            <w:r w:rsidRPr="0058202C">
              <w:rPr>
                <w:rFonts w:eastAsia="Calibri" w:cstheme="minorHAnsi"/>
                <w:bCs/>
                <w:sz w:val="15"/>
                <w:szCs w:val="15"/>
                <w:lang w:val="fr-FR"/>
              </w:rPr>
              <w:t>Évaluation de la mise en œuvre du plan d'action de la CMDT et du plan d'action du SMSI</w:t>
            </w:r>
          </w:p>
          <w:p w14:paraId="68692CDD" w14:textId="137CC19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7030A0"/>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3, 5, 10, 16 et 17 des ODD</w:t>
            </w:r>
            <w:r w:rsidRPr="0058202C">
              <w:rPr>
                <w:rFonts w:eastAsia="Calibri" w:cstheme="minorHAnsi"/>
                <w:color w:val="7030A0"/>
                <w:sz w:val="15"/>
                <w:szCs w:val="15"/>
                <w:lang w:val="fr-FR"/>
              </w:rPr>
              <w:t xml:space="preserve"> </w:t>
            </w:r>
          </w:p>
          <w:p w14:paraId="25EB0369" w14:textId="76CEB816"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b/>
                <w:bCs/>
                <w:color w:val="4F81BD" w:themeColor="accent1"/>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C1 et C11</w:t>
            </w:r>
          </w:p>
          <w:p w14:paraId="43EEA6EA" w14:textId="109A35B5"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D.1-3: </w:t>
            </w:r>
            <w:r w:rsidRPr="0058202C">
              <w:rPr>
                <w:rFonts w:eastAsia="Calibri" w:cstheme="minorHAnsi"/>
                <w:bCs/>
                <w:sz w:val="15"/>
                <w:szCs w:val="15"/>
                <w:lang w:val="fr-FR"/>
              </w:rPr>
              <w:t>Renforcement de l'échange de connaissances, du dialogue et des partenariats entre les membres de l'UIT concernant les questions de télécommunication/TIC.</w:t>
            </w:r>
          </w:p>
          <w:p w14:paraId="35863BB2" w14:textId="33BC8859"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3, 5, 10, 16 et 17 des ODD</w:t>
            </w:r>
          </w:p>
          <w:p w14:paraId="79ACE996" w14:textId="5633B59E"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C1 et C11</w:t>
            </w:r>
            <w:r w:rsidRPr="0058202C">
              <w:rPr>
                <w:rFonts w:eastAsia="Calibri" w:cstheme="minorHAnsi"/>
                <w:sz w:val="15"/>
                <w:szCs w:val="15"/>
                <w:lang w:val="fr-FR"/>
              </w:rPr>
              <w:t xml:space="preserve"> </w:t>
            </w:r>
          </w:p>
          <w:p w14:paraId="798A1C18" w14:textId="52EDF7C0"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D.1-4: </w:t>
            </w:r>
            <w:r w:rsidRPr="0058202C">
              <w:rPr>
                <w:rFonts w:eastAsia="Calibri" w:cstheme="minorHAnsi"/>
                <w:bCs/>
                <w:sz w:val="15"/>
                <w:szCs w:val="15"/>
                <w:lang w:val="fr-FR"/>
              </w:rPr>
              <w:t>Renforcement du processus et de la mise en œuvre de projets de développement des télécommunications/ TIC et d'initiatives régionales</w:t>
            </w:r>
          </w:p>
          <w:p w14:paraId="4264C79E" w14:textId="1AAA89C0"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et 17 des ODD</w:t>
            </w:r>
          </w:p>
          <w:p w14:paraId="2F4ADED4" w14:textId="4B00ADED"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 xml:space="preserve">SMSI C1 et C11 </w:t>
            </w:r>
          </w:p>
          <w:p w14:paraId="66532A1A" w14:textId="27C8E19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D.1-5</w:t>
            </w:r>
            <w:r w:rsidRPr="0058202C">
              <w:rPr>
                <w:rFonts w:eastAsia="Calibri" w:cstheme="minorHAnsi"/>
                <w:bCs/>
                <w:sz w:val="15"/>
                <w:szCs w:val="15"/>
                <w:lang w:val="fr-FR"/>
              </w:rPr>
              <w:t>: Faciliter la conclusion d'accords de coopération concernant des programmes de développement des télécommunications/TIC entre les États Membres, ainsi qu'entre les États Membres et d'autres parties prenantes de l'écosystème des TIC, sur la base des demandes formulées par les États Membres concernés de l'UIT</w:t>
            </w:r>
            <w:r w:rsidRPr="0058202C">
              <w:rPr>
                <w:rFonts w:eastAsia="Calibri" w:cstheme="minorHAnsi"/>
                <w:sz w:val="15"/>
                <w:szCs w:val="15"/>
                <w:lang w:val="fr-FR"/>
              </w:rPr>
              <w:t xml:space="preserve"> </w:t>
            </w:r>
          </w:p>
          <w:p w14:paraId="1F832567" w14:textId="30D0759A"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et 17 des ODD</w:t>
            </w:r>
          </w:p>
          <w:p w14:paraId="4EADD37D" w14:textId="1E86D5BC" w:rsidR="00163B5F" w:rsidRPr="0058202C" w:rsidRDefault="00163B5F" w:rsidP="0058202C">
            <w:pPr>
              <w:spacing w:before="0"/>
              <w:cnfStyle w:val="000000000000" w:firstRow="0" w:lastRow="0" w:firstColumn="0" w:lastColumn="0" w:oddVBand="0" w:evenVBand="0" w:oddHBand="0" w:evenHBand="0" w:firstRowFirstColumn="0" w:firstRowLastColumn="0" w:lastRowFirstColumn="0" w:lastRowLastColumn="0"/>
              <w:rPr>
                <w:rFonts w:eastAsia="Calibri" w:cstheme="minorHAnsi"/>
                <w:b/>
                <w:bCs/>
                <w:color w:val="4F81BD" w:themeColor="accent1"/>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C1 et C11</w:t>
            </w:r>
          </w:p>
        </w:tc>
        <w:tc>
          <w:tcPr>
            <w:tcW w:w="3260" w:type="dxa"/>
          </w:tcPr>
          <w:p w14:paraId="7D974BC2" w14:textId="202E30B1"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D.2-1: </w:t>
            </w:r>
            <w:r w:rsidRPr="0058202C">
              <w:rPr>
                <w:rFonts w:eastAsia="Calibri" w:cstheme="minorHAnsi"/>
                <w:bCs/>
                <w:sz w:val="15"/>
                <w:szCs w:val="15"/>
                <w:lang w:val="fr-FR"/>
              </w:rPr>
              <w:t>Renforcement de la capacité des membres de l'UIT de fournir des infrastructures et des services de télécommunication/TIC robustes.</w:t>
            </w:r>
            <w:r w:rsidRPr="0058202C">
              <w:rPr>
                <w:rFonts w:eastAsia="Calibri" w:cstheme="minorHAnsi"/>
                <w:sz w:val="15"/>
                <w:szCs w:val="15"/>
                <w:lang w:val="fr-FR"/>
              </w:rPr>
              <w:t xml:space="preserve"> </w:t>
            </w:r>
          </w:p>
          <w:p w14:paraId="30423A27" w14:textId="51F720BE"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3, 5, 8, 9, 10, 11, 16 et 17 des ODD</w:t>
            </w:r>
          </w:p>
          <w:p w14:paraId="77BDBA90" w14:textId="7777777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GO-SMSI C1, C2, C3, C9 et C11</w:t>
            </w:r>
          </w:p>
          <w:p w14:paraId="44AB22B2" w14:textId="0DF4FBD0"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D.2-2: </w:t>
            </w:r>
            <w:r w:rsidRPr="0058202C">
              <w:rPr>
                <w:rFonts w:eastAsia="Calibri" w:cstheme="minorHAnsi"/>
                <w:bCs/>
                <w:sz w:val="15"/>
                <w:szCs w:val="15"/>
                <w:lang w:val="fr-FR"/>
              </w:rPr>
              <w:t>Renforcement de la capacité des États Membres d'échanger efficacement des informations, de trouver des solutions et de lutter contre les menaces en matière de cybersécurité ainsi que d'élaborer et de mettre en œuvre des stratégies et des capacités au niveau national, y compris par le biais du renforcement des capacités, en encourageant la coopération aux niveaux national, régional et international en vue d'une participation accrue entre les États Membres et les acteurs concernés.</w:t>
            </w:r>
          </w:p>
          <w:p w14:paraId="745ECE38" w14:textId="4949D6DA"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4, 9, 11, 16 et 17 des ODD</w:t>
            </w:r>
          </w:p>
          <w:p w14:paraId="741A2616" w14:textId="7777777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 la GO-SMSI C5</w:t>
            </w:r>
          </w:p>
          <w:p w14:paraId="2A3421FD" w14:textId="37BD6033"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D.2-3:</w:t>
            </w:r>
            <w:r w:rsidRPr="0058202C">
              <w:rPr>
                <w:rFonts w:eastAsia="Calibri" w:cstheme="minorHAnsi"/>
                <w:bCs/>
                <w:sz w:val="15"/>
                <w:szCs w:val="15"/>
                <w:lang w:val="fr-FR"/>
              </w:rPr>
              <w:t xml:space="preserve"> Renforcement de la capacité des États Membres d'utiliser les télécommunications/ TIC pour l'atténuation et la gestion des risques de catastrophe, pour garantir la disponibilité des télécommunications d'urgence et appuyer la coopération dans ce domaine</w:t>
            </w:r>
          </w:p>
          <w:p w14:paraId="2D08B476" w14:textId="76A826C8"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 xml:space="preserve">bjectifs 1, 3, 5, 11 et 13 des ODD </w:t>
            </w:r>
          </w:p>
          <w:p w14:paraId="1225CD8F" w14:textId="572C729F" w:rsidR="00163B5F" w:rsidRPr="0058202C" w:rsidRDefault="00163B5F" w:rsidP="0058202C">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GO-SMSI C2 et C7</w:t>
            </w:r>
          </w:p>
        </w:tc>
        <w:tc>
          <w:tcPr>
            <w:tcW w:w="3515" w:type="dxa"/>
          </w:tcPr>
          <w:p w14:paraId="4F4B9E19" w14:textId="30132AD9"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D.3-1</w:t>
            </w:r>
            <w:r w:rsidRPr="0058202C">
              <w:rPr>
                <w:rFonts w:eastAsia="Calibri" w:cstheme="minorHAnsi"/>
                <w:bCs/>
                <w:sz w:val="15"/>
                <w:szCs w:val="15"/>
                <w:lang w:val="fr-FR"/>
              </w:rPr>
              <w:t>: Renforcement de la capacité des États Membres d'élaborer des cadres politiques, juridiques et réglementaires favorables au développement des télécommunications/TIC</w:t>
            </w:r>
            <w:r w:rsidRPr="0058202C">
              <w:rPr>
                <w:rFonts w:eastAsia="Calibri" w:cstheme="minorHAnsi"/>
                <w:sz w:val="15"/>
                <w:szCs w:val="15"/>
                <w:lang w:val="fr-FR"/>
              </w:rPr>
              <w:t xml:space="preserve"> </w:t>
            </w:r>
          </w:p>
          <w:p w14:paraId="22FCF2EF" w14:textId="7F665D6E"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2, 4, 5, 8, 9, 10, 11, 16 et 17 des ODD</w:t>
            </w:r>
          </w:p>
          <w:p w14:paraId="5D008A19" w14:textId="7777777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GO-SMSI C6</w:t>
            </w:r>
          </w:p>
          <w:p w14:paraId="78BEC1A9" w14:textId="7200AD2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D.3-2: </w:t>
            </w:r>
            <w:r w:rsidRPr="0058202C">
              <w:rPr>
                <w:rFonts w:eastAsia="Calibri" w:cstheme="minorHAnsi"/>
                <w:bCs/>
                <w:sz w:val="15"/>
                <w:szCs w:val="15"/>
                <w:lang w:val="fr-FR"/>
              </w:rPr>
              <w:t>Renforcement de la capacité des États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14:paraId="491875C4" w14:textId="5642F925"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 xml:space="preserve">bjectifs 1 </w:t>
            </w:r>
            <w:r w:rsidR="000D7F60" w:rsidRPr="0058202C">
              <w:rPr>
                <w:rFonts w:eastAsia="Calibri" w:cstheme="minorHAnsi"/>
                <w:color w:val="10662B"/>
                <w:sz w:val="15"/>
                <w:szCs w:val="15"/>
                <w:lang w:val="fr-FR"/>
              </w:rPr>
              <w:t>à</w:t>
            </w:r>
            <w:r w:rsidRPr="0058202C">
              <w:rPr>
                <w:rFonts w:eastAsia="Calibri" w:cstheme="minorHAnsi"/>
                <w:color w:val="10662B"/>
                <w:sz w:val="15"/>
                <w:szCs w:val="15"/>
                <w:lang w:val="fr-FR"/>
              </w:rPr>
              <w:t xml:space="preserve"> 17 des</w:t>
            </w:r>
            <w:r w:rsidR="00566DD3">
              <w:rPr>
                <w:rFonts w:eastAsia="Calibri" w:cstheme="minorHAnsi"/>
                <w:color w:val="10662B"/>
                <w:sz w:val="15"/>
                <w:szCs w:val="15"/>
                <w:lang w:val="fr-FR"/>
              </w:rPr>
              <w:t> </w:t>
            </w:r>
            <w:r w:rsidRPr="0058202C">
              <w:rPr>
                <w:rFonts w:eastAsia="Calibri" w:cstheme="minorHAnsi"/>
                <w:color w:val="10662B"/>
                <w:sz w:val="15"/>
                <w:szCs w:val="15"/>
                <w:lang w:val="fr-FR"/>
              </w:rPr>
              <w:t xml:space="preserve">ODD </w:t>
            </w:r>
          </w:p>
          <w:p w14:paraId="4A6AC654" w14:textId="5B3A1713"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 xml:space="preserve">Contribue à la coordination de la mise en œuvre des GO-SMSI C1 </w:t>
            </w:r>
            <w:r w:rsidR="000D7F60" w:rsidRPr="0058202C">
              <w:rPr>
                <w:rFonts w:eastAsia="Calibri" w:cstheme="minorHAnsi"/>
                <w:color w:val="C0504D" w:themeColor="accent2"/>
                <w:sz w:val="15"/>
                <w:szCs w:val="15"/>
                <w:lang w:val="fr-FR"/>
              </w:rPr>
              <w:t>à</w:t>
            </w:r>
            <w:r w:rsidRPr="0058202C">
              <w:rPr>
                <w:rFonts w:eastAsia="Calibri" w:cstheme="minorHAnsi"/>
                <w:color w:val="C0504D" w:themeColor="accent2"/>
                <w:sz w:val="15"/>
                <w:szCs w:val="15"/>
                <w:lang w:val="fr-FR"/>
              </w:rPr>
              <w:t xml:space="preserve"> C11 </w:t>
            </w:r>
          </w:p>
          <w:p w14:paraId="7D477474" w14:textId="4ECC234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D.3-3</w:t>
            </w:r>
            <w:r w:rsidRPr="0058202C">
              <w:rPr>
                <w:rFonts w:eastAsia="Calibri" w:cstheme="minorHAnsi"/>
                <w:bCs/>
                <w:sz w:val="15"/>
                <w:szCs w:val="15"/>
                <w:lang w:val="fr-FR"/>
              </w:rPr>
              <w:t>: Renforcement des capacités humaines et institutionnelles des membres de l'UIT à exploiter pleinement le potentiel des télécommunications/TIC.</w:t>
            </w:r>
            <w:r w:rsidRPr="0058202C">
              <w:rPr>
                <w:rFonts w:eastAsia="Calibri" w:cstheme="minorHAnsi"/>
                <w:sz w:val="15"/>
                <w:szCs w:val="15"/>
                <w:lang w:val="fr-FR"/>
              </w:rPr>
              <w:t xml:space="preserve"> </w:t>
            </w:r>
          </w:p>
          <w:p w14:paraId="394B9494" w14:textId="218792CD"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2, 3, 4, 5, 6, 12, 13, 14, 16 et 17 des ODD</w:t>
            </w:r>
          </w:p>
          <w:p w14:paraId="238FD725" w14:textId="7777777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 la GO-SMSI C4</w:t>
            </w:r>
          </w:p>
          <w:p w14:paraId="603D7710" w14:textId="5E87DE0E"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D.3-4:</w:t>
            </w:r>
            <w:r w:rsidRPr="0058202C">
              <w:rPr>
                <w:rFonts w:eastAsia="Calibri" w:cstheme="minorHAnsi"/>
                <w:bCs/>
                <w:sz w:val="15"/>
                <w:szCs w:val="15"/>
                <w:lang w:val="fr-FR"/>
              </w:rPr>
              <w:t xml:space="preserve"> 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r w:rsidRPr="0058202C">
              <w:rPr>
                <w:rFonts w:eastAsia="Calibri" w:cstheme="minorHAnsi"/>
                <w:sz w:val="15"/>
                <w:szCs w:val="15"/>
                <w:lang w:val="fr-FR"/>
              </w:rPr>
              <w:t xml:space="preserve"> </w:t>
            </w:r>
          </w:p>
          <w:p w14:paraId="310D8BBD" w14:textId="472B3962"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2, 3, 4, 5, 9, 12, 16 et 17 des ODD</w:t>
            </w:r>
          </w:p>
          <w:p w14:paraId="49467411" w14:textId="5F3614D4" w:rsidR="00163B5F" w:rsidRPr="0058202C" w:rsidRDefault="00163B5F" w:rsidP="0058202C">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GO-SMSI C1, C2, C3, C4, C5, C6, C7 et C11</w:t>
            </w:r>
          </w:p>
        </w:tc>
        <w:tc>
          <w:tcPr>
            <w:tcW w:w="3827" w:type="dxa"/>
          </w:tcPr>
          <w:p w14:paraId="2EDF872B" w14:textId="3C224B41"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D.4-1: </w:t>
            </w:r>
            <w:r w:rsidRPr="0058202C">
              <w:rPr>
                <w:rFonts w:eastAsia="Calibri" w:cstheme="minorHAnsi"/>
                <w:bCs/>
                <w:sz w:val="15"/>
                <w:szCs w:val="15"/>
                <w:lang w:val="fr-FR"/>
              </w:rPr>
              <w:t>Amélioration de l'accès aux télécommunications/TIC et de leur utilisation dans les pays les moins avancés (PMA), les petits États insulaires en développement (PEID) et les pays en développement sans littoral (PDSL), ainsi que dans les pays dont l'économie est en transition.</w:t>
            </w:r>
          </w:p>
          <w:p w14:paraId="5051520A" w14:textId="5E0B891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 xml:space="preserve">bjectifs 1, 3, 7, 8, 9, 11, 13 et 17 des ODD </w:t>
            </w:r>
          </w:p>
          <w:p w14:paraId="5AC5262B" w14:textId="7A35A6D6"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7030A0"/>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C2, C6 et C7</w:t>
            </w:r>
          </w:p>
          <w:p w14:paraId="585625F9" w14:textId="482047CC"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D.4-2:</w:t>
            </w:r>
            <w:r w:rsidRPr="0058202C">
              <w:rPr>
                <w:rFonts w:eastAsia="Calibri" w:cstheme="minorHAnsi"/>
                <w:bCs/>
                <w:sz w:val="15"/>
                <w:szCs w:val="15"/>
                <w:lang w:val="fr-FR"/>
              </w:rPr>
              <w:t xml:space="preserve"> Renforcement de la capacité des membres de l'UIT à accélérer le développement économique et social en exploitant et en utilisant les nouvelles technologies et les services et applications des télécommunications/TIC.</w:t>
            </w:r>
          </w:p>
          <w:p w14:paraId="7BFB9FF0" w14:textId="217C678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w:t>
            </w:r>
            <w:r w:rsidR="00566DD3">
              <w:rPr>
                <w:rFonts w:eastAsia="Calibri" w:cstheme="minorHAnsi"/>
                <w:color w:val="10662B"/>
                <w:sz w:val="15"/>
                <w:szCs w:val="15"/>
                <w:lang w:val="fr-FR"/>
              </w:rPr>
              <w:t>s</w:t>
            </w:r>
            <w:r w:rsidRPr="0058202C">
              <w:rPr>
                <w:rFonts w:eastAsia="Calibri" w:cstheme="minorHAnsi"/>
                <w:color w:val="10662B"/>
                <w:sz w:val="15"/>
                <w:szCs w:val="15"/>
                <w:lang w:val="fr-FR"/>
              </w:rPr>
              <w:t xml:space="preserve"> 2, 3, 4, 6, 7 et 11 des ODD</w:t>
            </w:r>
          </w:p>
          <w:p w14:paraId="7F33BC42" w14:textId="153C533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 la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C7</w:t>
            </w:r>
          </w:p>
          <w:p w14:paraId="7ECA3CC3" w14:textId="5E94104A"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D.4-3: </w:t>
            </w:r>
            <w:r w:rsidRPr="0058202C">
              <w:rPr>
                <w:rFonts w:eastAsia="Calibri" w:cstheme="minorHAnsi"/>
                <w:bCs/>
                <w:sz w:val="15"/>
                <w:szCs w:val="15"/>
                <w:lang w:val="fr-FR"/>
              </w:rPr>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p w14:paraId="2F8A10BB" w14:textId="59DD3E8A"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Pr>
                <w:rFonts w:eastAsia="Calibri" w:cstheme="minorHAnsi"/>
                <w:color w:val="10662B"/>
                <w:sz w:val="15"/>
                <w:szCs w:val="15"/>
                <w:lang w:val="fr-FR"/>
              </w:rPr>
              <w:t>O</w:t>
            </w:r>
            <w:r w:rsidRPr="0058202C">
              <w:rPr>
                <w:rFonts w:eastAsia="Calibri" w:cstheme="minorHAnsi"/>
                <w:color w:val="10662B"/>
                <w:sz w:val="15"/>
                <w:szCs w:val="15"/>
                <w:lang w:val="fr-FR"/>
              </w:rPr>
              <w:t>bjectifs 4, 5, 8, 10 et 17 des</w:t>
            </w:r>
            <w:r w:rsidR="0058202C">
              <w:rPr>
                <w:rFonts w:eastAsia="Calibri" w:cstheme="minorHAnsi"/>
                <w:color w:val="10662B"/>
                <w:sz w:val="15"/>
                <w:szCs w:val="15"/>
                <w:lang w:val="fr-FR"/>
              </w:rPr>
              <w:t> </w:t>
            </w:r>
            <w:r w:rsidRPr="0058202C">
              <w:rPr>
                <w:rFonts w:eastAsia="Calibri" w:cstheme="minorHAnsi"/>
                <w:color w:val="10662B"/>
                <w:sz w:val="15"/>
                <w:szCs w:val="15"/>
                <w:lang w:val="fr-FR"/>
              </w:rPr>
              <w:t>ODD</w:t>
            </w:r>
          </w:p>
          <w:p w14:paraId="5EB0B491" w14:textId="4AEE9D9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 xml:space="preserve">SMSI C1, C2, C3, C4, C5, C6, C7, C8 et C9 </w:t>
            </w:r>
          </w:p>
          <w:p w14:paraId="3C0C0853" w14:textId="4418513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D.4-4</w:t>
            </w:r>
            <w:r w:rsidRPr="0058202C">
              <w:rPr>
                <w:rFonts w:eastAsia="Calibri" w:cstheme="minorHAnsi"/>
                <w:bCs/>
                <w:sz w:val="15"/>
                <w:szCs w:val="15"/>
                <w:lang w:val="fr-FR"/>
              </w:rPr>
              <w:t>: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r w:rsidRPr="0058202C">
              <w:rPr>
                <w:rFonts w:eastAsia="Calibri" w:cstheme="minorHAnsi"/>
                <w:sz w:val="15"/>
                <w:szCs w:val="15"/>
                <w:lang w:val="fr-FR"/>
              </w:rPr>
              <w:t xml:space="preserve"> </w:t>
            </w:r>
          </w:p>
          <w:p w14:paraId="34A83657" w14:textId="1C49C891"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3, 5, 11, 12 et 13 des ODD</w:t>
            </w:r>
          </w:p>
          <w:p w14:paraId="34396772" w14:textId="7290A1AF"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 la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C7</w:t>
            </w:r>
          </w:p>
        </w:tc>
      </w:tr>
    </w:tbl>
    <w:p w14:paraId="2D91CD29" w14:textId="77777777" w:rsidR="00163B5F" w:rsidRPr="00A37A84" w:rsidRDefault="00163B5F" w:rsidP="00672B67">
      <w:pPr>
        <w:pStyle w:val="AnnexNo"/>
        <w:spacing w:before="120"/>
        <w:rPr>
          <w:lang w:val="fr-FR"/>
        </w:rPr>
      </w:pPr>
      <w:r w:rsidRPr="00A37A84">
        <w:rPr>
          <w:lang w:val="fr-FR"/>
        </w:rPr>
        <w:t>ANNEXE 2</w:t>
      </w:r>
    </w:p>
    <w:p w14:paraId="4D7857F7" w14:textId="2303666C" w:rsidR="00163B5F" w:rsidRPr="00A37A84" w:rsidRDefault="00163B5F" w:rsidP="0058202C">
      <w:pPr>
        <w:pStyle w:val="Annextitle"/>
        <w:spacing w:after="120"/>
        <w:rPr>
          <w:lang w:val="fr-FR"/>
        </w:rPr>
      </w:pPr>
      <w:r w:rsidRPr="00A37A84">
        <w:rPr>
          <w:lang w:val="fr-FR"/>
        </w:rPr>
        <w:t xml:space="preserve">Questions </w:t>
      </w:r>
      <w:r w:rsidR="000D7F60" w:rsidRPr="00A37A84">
        <w:rPr>
          <w:lang w:val="fr-FR"/>
        </w:rPr>
        <w:t>confiées aux</w:t>
      </w:r>
      <w:r w:rsidRPr="00A37A84">
        <w:rPr>
          <w:lang w:val="fr-FR"/>
        </w:rPr>
        <w:t xml:space="preserve"> Commissions d'études de l'UIT-D (2018-2021) et contribution à la mise en œuvre </w:t>
      </w:r>
      <w:r w:rsidR="0058202C">
        <w:rPr>
          <w:lang w:val="fr-FR"/>
        </w:rPr>
        <w:br/>
      </w:r>
      <w:r w:rsidRPr="00A37A84">
        <w:rPr>
          <w:lang w:val="fr-FR"/>
        </w:rPr>
        <w:t>des grandes orientations du SMSI et à la réalisation des ODD</w:t>
      </w:r>
    </w:p>
    <w:tbl>
      <w:tblPr>
        <w:tblStyle w:val="TableGrid"/>
        <w:tblW w:w="15168" w:type="dxa"/>
        <w:tblInd w:w="-709" w:type="dxa"/>
        <w:tblLook w:val="04A0" w:firstRow="1" w:lastRow="0" w:firstColumn="1" w:lastColumn="0" w:noHBand="0" w:noVBand="1"/>
      </w:tblPr>
      <w:tblGrid>
        <w:gridCol w:w="3828"/>
        <w:gridCol w:w="3402"/>
        <w:gridCol w:w="709"/>
        <w:gridCol w:w="3827"/>
        <w:gridCol w:w="3402"/>
      </w:tblGrid>
      <w:tr w:rsidR="00163B5F" w:rsidRPr="00A37A84" w14:paraId="0B8668A6" w14:textId="77777777" w:rsidTr="004C04DD">
        <w:tc>
          <w:tcPr>
            <w:tcW w:w="7230" w:type="dxa"/>
            <w:gridSpan w:val="2"/>
            <w:tcBorders>
              <w:top w:val="nil"/>
              <w:left w:val="nil"/>
              <w:bottom w:val="single" w:sz="4" w:space="0" w:color="auto"/>
              <w:right w:val="nil"/>
            </w:tcBorders>
          </w:tcPr>
          <w:p w14:paraId="00A19C4E" w14:textId="089B365E" w:rsidR="00163B5F" w:rsidRPr="00A37A84" w:rsidRDefault="00163B5F" w:rsidP="0058202C">
            <w:pPr>
              <w:spacing w:after="120"/>
              <w:jc w:val="center"/>
              <w:rPr>
                <w:b/>
                <w:bCs/>
                <w:szCs w:val="24"/>
                <w:lang w:val="fr-FR"/>
              </w:rPr>
            </w:pPr>
            <w:r w:rsidRPr="00A37A84">
              <w:rPr>
                <w:b/>
                <w:bCs/>
                <w:color w:val="1F497D" w:themeColor="text2"/>
                <w:lang w:val="fr-FR"/>
              </w:rPr>
              <w:t>Commission d'études 1: Environnement propice au développement des télécommunications/TIC</w:t>
            </w:r>
          </w:p>
        </w:tc>
        <w:tc>
          <w:tcPr>
            <w:tcW w:w="709" w:type="dxa"/>
            <w:tcBorders>
              <w:top w:val="nil"/>
              <w:left w:val="nil"/>
              <w:bottom w:val="nil"/>
              <w:right w:val="nil"/>
            </w:tcBorders>
          </w:tcPr>
          <w:p w14:paraId="52F5FEBA" w14:textId="77777777" w:rsidR="00163B5F" w:rsidRPr="00A37A84" w:rsidRDefault="00163B5F" w:rsidP="00672B67">
            <w:pPr>
              <w:jc w:val="center"/>
              <w:rPr>
                <w:szCs w:val="24"/>
                <w:lang w:val="fr-FR"/>
              </w:rPr>
            </w:pPr>
          </w:p>
        </w:tc>
        <w:tc>
          <w:tcPr>
            <w:tcW w:w="7229" w:type="dxa"/>
            <w:gridSpan w:val="2"/>
            <w:tcBorders>
              <w:top w:val="nil"/>
              <w:left w:val="nil"/>
              <w:bottom w:val="single" w:sz="4" w:space="0" w:color="auto"/>
              <w:right w:val="nil"/>
            </w:tcBorders>
          </w:tcPr>
          <w:p w14:paraId="482D4394" w14:textId="569DF96A" w:rsidR="00163B5F" w:rsidRPr="00A37A84" w:rsidRDefault="00163B5F" w:rsidP="0058202C">
            <w:pPr>
              <w:spacing w:after="120"/>
              <w:jc w:val="center"/>
              <w:rPr>
                <w:szCs w:val="24"/>
                <w:lang w:val="fr-FR"/>
              </w:rPr>
            </w:pPr>
            <w:r w:rsidRPr="00A37A84">
              <w:rPr>
                <w:b/>
                <w:bCs/>
                <w:color w:val="1F497D" w:themeColor="text2"/>
                <w:lang w:val="fr-FR"/>
              </w:rPr>
              <w:t>Commission d'études 2: Utilisation de services et d'applications des</w:t>
            </w:r>
            <w:r w:rsidR="0058202C">
              <w:rPr>
                <w:b/>
                <w:bCs/>
                <w:color w:val="1F497D" w:themeColor="text2"/>
                <w:lang w:val="fr-FR"/>
              </w:rPr>
              <w:t> </w:t>
            </w:r>
            <w:r w:rsidRPr="00A37A84">
              <w:rPr>
                <w:b/>
                <w:bCs/>
                <w:color w:val="1F497D" w:themeColor="text2"/>
                <w:lang w:val="fr-FR"/>
              </w:rPr>
              <w:t>TIC pour promouvoir le développement durable</w:t>
            </w:r>
          </w:p>
        </w:tc>
      </w:tr>
      <w:tr w:rsidR="00163B5F" w:rsidRPr="00A37A84" w14:paraId="6CC0A953" w14:textId="77777777" w:rsidTr="004C04DD">
        <w:tc>
          <w:tcPr>
            <w:tcW w:w="3828" w:type="dxa"/>
            <w:tcBorders>
              <w:top w:val="single" w:sz="4" w:space="0" w:color="auto"/>
            </w:tcBorders>
          </w:tcPr>
          <w:p w14:paraId="3E6960A7" w14:textId="77777777" w:rsidR="00163B5F" w:rsidRPr="00A37A84" w:rsidRDefault="00163B5F" w:rsidP="00672B67">
            <w:pPr>
              <w:pStyle w:val="Tablehead"/>
              <w:jc w:val="left"/>
              <w:rPr>
                <w:sz w:val="18"/>
                <w:szCs w:val="16"/>
                <w:lang w:val="fr-FR"/>
              </w:rPr>
            </w:pPr>
            <w:r w:rsidRPr="00A37A84">
              <w:rPr>
                <w:sz w:val="18"/>
                <w:szCs w:val="16"/>
                <w:lang w:val="fr-FR"/>
              </w:rPr>
              <w:t>Question</w:t>
            </w:r>
          </w:p>
        </w:tc>
        <w:tc>
          <w:tcPr>
            <w:tcW w:w="3402" w:type="dxa"/>
            <w:tcBorders>
              <w:top w:val="single" w:sz="4" w:space="0" w:color="auto"/>
              <w:right w:val="single" w:sz="4" w:space="0" w:color="auto"/>
            </w:tcBorders>
          </w:tcPr>
          <w:p w14:paraId="6BADB0EB" w14:textId="77777777" w:rsidR="00163B5F" w:rsidRPr="00A37A84" w:rsidRDefault="00163B5F" w:rsidP="00672B67">
            <w:pPr>
              <w:pStyle w:val="Tablehead"/>
              <w:jc w:val="left"/>
              <w:rPr>
                <w:sz w:val="18"/>
                <w:szCs w:val="16"/>
                <w:lang w:val="fr-FR"/>
              </w:rPr>
            </w:pPr>
            <w:r w:rsidRPr="00A37A84">
              <w:rPr>
                <w:sz w:val="18"/>
                <w:szCs w:val="16"/>
                <w:lang w:val="fr-FR"/>
              </w:rPr>
              <w:t>ODD et grandes orientations du SMSI correspondants</w:t>
            </w:r>
          </w:p>
        </w:tc>
        <w:tc>
          <w:tcPr>
            <w:tcW w:w="709" w:type="dxa"/>
            <w:tcBorders>
              <w:top w:val="nil"/>
              <w:left w:val="single" w:sz="4" w:space="0" w:color="auto"/>
              <w:bottom w:val="nil"/>
              <w:right w:val="single" w:sz="4" w:space="0" w:color="auto"/>
            </w:tcBorders>
          </w:tcPr>
          <w:p w14:paraId="016927CD" w14:textId="77777777" w:rsidR="00163B5F" w:rsidRPr="00A37A84" w:rsidRDefault="00163B5F" w:rsidP="00672B67">
            <w:pPr>
              <w:jc w:val="center"/>
              <w:rPr>
                <w:sz w:val="18"/>
                <w:szCs w:val="16"/>
                <w:lang w:val="fr-FR"/>
              </w:rPr>
            </w:pPr>
          </w:p>
        </w:tc>
        <w:tc>
          <w:tcPr>
            <w:tcW w:w="3827" w:type="dxa"/>
            <w:tcBorders>
              <w:top w:val="single" w:sz="4" w:space="0" w:color="auto"/>
              <w:left w:val="single" w:sz="4" w:space="0" w:color="auto"/>
            </w:tcBorders>
          </w:tcPr>
          <w:p w14:paraId="3A28A3D6" w14:textId="77777777" w:rsidR="00163B5F" w:rsidRPr="00A37A84" w:rsidRDefault="00163B5F" w:rsidP="00672B67">
            <w:pPr>
              <w:pStyle w:val="Tablehead"/>
              <w:jc w:val="left"/>
              <w:rPr>
                <w:sz w:val="18"/>
                <w:szCs w:val="16"/>
                <w:lang w:val="fr-FR"/>
              </w:rPr>
            </w:pPr>
            <w:r w:rsidRPr="00A37A84">
              <w:rPr>
                <w:sz w:val="18"/>
                <w:szCs w:val="16"/>
                <w:lang w:val="fr-FR"/>
              </w:rPr>
              <w:t>Question</w:t>
            </w:r>
          </w:p>
        </w:tc>
        <w:tc>
          <w:tcPr>
            <w:tcW w:w="3402" w:type="dxa"/>
            <w:tcBorders>
              <w:top w:val="single" w:sz="4" w:space="0" w:color="auto"/>
            </w:tcBorders>
            <w:tcMar>
              <w:right w:w="0" w:type="dxa"/>
            </w:tcMar>
          </w:tcPr>
          <w:p w14:paraId="442223B5" w14:textId="77777777" w:rsidR="00163B5F" w:rsidRPr="00A37A84" w:rsidRDefault="00163B5F" w:rsidP="00672B67">
            <w:pPr>
              <w:pStyle w:val="Tablehead"/>
              <w:jc w:val="left"/>
              <w:rPr>
                <w:sz w:val="18"/>
                <w:szCs w:val="16"/>
                <w:lang w:val="fr-FR"/>
              </w:rPr>
            </w:pPr>
            <w:r w:rsidRPr="00A37A84">
              <w:rPr>
                <w:sz w:val="18"/>
                <w:szCs w:val="16"/>
                <w:lang w:val="fr-FR"/>
              </w:rPr>
              <w:t>ODD et grandes orientations du SMSI correspondants</w:t>
            </w:r>
          </w:p>
        </w:tc>
      </w:tr>
      <w:tr w:rsidR="00163B5F" w:rsidRPr="00A37A84" w14:paraId="1CDEAF6D" w14:textId="77777777" w:rsidTr="004C04DD">
        <w:tc>
          <w:tcPr>
            <w:tcW w:w="3828" w:type="dxa"/>
          </w:tcPr>
          <w:p w14:paraId="362CB570" w14:textId="77777777" w:rsidR="00163B5F" w:rsidRPr="00A37A84" w:rsidRDefault="00163B5F" w:rsidP="00672B67">
            <w:pPr>
              <w:pStyle w:val="Tabletext"/>
              <w:rPr>
                <w:sz w:val="16"/>
                <w:szCs w:val="14"/>
                <w:lang w:val="fr-FR"/>
              </w:rPr>
            </w:pPr>
            <w:r w:rsidRPr="00A37A84">
              <w:rPr>
                <w:sz w:val="16"/>
                <w:szCs w:val="14"/>
                <w:lang w:val="fr-FR"/>
              </w:rPr>
              <w:t>Q1/1: Stratégies et politiques pour le déploiement du large bande dans les pays en développement</w:t>
            </w:r>
          </w:p>
        </w:tc>
        <w:tc>
          <w:tcPr>
            <w:tcW w:w="3402" w:type="dxa"/>
            <w:tcBorders>
              <w:right w:val="single" w:sz="4" w:space="0" w:color="auto"/>
            </w:tcBorders>
          </w:tcPr>
          <w:p w14:paraId="6C394CE5" w14:textId="77777777" w:rsidR="00163B5F" w:rsidRPr="00A37A84" w:rsidRDefault="00163B5F" w:rsidP="00672B67">
            <w:pPr>
              <w:pStyle w:val="Tabletext"/>
              <w:tabs>
                <w:tab w:val="clear" w:pos="2268"/>
              </w:tabs>
              <w:spacing w:before="0" w:after="0"/>
              <w:rPr>
                <w:sz w:val="18"/>
                <w:szCs w:val="16"/>
                <w:lang w:val="fr-FR"/>
              </w:rPr>
            </w:pPr>
            <w:r w:rsidRPr="00A37A84">
              <w:rPr>
                <w:noProof/>
                <w:lang w:val="fr-FR" w:eastAsia="zh-CN"/>
              </w:rPr>
              <w:drawing>
                <wp:inline distT="0" distB="0" distL="0" distR="0" wp14:anchorId="778AE0CB" wp14:editId="25DEC847">
                  <wp:extent cx="367200" cy="406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7200" cy="406800"/>
                          </a:xfrm>
                          <a:prstGeom prst="rect">
                            <a:avLst/>
                          </a:prstGeom>
                        </pic:spPr>
                      </pic:pic>
                    </a:graphicData>
                  </a:graphic>
                </wp:inline>
              </w:drawing>
            </w:r>
            <w:r w:rsidRPr="00A37A84">
              <w:rPr>
                <w:noProof/>
                <w:lang w:val="fr-FR" w:eastAsia="zh-CN"/>
              </w:rPr>
              <w:drawing>
                <wp:inline distT="0" distB="0" distL="0" distR="0" wp14:anchorId="6EB6216F" wp14:editId="5C2D90C4">
                  <wp:extent cx="367200" cy="406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7200" cy="406800"/>
                          </a:xfrm>
                          <a:prstGeom prst="rect">
                            <a:avLst/>
                          </a:prstGeom>
                        </pic:spPr>
                      </pic:pic>
                    </a:graphicData>
                  </a:graphic>
                </wp:inline>
              </w:drawing>
            </w:r>
            <w:r w:rsidRPr="00A37A84">
              <w:rPr>
                <w:noProof/>
                <w:lang w:val="fr-FR" w:eastAsia="zh-CN"/>
              </w:rPr>
              <w:drawing>
                <wp:inline distT="0" distB="0" distL="0" distR="0" wp14:anchorId="5B178957" wp14:editId="30FCBC27">
                  <wp:extent cx="367200" cy="40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7200" cy="406800"/>
                          </a:xfrm>
                          <a:prstGeom prst="rect">
                            <a:avLst/>
                          </a:prstGeom>
                        </pic:spPr>
                      </pic:pic>
                    </a:graphicData>
                  </a:graphic>
                </wp:inline>
              </w:drawing>
            </w:r>
            <w:r w:rsidRPr="00A37A84">
              <w:rPr>
                <w:sz w:val="18"/>
                <w:szCs w:val="16"/>
                <w:lang w:val="fr-FR"/>
              </w:rPr>
              <w:tab/>
            </w:r>
            <w:r w:rsidRPr="00A37A84">
              <w:rPr>
                <w:noProof/>
                <w:sz w:val="18"/>
                <w:szCs w:val="16"/>
                <w:lang w:val="fr-FR" w:eastAsia="zh-CN"/>
              </w:rPr>
              <w:drawing>
                <wp:inline distT="0" distB="0" distL="0" distR="0" wp14:anchorId="6ACAED12" wp14:editId="05F5C1A1">
                  <wp:extent cx="374400" cy="403200"/>
                  <wp:effectExtent l="0" t="0" r="6985" b="0"/>
                  <wp:docPr id="5" name="Picture 5"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rmierr\AppData\Local\Microsoft\Windows\INetCache\Content.Word\C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4011FB28" wp14:editId="0CDCF3D1">
                  <wp:extent cx="374400" cy="403200"/>
                  <wp:effectExtent l="0" t="0" r="6985" b="0"/>
                  <wp:docPr id="12" name="Picture 12"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6D47EAC5" w14:textId="77777777" w:rsidR="00163B5F" w:rsidRPr="00A37A84" w:rsidRDefault="00163B5F" w:rsidP="00672B67">
            <w:pPr>
              <w:jc w:val="center"/>
              <w:rPr>
                <w:szCs w:val="24"/>
                <w:lang w:val="fr-FR"/>
              </w:rPr>
            </w:pPr>
          </w:p>
        </w:tc>
        <w:tc>
          <w:tcPr>
            <w:tcW w:w="3827" w:type="dxa"/>
            <w:tcBorders>
              <w:left w:val="single" w:sz="4" w:space="0" w:color="auto"/>
            </w:tcBorders>
          </w:tcPr>
          <w:p w14:paraId="7B0671E3" w14:textId="77777777" w:rsidR="00163B5F" w:rsidRPr="00A37A84" w:rsidRDefault="00163B5F" w:rsidP="00672B67">
            <w:pPr>
              <w:pStyle w:val="Tabletext"/>
              <w:rPr>
                <w:sz w:val="16"/>
                <w:szCs w:val="14"/>
                <w:lang w:val="fr-FR"/>
              </w:rPr>
            </w:pPr>
            <w:r w:rsidRPr="00A37A84">
              <w:rPr>
                <w:sz w:val="16"/>
                <w:szCs w:val="14"/>
                <w:lang w:val="fr-FR"/>
              </w:rPr>
              <w:t>Q1/2: Créer une société et des villes intelligentes: utilisation des TIC au service du développement socio</w:t>
            </w:r>
            <w:r w:rsidRPr="00A37A84">
              <w:rPr>
                <w:sz w:val="16"/>
                <w:szCs w:val="14"/>
                <w:lang w:val="fr-FR"/>
              </w:rPr>
              <w:noBreakHyphen/>
              <w:t>économique durable</w:t>
            </w:r>
          </w:p>
        </w:tc>
        <w:tc>
          <w:tcPr>
            <w:tcW w:w="3402" w:type="dxa"/>
            <w:tcMar>
              <w:right w:w="0" w:type="dxa"/>
            </w:tcMar>
          </w:tcPr>
          <w:p w14:paraId="414C0814" w14:textId="77777777" w:rsidR="00163B5F" w:rsidRPr="00A37A84" w:rsidRDefault="00163B5F" w:rsidP="00672B67">
            <w:pPr>
              <w:pStyle w:val="Tabletext"/>
              <w:tabs>
                <w:tab w:val="clear" w:pos="2268"/>
                <w:tab w:val="clear" w:pos="2552"/>
                <w:tab w:val="clear" w:pos="2835"/>
                <w:tab w:val="clear" w:pos="3119"/>
                <w:tab w:val="clear" w:pos="3402"/>
                <w:tab w:val="left" w:pos="2551"/>
              </w:tabs>
              <w:ind w:right="885"/>
              <w:rPr>
                <w:sz w:val="18"/>
                <w:szCs w:val="16"/>
                <w:lang w:val="fr-FR"/>
              </w:rPr>
            </w:pPr>
            <w:r w:rsidRPr="00A37A84">
              <w:rPr>
                <w:noProof/>
                <w:lang w:val="fr-FR" w:eastAsia="zh-CN"/>
              </w:rPr>
              <w:drawing>
                <wp:inline distT="0" distB="0" distL="0" distR="0" wp14:anchorId="13825AF1" wp14:editId="0AE78401">
                  <wp:extent cx="370800" cy="406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0800" cy="406800"/>
                          </a:xfrm>
                          <a:prstGeom prst="rect">
                            <a:avLst/>
                          </a:prstGeom>
                        </pic:spPr>
                      </pic:pic>
                    </a:graphicData>
                  </a:graphic>
                </wp:inline>
              </w:drawing>
            </w:r>
            <w:r w:rsidRPr="00A37A84">
              <w:rPr>
                <w:noProof/>
                <w:lang w:val="fr-FR" w:eastAsia="zh-CN"/>
              </w:rPr>
              <w:drawing>
                <wp:inline distT="0" distB="0" distL="0" distR="0" wp14:anchorId="6EBFD388" wp14:editId="5022F8F3">
                  <wp:extent cx="370800" cy="40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0800" cy="406800"/>
                          </a:xfrm>
                          <a:prstGeom prst="rect">
                            <a:avLst/>
                          </a:prstGeom>
                        </pic:spPr>
                      </pic:pic>
                    </a:graphicData>
                  </a:graphic>
                </wp:inline>
              </w:drawing>
            </w:r>
            <w:r w:rsidRPr="00A37A84">
              <w:rPr>
                <w:noProof/>
                <w:lang w:val="fr-FR" w:eastAsia="zh-CN"/>
              </w:rPr>
              <w:drawing>
                <wp:inline distT="0" distB="0" distL="0" distR="0" wp14:anchorId="68B55585" wp14:editId="0F9EC7F4">
                  <wp:extent cx="370800" cy="40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70800" cy="406800"/>
                          </a:xfrm>
                          <a:prstGeom prst="rect">
                            <a:avLst/>
                          </a:prstGeom>
                        </pic:spPr>
                      </pic:pic>
                    </a:graphicData>
                  </a:graphic>
                </wp:inline>
              </w:drawing>
            </w:r>
            <w:r w:rsidRPr="00A37A84">
              <w:rPr>
                <w:noProof/>
                <w:lang w:val="fr-FR" w:eastAsia="zh-CN"/>
              </w:rPr>
              <w:drawing>
                <wp:inline distT="0" distB="0" distL="0" distR="0" wp14:anchorId="5969A00D" wp14:editId="442DE658">
                  <wp:extent cx="370800" cy="40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0800" cy="406800"/>
                          </a:xfrm>
                          <a:prstGeom prst="rect">
                            <a:avLst/>
                          </a:prstGeom>
                        </pic:spPr>
                      </pic:pic>
                    </a:graphicData>
                  </a:graphic>
                </wp:inline>
              </w:drawing>
            </w:r>
            <w:r w:rsidRPr="00A37A84">
              <w:rPr>
                <w:noProof/>
                <w:lang w:val="fr-FR" w:eastAsia="zh-CN"/>
              </w:rPr>
              <w:t xml:space="preserve"> </w:t>
            </w:r>
            <w:r w:rsidRPr="00A37A84">
              <w:rPr>
                <w:noProof/>
                <w:lang w:val="fr-FR" w:eastAsia="zh-CN"/>
              </w:rPr>
              <w:tab/>
            </w:r>
            <w:r w:rsidRPr="00A37A84">
              <w:rPr>
                <w:noProof/>
                <w:sz w:val="18"/>
                <w:szCs w:val="16"/>
                <w:lang w:val="fr-FR" w:eastAsia="zh-CN"/>
              </w:rPr>
              <w:drawing>
                <wp:inline distT="0" distB="0" distL="0" distR="0" wp14:anchorId="2FEA8CB8" wp14:editId="54254503">
                  <wp:extent cx="370800" cy="406800"/>
                  <wp:effectExtent l="0" t="0" r="0" b="0"/>
                  <wp:docPr id="65" name="Picture 65"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Cormierr\AppData\Local\Microsoft\Windows\INetCache\Content.Word\C7.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0800" cy="406800"/>
                          </a:xfrm>
                          <a:prstGeom prst="rect">
                            <a:avLst/>
                          </a:prstGeom>
                          <a:noFill/>
                          <a:ln>
                            <a:noFill/>
                          </a:ln>
                        </pic:spPr>
                      </pic:pic>
                    </a:graphicData>
                  </a:graphic>
                </wp:inline>
              </w:drawing>
            </w:r>
          </w:p>
        </w:tc>
      </w:tr>
      <w:tr w:rsidR="00163B5F" w:rsidRPr="00A37A84" w14:paraId="5A5FAF94" w14:textId="77777777" w:rsidTr="004C04DD">
        <w:tc>
          <w:tcPr>
            <w:tcW w:w="3828" w:type="dxa"/>
          </w:tcPr>
          <w:p w14:paraId="25FC9901" w14:textId="77777777" w:rsidR="00163B5F" w:rsidRPr="00A37A84" w:rsidRDefault="00163B5F" w:rsidP="00672B67">
            <w:pPr>
              <w:pStyle w:val="Tabletext"/>
              <w:rPr>
                <w:sz w:val="16"/>
                <w:szCs w:val="14"/>
                <w:lang w:val="fr-FR"/>
              </w:rPr>
            </w:pPr>
            <w:r w:rsidRPr="00A37A84">
              <w:rPr>
                <w:sz w:val="16"/>
                <w:szCs w:val="14"/>
                <w:lang w:val="fr-FR"/>
              </w:rPr>
              <w:t>Q2/1: Stratégies, politiques, réglementations et méthodes relatives au passage à la radiodiffusion numérique et son adoption, et mise en œuvre de nouveaux services</w:t>
            </w:r>
          </w:p>
        </w:tc>
        <w:tc>
          <w:tcPr>
            <w:tcW w:w="3402" w:type="dxa"/>
            <w:tcBorders>
              <w:right w:val="single" w:sz="4" w:space="0" w:color="auto"/>
            </w:tcBorders>
          </w:tcPr>
          <w:p w14:paraId="66867BE0"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34D55996" wp14:editId="77DA8CA1">
                  <wp:extent cx="374400" cy="403200"/>
                  <wp:effectExtent l="0" t="0" r="698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16520516" wp14:editId="6399D590">
                  <wp:extent cx="374400" cy="403200"/>
                  <wp:effectExtent l="0" t="0" r="698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tab/>
            </w:r>
            <w:r w:rsidRPr="00A37A84">
              <w:rPr>
                <w:noProof/>
                <w:lang w:val="fr-FR" w:eastAsia="zh-CN"/>
              </w:rPr>
              <w:tab/>
            </w:r>
            <w:r w:rsidRPr="00A37A84">
              <w:rPr>
                <w:noProof/>
                <w:lang w:val="fr-FR" w:eastAsia="zh-CN"/>
              </w:rPr>
              <w:tab/>
            </w:r>
            <w:r w:rsidRPr="00A37A84">
              <w:rPr>
                <w:noProof/>
                <w:lang w:val="fr-FR" w:eastAsia="zh-CN"/>
              </w:rPr>
              <w:tab/>
            </w:r>
            <w:r w:rsidRPr="00A37A84">
              <w:rPr>
                <w:noProof/>
                <w:lang w:val="fr-FR" w:eastAsia="zh-CN"/>
              </w:rPr>
              <w:tab/>
            </w:r>
            <w:r w:rsidRPr="00A37A84">
              <w:rPr>
                <w:noProof/>
                <w:sz w:val="18"/>
                <w:szCs w:val="16"/>
                <w:lang w:val="fr-FR" w:eastAsia="zh-CN"/>
              </w:rPr>
              <w:drawing>
                <wp:inline distT="0" distB="0" distL="0" distR="0" wp14:anchorId="1FA2D479" wp14:editId="44BDF3A8">
                  <wp:extent cx="374400" cy="403200"/>
                  <wp:effectExtent l="0" t="0" r="6985" b="0"/>
                  <wp:docPr id="60" name="Picture 60"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rmierr\AppData\Local\Microsoft\Windows\INetCache\Content.Word\C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504B2946" w14:textId="77777777" w:rsidR="00163B5F" w:rsidRPr="00A37A84" w:rsidRDefault="00163B5F" w:rsidP="00672B67">
            <w:pPr>
              <w:jc w:val="center"/>
              <w:rPr>
                <w:szCs w:val="24"/>
                <w:lang w:val="fr-FR"/>
              </w:rPr>
            </w:pPr>
          </w:p>
        </w:tc>
        <w:tc>
          <w:tcPr>
            <w:tcW w:w="3827" w:type="dxa"/>
            <w:tcBorders>
              <w:left w:val="single" w:sz="4" w:space="0" w:color="auto"/>
            </w:tcBorders>
          </w:tcPr>
          <w:p w14:paraId="6E7B47A8" w14:textId="77777777" w:rsidR="00163B5F" w:rsidRPr="00A37A84" w:rsidRDefault="00163B5F" w:rsidP="00672B67">
            <w:pPr>
              <w:pStyle w:val="Tabletext"/>
              <w:rPr>
                <w:sz w:val="16"/>
                <w:szCs w:val="14"/>
                <w:lang w:val="fr-FR"/>
              </w:rPr>
            </w:pPr>
            <w:r w:rsidRPr="00A37A84">
              <w:rPr>
                <w:sz w:val="16"/>
                <w:szCs w:val="14"/>
                <w:lang w:val="fr-FR"/>
              </w:rPr>
              <w:t>Q2/2: Les télécommunications/TIC au service de la cybersanté</w:t>
            </w:r>
          </w:p>
        </w:tc>
        <w:tc>
          <w:tcPr>
            <w:tcW w:w="3402" w:type="dxa"/>
            <w:tcMar>
              <w:right w:w="0" w:type="dxa"/>
            </w:tcMar>
          </w:tcPr>
          <w:p w14:paraId="0A78E116"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46395BBB" wp14:editId="2180FDC3">
                  <wp:extent cx="374400" cy="4032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6C93D9BC" wp14:editId="7F14EE77">
                  <wp:extent cx="374400" cy="4032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74400" cy="403200"/>
                          </a:xfrm>
                          <a:prstGeom prst="rect">
                            <a:avLst/>
                          </a:prstGeom>
                        </pic:spPr>
                      </pic:pic>
                    </a:graphicData>
                  </a:graphic>
                </wp:inline>
              </w:drawing>
            </w:r>
            <w:r w:rsidRPr="00A37A84">
              <w:rPr>
                <w:noProof/>
                <w:lang w:val="fr-FR" w:eastAsia="zh-CN"/>
              </w:rPr>
              <w:t xml:space="preserve"> </w:t>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drawing>
                <wp:inline distT="0" distB="0" distL="0" distR="0" wp14:anchorId="610D3E18" wp14:editId="54140A17">
                  <wp:extent cx="374400" cy="403200"/>
                  <wp:effectExtent l="0" t="0" r="6985" b="0"/>
                  <wp:docPr id="69" name="Picture 69"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1FD3F95C" wp14:editId="22121292">
                  <wp:extent cx="374400" cy="403200"/>
                  <wp:effectExtent l="0" t="0" r="6985" b="0"/>
                  <wp:docPr id="66" name="Picture 66"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Cormierr\AppData\Local\Microsoft\Windows\INetCache\Content.Word\C7.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163B5F" w:rsidRPr="00A37A84" w14:paraId="546B7C7A" w14:textId="77777777" w:rsidTr="004C04DD">
        <w:tc>
          <w:tcPr>
            <w:tcW w:w="3828" w:type="dxa"/>
          </w:tcPr>
          <w:p w14:paraId="23DFAF83" w14:textId="056D1A26" w:rsidR="00163B5F" w:rsidRPr="00A37A84" w:rsidRDefault="00163B5F" w:rsidP="00672B67">
            <w:pPr>
              <w:pStyle w:val="Tabletext"/>
              <w:rPr>
                <w:sz w:val="16"/>
                <w:szCs w:val="14"/>
                <w:lang w:val="fr-FR"/>
              </w:rPr>
            </w:pPr>
            <w:r w:rsidRPr="00A37A84">
              <w:rPr>
                <w:sz w:val="16"/>
                <w:szCs w:val="14"/>
                <w:lang w:val="fr-FR"/>
              </w:rPr>
              <w:t>Q3/1: Technologies émergentes, y compris l'informatique en nuage, les services sur mobile et les services OTT: enjeux et perspectives, incidences sur le plan de l'économie et de la politique générale pour les pays en développement</w:t>
            </w:r>
          </w:p>
        </w:tc>
        <w:tc>
          <w:tcPr>
            <w:tcW w:w="3402" w:type="dxa"/>
            <w:tcBorders>
              <w:right w:val="single" w:sz="4" w:space="0" w:color="auto"/>
            </w:tcBorders>
          </w:tcPr>
          <w:p w14:paraId="575CF9E6" w14:textId="77777777" w:rsidR="00163B5F" w:rsidRPr="00A37A84" w:rsidRDefault="00163B5F" w:rsidP="00672B67">
            <w:pPr>
              <w:pStyle w:val="Tabletext"/>
              <w:rPr>
                <w:noProof/>
                <w:lang w:val="fr-FR" w:eastAsia="zh-CN"/>
              </w:rPr>
            </w:pPr>
            <w:r w:rsidRPr="00A37A84">
              <w:rPr>
                <w:noProof/>
                <w:lang w:val="fr-FR" w:eastAsia="zh-CN"/>
              </w:rPr>
              <w:drawing>
                <wp:inline distT="0" distB="0" distL="0" distR="0" wp14:anchorId="2A5F1DD8" wp14:editId="1E08A0CB">
                  <wp:extent cx="374400" cy="4032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4C0D3D80" wp14:editId="32FD225B">
                  <wp:extent cx="374400" cy="403200"/>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341BC225" wp14:editId="27F3CB0D">
                  <wp:extent cx="374400" cy="40320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4EC181BF" wp14:editId="709B55EC">
                  <wp:extent cx="373380" cy="424282"/>
                  <wp:effectExtent l="0" t="0" r="7620" b="0"/>
                  <wp:docPr id="9" name="Picture 9"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0544" cy="432423"/>
                          </a:xfrm>
                          <a:prstGeom prst="rect">
                            <a:avLst/>
                          </a:prstGeom>
                          <a:noFill/>
                          <a:ln>
                            <a:noFill/>
                          </a:ln>
                        </pic:spPr>
                      </pic:pic>
                    </a:graphicData>
                  </a:graphic>
                </wp:inline>
              </w:drawing>
            </w:r>
          </w:p>
          <w:p w14:paraId="24EBC712" w14:textId="77777777" w:rsidR="00163B5F" w:rsidRPr="00A37A84" w:rsidRDefault="00163B5F" w:rsidP="00672B67">
            <w:pPr>
              <w:pStyle w:val="Tabletext"/>
              <w:jc w:val="right"/>
              <w:rPr>
                <w:sz w:val="18"/>
                <w:szCs w:val="16"/>
                <w:lang w:val="fr-FR"/>
              </w:rPr>
            </w:pP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drawing>
                <wp:inline distT="0" distB="0" distL="0" distR="0" wp14:anchorId="123C4143" wp14:editId="2CA06B00">
                  <wp:extent cx="374400" cy="403200"/>
                  <wp:effectExtent l="0" t="0" r="6985" b="0"/>
                  <wp:docPr id="62" name="Picture 62"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2135B9AA" wp14:editId="2520805B">
                  <wp:extent cx="374400" cy="403200"/>
                  <wp:effectExtent l="0" t="0" r="6985" b="0"/>
                  <wp:docPr id="63" name="Picture 63"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6AE8F57A" wp14:editId="061E4209">
                  <wp:extent cx="374400" cy="403200"/>
                  <wp:effectExtent l="0" t="0" r="6985" b="0"/>
                  <wp:docPr id="8" name="Picture 8"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0440C134" w14:textId="77777777" w:rsidR="00163B5F" w:rsidRPr="00A37A84" w:rsidRDefault="00163B5F" w:rsidP="00672B67">
            <w:pPr>
              <w:jc w:val="center"/>
              <w:rPr>
                <w:szCs w:val="24"/>
                <w:lang w:val="fr-FR"/>
              </w:rPr>
            </w:pPr>
          </w:p>
        </w:tc>
        <w:tc>
          <w:tcPr>
            <w:tcW w:w="3827" w:type="dxa"/>
            <w:tcBorders>
              <w:left w:val="single" w:sz="4" w:space="0" w:color="auto"/>
            </w:tcBorders>
          </w:tcPr>
          <w:p w14:paraId="43409C31" w14:textId="6220E57F" w:rsidR="00163B5F" w:rsidRPr="00A37A84" w:rsidRDefault="00163B5F" w:rsidP="00672B67">
            <w:pPr>
              <w:pStyle w:val="Tabletext"/>
              <w:rPr>
                <w:sz w:val="16"/>
                <w:szCs w:val="14"/>
                <w:lang w:val="fr-FR"/>
              </w:rPr>
            </w:pPr>
            <w:r w:rsidRPr="00A37A84">
              <w:rPr>
                <w:sz w:val="16"/>
                <w:szCs w:val="14"/>
                <w:lang w:val="fr-FR"/>
              </w:rPr>
              <w:t>Q3/2: Sécurisation des réseaux d'information et de communication: bonnes pratiques pour créer une culture de la cybersécurité</w:t>
            </w:r>
          </w:p>
        </w:tc>
        <w:tc>
          <w:tcPr>
            <w:tcW w:w="3402" w:type="dxa"/>
            <w:tcMar>
              <w:right w:w="0" w:type="dxa"/>
            </w:tcMar>
          </w:tcPr>
          <w:p w14:paraId="20B4D566"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51D7F85C" wp14:editId="655FB7E3">
                  <wp:extent cx="374400" cy="40320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241E70D5" wp14:editId="3EDB6E66">
                  <wp:extent cx="374400" cy="40320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032722CA" wp14:editId="0F6E49CC">
                  <wp:extent cx="374400" cy="403200"/>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sz w:val="18"/>
                <w:szCs w:val="16"/>
                <w:lang w:val="fr-FR"/>
              </w:rPr>
              <w:tab/>
            </w:r>
            <w:r w:rsidRPr="00A37A84">
              <w:rPr>
                <w:sz w:val="18"/>
                <w:szCs w:val="16"/>
                <w:lang w:val="fr-FR"/>
              </w:rPr>
              <w:tab/>
            </w:r>
            <w:r w:rsidRPr="00A37A84">
              <w:rPr>
                <w:sz w:val="18"/>
                <w:szCs w:val="16"/>
                <w:lang w:val="fr-FR"/>
              </w:rPr>
              <w:tab/>
            </w:r>
            <w:r w:rsidRPr="00A37A84">
              <w:rPr>
                <w:noProof/>
                <w:lang w:val="fr-FR" w:eastAsia="zh-CN"/>
              </w:rPr>
              <w:drawing>
                <wp:inline distT="0" distB="0" distL="0" distR="0" wp14:anchorId="1511C33F" wp14:editId="657C11D7">
                  <wp:extent cx="373834" cy="40259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81524" cy="410872"/>
                          </a:xfrm>
                          <a:prstGeom prst="rect">
                            <a:avLst/>
                          </a:prstGeom>
                        </pic:spPr>
                      </pic:pic>
                    </a:graphicData>
                  </a:graphic>
                </wp:inline>
              </w:drawing>
            </w:r>
          </w:p>
        </w:tc>
      </w:tr>
      <w:tr w:rsidR="00163B5F" w:rsidRPr="00A37A84" w14:paraId="2E6FAA52" w14:textId="77777777" w:rsidTr="004C04DD">
        <w:tc>
          <w:tcPr>
            <w:tcW w:w="3828" w:type="dxa"/>
          </w:tcPr>
          <w:p w14:paraId="3A9326AB" w14:textId="77777777" w:rsidR="00163B5F" w:rsidRPr="00A37A84" w:rsidRDefault="00163B5F" w:rsidP="00672B67">
            <w:pPr>
              <w:pStyle w:val="Tabletext"/>
              <w:rPr>
                <w:sz w:val="16"/>
                <w:szCs w:val="14"/>
                <w:lang w:val="fr-FR"/>
              </w:rPr>
            </w:pPr>
            <w:r w:rsidRPr="00A37A84">
              <w:rPr>
                <w:sz w:val="16"/>
                <w:szCs w:val="14"/>
                <w:lang w:val="fr-FR"/>
              </w:rPr>
              <w:t>Q4/1: Politiques économiques et méthodes de détermination des coûts des services relatifs aux réseaux nationaux de télécommunications/TIC</w:t>
            </w:r>
          </w:p>
        </w:tc>
        <w:tc>
          <w:tcPr>
            <w:tcW w:w="3402" w:type="dxa"/>
            <w:tcBorders>
              <w:right w:val="single" w:sz="4" w:space="0" w:color="auto"/>
            </w:tcBorders>
          </w:tcPr>
          <w:p w14:paraId="3A3F3980"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63C549A8" wp14:editId="22A7A918">
                  <wp:extent cx="374400" cy="403200"/>
                  <wp:effectExtent l="0" t="0" r="698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150EC940" wp14:editId="734B5352">
                  <wp:extent cx="374400" cy="40320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2BC85E09" wp14:editId="40CC52D1">
                  <wp:extent cx="374400" cy="40320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sz w:val="18"/>
                <w:szCs w:val="16"/>
                <w:lang w:val="fr-FR"/>
              </w:rPr>
              <w:tab/>
            </w:r>
            <w:r w:rsidRPr="00A37A84">
              <w:rPr>
                <w:sz w:val="18"/>
                <w:szCs w:val="16"/>
                <w:lang w:val="fr-FR"/>
              </w:rPr>
              <w:tab/>
            </w:r>
            <w:r w:rsidRPr="00A37A84">
              <w:rPr>
                <w:sz w:val="18"/>
                <w:szCs w:val="16"/>
                <w:lang w:val="fr-FR"/>
              </w:rPr>
              <w:tab/>
            </w:r>
            <w:r w:rsidRPr="00A37A84">
              <w:rPr>
                <w:noProof/>
                <w:sz w:val="18"/>
                <w:szCs w:val="16"/>
                <w:lang w:val="fr-FR" w:eastAsia="zh-CN"/>
              </w:rPr>
              <w:drawing>
                <wp:inline distT="0" distB="0" distL="0" distR="0" wp14:anchorId="7991E3B4" wp14:editId="6CD9710A">
                  <wp:extent cx="374400" cy="403200"/>
                  <wp:effectExtent l="0" t="0" r="6985" b="0"/>
                  <wp:docPr id="73" name="Picture 73"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268DB300" w14:textId="77777777" w:rsidR="00163B5F" w:rsidRPr="00A37A84" w:rsidRDefault="00163B5F" w:rsidP="00672B67">
            <w:pPr>
              <w:jc w:val="center"/>
              <w:rPr>
                <w:szCs w:val="24"/>
                <w:lang w:val="fr-FR"/>
              </w:rPr>
            </w:pPr>
          </w:p>
        </w:tc>
        <w:tc>
          <w:tcPr>
            <w:tcW w:w="3827" w:type="dxa"/>
            <w:tcBorders>
              <w:left w:val="single" w:sz="4" w:space="0" w:color="auto"/>
            </w:tcBorders>
          </w:tcPr>
          <w:p w14:paraId="2518D620" w14:textId="23032820" w:rsidR="00163B5F" w:rsidRPr="00A37A84" w:rsidRDefault="00163B5F" w:rsidP="00672B67">
            <w:pPr>
              <w:pStyle w:val="Tabletext"/>
              <w:rPr>
                <w:sz w:val="16"/>
                <w:szCs w:val="14"/>
                <w:lang w:val="fr-FR"/>
              </w:rPr>
            </w:pPr>
            <w:r w:rsidRPr="00A37A84">
              <w:rPr>
                <w:sz w:val="16"/>
                <w:szCs w:val="14"/>
                <w:lang w:val="fr-FR"/>
              </w:rPr>
              <w:t>Q4/2: Assistance aux pays en développement concernant la mise en œuvre des programmes de conformité et d'interopérabilité et lutte contre la contrefaçon d'équipements TIC et le vol de dispositifs mobiles</w:t>
            </w:r>
          </w:p>
        </w:tc>
        <w:tc>
          <w:tcPr>
            <w:tcW w:w="3402" w:type="dxa"/>
            <w:tcMar>
              <w:right w:w="0" w:type="dxa"/>
            </w:tcMar>
          </w:tcPr>
          <w:p w14:paraId="44DB5C45"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6CD28830" wp14:editId="63BF8781">
                  <wp:extent cx="374400" cy="403200"/>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45BE599F" wp14:editId="328108F9">
                  <wp:extent cx="374400" cy="403200"/>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1B41F4A1" wp14:editId="4C52727E">
                  <wp:extent cx="374400" cy="403200"/>
                  <wp:effectExtent l="0" t="0" r="698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sz w:val="18"/>
                <w:szCs w:val="16"/>
                <w:lang w:val="fr-FR"/>
              </w:rPr>
              <w:tab/>
            </w:r>
            <w:r w:rsidRPr="00A37A84">
              <w:rPr>
                <w:sz w:val="18"/>
                <w:szCs w:val="16"/>
                <w:lang w:val="fr-FR"/>
              </w:rPr>
              <w:tab/>
            </w:r>
            <w:r w:rsidRPr="00A37A84">
              <w:rPr>
                <w:sz w:val="18"/>
                <w:szCs w:val="16"/>
                <w:lang w:val="fr-FR"/>
              </w:rPr>
              <w:tab/>
            </w:r>
            <w:r w:rsidRPr="00A37A84">
              <w:rPr>
                <w:noProof/>
                <w:sz w:val="18"/>
                <w:szCs w:val="16"/>
                <w:lang w:val="fr-FR" w:eastAsia="zh-CN"/>
              </w:rPr>
              <w:drawing>
                <wp:inline distT="0" distB="0" distL="0" distR="0" wp14:anchorId="11FF39D9" wp14:editId="075AE6CB">
                  <wp:extent cx="374400" cy="403200"/>
                  <wp:effectExtent l="0" t="0" r="6985" b="0"/>
                  <wp:docPr id="70" name="Picture 70"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163B5F" w:rsidRPr="00A37A84" w14:paraId="5845F64A" w14:textId="77777777" w:rsidTr="004C04DD">
        <w:tc>
          <w:tcPr>
            <w:tcW w:w="3828" w:type="dxa"/>
          </w:tcPr>
          <w:p w14:paraId="0CE5CACF" w14:textId="77777777" w:rsidR="00163B5F" w:rsidRPr="00A37A84" w:rsidRDefault="00163B5F" w:rsidP="00672B67">
            <w:pPr>
              <w:pStyle w:val="Tabletext"/>
              <w:rPr>
                <w:sz w:val="16"/>
                <w:szCs w:val="14"/>
                <w:lang w:val="fr-FR"/>
              </w:rPr>
            </w:pPr>
            <w:r w:rsidRPr="00A37A84">
              <w:rPr>
                <w:sz w:val="16"/>
                <w:szCs w:val="14"/>
                <w:lang w:val="fr-FR"/>
              </w:rPr>
              <w:t>Q5/1: Télécommunications/TIC pour les zones rurales et isolées</w:t>
            </w:r>
          </w:p>
        </w:tc>
        <w:tc>
          <w:tcPr>
            <w:tcW w:w="3402" w:type="dxa"/>
            <w:tcBorders>
              <w:right w:val="single" w:sz="4" w:space="0" w:color="auto"/>
            </w:tcBorders>
          </w:tcPr>
          <w:p w14:paraId="66A21175"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4554AC9F" wp14:editId="5C6F3669">
                  <wp:extent cx="374400" cy="403200"/>
                  <wp:effectExtent l="0" t="0" r="698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31875481" wp14:editId="2FC1A418">
                  <wp:extent cx="374400" cy="403200"/>
                  <wp:effectExtent l="0" t="0" r="698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32C0EE48" wp14:editId="2E821786">
                  <wp:extent cx="374400" cy="403200"/>
                  <wp:effectExtent l="0" t="0" r="698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noProof/>
                <w:sz w:val="18"/>
                <w:szCs w:val="16"/>
                <w:lang w:val="fr-FR" w:eastAsia="zh-CN"/>
              </w:rPr>
              <w:tab/>
            </w:r>
            <w:r w:rsidRPr="00A37A84">
              <w:rPr>
                <w:noProof/>
                <w:sz w:val="18"/>
                <w:szCs w:val="16"/>
                <w:lang w:val="fr-FR" w:eastAsia="zh-CN"/>
              </w:rPr>
              <w:drawing>
                <wp:inline distT="0" distB="0" distL="0" distR="0" wp14:anchorId="4FCD4193" wp14:editId="105992B3">
                  <wp:extent cx="374400" cy="403200"/>
                  <wp:effectExtent l="0" t="0" r="6985" b="0"/>
                  <wp:docPr id="77" name="Picture 77"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575D9EE3" wp14:editId="3DA55DB4">
                  <wp:extent cx="374400" cy="403200"/>
                  <wp:effectExtent l="0" t="0" r="6985" b="0"/>
                  <wp:docPr id="78" name="Picture 78"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7284A06C" w14:textId="77777777" w:rsidR="00163B5F" w:rsidRPr="00A37A84" w:rsidRDefault="00163B5F" w:rsidP="00672B67">
            <w:pPr>
              <w:jc w:val="center"/>
              <w:rPr>
                <w:szCs w:val="24"/>
                <w:lang w:val="fr-FR"/>
              </w:rPr>
            </w:pPr>
          </w:p>
        </w:tc>
        <w:tc>
          <w:tcPr>
            <w:tcW w:w="3827" w:type="dxa"/>
            <w:tcBorders>
              <w:left w:val="single" w:sz="4" w:space="0" w:color="auto"/>
            </w:tcBorders>
          </w:tcPr>
          <w:p w14:paraId="650B5727" w14:textId="77777777" w:rsidR="00163B5F" w:rsidRPr="00A37A84" w:rsidRDefault="00163B5F" w:rsidP="00672B67">
            <w:pPr>
              <w:pStyle w:val="Tabletext"/>
              <w:rPr>
                <w:sz w:val="16"/>
                <w:szCs w:val="14"/>
                <w:lang w:val="fr-FR"/>
              </w:rPr>
            </w:pPr>
            <w:r w:rsidRPr="00A37A84">
              <w:rPr>
                <w:sz w:val="16"/>
                <w:szCs w:val="14"/>
                <w:lang w:val="fr-FR"/>
              </w:rPr>
              <w:t>Q5/2: Utilisation des télécommunications/TIC aux fins de la réduction des risques de catastrophe et de la gestion des catastrophes</w:t>
            </w:r>
          </w:p>
        </w:tc>
        <w:tc>
          <w:tcPr>
            <w:tcW w:w="3402" w:type="dxa"/>
            <w:tcMar>
              <w:right w:w="0" w:type="dxa"/>
            </w:tcMar>
          </w:tcPr>
          <w:p w14:paraId="7F1B602F"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0C08AA2B" wp14:editId="4374FD0D">
                  <wp:extent cx="374400" cy="40320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7A1CB5DC" wp14:editId="3A79A678">
                  <wp:extent cx="374400" cy="403200"/>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4400" cy="403200"/>
                          </a:xfrm>
                          <a:prstGeom prst="rect">
                            <a:avLst/>
                          </a:prstGeom>
                        </pic:spPr>
                      </pic:pic>
                    </a:graphicData>
                  </a:graphic>
                </wp:inline>
              </w:drawing>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drawing>
                <wp:inline distT="0" distB="0" distL="0" distR="0" wp14:anchorId="67F412A6" wp14:editId="197C47F8">
                  <wp:extent cx="374400" cy="403200"/>
                  <wp:effectExtent l="0" t="0" r="6985" b="0"/>
                  <wp:docPr id="71" name="Picture 71"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4FE1AA84" wp14:editId="1F57775A">
                  <wp:extent cx="374400" cy="403200"/>
                  <wp:effectExtent l="0" t="0" r="6985" b="0"/>
                  <wp:docPr id="68" name="Picture 68"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Cormierr\AppData\Local\Microsoft\Windows\INetCache\Content.Word\C7.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163B5F" w:rsidRPr="00A37A84" w14:paraId="2ADD06FF" w14:textId="77777777" w:rsidTr="004C04DD">
        <w:tc>
          <w:tcPr>
            <w:tcW w:w="3828" w:type="dxa"/>
          </w:tcPr>
          <w:p w14:paraId="0F06619B" w14:textId="77777777" w:rsidR="00163B5F" w:rsidRPr="00A37A84" w:rsidRDefault="00163B5F" w:rsidP="00672B67">
            <w:pPr>
              <w:pStyle w:val="Tabletext"/>
              <w:rPr>
                <w:sz w:val="16"/>
                <w:szCs w:val="14"/>
                <w:lang w:val="fr-FR"/>
              </w:rPr>
            </w:pPr>
            <w:r w:rsidRPr="00A37A84">
              <w:rPr>
                <w:sz w:val="16"/>
                <w:szCs w:val="14"/>
                <w:lang w:val="fr-FR"/>
              </w:rPr>
              <w:t>Q6/1: Information, protection et droits du consommateur: lois, réglementation, fondements économiques, réseaux de consommateurs</w:t>
            </w:r>
          </w:p>
        </w:tc>
        <w:tc>
          <w:tcPr>
            <w:tcW w:w="3402" w:type="dxa"/>
            <w:tcBorders>
              <w:right w:val="single" w:sz="4" w:space="0" w:color="auto"/>
            </w:tcBorders>
          </w:tcPr>
          <w:p w14:paraId="02DB404B" w14:textId="77777777" w:rsidR="00163B5F" w:rsidRPr="00A37A84" w:rsidRDefault="00163B5F" w:rsidP="00672B67">
            <w:pPr>
              <w:pStyle w:val="Tabletext"/>
              <w:tabs>
                <w:tab w:val="clear" w:pos="567"/>
                <w:tab w:val="clear" w:pos="851"/>
                <w:tab w:val="clear" w:pos="1134"/>
                <w:tab w:val="clear" w:pos="1418"/>
                <w:tab w:val="clear" w:pos="1701"/>
                <w:tab w:val="clear" w:pos="1985"/>
                <w:tab w:val="clear" w:pos="2268"/>
                <w:tab w:val="left" w:pos="1995"/>
              </w:tabs>
              <w:rPr>
                <w:sz w:val="18"/>
                <w:szCs w:val="16"/>
                <w:lang w:val="fr-FR"/>
              </w:rPr>
            </w:pPr>
            <w:r w:rsidRPr="00A37A84">
              <w:rPr>
                <w:noProof/>
                <w:lang w:val="fr-FR" w:eastAsia="zh-CN"/>
              </w:rPr>
              <w:drawing>
                <wp:inline distT="0" distB="0" distL="0" distR="0" wp14:anchorId="798A72A9" wp14:editId="4F5DBBB9">
                  <wp:extent cx="374400" cy="403200"/>
                  <wp:effectExtent l="0" t="0" r="698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59F78BA3" wp14:editId="08B4C77B">
                  <wp:extent cx="374400" cy="403200"/>
                  <wp:effectExtent l="0" t="0" r="698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1A55764E" wp14:editId="5BA83FCA">
                  <wp:extent cx="374400" cy="403200"/>
                  <wp:effectExtent l="0" t="0" r="6985" b="0"/>
                  <wp:docPr id="81" name="Picture 81"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sz w:val="18"/>
                <w:szCs w:val="16"/>
                <w:lang w:val="fr-FR"/>
              </w:rPr>
              <w:tab/>
            </w:r>
            <w:r w:rsidRPr="00A37A84">
              <w:rPr>
                <w:noProof/>
                <w:sz w:val="18"/>
                <w:szCs w:val="16"/>
                <w:lang w:val="fr-FR"/>
              </w:rPr>
              <w:drawing>
                <wp:inline distT="0" distB="0" distL="0" distR="0" wp14:anchorId="60A3FDB9" wp14:editId="0E499E24">
                  <wp:extent cx="375920" cy="370205"/>
                  <wp:effectExtent l="0" t="0" r="5080" b="0"/>
                  <wp:docPr id="17" name="Picture 17" descr="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5920" cy="370205"/>
                          </a:xfrm>
                          <a:prstGeom prst="rect">
                            <a:avLst/>
                          </a:prstGeom>
                          <a:noFill/>
                          <a:ln>
                            <a:noFill/>
                          </a:ln>
                        </pic:spPr>
                      </pic:pic>
                    </a:graphicData>
                  </a:graphic>
                </wp:inline>
              </w:drawing>
            </w:r>
            <w:r w:rsidRPr="00A37A84">
              <w:rPr>
                <w:noProof/>
                <w:sz w:val="18"/>
                <w:szCs w:val="16"/>
                <w:lang w:val="fr-FR" w:eastAsia="zh-CN"/>
              </w:rPr>
              <w:drawing>
                <wp:inline distT="0" distB="0" distL="0" distR="0" wp14:anchorId="39448F30" wp14:editId="1636028D">
                  <wp:extent cx="367200" cy="396000"/>
                  <wp:effectExtent l="0" t="0" r="0" b="4445"/>
                  <wp:docPr id="82" name="Picture 82"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7200" cy="3960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303E2D93" w14:textId="77777777" w:rsidR="00163B5F" w:rsidRPr="00A37A84" w:rsidRDefault="00163B5F" w:rsidP="00672B67">
            <w:pPr>
              <w:jc w:val="center"/>
              <w:rPr>
                <w:szCs w:val="24"/>
                <w:lang w:val="fr-FR"/>
              </w:rPr>
            </w:pPr>
          </w:p>
        </w:tc>
        <w:tc>
          <w:tcPr>
            <w:tcW w:w="3827" w:type="dxa"/>
            <w:tcBorders>
              <w:left w:val="single" w:sz="4" w:space="0" w:color="auto"/>
            </w:tcBorders>
          </w:tcPr>
          <w:p w14:paraId="5C674050" w14:textId="37759202" w:rsidR="00163B5F" w:rsidRPr="00A37A84" w:rsidRDefault="00163B5F" w:rsidP="00672B67">
            <w:pPr>
              <w:pStyle w:val="Tabletext"/>
              <w:rPr>
                <w:sz w:val="16"/>
                <w:szCs w:val="14"/>
                <w:lang w:val="fr-FR"/>
              </w:rPr>
            </w:pPr>
            <w:r w:rsidRPr="00A37A84">
              <w:rPr>
                <w:sz w:val="16"/>
                <w:szCs w:val="14"/>
                <w:lang w:val="fr-FR"/>
              </w:rPr>
              <w:t>Q6/2: Les TIC et l'environnement</w:t>
            </w:r>
          </w:p>
        </w:tc>
        <w:tc>
          <w:tcPr>
            <w:tcW w:w="3402" w:type="dxa"/>
            <w:tcMar>
              <w:right w:w="0" w:type="dxa"/>
            </w:tcMar>
          </w:tcPr>
          <w:p w14:paraId="001B1ABA" w14:textId="77777777" w:rsidR="00163B5F" w:rsidRPr="00A37A84" w:rsidRDefault="00163B5F" w:rsidP="00672B67">
            <w:pPr>
              <w:pStyle w:val="Tabletext"/>
              <w:tabs>
                <w:tab w:val="clear" w:pos="567"/>
                <w:tab w:val="clear" w:pos="851"/>
                <w:tab w:val="clear" w:pos="1134"/>
                <w:tab w:val="clear" w:pos="1418"/>
                <w:tab w:val="clear" w:pos="1701"/>
                <w:tab w:val="clear" w:pos="1985"/>
                <w:tab w:val="clear" w:pos="2268"/>
                <w:tab w:val="left" w:pos="2160"/>
              </w:tabs>
              <w:rPr>
                <w:sz w:val="18"/>
                <w:szCs w:val="16"/>
                <w:lang w:val="fr-FR"/>
              </w:rPr>
            </w:pPr>
            <w:r w:rsidRPr="00A37A84">
              <w:rPr>
                <w:noProof/>
                <w:lang w:val="fr-FR" w:eastAsia="zh-CN"/>
              </w:rPr>
              <w:drawing>
                <wp:inline distT="0" distB="0" distL="0" distR="0" wp14:anchorId="310C9418" wp14:editId="4A9A3163">
                  <wp:extent cx="374400" cy="403200"/>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drawing>
                <wp:inline distT="0" distB="0" distL="0" distR="0" wp14:anchorId="1865868C" wp14:editId="09E76BB3">
                  <wp:extent cx="374400" cy="403200"/>
                  <wp:effectExtent l="0" t="0" r="6985" b="0"/>
                  <wp:docPr id="67" name="Picture 67"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163B5F" w:rsidRPr="00A37A84" w14:paraId="1AC7A17C" w14:textId="77777777" w:rsidTr="004C04DD">
        <w:tc>
          <w:tcPr>
            <w:tcW w:w="3828" w:type="dxa"/>
          </w:tcPr>
          <w:p w14:paraId="7C622BAB" w14:textId="1D51EEE3" w:rsidR="00163B5F" w:rsidRPr="00A37A84" w:rsidRDefault="00163B5F" w:rsidP="00672B67">
            <w:pPr>
              <w:pStyle w:val="Tabletext"/>
              <w:rPr>
                <w:sz w:val="16"/>
                <w:szCs w:val="14"/>
                <w:lang w:val="fr-FR"/>
              </w:rPr>
            </w:pPr>
            <w:r w:rsidRPr="00A37A84">
              <w:rPr>
                <w:sz w:val="16"/>
                <w:szCs w:val="14"/>
                <w:lang w:val="fr-FR"/>
              </w:rPr>
              <w:t>Q7/1: Accès des personnes handicapées et des autres personnes ayant des besoins particuliers aux services de télécommunication</w:t>
            </w:r>
            <w:r w:rsidR="00C35CE4" w:rsidRPr="00A37A84">
              <w:rPr>
                <w:sz w:val="16"/>
                <w:szCs w:val="14"/>
                <w:lang w:val="fr-FR"/>
              </w:rPr>
              <w:t>/TIC</w:t>
            </w:r>
          </w:p>
        </w:tc>
        <w:tc>
          <w:tcPr>
            <w:tcW w:w="3402" w:type="dxa"/>
            <w:tcBorders>
              <w:right w:val="single" w:sz="4" w:space="0" w:color="auto"/>
            </w:tcBorders>
          </w:tcPr>
          <w:p w14:paraId="5D322ED6"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0E1B6668" wp14:editId="4C3455FC">
                  <wp:extent cx="374400" cy="403200"/>
                  <wp:effectExtent l="0" t="0" r="698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A37A84">
              <w:rPr>
                <w:noProof/>
                <w:sz w:val="18"/>
                <w:szCs w:val="16"/>
                <w:lang w:val="fr-FR"/>
              </w:rPr>
              <w:drawing>
                <wp:inline distT="0" distB="0" distL="0" distR="0" wp14:anchorId="0ED372DA" wp14:editId="60E9C18D">
                  <wp:extent cx="375920" cy="387350"/>
                  <wp:effectExtent l="0" t="0" r="5080" b="0"/>
                  <wp:docPr id="16" name="Picture 16" descr="O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D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5920" cy="387350"/>
                          </a:xfrm>
                          <a:prstGeom prst="rect">
                            <a:avLst/>
                          </a:prstGeom>
                          <a:noFill/>
                          <a:ln>
                            <a:noFill/>
                          </a:ln>
                        </pic:spPr>
                      </pic:pic>
                    </a:graphicData>
                  </a:graphic>
                </wp:inline>
              </w:drawing>
            </w:r>
            <w:r w:rsidRPr="00A37A84">
              <w:rPr>
                <w:sz w:val="18"/>
                <w:szCs w:val="16"/>
                <w:lang w:val="fr-FR"/>
              </w:rPr>
              <w:tab/>
            </w:r>
            <w:r w:rsidRPr="00A37A84">
              <w:rPr>
                <w:noProof/>
                <w:sz w:val="18"/>
                <w:szCs w:val="16"/>
                <w:lang w:val="fr-FR"/>
              </w:rPr>
              <w:drawing>
                <wp:inline distT="0" distB="0" distL="0" distR="0" wp14:anchorId="02B32C72" wp14:editId="2EBCCC4F">
                  <wp:extent cx="370205" cy="381635"/>
                  <wp:effectExtent l="0" t="0" r="0" b="0"/>
                  <wp:docPr id="15" name="Picture 15" descr="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0205" cy="381635"/>
                          </a:xfrm>
                          <a:prstGeom prst="rect">
                            <a:avLst/>
                          </a:prstGeom>
                          <a:noFill/>
                          <a:ln>
                            <a:noFill/>
                          </a:ln>
                        </pic:spPr>
                      </pic:pic>
                    </a:graphicData>
                  </a:graphic>
                </wp:inline>
              </w:drawing>
            </w:r>
            <w:r w:rsidRPr="00A37A84">
              <w:rPr>
                <w:noProof/>
                <w:sz w:val="18"/>
                <w:szCs w:val="16"/>
                <w:lang w:val="fr-FR"/>
              </w:rPr>
              <w:drawing>
                <wp:inline distT="0" distB="0" distL="0" distR="0" wp14:anchorId="1BF6C3B4" wp14:editId="64BE8211">
                  <wp:extent cx="370205" cy="370205"/>
                  <wp:effectExtent l="0" t="0" r="0" b="0"/>
                  <wp:docPr id="14" name="Picture 14" descr="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inline>
              </w:drawing>
            </w:r>
            <w:r w:rsidRPr="00A37A84">
              <w:rPr>
                <w:noProof/>
                <w:sz w:val="18"/>
                <w:szCs w:val="16"/>
                <w:lang w:val="fr-FR" w:eastAsia="zh-CN"/>
              </w:rPr>
              <w:drawing>
                <wp:inline distT="0" distB="0" distL="0" distR="0" wp14:anchorId="7B90B06C" wp14:editId="78CD0ECD">
                  <wp:extent cx="365760" cy="393895"/>
                  <wp:effectExtent l="0" t="0" r="0" b="6350"/>
                  <wp:docPr id="84" name="Picture 84"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9359" cy="397771"/>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693BC159" w14:textId="77777777" w:rsidR="00163B5F" w:rsidRPr="00A37A84" w:rsidRDefault="00163B5F" w:rsidP="00672B67">
            <w:pPr>
              <w:jc w:val="center"/>
              <w:rPr>
                <w:szCs w:val="24"/>
                <w:lang w:val="fr-FR"/>
              </w:rPr>
            </w:pPr>
          </w:p>
        </w:tc>
        <w:tc>
          <w:tcPr>
            <w:tcW w:w="3827" w:type="dxa"/>
            <w:tcBorders>
              <w:left w:val="single" w:sz="4" w:space="0" w:color="auto"/>
            </w:tcBorders>
          </w:tcPr>
          <w:p w14:paraId="34756BF8" w14:textId="28CF3A8A" w:rsidR="00163B5F" w:rsidRPr="00A37A84" w:rsidRDefault="00163B5F" w:rsidP="00672B67">
            <w:pPr>
              <w:pStyle w:val="Tabletext"/>
              <w:rPr>
                <w:sz w:val="16"/>
                <w:szCs w:val="14"/>
                <w:lang w:val="fr-FR"/>
              </w:rPr>
            </w:pPr>
            <w:r w:rsidRPr="00A37A84">
              <w:rPr>
                <w:sz w:val="16"/>
                <w:szCs w:val="14"/>
                <w:lang w:val="fr-FR"/>
              </w:rPr>
              <w:t>Q7/2: Stratégies et politiques concernant l'exposition des personnes aux champs électromagnétiques</w:t>
            </w:r>
          </w:p>
        </w:tc>
        <w:tc>
          <w:tcPr>
            <w:tcW w:w="3402" w:type="dxa"/>
            <w:tcMar>
              <w:right w:w="0" w:type="dxa"/>
            </w:tcMar>
          </w:tcPr>
          <w:p w14:paraId="17BBCD82"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6DBDBA24" wp14:editId="229AF808">
                  <wp:extent cx="374400" cy="403200"/>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2E2A159C" wp14:editId="1F8BDF2F">
                  <wp:extent cx="374400" cy="403200"/>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sz w:val="18"/>
                <w:szCs w:val="16"/>
                <w:lang w:val="fr-FR"/>
              </w:rPr>
              <w:t xml:space="preserve"> </w:t>
            </w:r>
            <w:r w:rsidRPr="00A37A84">
              <w:rPr>
                <w:noProof/>
                <w:lang w:val="fr-FR" w:eastAsia="zh-CN"/>
              </w:rPr>
              <w:tab/>
            </w:r>
            <w:r w:rsidRPr="00A37A84">
              <w:rPr>
                <w:noProof/>
                <w:lang w:val="fr-FR" w:eastAsia="zh-CN"/>
              </w:rPr>
              <w:tab/>
            </w:r>
            <w:r w:rsidRPr="00A37A84">
              <w:rPr>
                <w:noProof/>
                <w:lang w:val="fr-FR" w:eastAsia="zh-CN"/>
              </w:rPr>
              <w:tab/>
            </w:r>
            <w:r w:rsidRPr="00A37A84">
              <w:rPr>
                <w:noProof/>
                <w:lang w:val="fr-FR" w:eastAsia="zh-CN"/>
              </w:rPr>
              <w:tab/>
            </w:r>
            <w:r w:rsidRPr="00A37A84">
              <w:rPr>
                <w:noProof/>
                <w:lang w:val="fr-FR" w:eastAsia="zh-CN"/>
              </w:rPr>
              <w:tab/>
            </w:r>
            <w:r w:rsidRPr="00A37A84">
              <w:rPr>
                <w:noProof/>
                <w:lang w:val="fr-FR" w:eastAsia="zh-CN"/>
              </w:rPr>
              <w:drawing>
                <wp:inline distT="0" distB="0" distL="0" distR="0" wp14:anchorId="53FDDBEC" wp14:editId="4CEAE25F">
                  <wp:extent cx="374400" cy="403200"/>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74400" cy="403200"/>
                          </a:xfrm>
                          <a:prstGeom prst="rect">
                            <a:avLst/>
                          </a:prstGeom>
                        </pic:spPr>
                      </pic:pic>
                    </a:graphicData>
                  </a:graphic>
                </wp:inline>
              </w:drawing>
            </w:r>
          </w:p>
        </w:tc>
      </w:tr>
    </w:tbl>
    <w:p w14:paraId="78F1A028" w14:textId="77777777" w:rsidR="002770B1" w:rsidRPr="00A37A84" w:rsidRDefault="003C58BF" w:rsidP="00672B67">
      <w:pPr>
        <w:tabs>
          <w:tab w:val="clear" w:pos="794"/>
          <w:tab w:val="clear" w:pos="1191"/>
          <w:tab w:val="clear" w:pos="1588"/>
          <w:tab w:val="clear" w:pos="1985"/>
        </w:tabs>
        <w:spacing w:after="120"/>
        <w:jc w:val="center"/>
        <w:rPr>
          <w:lang w:val="fr-FR"/>
        </w:rPr>
      </w:pPr>
      <w:r w:rsidRPr="00A37A84">
        <w:rPr>
          <w:lang w:val="fr-FR"/>
        </w:rPr>
        <w:t>_____________</w:t>
      </w:r>
      <w:r w:rsidR="004122C5" w:rsidRPr="00A37A84">
        <w:rPr>
          <w:lang w:val="fr-FR"/>
        </w:rPr>
        <w:t>_</w:t>
      </w:r>
      <w:r w:rsidR="00922EC1" w:rsidRPr="00A37A84">
        <w:rPr>
          <w:lang w:val="fr-FR"/>
        </w:rPr>
        <w:t>_</w:t>
      </w:r>
    </w:p>
    <w:sectPr w:rsidR="002770B1" w:rsidRPr="00A37A84" w:rsidSect="00163B5F">
      <w:headerReference w:type="default" r:id="rId52"/>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71DB2" w14:textId="77777777" w:rsidR="005F4CE5" w:rsidRDefault="005F4CE5">
      <w:r>
        <w:separator/>
      </w:r>
    </w:p>
  </w:endnote>
  <w:endnote w:type="continuationSeparator" w:id="0">
    <w:p w14:paraId="748A9565" w14:textId="77777777" w:rsidR="005F4CE5" w:rsidRDefault="005F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C5EF" w14:textId="796A88BE"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566DD3">
      <w:rPr>
        <w:caps w:val="0"/>
        <w:sz w:val="18"/>
        <w:szCs w:val="18"/>
        <w:lang w:val="en-US"/>
      </w:rPr>
      <w:t>P:\FRA\ITU-D\CONF-D\TDAG20\000\003F.docx</w:t>
    </w:r>
    <w:r w:rsidRPr="003125C3">
      <w:rPr>
        <w:caps w:val="0"/>
        <w:sz w:val="18"/>
        <w:szCs w:val="18"/>
        <w:lang w:val="en-US"/>
      </w:rPr>
      <w:fldChar w:fldCharType="end"/>
    </w:r>
    <w:r w:rsidR="000925C5">
      <w:rPr>
        <w:caps w:val="0"/>
        <w:sz w:val="18"/>
        <w:szCs w:val="18"/>
        <w:lang w:val="en-US"/>
      </w:rPr>
      <w:t xml:space="preserve"> (465650)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2E3DF8" w:rsidRPr="004D495C" w14:paraId="608E1978" w14:textId="77777777" w:rsidTr="004E3CF5">
      <w:tc>
        <w:tcPr>
          <w:tcW w:w="1526" w:type="dxa"/>
          <w:tcBorders>
            <w:top w:val="single" w:sz="4" w:space="0" w:color="000000"/>
          </w:tcBorders>
          <w:shd w:val="clear" w:color="auto" w:fill="auto"/>
        </w:tcPr>
        <w:p w14:paraId="0FB59207" w14:textId="77777777" w:rsidR="002E3DF8" w:rsidRPr="004D495C" w:rsidRDefault="002E3DF8" w:rsidP="002E3DF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3AFCA3E" w14:textId="77777777" w:rsidR="002E3DF8" w:rsidRPr="004D495C" w:rsidRDefault="002E3DF8" w:rsidP="002E3DF8">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49EE931A" w14:textId="054AEC18" w:rsidR="002E3DF8" w:rsidRPr="002E3DF8" w:rsidRDefault="002E3DF8" w:rsidP="002E3DF8">
          <w:pPr>
            <w:pStyle w:val="FirstFooter"/>
            <w:tabs>
              <w:tab w:val="left" w:pos="2302"/>
            </w:tabs>
            <w:ind w:left="2302" w:hanging="2302"/>
            <w:rPr>
              <w:sz w:val="18"/>
              <w:szCs w:val="18"/>
            </w:rPr>
          </w:pPr>
          <w:bookmarkStart w:id="8" w:name="OrgName"/>
          <w:bookmarkEnd w:id="8"/>
          <w:r w:rsidRPr="006B70A2">
            <w:rPr>
              <w:sz w:val="18"/>
              <w:szCs w:val="18"/>
            </w:rPr>
            <w:t xml:space="preserve">M. Jaroslaw Ponder, Chef du Bureau de l'UIT pour la région Europe </w:t>
          </w:r>
        </w:p>
      </w:tc>
    </w:tr>
    <w:tr w:rsidR="002E3DF8" w:rsidRPr="004D495C" w14:paraId="7DF91345" w14:textId="77777777" w:rsidTr="004E3CF5">
      <w:tc>
        <w:tcPr>
          <w:tcW w:w="1526" w:type="dxa"/>
          <w:shd w:val="clear" w:color="auto" w:fill="auto"/>
        </w:tcPr>
        <w:p w14:paraId="4674064E" w14:textId="77777777" w:rsidR="002E3DF8" w:rsidRPr="002E3DF8" w:rsidRDefault="002E3DF8" w:rsidP="002E3DF8">
          <w:pPr>
            <w:pStyle w:val="FirstFooter"/>
            <w:tabs>
              <w:tab w:val="left" w:pos="1559"/>
              <w:tab w:val="left" w:pos="3828"/>
            </w:tabs>
            <w:rPr>
              <w:sz w:val="20"/>
            </w:rPr>
          </w:pPr>
        </w:p>
      </w:tc>
      <w:tc>
        <w:tcPr>
          <w:tcW w:w="2410" w:type="dxa"/>
          <w:shd w:val="clear" w:color="auto" w:fill="auto"/>
        </w:tcPr>
        <w:p w14:paraId="6C22C5E2" w14:textId="77777777" w:rsidR="002E3DF8" w:rsidRPr="004D495C" w:rsidRDefault="002E3DF8" w:rsidP="002E3DF8">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0D0E705B" w14:textId="265010BD" w:rsidR="002E3DF8" w:rsidRPr="00E5653A" w:rsidRDefault="002E3DF8" w:rsidP="002E3DF8">
          <w:pPr>
            <w:pStyle w:val="FirstFooter"/>
            <w:tabs>
              <w:tab w:val="left" w:pos="2302"/>
            </w:tabs>
            <w:rPr>
              <w:sz w:val="18"/>
              <w:szCs w:val="18"/>
              <w:lang w:val="en-US"/>
            </w:rPr>
          </w:pPr>
          <w:bookmarkStart w:id="9" w:name="PhoneNo"/>
          <w:bookmarkEnd w:id="9"/>
          <w:r w:rsidRPr="00706D71">
            <w:rPr>
              <w:sz w:val="18"/>
              <w:szCs w:val="18"/>
              <w:lang w:val="en-US"/>
            </w:rPr>
            <w:t xml:space="preserve">+41 22 730 6065 </w:t>
          </w:r>
        </w:p>
      </w:tc>
    </w:tr>
    <w:tr w:rsidR="00A454E1" w:rsidRPr="004D495C" w14:paraId="7EB2C845" w14:textId="77777777" w:rsidTr="004E3CF5">
      <w:tc>
        <w:tcPr>
          <w:tcW w:w="1526" w:type="dxa"/>
          <w:shd w:val="clear" w:color="auto" w:fill="auto"/>
        </w:tcPr>
        <w:p w14:paraId="57653174" w14:textId="77777777"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14:paraId="602724DA" w14:textId="77777777"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10" w:name="Email"/>
      <w:bookmarkEnd w:id="10"/>
      <w:tc>
        <w:tcPr>
          <w:tcW w:w="5987" w:type="dxa"/>
          <w:shd w:val="clear" w:color="auto" w:fill="auto"/>
        </w:tcPr>
        <w:p w14:paraId="58BDA6BF" w14:textId="33610DAB" w:rsidR="00A454E1" w:rsidRPr="00E5653A" w:rsidRDefault="002E3DF8" w:rsidP="00A454E1">
          <w:pPr>
            <w:pStyle w:val="FirstFooter"/>
            <w:tabs>
              <w:tab w:val="left" w:pos="2302"/>
            </w:tabs>
            <w:rPr>
              <w:sz w:val="18"/>
              <w:szCs w:val="18"/>
              <w:lang w:val="en-US"/>
            </w:rPr>
          </w:pPr>
          <w:r>
            <w:fldChar w:fldCharType="begin"/>
          </w:r>
          <w:r>
            <w:instrText xml:space="preserve"> HYPERLINK "mailto:jaroslaw.ponder@itu.int" </w:instrText>
          </w:r>
          <w:r>
            <w:fldChar w:fldCharType="separate"/>
          </w:r>
          <w:r w:rsidRPr="006B70A2">
            <w:rPr>
              <w:rStyle w:val="Hyperlink"/>
              <w:sz w:val="18"/>
              <w:szCs w:val="18"/>
              <w:lang w:val="en-US"/>
            </w:rPr>
            <w:t>jaroslaw.ponder@itu.int</w:t>
          </w:r>
          <w:r>
            <w:rPr>
              <w:rStyle w:val="Hyperlink"/>
              <w:sz w:val="18"/>
              <w:szCs w:val="18"/>
              <w:lang w:val="en-US"/>
            </w:rPr>
            <w:fldChar w:fldCharType="end"/>
          </w:r>
        </w:p>
      </w:tc>
    </w:tr>
  </w:tbl>
  <w:p w14:paraId="1B6895E2" w14:textId="26B442C8" w:rsidR="00721657" w:rsidRPr="008802F9" w:rsidRDefault="00744EC2" w:rsidP="00155F10">
    <w:pPr>
      <w:pStyle w:val="Footer"/>
      <w:spacing w:before="120"/>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23267" w14:textId="77777777" w:rsidR="005F4CE5" w:rsidRDefault="005F4CE5">
      <w:r>
        <w:t>____________________</w:t>
      </w:r>
    </w:p>
  </w:footnote>
  <w:footnote w:type="continuationSeparator" w:id="0">
    <w:p w14:paraId="0E7D45B4" w14:textId="77777777" w:rsidR="005F4CE5" w:rsidRDefault="005F4CE5">
      <w:r>
        <w:continuationSeparator/>
      </w:r>
    </w:p>
  </w:footnote>
  <w:footnote w:id="1">
    <w:p w14:paraId="16BE7AC4" w14:textId="50C35735" w:rsidR="002E3DF8" w:rsidRPr="00155F10" w:rsidRDefault="002E3DF8" w:rsidP="00155F10">
      <w:pPr>
        <w:pStyle w:val="FootnoteText"/>
        <w:tabs>
          <w:tab w:val="clear" w:pos="255"/>
          <w:tab w:val="left" w:pos="284"/>
        </w:tabs>
        <w:spacing w:before="0"/>
        <w:ind w:left="0" w:firstLine="0"/>
        <w:rPr>
          <w:sz w:val="22"/>
          <w:szCs w:val="22"/>
          <w:lang w:val="fr-FR"/>
        </w:rPr>
      </w:pPr>
      <w:r w:rsidRPr="00AD69B7">
        <w:rPr>
          <w:rStyle w:val="FootnoteReference"/>
          <w:sz w:val="20"/>
        </w:rPr>
        <w:footnoteRef/>
      </w:r>
      <w:bookmarkStart w:id="7" w:name="lt_pId197"/>
      <w:r w:rsidR="000925C5">
        <w:rPr>
          <w:rStyle w:val="Hyperlink"/>
          <w:color w:val="auto"/>
          <w:spacing w:val="-4"/>
          <w:sz w:val="20"/>
          <w:u w:val="none"/>
          <w:lang w:val="fr-FR"/>
        </w:rPr>
        <w:t xml:space="preserve"> </w:t>
      </w:r>
      <w:r w:rsidR="000925C5">
        <w:rPr>
          <w:rStyle w:val="Hyperlink"/>
          <w:color w:val="auto"/>
          <w:spacing w:val="-4"/>
          <w:sz w:val="20"/>
          <w:u w:val="none"/>
          <w:lang w:val="fr-FR"/>
        </w:rPr>
        <w:tab/>
      </w:r>
      <w:r w:rsidRPr="00155F10">
        <w:rPr>
          <w:rStyle w:val="Hyperlink"/>
          <w:color w:val="auto"/>
          <w:spacing w:val="-4"/>
          <w:sz w:val="22"/>
          <w:szCs w:val="22"/>
          <w:u w:val="none"/>
          <w:lang w:val="fr-FR"/>
        </w:rPr>
        <w:t xml:space="preserve">Voir: </w:t>
      </w:r>
      <w:hyperlink r:id="rId1" w:history="1">
        <w:r w:rsidRPr="00155F10">
          <w:rPr>
            <w:rStyle w:val="Hyperlink"/>
            <w:spacing w:val="-4"/>
            <w:sz w:val="22"/>
            <w:szCs w:val="22"/>
            <w:u w:val="none"/>
            <w:lang w:val="fr-FR"/>
          </w:rPr>
          <w:t>https://www.itu.int/en/ITU-D/Statistics/Documents/intlcoop/partnership/Thematic_ICT_indicators_for_the_SDGs.pdf</w:t>
        </w:r>
      </w:hyperlink>
      <w:bookmarkEnd w:id="7"/>
      <w:r w:rsidR="00155F10" w:rsidRPr="00155F10">
        <w:rPr>
          <w:rStyle w:val="Hyperlink"/>
          <w:color w:val="auto"/>
          <w:spacing w:val="-4"/>
          <w:sz w:val="22"/>
          <w:szCs w:val="22"/>
          <w:u w:val="none"/>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559D0" w14:textId="32F363CA" w:rsidR="00A525CC" w:rsidRPr="006D271A" w:rsidRDefault="00A525CC" w:rsidP="000925C5">
    <w:pPr>
      <w:tabs>
        <w:tab w:val="clear" w:pos="794"/>
        <w:tab w:val="clear" w:pos="1191"/>
        <w:tab w:val="clear" w:pos="1588"/>
        <w:tab w:val="clear" w:pos="1985"/>
        <w:tab w:val="center" w:pos="4820"/>
        <w:tab w:val="right" w:pos="13997"/>
      </w:tabs>
      <w:ind w:right="1"/>
      <w:rPr>
        <w:smallCaps/>
        <w:spacing w:val="24"/>
        <w:sz w:val="22"/>
        <w:szCs w:val="22"/>
        <w:lang w:val="de-CH"/>
      </w:rPr>
    </w:pPr>
    <w:r w:rsidRPr="00972BCD">
      <w:rPr>
        <w:sz w:val="22"/>
        <w:szCs w:val="22"/>
      </w:rPr>
      <w:tab/>
    </w:r>
    <w:r w:rsidRPr="00A54E72">
      <w:rPr>
        <w:sz w:val="22"/>
        <w:szCs w:val="22"/>
        <w:lang w:val="de-CH"/>
      </w:rPr>
      <w:t>TDAG</w:t>
    </w:r>
    <w:r w:rsidR="008F20EB">
      <w:rPr>
        <w:sz w:val="22"/>
        <w:szCs w:val="22"/>
        <w:lang w:val="de-CH"/>
      </w:rPr>
      <w:t>-</w:t>
    </w:r>
    <w:r w:rsidR="002577C1">
      <w:rPr>
        <w:sz w:val="22"/>
        <w:szCs w:val="22"/>
        <w:lang w:val="de-CH"/>
      </w:rPr>
      <w:t>20</w:t>
    </w:r>
    <w:r w:rsidRPr="00A54E72">
      <w:rPr>
        <w:sz w:val="22"/>
        <w:szCs w:val="22"/>
        <w:lang w:val="de-CH"/>
      </w:rPr>
      <w:t>/</w:t>
    </w:r>
    <w:r w:rsidR="001405E3">
      <w:rPr>
        <w:sz w:val="22"/>
        <w:szCs w:val="22"/>
        <w:lang w:val="de-CH"/>
      </w:rPr>
      <w:t>3</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8113B">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3C0C" w14:textId="77777777" w:rsidR="000925C5" w:rsidRPr="006D271A" w:rsidRDefault="000925C5" w:rsidP="00163B5F">
    <w:pPr>
      <w:tabs>
        <w:tab w:val="clear" w:pos="794"/>
        <w:tab w:val="clear" w:pos="1191"/>
        <w:tab w:val="clear" w:pos="1588"/>
        <w:tab w:val="clear" w:pos="1985"/>
        <w:tab w:val="center" w:pos="7088"/>
        <w:tab w:val="right" w:pos="13997"/>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17C"/>
    <w:multiLevelType w:val="hybridMultilevel"/>
    <w:tmpl w:val="5784D862"/>
    <w:lvl w:ilvl="0" w:tplc="31060400">
      <w:start w:val="1"/>
      <w:numFmt w:val="bullet"/>
      <w:lvlText w:val=""/>
      <w:lvlJc w:val="left"/>
      <w:pPr>
        <w:ind w:left="1638" w:hanging="360"/>
      </w:pPr>
      <w:rPr>
        <w:rFonts w:ascii="Symbol" w:hAnsi="Symbol" w:hint="default"/>
      </w:rPr>
    </w:lvl>
    <w:lvl w:ilvl="1" w:tplc="B3229902" w:tentative="1">
      <w:start w:val="1"/>
      <w:numFmt w:val="bullet"/>
      <w:lvlText w:val="o"/>
      <w:lvlJc w:val="left"/>
      <w:pPr>
        <w:ind w:left="2358" w:hanging="360"/>
      </w:pPr>
      <w:rPr>
        <w:rFonts w:ascii="Courier New" w:hAnsi="Courier New" w:cs="Courier New" w:hint="default"/>
      </w:rPr>
    </w:lvl>
    <w:lvl w:ilvl="2" w:tplc="7ED2B402" w:tentative="1">
      <w:start w:val="1"/>
      <w:numFmt w:val="bullet"/>
      <w:lvlText w:val=""/>
      <w:lvlJc w:val="left"/>
      <w:pPr>
        <w:ind w:left="3078" w:hanging="360"/>
      </w:pPr>
      <w:rPr>
        <w:rFonts w:ascii="Wingdings" w:hAnsi="Wingdings" w:hint="default"/>
      </w:rPr>
    </w:lvl>
    <w:lvl w:ilvl="3" w:tplc="4786483E" w:tentative="1">
      <w:start w:val="1"/>
      <w:numFmt w:val="bullet"/>
      <w:lvlText w:val=""/>
      <w:lvlJc w:val="left"/>
      <w:pPr>
        <w:ind w:left="3798" w:hanging="360"/>
      </w:pPr>
      <w:rPr>
        <w:rFonts w:ascii="Symbol" w:hAnsi="Symbol" w:hint="default"/>
      </w:rPr>
    </w:lvl>
    <w:lvl w:ilvl="4" w:tplc="CBCE3CDC" w:tentative="1">
      <w:start w:val="1"/>
      <w:numFmt w:val="bullet"/>
      <w:lvlText w:val="o"/>
      <w:lvlJc w:val="left"/>
      <w:pPr>
        <w:ind w:left="4518" w:hanging="360"/>
      </w:pPr>
      <w:rPr>
        <w:rFonts w:ascii="Courier New" w:hAnsi="Courier New" w:cs="Courier New" w:hint="default"/>
      </w:rPr>
    </w:lvl>
    <w:lvl w:ilvl="5" w:tplc="1E224286" w:tentative="1">
      <w:start w:val="1"/>
      <w:numFmt w:val="bullet"/>
      <w:lvlText w:val=""/>
      <w:lvlJc w:val="left"/>
      <w:pPr>
        <w:ind w:left="5238" w:hanging="360"/>
      </w:pPr>
      <w:rPr>
        <w:rFonts w:ascii="Wingdings" w:hAnsi="Wingdings" w:hint="default"/>
      </w:rPr>
    </w:lvl>
    <w:lvl w:ilvl="6" w:tplc="879848F0" w:tentative="1">
      <w:start w:val="1"/>
      <w:numFmt w:val="bullet"/>
      <w:lvlText w:val=""/>
      <w:lvlJc w:val="left"/>
      <w:pPr>
        <w:ind w:left="5958" w:hanging="360"/>
      </w:pPr>
      <w:rPr>
        <w:rFonts w:ascii="Symbol" w:hAnsi="Symbol" w:hint="default"/>
      </w:rPr>
    </w:lvl>
    <w:lvl w:ilvl="7" w:tplc="6E02E058" w:tentative="1">
      <w:start w:val="1"/>
      <w:numFmt w:val="bullet"/>
      <w:lvlText w:val="o"/>
      <w:lvlJc w:val="left"/>
      <w:pPr>
        <w:ind w:left="6678" w:hanging="360"/>
      </w:pPr>
      <w:rPr>
        <w:rFonts w:ascii="Courier New" w:hAnsi="Courier New" w:cs="Courier New" w:hint="default"/>
      </w:rPr>
    </w:lvl>
    <w:lvl w:ilvl="8" w:tplc="54C20370" w:tentative="1">
      <w:start w:val="1"/>
      <w:numFmt w:val="bullet"/>
      <w:lvlText w:val=""/>
      <w:lvlJc w:val="left"/>
      <w:pPr>
        <w:ind w:left="7398" w:hanging="360"/>
      </w:pPr>
      <w:rPr>
        <w:rFonts w:ascii="Wingdings" w:hAnsi="Wingdings" w:hint="default"/>
      </w:rPr>
    </w:lvl>
  </w:abstractNum>
  <w:abstractNum w:abstractNumId="1" w15:restartNumberingAfterBreak="0">
    <w:nsid w:val="03271260"/>
    <w:multiLevelType w:val="hybridMultilevel"/>
    <w:tmpl w:val="778838AE"/>
    <w:lvl w:ilvl="0" w:tplc="F87C64B0">
      <w:numFmt w:val="bullet"/>
      <w:lvlText w:val="-"/>
      <w:lvlJc w:val="left"/>
      <w:pPr>
        <w:ind w:left="1287" w:hanging="360"/>
      </w:pPr>
      <w:rPr>
        <w:rFonts w:ascii="Calibri" w:eastAsia="Times New Roman" w:hAnsi="Calibri" w:cs="Calibri" w:hint="default"/>
      </w:rPr>
    </w:lvl>
    <w:lvl w:ilvl="1" w:tplc="1B3E94EA" w:tentative="1">
      <w:start w:val="1"/>
      <w:numFmt w:val="bullet"/>
      <w:lvlText w:val="o"/>
      <w:lvlJc w:val="left"/>
      <w:pPr>
        <w:ind w:left="2007" w:hanging="360"/>
      </w:pPr>
      <w:rPr>
        <w:rFonts w:ascii="Courier New" w:hAnsi="Courier New" w:cs="Courier New" w:hint="default"/>
      </w:rPr>
    </w:lvl>
    <w:lvl w:ilvl="2" w:tplc="438A90D8" w:tentative="1">
      <w:start w:val="1"/>
      <w:numFmt w:val="bullet"/>
      <w:lvlText w:val=""/>
      <w:lvlJc w:val="left"/>
      <w:pPr>
        <w:ind w:left="2727" w:hanging="360"/>
      </w:pPr>
      <w:rPr>
        <w:rFonts w:ascii="Wingdings" w:hAnsi="Wingdings" w:hint="default"/>
      </w:rPr>
    </w:lvl>
    <w:lvl w:ilvl="3" w:tplc="1084F7AC" w:tentative="1">
      <w:start w:val="1"/>
      <w:numFmt w:val="bullet"/>
      <w:lvlText w:val=""/>
      <w:lvlJc w:val="left"/>
      <w:pPr>
        <w:ind w:left="3447" w:hanging="360"/>
      </w:pPr>
      <w:rPr>
        <w:rFonts w:ascii="Symbol" w:hAnsi="Symbol" w:hint="default"/>
      </w:rPr>
    </w:lvl>
    <w:lvl w:ilvl="4" w:tplc="270C6EEE" w:tentative="1">
      <w:start w:val="1"/>
      <w:numFmt w:val="bullet"/>
      <w:lvlText w:val="o"/>
      <w:lvlJc w:val="left"/>
      <w:pPr>
        <w:ind w:left="4167" w:hanging="360"/>
      </w:pPr>
      <w:rPr>
        <w:rFonts w:ascii="Courier New" w:hAnsi="Courier New" w:cs="Courier New" w:hint="default"/>
      </w:rPr>
    </w:lvl>
    <w:lvl w:ilvl="5" w:tplc="05C23CE6" w:tentative="1">
      <w:start w:val="1"/>
      <w:numFmt w:val="bullet"/>
      <w:lvlText w:val=""/>
      <w:lvlJc w:val="left"/>
      <w:pPr>
        <w:ind w:left="4887" w:hanging="360"/>
      </w:pPr>
      <w:rPr>
        <w:rFonts w:ascii="Wingdings" w:hAnsi="Wingdings" w:hint="default"/>
      </w:rPr>
    </w:lvl>
    <w:lvl w:ilvl="6" w:tplc="9C9A4A94" w:tentative="1">
      <w:start w:val="1"/>
      <w:numFmt w:val="bullet"/>
      <w:lvlText w:val=""/>
      <w:lvlJc w:val="left"/>
      <w:pPr>
        <w:ind w:left="5607" w:hanging="360"/>
      </w:pPr>
      <w:rPr>
        <w:rFonts w:ascii="Symbol" w:hAnsi="Symbol" w:hint="default"/>
      </w:rPr>
    </w:lvl>
    <w:lvl w:ilvl="7" w:tplc="6FFCAE26" w:tentative="1">
      <w:start w:val="1"/>
      <w:numFmt w:val="bullet"/>
      <w:lvlText w:val="o"/>
      <w:lvlJc w:val="left"/>
      <w:pPr>
        <w:ind w:left="6327" w:hanging="360"/>
      </w:pPr>
      <w:rPr>
        <w:rFonts w:ascii="Courier New" w:hAnsi="Courier New" w:cs="Courier New" w:hint="default"/>
      </w:rPr>
    </w:lvl>
    <w:lvl w:ilvl="8" w:tplc="9704FE50" w:tentative="1">
      <w:start w:val="1"/>
      <w:numFmt w:val="bullet"/>
      <w:lvlText w:val=""/>
      <w:lvlJc w:val="left"/>
      <w:pPr>
        <w:ind w:left="7047" w:hanging="360"/>
      </w:pPr>
      <w:rPr>
        <w:rFonts w:ascii="Wingdings" w:hAnsi="Wingdings" w:hint="default"/>
      </w:rPr>
    </w:lvl>
  </w:abstractNum>
  <w:abstractNum w:abstractNumId="2" w15:restartNumberingAfterBreak="0">
    <w:nsid w:val="2B1F0381"/>
    <w:multiLevelType w:val="hybridMultilevel"/>
    <w:tmpl w:val="5700ED7E"/>
    <w:lvl w:ilvl="0" w:tplc="1F3C9AA8">
      <w:start w:val="1"/>
      <w:numFmt w:val="bullet"/>
      <w:lvlText w:val=""/>
      <w:lvlJc w:val="left"/>
      <w:pPr>
        <w:ind w:left="1713" w:hanging="360"/>
      </w:pPr>
      <w:rPr>
        <w:rFonts w:ascii="Symbol" w:hAnsi="Symbol" w:hint="default"/>
      </w:rPr>
    </w:lvl>
    <w:lvl w:ilvl="1" w:tplc="95C6692C" w:tentative="1">
      <w:start w:val="1"/>
      <w:numFmt w:val="bullet"/>
      <w:lvlText w:val="o"/>
      <w:lvlJc w:val="left"/>
      <w:pPr>
        <w:ind w:left="2433" w:hanging="360"/>
      </w:pPr>
      <w:rPr>
        <w:rFonts w:ascii="Courier New" w:hAnsi="Courier New" w:cs="Courier New" w:hint="default"/>
      </w:rPr>
    </w:lvl>
    <w:lvl w:ilvl="2" w:tplc="419C4B74" w:tentative="1">
      <w:start w:val="1"/>
      <w:numFmt w:val="bullet"/>
      <w:lvlText w:val=""/>
      <w:lvlJc w:val="left"/>
      <w:pPr>
        <w:ind w:left="3153" w:hanging="360"/>
      </w:pPr>
      <w:rPr>
        <w:rFonts w:ascii="Wingdings" w:hAnsi="Wingdings" w:hint="default"/>
      </w:rPr>
    </w:lvl>
    <w:lvl w:ilvl="3" w:tplc="F22E6F72" w:tentative="1">
      <w:start w:val="1"/>
      <w:numFmt w:val="bullet"/>
      <w:lvlText w:val=""/>
      <w:lvlJc w:val="left"/>
      <w:pPr>
        <w:ind w:left="3873" w:hanging="360"/>
      </w:pPr>
      <w:rPr>
        <w:rFonts w:ascii="Symbol" w:hAnsi="Symbol" w:hint="default"/>
      </w:rPr>
    </w:lvl>
    <w:lvl w:ilvl="4" w:tplc="E9DC40FC" w:tentative="1">
      <w:start w:val="1"/>
      <w:numFmt w:val="bullet"/>
      <w:lvlText w:val="o"/>
      <w:lvlJc w:val="left"/>
      <w:pPr>
        <w:ind w:left="4593" w:hanging="360"/>
      </w:pPr>
      <w:rPr>
        <w:rFonts w:ascii="Courier New" w:hAnsi="Courier New" w:cs="Courier New" w:hint="default"/>
      </w:rPr>
    </w:lvl>
    <w:lvl w:ilvl="5" w:tplc="91201918" w:tentative="1">
      <w:start w:val="1"/>
      <w:numFmt w:val="bullet"/>
      <w:lvlText w:val=""/>
      <w:lvlJc w:val="left"/>
      <w:pPr>
        <w:ind w:left="5313" w:hanging="360"/>
      </w:pPr>
      <w:rPr>
        <w:rFonts w:ascii="Wingdings" w:hAnsi="Wingdings" w:hint="default"/>
      </w:rPr>
    </w:lvl>
    <w:lvl w:ilvl="6" w:tplc="F7088DD4" w:tentative="1">
      <w:start w:val="1"/>
      <w:numFmt w:val="bullet"/>
      <w:lvlText w:val=""/>
      <w:lvlJc w:val="left"/>
      <w:pPr>
        <w:ind w:left="6033" w:hanging="360"/>
      </w:pPr>
      <w:rPr>
        <w:rFonts w:ascii="Symbol" w:hAnsi="Symbol" w:hint="default"/>
      </w:rPr>
    </w:lvl>
    <w:lvl w:ilvl="7" w:tplc="6E6813F8" w:tentative="1">
      <w:start w:val="1"/>
      <w:numFmt w:val="bullet"/>
      <w:lvlText w:val="o"/>
      <w:lvlJc w:val="left"/>
      <w:pPr>
        <w:ind w:left="6753" w:hanging="360"/>
      </w:pPr>
      <w:rPr>
        <w:rFonts w:ascii="Courier New" w:hAnsi="Courier New" w:cs="Courier New" w:hint="default"/>
      </w:rPr>
    </w:lvl>
    <w:lvl w:ilvl="8" w:tplc="766441C8" w:tentative="1">
      <w:start w:val="1"/>
      <w:numFmt w:val="bullet"/>
      <w:lvlText w:val=""/>
      <w:lvlJc w:val="left"/>
      <w:pPr>
        <w:ind w:left="7473" w:hanging="360"/>
      </w:pPr>
      <w:rPr>
        <w:rFonts w:ascii="Wingdings" w:hAnsi="Wingdings" w:hint="default"/>
      </w:rPr>
    </w:lvl>
  </w:abstractNum>
  <w:abstractNum w:abstractNumId="3" w15:restartNumberingAfterBreak="0">
    <w:nsid w:val="2D0E3561"/>
    <w:multiLevelType w:val="hybridMultilevel"/>
    <w:tmpl w:val="B706147E"/>
    <w:lvl w:ilvl="0" w:tplc="E8B4F290">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4920D660">
      <w:start w:val="1"/>
      <w:numFmt w:val="lowerLetter"/>
      <w:lvlText w:val="%2."/>
      <w:lvlJc w:val="left"/>
      <w:pPr>
        <w:ind w:left="-2247" w:hanging="360"/>
      </w:pPr>
    </w:lvl>
    <w:lvl w:ilvl="2" w:tplc="A3BAB54E">
      <w:start w:val="1"/>
      <w:numFmt w:val="lowerRoman"/>
      <w:lvlText w:val="%3."/>
      <w:lvlJc w:val="right"/>
      <w:pPr>
        <w:ind w:left="-1527" w:hanging="180"/>
      </w:pPr>
    </w:lvl>
    <w:lvl w:ilvl="3" w:tplc="2A5C8784">
      <w:start w:val="1"/>
      <w:numFmt w:val="decimal"/>
      <w:lvlText w:val="%4."/>
      <w:lvlJc w:val="left"/>
      <w:pPr>
        <w:ind w:left="-807" w:hanging="360"/>
      </w:pPr>
    </w:lvl>
    <w:lvl w:ilvl="4" w:tplc="50B0F74E">
      <w:start w:val="1"/>
      <w:numFmt w:val="lowerLetter"/>
      <w:lvlText w:val="%5."/>
      <w:lvlJc w:val="left"/>
      <w:pPr>
        <w:ind w:left="-87" w:hanging="360"/>
      </w:pPr>
    </w:lvl>
    <w:lvl w:ilvl="5" w:tplc="EED029AA">
      <w:start w:val="1"/>
      <w:numFmt w:val="bullet"/>
      <w:lvlText w:val=""/>
      <w:lvlJc w:val="left"/>
      <w:pPr>
        <w:ind w:left="888" w:hanging="435"/>
      </w:pPr>
      <w:rPr>
        <w:rFonts w:ascii="Symbol" w:hAnsi="Symbol" w:hint="default"/>
        <w:color w:val="auto"/>
      </w:rPr>
    </w:lvl>
    <w:lvl w:ilvl="6" w:tplc="EC04E05E">
      <w:start w:val="1"/>
      <w:numFmt w:val="bullet"/>
      <w:lvlText w:val=""/>
      <w:lvlJc w:val="left"/>
      <w:pPr>
        <w:ind w:left="1353" w:hanging="360"/>
      </w:pPr>
      <w:rPr>
        <w:rFonts w:ascii="Symbol" w:hAnsi="Symbol" w:hint="default"/>
      </w:rPr>
    </w:lvl>
    <w:lvl w:ilvl="7" w:tplc="1F6A6E38">
      <w:start w:val="1"/>
      <w:numFmt w:val="lowerLetter"/>
      <w:lvlText w:val="%8."/>
      <w:lvlJc w:val="left"/>
      <w:pPr>
        <w:ind w:left="2073" w:hanging="360"/>
      </w:pPr>
    </w:lvl>
    <w:lvl w:ilvl="8" w:tplc="CDA0EF78">
      <w:start w:val="1"/>
      <w:numFmt w:val="lowerRoman"/>
      <w:lvlText w:val="%9."/>
      <w:lvlJc w:val="right"/>
      <w:pPr>
        <w:ind w:left="2793" w:hanging="180"/>
      </w:pPr>
    </w:lvl>
  </w:abstractNum>
  <w:abstractNum w:abstractNumId="4" w15:restartNumberingAfterBreak="0">
    <w:nsid w:val="4C151417"/>
    <w:multiLevelType w:val="hybridMultilevel"/>
    <w:tmpl w:val="D2B2A310"/>
    <w:lvl w:ilvl="0" w:tplc="CF627574">
      <w:start w:val="1"/>
      <w:numFmt w:val="bullet"/>
      <w:lvlText w:val=""/>
      <w:lvlJc w:val="left"/>
      <w:pPr>
        <w:ind w:left="1407" w:hanging="360"/>
      </w:pPr>
      <w:rPr>
        <w:rFonts w:ascii="Symbol" w:hAnsi="Symbol" w:hint="default"/>
      </w:rPr>
    </w:lvl>
    <w:lvl w:ilvl="1" w:tplc="7F3231A2" w:tentative="1">
      <w:start w:val="1"/>
      <w:numFmt w:val="bullet"/>
      <w:lvlText w:val="o"/>
      <w:lvlJc w:val="left"/>
      <w:pPr>
        <w:ind w:left="2127" w:hanging="360"/>
      </w:pPr>
      <w:rPr>
        <w:rFonts w:ascii="Courier New" w:hAnsi="Courier New" w:cs="Courier New" w:hint="default"/>
      </w:rPr>
    </w:lvl>
    <w:lvl w:ilvl="2" w:tplc="641E5A6C" w:tentative="1">
      <w:start w:val="1"/>
      <w:numFmt w:val="bullet"/>
      <w:lvlText w:val=""/>
      <w:lvlJc w:val="left"/>
      <w:pPr>
        <w:ind w:left="2847" w:hanging="360"/>
      </w:pPr>
      <w:rPr>
        <w:rFonts w:ascii="Wingdings" w:hAnsi="Wingdings" w:hint="default"/>
      </w:rPr>
    </w:lvl>
    <w:lvl w:ilvl="3" w:tplc="7150714E" w:tentative="1">
      <w:start w:val="1"/>
      <w:numFmt w:val="bullet"/>
      <w:lvlText w:val=""/>
      <w:lvlJc w:val="left"/>
      <w:pPr>
        <w:ind w:left="3567" w:hanging="360"/>
      </w:pPr>
      <w:rPr>
        <w:rFonts w:ascii="Symbol" w:hAnsi="Symbol" w:hint="default"/>
      </w:rPr>
    </w:lvl>
    <w:lvl w:ilvl="4" w:tplc="2A9E7124" w:tentative="1">
      <w:start w:val="1"/>
      <w:numFmt w:val="bullet"/>
      <w:lvlText w:val="o"/>
      <w:lvlJc w:val="left"/>
      <w:pPr>
        <w:ind w:left="4287" w:hanging="360"/>
      </w:pPr>
      <w:rPr>
        <w:rFonts w:ascii="Courier New" w:hAnsi="Courier New" w:cs="Courier New" w:hint="default"/>
      </w:rPr>
    </w:lvl>
    <w:lvl w:ilvl="5" w:tplc="CB2E559E" w:tentative="1">
      <w:start w:val="1"/>
      <w:numFmt w:val="bullet"/>
      <w:lvlText w:val=""/>
      <w:lvlJc w:val="left"/>
      <w:pPr>
        <w:ind w:left="5007" w:hanging="360"/>
      </w:pPr>
      <w:rPr>
        <w:rFonts w:ascii="Wingdings" w:hAnsi="Wingdings" w:hint="default"/>
      </w:rPr>
    </w:lvl>
    <w:lvl w:ilvl="6" w:tplc="E0C8154E" w:tentative="1">
      <w:start w:val="1"/>
      <w:numFmt w:val="bullet"/>
      <w:lvlText w:val=""/>
      <w:lvlJc w:val="left"/>
      <w:pPr>
        <w:ind w:left="5727" w:hanging="360"/>
      </w:pPr>
      <w:rPr>
        <w:rFonts w:ascii="Symbol" w:hAnsi="Symbol" w:hint="default"/>
      </w:rPr>
    </w:lvl>
    <w:lvl w:ilvl="7" w:tplc="99503ACE" w:tentative="1">
      <w:start w:val="1"/>
      <w:numFmt w:val="bullet"/>
      <w:lvlText w:val="o"/>
      <w:lvlJc w:val="left"/>
      <w:pPr>
        <w:ind w:left="6447" w:hanging="360"/>
      </w:pPr>
      <w:rPr>
        <w:rFonts w:ascii="Courier New" w:hAnsi="Courier New" w:cs="Courier New" w:hint="default"/>
      </w:rPr>
    </w:lvl>
    <w:lvl w:ilvl="8" w:tplc="49F81A7A" w:tentative="1">
      <w:start w:val="1"/>
      <w:numFmt w:val="bullet"/>
      <w:lvlText w:val=""/>
      <w:lvlJc w:val="left"/>
      <w:pPr>
        <w:ind w:left="7167"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D74702C"/>
    <w:multiLevelType w:val="hybridMultilevel"/>
    <w:tmpl w:val="207EF938"/>
    <w:lvl w:ilvl="0" w:tplc="6C7648BE">
      <w:start w:val="1"/>
      <w:numFmt w:val="bullet"/>
      <w:lvlText w:val=""/>
      <w:lvlJc w:val="left"/>
      <w:pPr>
        <w:ind w:left="633" w:hanging="360"/>
      </w:pPr>
      <w:rPr>
        <w:rFonts w:ascii="Symbol" w:hAnsi="Symbol" w:hint="default"/>
        <w:b w:val="0"/>
        <w:bCs w:val="0"/>
        <w:i w:val="0"/>
        <w:iCs w:val="0"/>
        <w:color w:val="auto"/>
        <w:sz w:val="24"/>
        <w:szCs w:val="24"/>
        <w:lang w:val="en-US"/>
      </w:rPr>
    </w:lvl>
    <w:lvl w:ilvl="1" w:tplc="2E6060D8">
      <w:start w:val="1"/>
      <w:numFmt w:val="bullet"/>
      <w:lvlText w:val=""/>
      <w:lvlJc w:val="left"/>
      <w:pPr>
        <w:ind w:left="153" w:hanging="360"/>
      </w:pPr>
      <w:rPr>
        <w:rFonts w:ascii="Symbol" w:hAnsi="Symbol" w:hint="default"/>
      </w:rPr>
    </w:lvl>
    <w:lvl w:ilvl="2" w:tplc="C4C06FBE">
      <w:start w:val="1"/>
      <w:numFmt w:val="lowerRoman"/>
      <w:lvlText w:val="%3."/>
      <w:lvlJc w:val="right"/>
      <w:pPr>
        <w:ind w:left="873" w:hanging="180"/>
      </w:pPr>
    </w:lvl>
    <w:lvl w:ilvl="3" w:tplc="3E6413E8">
      <w:start w:val="1"/>
      <w:numFmt w:val="bullet"/>
      <w:lvlText w:val=""/>
      <w:lvlJc w:val="left"/>
      <w:pPr>
        <w:ind w:left="1593" w:hanging="360"/>
      </w:pPr>
      <w:rPr>
        <w:rFonts w:ascii="Symbol" w:hAnsi="Symbol" w:hint="default"/>
      </w:rPr>
    </w:lvl>
    <w:lvl w:ilvl="4" w:tplc="05FC163C">
      <w:start w:val="1"/>
      <w:numFmt w:val="bullet"/>
      <w:lvlText w:val=""/>
      <w:lvlJc w:val="left"/>
      <w:pPr>
        <w:ind w:left="2313" w:hanging="360"/>
      </w:pPr>
      <w:rPr>
        <w:rFonts w:ascii="Symbol" w:hAnsi="Symbol" w:hint="default"/>
      </w:rPr>
    </w:lvl>
    <w:lvl w:ilvl="5" w:tplc="61CC5DDE" w:tentative="1">
      <w:start w:val="1"/>
      <w:numFmt w:val="lowerRoman"/>
      <w:lvlText w:val="%6."/>
      <w:lvlJc w:val="right"/>
      <w:pPr>
        <w:ind w:left="3033" w:hanging="180"/>
      </w:pPr>
    </w:lvl>
    <w:lvl w:ilvl="6" w:tplc="60FAD9B8" w:tentative="1">
      <w:start w:val="1"/>
      <w:numFmt w:val="decimal"/>
      <w:lvlText w:val="%7."/>
      <w:lvlJc w:val="left"/>
      <w:pPr>
        <w:ind w:left="3753" w:hanging="360"/>
      </w:pPr>
    </w:lvl>
    <w:lvl w:ilvl="7" w:tplc="10F60462" w:tentative="1">
      <w:start w:val="1"/>
      <w:numFmt w:val="lowerLetter"/>
      <w:lvlText w:val="%8."/>
      <w:lvlJc w:val="left"/>
      <w:pPr>
        <w:ind w:left="4473" w:hanging="360"/>
      </w:pPr>
    </w:lvl>
    <w:lvl w:ilvl="8" w:tplc="865E6C8A" w:tentative="1">
      <w:start w:val="1"/>
      <w:numFmt w:val="lowerRoman"/>
      <w:lvlText w:val="%9."/>
      <w:lvlJc w:val="right"/>
      <w:pPr>
        <w:ind w:left="5193" w:hanging="180"/>
      </w:pPr>
    </w:lvl>
  </w:abstractNum>
  <w:abstractNum w:abstractNumId="7" w15:restartNumberingAfterBreak="0">
    <w:nsid w:val="6C210226"/>
    <w:multiLevelType w:val="hybridMultilevel"/>
    <w:tmpl w:val="4B462672"/>
    <w:lvl w:ilvl="0" w:tplc="0B60DEA4">
      <w:start w:val="1"/>
      <w:numFmt w:val="decimal"/>
      <w:lvlText w:val="%1."/>
      <w:lvlJc w:val="left"/>
      <w:pPr>
        <w:ind w:left="360" w:hanging="360"/>
      </w:pPr>
      <w:rPr>
        <w:rFonts w:hint="default"/>
        <w:b w:val="0"/>
        <w:bCs w:val="0"/>
        <w:i w:val="0"/>
        <w:iCs w:val="0"/>
        <w:color w:val="auto"/>
        <w:sz w:val="24"/>
        <w:szCs w:val="24"/>
        <w:lang w:val="en-US"/>
      </w:rPr>
    </w:lvl>
    <w:lvl w:ilvl="1" w:tplc="DC0EC50E">
      <w:start w:val="1"/>
      <w:numFmt w:val="lowerLetter"/>
      <w:lvlText w:val="%2."/>
      <w:lvlJc w:val="left"/>
      <w:pPr>
        <w:ind w:left="-2389" w:hanging="360"/>
      </w:pPr>
    </w:lvl>
    <w:lvl w:ilvl="2" w:tplc="4A029256">
      <w:start w:val="1"/>
      <w:numFmt w:val="lowerRoman"/>
      <w:lvlText w:val="%3."/>
      <w:lvlJc w:val="right"/>
      <w:pPr>
        <w:ind w:left="-1669" w:hanging="180"/>
      </w:pPr>
    </w:lvl>
    <w:lvl w:ilvl="3" w:tplc="95126A0C">
      <w:start w:val="1"/>
      <w:numFmt w:val="decimal"/>
      <w:lvlText w:val="%4."/>
      <w:lvlJc w:val="left"/>
      <w:pPr>
        <w:ind w:left="-949" w:hanging="360"/>
      </w:pPr>
    </w:lvl>
    <w:lvl w:ilvl="4" w:tplc="EE58419E">
      <w:start w:val="1"/>
      <w:numFmt w:val="lowerLetter"/>
      <w:lvlText w:val="%5."/>
      <w:lvlJc w:val="left"/>
      <w:pPr>
        <w:ind w:left="-229" w:hanging="360"/>
      </w:pPr>
    </w:lvl>
    <w:lvl w:ilvl="5" w:tplc="C69CDED8">
      <w:start w:val="1"/>
      <w:numFmt w:val="bullet"/>
      <w:lvlText w:val=""/>
      <w:lvlJc w:val="left"/>
      <w:pPr>
        <w:ind w:left="746" w:hanging="435"/>
      </w:pPr>
      <w:rPr>
        <w:rFonts w:ascii="Symbol" w:hAnsi="Symbol" w:hint="default"/>
        <w:color w:val="auto"/>
      </w:rPr>
    </w:lvl>
    <w:lvl w:ilvl="6" w:tplc="87A421B6">
      <w:start w:val="1"/>
      <w:numFmt w:val="bullet"/>
      <w:lvlText w:val=""/>
      <w:lvlJc w:val="left"/>
      <w:pPr>
        <w:ind w:left="1211" w:hanging="360"/>
      </w:pPr>
      <w:rPr>
        <w:rFonts w:ascii="Symbol" w:hAnsi="Symbol" w:hint="default"/>
      </w:rPr>
    </w:lvl>
    <w:lvl w:ilvl="7" w:tplc="87868D90">
      <w:start w:val="1"/>
      <w:numFmt w:val="lowerLetter"/>
      <w:lvlText w:val="%8."/>
      <w:lvlJc w:val="left"/>
      <w:pPr>
        <w:ind w:left="1931" w:hanging="360"/>
      </w:pPr>
    </w:lvl>
    <w:lvl w:ilvl="8" w:tplc="718A402C">
      <w:start w:val="1"/>
      <w:numFmt w:val="lowerRoman"/>
      <w:lvlText w:val="%9."/>
      <w:lvlJc w:val="right"/>
      <w:pPr>
        <w:ind w:left="2651"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C1"/>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925C5"/>
    <w:rsid w:val="000A17C4"/>
    <w:rsid w:val="000A36A4"/>
    <w:rsid w:val="000B1EE1"/>
    <w:rsid w:val="000B2352"/>
    <w:rsid w:val="000C61E9"/>
    <w:rsid w:val="000C7B84"/>
    <w:rsid w:val="000D261B"/>
    <w:rsid w:val="000D45A6"/>
    <w:rsid w:val="000D58A3"/>
    <w:rsid w:val="000D7F60"/>
    <w:rsid w:val="000E3ED4"/>
    <w:rsid w:val="000E3F9C"/>
    <w:rsid w:val="000E7A32"/>
    <w:rsid w:val="000F1550"/>
    <w:rsid w:val="000F251B"/>
    <w:rsid w:val="000F5FE8"/>
    <w:rsid w:val="000F6644"/>
    <w:rsid w:val="00100833"/>
    <w:rsid w:val="00102F72"/>
    <w:rsid w:val="00107E85"/>
    <w:rsid w:val="00113EE8"/>
    <w:rsid w:val="0011455A"/>
    <w:rsid w:val="00114A65"/>
    <w:rsid w:val="00120A16"/>
    <w:rsid w:val="00133061"/>
    <w:rsid w:val="001405E3"/>
    <w:rsid w:val="00141699"/>
    <w:rsid w:val="00147000"/>
    <w:rsid w:val="00155F10"/>
    <w:rsid w:val="00156BF6"/>
    <w:rsid w:val="00163091"/>
    <w:rsid w:val="00163B5F"/>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1F5D75"/>
    <w:rsid w:val="00200A38"/>
    <w:rsid w:val="00200A46"/>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3DF8"/>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37E1"/>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66DD3"/>
    <w:rsid w:val="00573424"/>
    <w:rsid w:val="0057402F"/>
    <w:rsid w:val="0058202C"/>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4CE5"/>
    <w:rsid w:val="005F51A9"/>
    <w:rsid w:val="005F6BE1"/>
    <w:rsid w:val="005F7416"/>
    <w:rsid w:val="00600C11"/>
    <w:rsid w:val="00606B89"/>
    <w:rsid w:val="00611EAF"/>
    <w:rsid w:val="00620F2B"/>
    <w:rsid w:val="00623F30"/>
    <w:rsid w:val="00625FB8"/>
    <w:rsid w:val="006261BD"/>
    <w:rsid w:val="00626C1C"/>
    <w:rsid w:val="00635EDB"/>
    <w:rsid w:val="0064734E"/>
    <w:rsid w:val="00650137"/>
    <w:rsid w:val="006509D7"/>
    <w:rsid w:val="00651CE8"/>
    <w:rsid w:val="0065521B"/>
    <w:rsid w:val="00671EF6"/>
    <w:rsid w:val="0067205B"/>
    <w:rsid w:val="00672B67"/>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37A84"/>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2F7"/>
    <w:rsid w:val="00AC6F14"/>
    <w:rsid w:val="00AC7221"/>
    <w:rsid w:val="00AE4BC1"/>
    <w:rsid w:val="00AE5961"/>
    <w:rsid w:val="00AF0745"/>
    <w:rsid w:val="00AF4971"/>
    <w:rsid w:val="00AF5276"/>
    <w:rsid w:val="00AF7C86"/>
    <w:rsid w:val="00B01046"/>
    <w:rsid w:val="00B310F9"/>
    <w:rsid w:val="00B31D5A"/>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35CE4"/>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5687"/>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44C7"/>
    <w:rsid w:val="00EB7196"/>
    <w:rsid w:val="00EB7A8A"/>
    <w:rsid w:val="00EE3A64"/>
    <w:rsid w:val="00EE50E5"/>
    <w:rsid w:val="00EF01CF"/>
    <w:rsid w:val="00EF32CE"/>
    <w:rsid w:val="00F03590"/>
    <w:rsid w:val="00F03622"/>
    <w:rsid w:val="00F077FD"/>
    <w:rsid w:val="00F204F3"/>
    <w:rsid w:val="00F218AB"/>
    <w:rsid w:val="00F238B3"/>
    <w:rsid w:val="00F24FED"/>
    <w:rsid w:val="00F25586"/>
    <w:rsid w:val="00F2651D"/>
    <w:rsid w:val="00F27362"/>
    <w:rsid w:val="00F31498"/>
    <w:rsid w:val="00F32FEF"/>
    <w:rsid w:val="00F35DB8"/>
    <w:rsid w:val="00F41B1C"/>
    <w:rsid w:val="00F42E13"/>
    <w:rsid w:val="00F42F1C"/>
    <w:rsid w:val="00F43B44"/>
    <w:rsid w:val="00F440E5"/>
    <w:rsid w:val="00F448F6"/>
    <w:rsid w:val="00F52741"/>
    <w:rsid w:val="00F53D8A"/>
    <w:rsid w:val="00F626F7"/>
    <w:rsid w:val="00F70AC1"/>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6C1F12"/>
  <w15:docId w15:val="{B2C231E0-CE08-4BAF-97CC-F3C27F74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paragraph" w:customStyle="1" w:styleId="normalWSIS">
    <w:name w:val="normal WSIS"/>
    <w:basedOn w:val="ListParagraph"/>
    <w:qFormat/>
    <w:rsid w:val="002E3DF8"/>
    <w:pPr>
      <w:numPr>
        <w:numId w:val="2"/>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0"/>
      <w:lang w:val="en-US" w:eastAsia="zh-CN"/>
    </w:rPr>
  </w:style>
  <w:style w:type="character" w:styleId="UnresolvedMention">
    <w:name w:val="Unresolved Mention"/>
    <w:basedOn w:val="DefaultParagraphFont"/>
    <w:uiPriority w:val="99"/>
    <w:semiHidden/>
    <w:unhideWhenUsed/>
    <w:rsid w:val="002E3DF8"/>
    <w:rPr>
      <w:color w:val="605E5C"/>
      <w:shd w:val="clear" w:color="auto" w:fill="E1DFDD"/>
    </w:rPr>
  </w:style>
  <w:style w:type="table" w:customStyle="1" w:styleId="GridTable4-Accent12">
    <w:name w:val="Grid Table 4 - Accent 12"/>
    <w:basedOn w:val="TableNormal"/>
    <w:uiPriority w:val="49"/>
    <w:rsid w:val="00163B5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semiHidden/>
    <w:unhideWhenUsed/>
    <w:rsid w:val="00B31D5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1D5A"/>
    <w:rPr>
      <w:rFonts w:ascii="Segoe UI" w:hAnsi="Segoe UI" w:cs="Segoe UI"/>
      <w:sz w:val="18"/>
      <w:szCs w:val="18"/>
      <w:lang w:val="fr-CH" w:eastAsia="en-US"/>
    </w:rPr>
  </w:style>
  <w:style w:type="character" w:styleId="FollowedHyperlink">
    <w:name w:val="FollowedHyperlink"/>
    <w:basedOn w:val="DefaultParagraphFont"/>
    <w:semiHidden/>
    <w:unhideWhenUsed/>
    <w:rsid w:val="00C35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1.RGQ-C-0258/en" TargetMode="External"/><Relationship Id="rId18" Type="http://schemas.openxmlformats.org/officeDocument/2006/relationships/hyperlink" Target="https://www.uneca.org/fr/arfsd2020" TargetMode="External"/><Relationship Id="rId26" Type="http://schemas.openxmlformats.org/officeDocument/2006/relationships/footer" Target="footer1.xml"/><Relationship Id="rId39" Type="http://schemas.openxmlformats.org/officeDocument/2006/relationships/image" Target="media/image13.png"/><Relationship Id="rId21" Type="http://schemas.openxmlformats.org/officeDocument/2006/relationships/hyperlink" Target="https://foroalc2030.cepal.org/2019/en"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sg02-c-0190" TargetMode="External"/><Relationship Id="rId29" Type="http://schemas.openxmlformats.org/officeDocument/2006/relationships/image" Target="media/image3.png"/><Relationship Id="rId11" Type="http://schemas.openxmlformats.org/officeDocument/2006/relationships/hyperlink" Target="https://www.itu.int/en/itu-wsis/Pages/Contribution.aspx" TargetMode="External"/><Relationship Id="rId24" Type="http://schemas.openxmlformats.org/officeDocument/2006/relationships/hyperlink" Target="https://www.itu.int/fr/ITU-D/Pages/rdf_2019.aspx"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fr/ITU-D/Conferences/WTDC/WTDC17/Pages/default.aspx" TargetMode="External"/><Relationship Id="rId19" Type="http://schemas.openxmlformats.org/officeDocument/2006/relationships/hyperlink" Target="http://www.unece.org/rfsd2020.html" TargetMode="External"/><Relationship Id="rId31" Type="http://schemas.openxmlformats.org/officeDocument/2006/relationships/image" Target="media/image5.png"/><Relationship Id="rId44" Type="http://schemas.openxmlformats.org/officeDocument/2006/relationships/image" Target="media/image18.png"/><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web/pp-18/fr/" TargetMode="External"/><Relationship Id="rId14" Type="http://schemas.openxmlformats.org/officeDocument/2006/relationships/hyperlink" Target="https://www.itu.int/md/D18-SG02.RGQ-C-0167/en" TargetMode="External"/><Relationship Id="rId22" Type="http://schemas.openxmlformats.org/officeDocument/2006/relationships/hyperlink" Target="http://forus-international.org/fr/evenement/escwa-7th-session-of-the-arab-forum-for-sustainable-development-2020" TargetMode="External"/><Relationship Id="rId27" Type="http://schemas.openxmlformats.org/officeDocument/2006/relationships/footer" Target="footer2.xm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2.png"/><Relationship Id="rId8" Type="http://schemas.openxmlformats.org/officeDocument/2006/relationships/image" Target="media/image1.jpeg"/><Relationship Id="rId51" Type="http://schemas.openxmlformats.org/officeDocument/2006/relationships/image" Target="media/image25.png"/><Relationship Id="rId3" Type="http://schemas.openxmlformats.org/officeDocument/2006/relationships/styles" Target="styles.xml"/><Relationship Id="rId12" Type="http://schemas.openxmlformats.org/officeDocument/2006/relationships/hyperlink" Target="https://www.itu.int/net4/wsis/forum/2019/fr/Home/Outcomes" TargetMode="External"/><Relationship Id="rId17" Type="http://schemas.openxmlformats.org/officeDocument/2006/relationships/hyperlink" Target="https://www.itu.int/en/ITU-D/Initiatives/GIGA" TargetMode="External"/><Relationship Id="rId25" Type="http://schemas.openxmlformats.org/officeDocument/2006/relationships/header" Target="header1.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20" Type="http://schemas.openxmlformats.org/officeDocument/2006/relationships/hyperlink" Target="https://www.unescap.org/apfsd/7/" TargetMode="External"/><Relationship Id="rId41" Type="http://schemas.openxmlformats.org/officeDocument/2006/relationships/image" Target="media/image15.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sg01-c-0207" TargetMode="External"/><Relationship Id="rId23" Type="http://schemas.openxmlformats.org/officeDocument/2006/relationships/hyperlink" Target="https://www.unescwa.org/events/arab-forum-wsis-sdgs-2019" TargetMode="External"/><Relationship Id="rId28" Type="http://schemas.openxmlformats.org/officeDocument/2006/relationships/image" Target="media/image2.png"/><Relationship Id="rId36" Type="http://schemas.openxmlformats.org/officeDocument/2006/relationships/image" Target="media/image10.png"/><Relationship Id="rId49" Type="http://schemas.openxmlformats.org/officeDocument/2006/relationships/image" Target="media/image23.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Documents/intlcoop/partnership/Thematic_ICT_indicators_for_the_SD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C405-DFD0-400E-BC31-2FFBBF6A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102</TotalTime>
  <Pages>10</Pages>
  <Words>5086</Words>
  <Characters>28903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French</dc:creator>
  <cp:lastModifiedBy>Royer, Veronique</cp:lastModifiedBy>
  <cp:revision>8</cp:revision>
  <cp:lastPrinted>2020-02-13T15:07:00Z</cp:lastPrinted>
  <dcterms:created xsi:type="dcterms:W3CDTF">2020-02-18T12:23:00Z</dcterms:created>
  <dcterms:modified xsi:type="dcterms:W3CDTF">2020-02-18T14:45:00Z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