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594326" w14:paraId="08F0A08D" w14:textId="77777777" w:rsidTr="00481C8F">
        <w:trPr>
          <w:cantSplit/>
          <w:trHeight w:val="1134"/>
        </w:trPr>
        <w:tc>
          <w:tcPr>
            <w:tcW w:w="9888" w:type="dxa"/>
            <w:gridSpan w:val="3"/>
            <w:tcBorders>
              <w:bottom w:val="single" w:sz="2" w:space="0" w:color="00B0F0"/>
            </w:tcBorders>
          </w:tcPr>
          <w:p w14:paraId="0D989179" w14:textId="77777777" w:rsidR="00594326" w:rsidRPr="0085753F" w:rsidRDefault="00594326" w:rsidP="00481C8F">
            <w:pPr>
              <w:tabs>
                <w:tab w:val="clear" w:pos="1191"/>
                <w:tab w:val="clear" w:pos="1588"/>
                <w:tab w:val="clear" w:pos="1985"/>
              </w:tabs>
              <w:spacing w:before="240"/>
              <w:ind w:left="34"/>
              <w:rPr>
                <w:b/>
                <w:bCs/>
                <w:sz w:val="32"/>
                <w:szCs w:val="32"/>
              </w:rPr>
            </w:pPr>
            <w:r w:rsidRPr="0085753F">
              <w:rPr>
                <w:noProof/>
                <w:color w:val="3399FF"/>
                <w:sz w:val="32"/>
                <w:szCs w:val="32"/>
                <w:lang w:val="en-US"/>
              </w:rPr>
              <w:drawing>
                <wp:anchor distT="0" distB="0" distL="114300" distR="114300" simplePos="0" relativeHeight="251659264" behindDoc="0" locked="0" layoutInCell="1" allowOverlap="1" wp14:anchorId="7DD49F95" wp14:editId="60FB0E1D">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TDAG Working Group on WTDC Preparations</w:t>
            </w:r>
          </w:p>
          <w:p w14:paraId="31118A3A" w14:textId="77777777" w:rsidR="00594326" w:rsidRPr="00F45B51" w:rsidRDefault="00594326" w:rsidP="00481C8F">
            <w:pPr>
              <w:ind w:right="142"/>
              <w:rPr>
                <w:sz w:val="26"/>
                <w:szCs w:val="26"/>
              </w:rPr>
            </w:pPr>
            <w:r w:rsidRPr="00F45B51">
              <w:rPr>
                <w:b/>
                <w:bCs/>
                <w:sz w:val="26"/>
                <w:szCs w:val="26"/>
              </w:rPr>
              <w:t>16 July 2020, Virtual</w:t>
            </w:r>
          </w:p>
        </w:tc>
      </w:tr>
      <w:tr w:rsidR="00594326" w:rsidRPr="00997358" w14:paraId="59D1F2B1" w14:textId="77777777" w:rsidTr="00481C8F">
        <w:trPr>
          <w:cantSplit/>
        </w:trPr>
        <w:tc>
          <w:tcPr>
            <w:tcW w:w="6237" w:type="dxa"/>
            <w:gridSpan w:val="2"/>
            <w:tcBorders>
              <w:top w:val="single" w:sz="2" w:space="0" w:color="00B0F0"/>
            </w:tcBorders>
          </w:tcPr>
          <w:p w14:paraId="124BEDA9" w14:textId="77777777" w:rsidR="00594326" w:rsidRPr="00997358" w:rsidRDefault="00594326" w:rsidP="00481C8F">
            <w:pPr>
              <w:spacing w:before="0"/>
              <w:rPr>
                <w:b/>
                <w:bCs/>
                <w:sz w:val="20"/>
              </w:rPr>
            </w:pPr>
          </w:p>
        </w:tc>
        <w:tc>
          <w:tcPr>
            <w:tcW w:w="3651" w:type="dxa"/>
            <w:tcBorders>
              <w:top w:val="single" w:sz="2" w:space="0" w:color="00B0F0"/>
            </w:tcBorders>
          </w:tcPr>
          <w:p w14:paraId="05E914DC" w14:textId="0A13CEF4" w:rsidR="00594326" w:rsidRPr="000E0704" w:rsidRDefault="00594326" w:rsidP="00481C8F">
            <w:pPr>
              <w:rPr>
                <w:b/>
                <w:bCs/>
                <w:szCs w:val="24"/>
              </w:rPr>
            </w:pPr>
            <w:r w:rsidRPr="000E0704">
              <w:rPr>
                <w:b/>
                <w:bCs/>
                <w:szCs w:val="24"/>
              </w:rPr>
              <w:t>Doc</w:t>
            </w:r>
            <w:r>
              <w:rPr>
                <w:b/>
                <w:bCs/>
                <w:szCs w:val="24"/>
              </w:rPr>
              <w:t>ument</w:t>
            </w:r>
            <w:r w:rsidRPr="000E0704">
              <w:rPr>
                <w:b/>
                <w:bCs/>
                <w:szCs w:val="24"/>
              </w:rPr>
              <w:t xml:space="preserve"> </w:t>
            </w:r>
            <w:r w:rsidRPr="00AA0B5B">
              <w:rPr>
                <w:b/>
                <w:bCs/>
                <w:szCs w:val="24"/>
              </w:rPr>
              <w:t>TDAG-WG-Prep/</w:t>
            </w:r>
            <w:r w:rsidR="00A97181">
              <w:rPr>
                <w:b/>
                <w:bCs/>
                <w:szCs w:val="24"/>
              </w:rPr>
              <w:t>4</w:t>
            </w:r>
            <w:r>
              <w:rPr>
                <w:b/>
                <w:bCs/>
                <w:szCs w:val="24"/>
              </w:rPr>
              <w:t>-E</w:t>
            </w:r>
          </w:p>
        </w:tc>
      </w:tr>
      <w:tr w:rsidR="00594326" w:rsidRPr="00997358" w14:paraId="447E6184" w14:textId="77777777" w:rsidTr="00481C8F">
        <w:trPr>
          <w:cantSplit/>
        </w:trPr>
        <w:tc>
          <w:tcPr>
            <w:tcW w:w="6237" w:type="dxa"/>
            <w:gridSpan w:val="2"/>
          </w:tcPr>
          <w:p w14:paraId="66586809" w14:textId="77777777" w:rsidR="00594326" w:rsidRPr="00997358" w:rsidRDefault="00594326" w:rsidP="00481C8F">
            <w:pPr>
              <w:spacing w:before="0"/>
              <w:rPr>
                <w:b/>
                <w:bCs/>
                <w:sz w:val="20"/>
              </w:rPr>
            </w:pPr>
          </w:p>
        </w:tc>
        <w:tc>
          <w:tcPr>
            <w:tcW w:w="3651" w:type="dxa"/>
          </w:tcPr>
          <w:p w14:paraId="689C0526" w14:textId="1B9FCEE3" w:rsidR="00594326" w:rsidRPr="000E0704" w:rsidRDefault="00A97181" w:rsidP="00481C8F">
            <w:pPr>
              <w:spacing w:before="0"/>
              <w:rPr>
                <w:b/>
                <w:bCs/>
                <w:szCs w:val="24"/>
              </w:rPr>
            </w:pPr>
            <w:r>
              <w:rPr>
                <w:b/>
                <w:bCs/>
                <w:szCs w:val="24"/>
              </w:rPr>
              <w:t>2</w:t>
            </w:r>
            <w:r w:rsidR="00C872F7">
              <w:rPr>
                <w:b/>
                <w:bCs/>
                <w:szCs w:val="24"/>
              </w:rPr>
              <w:t>2</w:t>
            </w:r>
            <w:bookmarkStart w:id="0" w:name="_GoBack"/>
            <w:bookmarkEnd w:id="0"/>
            <w:r w:rsidR="00594326">
              <w:rPr>
                <w:b/>
                <w:bCs/>
                <w:szCs w:val="24"/>
              </w:rPr>
              <w:t xml:space="preserve"> July 2020</w:t>
            </w:r>
          </w:p>
        </w:tc>
      </w:tr>
      <w:tr w:rsidR="00594326" w:rsidRPr="00997358" w14:paraId="53655000" w14:textId="77777777" w:rsidTr="00481C8F">
        <w:trPr>
          <w:cantSplit/>
        </w:trPr>
        <w:tc>
          <w:tcPr>
            <w:tcW w:w="6237" w:type="dxa"/>
            <w:gridSpan w:val="2"/>
          </w:tcPr>
          <w:p w14:paraId="3F6FCF35" w14:textId="77777777" w:rsidR="00594326" w:rsidRPr="00997358" w:rsidRDefault="00594326" w:rsidP="00481C8F">
            <w:pPr>
              <w:spacing w:before="0"/>
              <w:rPr>
                <w:b/>
                <w:bCs/>
                <w:sz w:val="20"/>
              </w:rPr>
            </w:pPr>
          </w:p>
        </w:tc>
        <w:tc>
          <w:tcPr>
            <w:tcW w:w="3651" w:type="dxa"/>
          </w:tcPr>
          <w:p w14:paraId="3F6CFE51" w14:textId="77777777" w:rsidR="00594326" w:rsidRPr="000E0704" w:rsidRDefault="00594326" w:rsidP="00481C8F">
            <w:pPr>
              <w:spacing w:before="0" w:after="120"/>
              <w:rPr>
                <w:b/>
                <w:bCs/>
                <w:szCs w:val="24"/>
              </w:rPr>
            </w:pPr>
            <w:r>
              <w:rPr>
                <w:b/>
                <w:bCs/>
                <w:szCs w:val="24"/>
              </w:rPr>
              <w:t>English only</w:t>
            </w:r>
          </w:p>
        </w:tc>
      </w:tr>
      <w:tr w:rsidR="00594326" w:rsidRPr="00002716" w14:paraId="656DEE79" w14:textId="77777777" w:rsidTr="00481C8F">
        <w:trPr>
          <w:cantSplit/>
          <w:trHeight w:val="408"/>
        </w:trPr>
        <w:tc>
          <w:tcPr>
            <w:tcW w:w="1276" w:type="dxa"/>
          </w:tcPr>
          <w:p w14:paraId="70BB0363" w14:textId="77777777" w:rsidR="00594326" w:rsidRPr="00194F24" w:rsidRDefault="00594326" w:rsidP="00481C8F">
            <w:pPr>
              <w:spacing w:before="80" w:after="80"/>
              <w:jc w:val="both"/>
              <w:rPr>
                <w:b/>
                <w:szCs w:val="24"/>
                <w:lang w:val="en-US"/>
              </w:rPr>
            </w:pPr>
            <w:r>
              <w:rPr>
                <w:b/>
                <w:bCs/>
                <w:lang w:val="en-US"/>
              </w:rPr>
              <w:t>Source:</w:t>
            </w:r>
          </w:p>
        </w:tc>
        <w:tc>
          <w:tcPr>
            <w:tcW w:w="8612" w:type="dxa"/>
            <w:gridSpan w:val="2"/>
          </w:tcPr>
          <w:p w14:paraId="517DE2AD" w14:textId="77777777" w:rsidR="00594326" w:rsidRPr="008905BB" w:rsidRDefault="00594326" w:rsidP="00481C8F">
            <w:pPr>
              <w:spacing w:before="80" w:after="80"/>
              <w:rPr>
                <w:bCs/>
                <w:szCs w:val="24"/>
                <w:lang w:val="en-US"/>
              </w:rPr>
            </w:pPr>
            <w:r w:rsidRPr="00560EA2">
              <w:rPr>
                <w:bCs/>
                <w:szCs w:val="24"/>
                <w:lang w:val="en-US"/>
              </w:rPr>
              <w:t>Director, Telecommunication Development Bureau</w:t>
            </w:r>
          </w:p>
        </w:tc>
      </w:tr>
      <w:tr w:rsidR="00594326" w:rsidRPr="00002716" w14:paraId="78C5C458" w14:textId="77777777" w:rsidTr="00481C8F">
        <w:trPr>
          <w:cantSplit/>
          <w:trHeight w:val="407"/>
        </w:trPr>
        <w:tc>
          <w:tcPr>
            <w:tcW w:w="1276" w:type="dxa"/>
            <w:tcBorders>
              <w:bottom w:val="single" w:sz="4" w:space="0" w:color="00B0F0"/>
            </w:tcBorders>
          </w:tcPr>
          <w:p w14:paraId="456279D0" w14:textId="77777777" w:rsidR="00594326" w:rsidRDefault="00594326" w:rsidP="00481C8F">
            <w:pPr>
              <w:spacing w:before="80" w:after="80"/>
              <w:jc w:val="both"/>
              <w:rPr>
                <w:b/>
                <w:bCs/>
                <w:lang w:val="en-US"/>
              </w:rPr>
            </w:pPr>
            <w:r>
              <w:rPr>
                <w:b/>
                <w:bCs/>
                <w:szCs w:val="24"/>
                <w:lang w:val="en-US"/>
              </w:rPr>
              <w:t>Title:</w:t>
            </w:r>
          </w:p>
        </w:tc>
        <w:tc>
          <w:tcPr>
            <w:tcW w:w="8612" w:type="dxa"/>
            <w:gridSpan w:val="2"/>
            <w:tcBorders>
              <w:bottom w:val="single" w:sz="4" w:space="0" w:color="00B0F0"/>
            </w:tcBorders>
          </w:tcPr>
          <w:p w14:paraId="6DE802F1" w14:textId="03F27B73" w:rsidR="00594326" w:rsidRPr="008905BB" w:rsidRDefault="00A97181" w:rsidP="00481C8F">
            <w:pPr>
              <w:spacing w:before="80" w:after="80"/>
              <w:jc w:val="both"/>
              <w:rPr>
                <w:bCs/>
                <w:lang w:val="en-US"/>
              </w:rPr>
            </w:pPr>
            <w:r>
              <w:rPr>
                <w:bCs/>
                <w:lang w:val="en-US"/>
              </w:rPr>
              <w:t xml:space="preserve">Report on </w:t>
            </w:r>
            <w:r w:rsidRPr="00A97181">
              <w:rPr>
                <w:bCs/>
                <w:lang w:val="en-US"/>
              </w:rPr>
              <w:t>TDAG Working Group on WTDC Preparations</w:t>
            </w:r>
          </w:p>
        </w:tc>
      </w:tr>
    </w:tbl>
    <w:p w14:paraId="560A5A48" w14:textId="77777777" w:rsidR="00594326" w:rsidRDefault="00594326" w:rsidP="00594326">
      <w:pPr>
        <w:ind w:left="34" w:right="-142"/>
      </w:pPr>
    </w:p>
    <w:p w14:paraId="526267CB" w14:textId="30880890" w:rsidR="00A97181" w:rsidRPr="00A97181" w:rsidRDefault="00A97181" w:rsidP="003E2C23">
      <w:pPr>
        <w:pStyle w:val="ListParagraph"/>
        <w:numPr>
          <w:ilvl w:val="0"/>
          <w:numId w:val="22"/>
        </w:numPr>
        <w:autoSpaceDE/>
        <w:autoSpaceDN/>
        <w:adjustRightInd/>
        <w:spacing w:after="120"/>
        <w:rPr>
          <w:rFonts w:cstheme="minorHAnsi"/>
          <w:b/>
          <w:bCs/>
          <w:szCs w:val="24"/>
        </w:rPr>
      </w:pPr>
      <w:bookmarkStart w:id="1" w:name="Proposal"/>
      <w:bookmarkEnd w:id="1"/>
      <w:r w:rsidRPr="00A97181">
        <w:rPr>
          <w:rFonts w:cstheme="minorHAnsi"/>
          <w:b/>
          <w:bCs/>
          <w:szCs w:val="24"/>
        </w:rPr>
        <w:t>Opening of the meeting and welcome remarks</w:t>
      </w:r>
    </w:p>
    <w:p w14:paraId="13590853" w14:textId="65CE1BE6" w:rsidR="00A97181" w:rsidRPr="00A97181" w:rsidRDefault="00A97181" w:rsidP="003E2C23">
      <w:pPr>
        <w:spacing w:after="120"/>
        <w:rPr>
          <w:rFonts w:cstheme="minorHAnsi"/>
          <w:szCs w:val="24"/>
        </w:rPr>
      </w:pPr>
      <w:r w:rsidRPr="00A97181">
        <w:rPr>
          <w:rFonts w:cstheme="minorHAnsi"/>
          <w:bCs/>
          <w:szCs w:val="24"/>
        </w:rPr>
        <w:t>The Director of the ITU Telecommunication Development Bureau</w:t>
      </w:r>
      <w:r w:rsidRPr="00A97181">
        <w:rPr>
          <w:rFonts w:cstheme="minorHAnsi"/>
          <w:szCs w:val="24"/>
        </w:rPr>
        <w:t xml:space="preserve"> (BDT), Ms Doreen Bogdan-Martin,</w:t>
      </w:r>
      <w:r>
        <w:rPr>
          <w:rFonts w:cstheme="minorHAnsi"/>
          <w:szCs w:val="24"/>
        </w:rPr>
        <w:t xml:space="preserve"> </w:t>
      </w:r>
      <w:r w:rsidR="00130884">
        <w:rPr>
          <w:rFonts w:cstheme="minorHAnsi"/>
          <w:szCs w:val="24"/>
        </w:rPr>
        <w:t xml:space="preserve">welcomed </w:t>
      </w:r>
      <w:r w:rsidRPr="00A97181">
        <w:rPr>
          <w:rFonts w:cstheme="minorHAnsi"/>
          <w:szCs w:val="24"/>
        </w:rPr>
        <w:t>participants</w:t>
      </w:r>
      <w:r w:rsidR="002629F1">
        <w:rPr>
          <w:rFonts w:cstheme="minorHAnsi"/>
          <w:szCs w:val="24"/>
        </w:rPr>
        <w:t xml:space="preserve"> </w:t>
      </w:r>
      <w:r w:rsidR="00130884">
        <w:rPr>
          <w:rFonts w:cstheme="minorHAnsi"/>
          <w:szCs w:val="24"/>
        </w:rPr>
        <w:t xml:space="preserve">and stated that: </w:t>
      </w:r>
      <w:r w:rsidRPr="00A97181">
        <w:rPr>
          <w:rFonts w:cstheme="minorHAnsi"/>
          <w:szCs w:val="24"/>
        </w:rPr>
        <w:t>“</w:t>
      </w:r>
      <w:r w:rsidR="00130884">
        <w:rPr>
          <w:rFonts w:cstheme="minorHAnsi"/>
          <w:szCs w:val="24"/>
        </w:rPr>
        <w:t>In our journey to achieve a fit-</w:t>
      </w:r>
      <w:r w:rsidRPr="00A97181">
        <w:rPr>
          <w:rFonts w:cstheme="minorHAnsi"/>
          <w:szCs w:val="24"/>
        </w:rPr>
        <w:t>for</w:t>
      </w:r>
      <w:r w:rsidR="00130884">
        <w:rPr>
          <w:rFonts w:cstheme="minorHAnsi"/>
          <w:szCs w:val="24"/>
        </w:rPr>
        <w:t>-</w:t>
      </w:r>
      <w:r w:rsidRPr="00A97181">
        <w:rPr>
          <w:rFonts w:cstheme="minorHAnsi"/>
          <w:szCs w:val="24"/>
        </w:rPr>
        <w:t xml:space="preserve"> purpose BDT and to narrow the gap between the digital haves and have-nots, and to bring connectivity to the 3.6 billion that are still offline, the World Telecommunication Development Conference (WTDC) is the most important forum for ICT development as it sets our roadmap to achieve this vision.</w:t>
      </w:r>
      <w:r w:rsidR="00130884">
        <w:rPr>
          <w:rFonts w:cstheme="minorHAnsi"/>
          <w:szCs w:val="24"/>
        </w:rPr>
        <w:t xml:space="preserve"> </w:t>
      </w:r>
      <w:r w:rsidRPr="00A97181">
        <w:rPr>
          <w:rFonts w:cstheme="minorHAnsi"/>
          <w:szCs w:val="24"/>
        </w:rPr>
        <w:t>With the COVID</w:t>
      </w:r>
      <w:r w:rsidRPr="00A97181">
        <w:rPr>
          <w:rFonts w:cstheme="minorHAnsi"/>
          <w:szCs w:val="24"/>
        </w:rPr>
        <w:noBreakHyphen/>
        <w:t>19 pandemic having put the spotlight on connectivity, we expect that this WTDC will be seen not only as important for BDT or even for ITU, but as the foremost conference for driving global ICT development to enable the achievement of the 17 Sustainable Development Goals.</w:t>
      </w:r>
      <w:r w:rsidR="00130884">
        <w:rPr>
          <w:rFonts w:cstheme="minorHAnsi"/>
          <w:szCs w:val="24"/>
        </w:rPr>
        <w:t>”</w:t>
      </w:r>
    </w:p>
    <w:p w14:paraId="1A3906AB" w14:textId="42B09C02" w:rsidR="00A97181" w:rsidRPr="00A97181" w:rsidRDefault="00A97181" w:rsidP="003E2C23">
      <w:pPr>
        <w:pStyle w:val="NoSpacing"/>
        <w:spacing w:before="120" w:after="120"/>
        <w:ind w:right="0" w:firstLine="0"/>
        <w:rPr>
          <w:rFonts w:asciiTheme="minorHAnsi" w:hAnsiTheme="minorHAnsi" w:cstheme="minorHAnsi"/>
        </w:rPr>
      </w:pPr>
      <w:r w:rsidRPr="00A97181">
        <w:rPr>
          <w:rFonts w:asciiTheme="minorHAnsi" w:hAnsiTheme="minorHAnsi" w:cstheme="minorHAnsi"/>
        </w:rPr>
        <w:t>Recalling the two TDAG-20 Web dialogues held in March and in April 2020</w:t>
      </w:r>
      <w:r w:rsidRPr="00130884">
        <w:rPr>
          <w:rFonts w:asciiTheme="minorHAnsi" w:hAnsiTheme="minorHAnsi" w:cstheme="minorHAnsi"/>
        </w:rPr>
        <w:t xml:space="preserve">, </w:t>
      </w:r>
      <w:r w:rsidR="00130884">
        <w:rPr>
          <w:rFonts w:asciiTheme="minorHAnsi" w:hAnsiTheme="minorHAnsi" w:cstheme="minorHAnsi"/>
        </w:rPr>
        <w:t xml:space="preserve">Ms </w:t>
      </w:r>
      <w:r w:rsidR="00130884" w:rsidRPr="00130884">
        <w:rPr>
          <w:rFonts w:asciiTheme="minorHAnsi" w:hAnsiTheme="minorHAnsi" w:cstheme="minorHAnsi"/>
        </w:rPr>
        <w:t xml:space="preserve">Bogdan-Martin underlined </w:t>
      </w:r>
      <w:r w:rsidRPr="00130884">
        <w:rPr>
          <w:rFonts w:asciiTheme="minorHAnsi" w:hAnsiTheme="minorHAnsi" w:cstheme="minorHAnsi"/>
        </w:rPr>
        <w:t>that through these dialogues the membership expressed the clear desire for a more meaningful WTDC. This group</w:t>
      </w:r>
      <w:r w:rsidR="00130884">
        <w:rPr>
          <w:rFonts w:asciiTheme="minorHAnsi" w:hAnsiTheme="minorHAnsi" w:cstheme="minorHAnsi"/>
        </w:rPr>
        <w:t>, she said,</w:t>
      </w:r>
      <w:r w:rsidRPr="00130884">
        <w:rPr>
          <w:rFonts w:asciiTheme="minorHAnsi" w:hAnsiTheme="minorHAnsi" w:cstheme="minorHAnsi"/>
        </w:rPr>
        <w:t xml:space="preserve"> has a clear mandate underpinned by the ideas</w:t>
      </w:r>
      <w:r w:rsidRPr="00A97181">
        <w:rPr>
          <w:rFonts w:asciiTheme="minorHAnsi" w:hAnsiTheme="minorHAnsi" w:cstheme="minorHAnsi"/>
        </w:rPr>
        <w:t xml:space="preserve"> expressed in the dialogue to make recommendations to TDAG that can be implemented in time for WTDC</w:t>
      </w:r>
      <w:r w:rsidRPr="00A97181">
        <w:rPr>
          <w:rFonts w:asciiTheme="minorHAnsi" w:hAnsiTheme="minorHAnsi" w:cstheme="minorHAnsi"/>
        </w:rPr>
        <w:noBreakHyphen/>
        <w:t>21. TDAG will deliberate on the recommendations at the extraordinary session</w:t>
      </w:r>
      <w:r w:rsidR="00130884">
        <w:rPr>
          <w:rFonts w:asciiTheme="minorHAnsi" w:hAnsiTheme="minorHAnsi" w:cstheme="minorHAnsi"/>
        </w:rPr>
        <w:t>,</w:t>
      </w:r>
      <w:r w:rsidRPr="00A97181">
        <w:rPr>
          <w:rFonts w:asciiTheme="minorHAnsi" w:hAnsiTheme="minorHAnsi" w:cstheme="minorHAnsi"/>
        </w:rPr>
        <w:t xml:space="preserve"> scheduled for 23 November 2020. She concluded her remarks with this quote from telecommunication icon, Alexander Graham Bell: "Before anything else, preparation is the key to success."</w:t>
      </w:r>
    </w:p>
    <w:p w14:paraId="55FF74F0" w14:textId="4487C972" w:rsidR="00A97181" w:rsidRPr="00A97181" w:rsidRDefault="00A97181" w:rsidP="003E2C23">
      <w:pPr>
        <w:spacing w:after="120"/>
        <w:rPr>
          <w:rFonts w:cstheme="minorHAnsi"/>
          <w:szCs w:val="24"/>
        </w:rPr>
      </w:pPr>
      <w:r w:rsidRPr="00130884">
        <w:rPr>
          <w:rFonts w:cstheme="minorHAnsi"/>
          <w:szCs w:val="24"/>
        </w:rPr>
        <w:t xml:space="preserve">The Chairman of </w:t>
      </w:r>
      <w:r w:rsidRPr="00130884">
        <w:rPr>
          <w:rFonts w:cstheme="minorHAnsi"/>
          <w:szCs w:val="24"/>
          <w:shd w:val="clear" w:color="auto" w:fill="FFFFFF"/>
        </w:rPr>
        <w:t>the TDAG Working Group on WTDC Preparations (TDAG-WG-Prep), Mr Santiago Reyes-Borda (Canada),</w:t>
      </w:r>
      <w:r w:rsidRPr="00130884">
        <w:rPr>
          <w:rFonts w:cstheme="minorHAnsi"/>
          <w:szCs w:val="24"/>
        </w:rPr>
        <w:t xml:space="preserve"> introduced the agenda, along with a PowerPoint </w:t>
      </w:r>
      <w:r w:rsidRPr="00A97181">
        <w:rPr>
          <w:rFonts w:cstheme="minorHAnsi"/>
          <w:color w:val="000000"/>
          <w:szCs w:val="24"/>
          <w:shd w:val="clear" w:color="auto" w:fill="FFFFFF"/>
        </w:rPr>
        <w:t xml:space="preserve">Presentation on the </w:t>
      </w:r>
      <w:r w:rsidR="00130884">
        <w:rPr>
          <w:rFonts w:cstheme="minorHAnsi"/>
          <w:color w:val="000000"/>
          <w:szCs w:val="24"/>
          <w:shd w:val="clear" w:color="auto" w:fill="FFFFFF"/>
        </w:rPr>
        <w:t>“</w:t>
      </w:r>
      <w:r w:rsidRPr="00A97181">
        <w:rPr>
          <w:rFonts w:cstheme="minorHAnsi"/>
          <w:color w:val="000000"/>
          <w:szCs w:val="24"/>
          <w:shd w:val="clear" w:color="auto" w:fill="FFFFFF"/>
        </w:rPr>
        <w:t>WTDC-21 Preparatory Process - Towards an effective WTDC-21</w:t>
      </w:r>
      <w:r w:rsidR="00130884">
        <w:rPr>
          <w:rFonts w:cstheme="minorHAnsi"/>
          <w:color w:val="000000"/>
          <w:szCs w:val="24"/>
          <w:shd w:val="clear" w:color="auto" w:fill="FFFFFF"/>
        </w:rPr>
        <w:t>”</w:t>
      </w:r>
      <w:r w:rsidRPr="00A97181">
        <w:rPr>
          <w:rFonts w:cstheme="minorHAnsi"/>
          <w:szCs w:val="24"/>
        </w:rPr>
        <w:t xml:space="preserve">, and </w:t>
      </w:r>
      <w:r w:rsidRPr="00A97181">
        <w:rPr>
          <w:rFonts w:cstheme="minorHAnsi"/>
          <w:bCs/>
          <w:szCs w:val="24"/>
        </w:rPr>
        <w:t>Information Document 2 (</w:t>
      </w:r>
      <w:hyperlink r:id="rId12" w:history="1">
        <w:r w:rsidRPr="00A97181">
          <w:rPr>
            <w:rStyle w:val="Hyperlink"/>
            <w:rFonts w:cstheme="minorHAnsi"/>
            <w:b/>
            <w:bCs/>
            <w:szCs w:val="24"/>
          </w:rPr>
          <w:t>Document TDAG-WG-Prep/2-E</w:t>
        </w:r>
      </w:hyperlink>
      <w:r w:rsidR="003E2C23" w:rsidRPr="003E2C23">
        <w:rPr>
          <w:rFonts w:cstheme="minorHAnsi"/>
          <w:szCs w:val="24"/>
        </w:rPr>
        <w:t>)</w:t>
      </w:r>
      <w:r w:rsidR="003E2C23">
        <w:rPr>
          <w:rFonts w:cstheme="minorHAnsi"/>
          <w:bCs/>
          <w:szCs w:val="24"/>
        </w:rPr>
        <w:t xml:space="preserve"> </w:t>
      </w:r>
      <w:r w:rsidRPr="00A97181">
        <w:rPr>
          <w:rFonts w:cstheme="minorHAnsi"/>
          <w:bCs/>
          <w:szCs w:val="24"/>
        </w:rPr>
        <w:t xml:space="preserve">on </w:t>
      </w:r>
      <w:r w:rsidR="00130884">
        <w:rPr>
          <w:rFonts w:cstheme="minorHAnsi"/>
          <w:bCs/>
          <w:szCs w:val="24"/>
        </w:rPr>
        <w:t>“</w:t>
      </w:r>
      <w:r w:rsidRPr="00A97181">
        <w:rPr>
          <w:rFonts w:cstheme="minorHAnsi"/>
          <w:bCs/>
          <w:szCs w:val="24"/>
        </w:rPr>
        <w:t>WTDC preparations</w:t>
      </w:r>
      <w:r w:rsidR="00130884">
        <w:rPr>
          <w:rFonts w:cstheme="minorHAnsi"/>
          <w:bCs/>
          <w:szCs w:val="24"/>
        </w:rPr>
        <w:t>”,</w:t>
      </w:r>
      <w:r w:rsidRPr="00A97181">
        <w:rPr>
          <w:rFonts w:cstheme="minorHAnsi"/>
          <w:bCs/>
          <w:szCs w:val="24"/>
        </w:rPr>
        <w:t xml:space="preserve"> </w:t>
      </w:r>
      <w:r w:rsidRPr="00A97181">
        <w:rPr>
          <w:rFonts w:cstheme="minorHAnsi"/>
          <w:szCs w:val="24"/>
        </w:rPr>
        <w:t>submitted by the secretariat.</w:t>
      </w:r>
    </w:p>
    <w:p w14:paraId="4C1ABF35" w14:textId="3FC06147" w:rsidR="00A97181" w:rsidRPr="00A97181" w:rsidRDefault="00A97181" w:rsidP="003E2C23">
      <w:pPr>
        <w:spacing w:after="120"/>
        <w:rPr>
          <w:rFonts w:cstheme="minorHAnsi"/>
          <w:szCs w:val="24"/>
        </w:rPr>
      </w:pPr>
      <w:r w:rsidRPr="00A97181">
        <w:rPr>
          <w:rFonts w:cstheme="minorHAnsi"/>
          <w:szCs w:val="24"/>
        </w:rPr>
        <w:t>The Chairman outlined the relevance of these documents, in particular Information Document 2 and its sections 2.1 to 2.7, calling it “an excellent framework that will provide the group the opportunity to deliver effective and concrete results</w:t>
      </w:r>
      <w:r w:rsidR="00130884">
        <w:rPr>
          <w:rFonts w:cstheme="minorHAnsi"/>
          <w:szCs w:val="24"/>
        </w:rPr>
        <w:t>”</w:t>
      </w:r>
      <w:r w:rsidRPr="00A97181">
        <w:rPr>
          <w:rFonts w:cstheme="minorHAnsi"/>
          <w:szCs w:val="24"/>
        </w:rPr>
        <w:t xml:space="preserve">. </w:t>
      </w:r>
    </w:p>
    <w:p w14:paraId="08EB5E95" w14:textId="338455FC" w:rsidR="00A97181" w:rsidRPr="00A97181" w:rsidRDefault="00A97181" w:rsidP="003E2C23">
      <w:pPr>
        <w:pStyle w:val="ListParagraph"/>
        <w:keepNext/>
        <w:numPr>
          <w:ilvl w:val="0"/>
          <w:numId w:val="22"/>
        </w:numPr>
        <w:autoSpaceDE/>
        <w:autoSpaceDN/>
        <w:adjustRightInd/>
        <w:spacing w:after="120"/>
        <w:ind w:left="357" w:hanging="357"/>
        <w:contextualSpacing w:val="0"/>
        <w:rPr>
          <w:rFonts w:cstheme="minorHAnsi"/>
          <w:b/>
          <w:bCs/>
          <w:szCs w:val="24"/>
        </w:rPr>
      </w:pPr>
      <w:r w:rsidRPr="00A97181">
        <w:rPr>
          <w:rFonts w:cstheme="minorHAnsi"/>
          <w:b/>
          <w:bCs/>
          <w:szCs w:val="24"/>
        </w:rPr>
        <w:t>Approval of the agenda</w:t>
      </w:r>
    </w:p>
    <w:p w14:paraId="13E344E9" w14:textId="77777777" w:rsidR="00A97181" w:rsidRPr="00A97181" w:rsidRDefault="00A97181" w:rsidP="003E2C23">
      <w:pPr>
        <w:pStyle w:val="Fixed"/>
        <w:spacing w:before="120" w:after="120" w:line="240" w:lineRule="auto"/>
        <w:ind w:right="0"/>
        <w:rPr>
          <w:rFonts w:asciiTheme="minorHAnsi" w:hAnsiTheme="minorHAnsi" w:cstheme="minorHAnsi"/>
        </w:rPr>
      </w:pPr>
      <w:r w:rsidRPr="00130884">
        <w:rPr>
          <w:rFonts w:asciiTheme="minorHAnsi" w:hAnsiTheme="minorHAnsi" w:cstheme="minorHAnsi"/>
        </w:rPr>
        <w:t>The agenda was approved without modification</w:t>
      </w:r>
      <w:r w:rsidRPr="00A97181">
        <w:rPr>
          <w:rFonts w:asciiTheme="minorHAnsi" w:hAnsiTheme="minorHAnsi" w:cstheme="minorHAnsi"/>
        </w:rPr>
        <w:t>.</w:t>
      </w:r>
    </w:p>
    <w:p w14:paraId="3175E9EA" w14:textId="054829B0" w:rsidR="00A97181" w:rsidRPr="00A97181" w:rsidRDefault="00A97181" w:rsidP="003E2C23">
      <w:pPr>
        <w:pStyle w:val="ListParagraph"/>
        <w:numPr>
          <w:ilvl w:val="0"/>
          <w:numId w:val="22"/>
        </w:numPr>
        <w:autoSpaceDE/>
        <w:autoSpaceDN/>
        <w:adjustRightInd/>
        <w:spacing w:after="120"/>
        <w:rPr>
          <w:rFonts w:cstheme="minorHAnsi"/>
          <w:b/>
          <w:bCs/>
          <w:szCs w:val="24"/>
        </w:rPr>
      </w:pPr>
      <w:r w:rsidRPr="00A97181">
        <w:rPr>
          <w:rFonts w:cstheme="minorHAnsi"/>
          <w:b/>
          <w:bCs/>
          <w:szCs w:val="24"/>
        </w:rPr>
        <w:t>Working methods</w:t>
      </w:r>
    </w:p>
    <w:p w14:paraId="139B8AC1" w14:textId="77777777" w:rsidR="00A97181" w:rsidRPr="00A97181" w:rsidRDefault="00A97181" w:rsidP="003E2C23">
      <w:pPr>
        <w:autoSpaceDE/>
        <w:autoSpaceDN/>
        <w:adjustRightInd/>
        <w:spacing w:after="120"/>
        <w:rPr>
          <w:rFonts w:cstheme="minorHAnsi"/>
          <w:b/>
          <w:bCs/>
          <w:szCs w:val="24"/>
        </w:rPr>
      </w:pPr>
      <w:r w:rsidRPr="00A97181">
        <w:rPr>
          <w:rFonts w:cstheme="minorHAnsi"/>
          <w:b/>
          <w:bCs/>
          <w:szCs w:val="24"/>
        </w:rPr>
        <w:t>Virtual meetings with or without interpretation?</w:t>
      </w:r>
    </w:p>
    <w:p w14:paraId="2054000F" w14:textId="582440ED" w:rsidR="00130884" w:rsidRDefault="00A97181" w:rsidP="00130884">
      <w:pPr>
        <w:pStyle w:val="CommentText"/>
        <w:spacing w:after="120"/>
        <w:rPr>
          <w:rFonts w:cstheme="minorHAnsi"/>
          <w:sz w:val="24"/>
          <w:szCs w:val="24"/>
        </w:rPr>
      </w:pPr>
      <w:r w:rsidRPr="00A97181">
        <w:rPr>
          <w:rFonts w:cstheme="minorHAnsi"/>
          <w:sz w:val="24"/>
          <w:szCs w:val="24"/>
        </w:rPr>
        <w:t xml:space="preserve">The method chosen for the first block of virtual meetings (16-17 July 2020) of the three TDAG </w:t>
      </w:r>
      <w:r w:rsidR="00CF0937">
        <w:rPr>
          <w:rFonts w:cstheme="minorHAnsi"/>
          <w:sz w:val="24"/>
          <w:szCs w:val="24"/>
        </w:rPr>
        <w:t>w</w:t>
      </w:r>
      <w:r w:rsidRPr="00A97181">
        <w:rPr>
          <w:rFonts w:cstheme="minorHAnsi"/>
          <w:sz w:val="24"/>
          <w:szCs w:val="24"/>
        </w:rPr>
        <w:t xml:space="preserve">orking </w:t>
      </w:r>
      <w:r w:rsidR="00CF0937">
        <w:rPr>
          <w:rFonts w:cstheme="minorHAnsi"/>
          <w:sz w:val="24"/>
          <w:szCs w:val="24"/>
        </w:rPr>
        <w:t>g</w:t>
      </w:r>
      <w:r w:rsidRPr="00A97181">
        <w:rPr>
          <w:rFonts w:cstheme="minorHAnsi"/>
          <w:sz w:val="24"/>
          <w:szCs w:val="24"/>
        </w:rPr>
        <w:t>roups was to provide interpretation based on requests from Member States</w:t>
      </w:r>
      <w:r w:rsidR="00110230">
        <w:rPr>
          <w:rFonts w:cstheme="minorHAnsi"/>
          <w:sz w:val="24"/>
          <w:szCs w:val="24"/>
        </w:rPr>
        <w:t xml:space="preserve">, consistent </w:t>
      </w:r>
      <w:r w:rsidR="00110230">
        <w:rPr>
          <w:rFonts w:cstheme="minorHAnsi"/>
          <w:sz w:val="24"/>
          <w:szCs w:val="24"/>
        </w:rPr>
        <w:lastRenderedPageBreak/>
        <w:t>with Resolution 1 (Rev. Buenos Aires, 2017)</w:t>
      </w:r>
      <w:r w:rsidR="00CF0937">
        <w:rPr>
          <w:rFonts w:cstheme="minorHAnsi"/>
          <w:sz w:val="24"/>
          <w:szCs w:val="24"/>
        </w:rPr>
        <w:t xml:space="preserve"> of WTDC</w:t>
      </w:r>
      <w:r w:rsidRPr="00A97181">
        <w:rPr>
          <w:rFonts w:cstheme="minorHAnsi"/>
          <w:sz w:val="24"/>
          <w:szCs w:val="24"/>
        </w:rPr>
        <w:t xml:space="preserve">. Based on the requests received, interpretation was provided in English, French and Spanish. A number of participants sought clarification on the criteria </w:t>
      </w:r>
      <w:r w:rsidR="00130884">
        <w:rPr>
          <w:rFonts w:cstheme="minorHAnsi"/>
          <w:sz w:val="24"/>
          <w:szCs w:val="24"/>
        </w:rPr>
        <w:t xml:space="preserve">for providing interpretation, </w:t>
      </w:r>
      <w:r w:rsidRPr="00A97181">
        <w:rPr>
          <w:rFonts w:cstheme="minorHAnsi"/>
          <w:sz w:val="24"/>
          <w:szCs w:val="24"/>
        </w:rPr>
        <w:t>based on this method</w:t>
      </w:r>
      <w:r w:rsidRPr="00130884">
        <w:rPr>
          <w:rFonts w:cstheme="minorHAnsi"/>
          <w:sz w:val="24"/>
          <w:szCs w:val="24"/>
        </w:rPr>
        <w:t xml:space="preserve">. </w:t>
      </w:r>
      <w:bookmarkStart w:id="2" w:name="_Ref247889157"/>
    </w:p>
    <w:p w14:paraId="361BD8C4" w14:textId="230EF355" w:rsidR="00A97181" w:rsidRPr="00130884" w:rsidRDefault="00A97181" w:rsidP="00130884">
      <w:pPr>
        <w:pStyle w:val="CommentText"/>
        <w:spacing w:after="120"/>
        <w:rPr>
          <w:rFonts w:cstheme="minorHAnsi"/>
          <w:sz w:val="24"/>
          <w:szCs w:val="24"/>
        </w:rPr>
      </w:pPr>
      <w:r w:rsidRPr="00130884">
        <w:rPr>
          <w:rFonts w:cstheme="minorHAnsi"/>
          <w:sz w:val="24"/>
          <w:szCs w:val="24"/>
        </w:rPr>
        <w:t xml:space="preserve">The secretariat responded that, </w:t>
      </w:r>
      <w:r w:rsidR="00110230">
        <w:rPr>
          <w:rFonts w:cstheme="minorHAnsi"/>
          <w:sz w:val="24"/>
          <w:szCs w:val="24"/>
        </w:rPr>
        <w:t>the process in Resolution 1 is that</w:t>
      </w:r>
      <w:r w:rsidRPr="00130884">
        <w:rPr>
          <w:rFonts w:cstheme="minorHAnsi"/>
          <w:sz w:val="24"/>
          <w:szCs w:val="24"/>
        </w:rPr>
        <w:t xml:space="preserve"> delegates are invited to indicate what language they require and are given a deadline by which the decision on the languages to be used will be taken. The deadline is usually 45-calendar days prior to the opening of the meeting in order to secure interpretation in the requested languages. </w:t>
      </w:r>
      <w:bookmarkEnd w:id="2"/>
      <w:r w:rsidR="00110230">
        <w:rPr>
          <w:rFonts w:cstheme="minorHAnsi"/>
          <w:sz w:val="24"/>
          <w:szCs w:val="24"/>
        </w:rPr>
        <w:t>For non-statutory meetings</w:t>
      </w:r>
      <w:r w:rsidRPr="00130884">
        <w:rPr>
          <w:rFonts w:cstheme="minorHAnsi"/>
          <w:sz w:val="24"/>
          <w:szCs w:val="24"/>
        </w:rPr>
        <w:t xml:space="preserve">, a minimum of five requests must be received to service the meeting in the requested language. </w:t>
      </w:r>
    </w:p>
    <w:p w14:paraId="6557B742" w14:textId="27AF9664" w:rsidR="00A97181" w:rsidRPr="00A97181" w:rsidRDefault="00A97181" w:rsidP="003E2C23">
      <w:pPr>
        <w:pStyle w:val="CommentText"/>
        <w:spacing w:after="120"/>
        <w:jc w:val="both"/>
        <w:rPr>
          <w:rFonts w:cstheme="minorHAnsi"/>
          <w:sz w:val="24"/>
          <w:szCs w:val="24"/>
        </w:rPr>
      </w:pPr>
      <w:r w:rsidRPr="00A97181">
        <w:rPr>
          <w:rFonts w:cstheme="minorHAnsi"/>
          <w:sz w:val="24"/>
          <w:szCs w:val="24"/>
        </w:rPr>
        <w:t xml:space="preserve">In the circular letter announcing the first block of virtual meetings of the three TDAG </w:t>
      </w:r>
      <w:r w:rsidR="00CF0937">
        <w:rPr>
          <w:rFonts w:cstheme="minorHAnsi"/>
          <w:sz w:val="24"/>
          <w:szCs w:val="24"/>
        </w:rPr>
        <w:t>w</w:t>
      </w:r>
      <w:r w:rsidRPr="00A97181">
        <w:rPr>
          <w:rFonts w:cstheme="minorHAnsi"/>
          <w:sz w:val="24"/>
          <w:szCs w:val="24"/>
        </w:rPr>
        <w:t xml:space="preserve">orking </w:t>
      </w:r>
      <w:r w:rsidR="00CF0937">
        <w:rPr>
          <w:rFonts w:cstheme="minorHAnsi"/>
          <w:sz w:val="24"/>
          <w:szCs w:val="24"/>
        </w:rPr>
        <w:t>g</w:t>
      </w:r>
      <w:r w:rsidRPr="00A97181">
        <w:rPr>
          <w:rFonts w:cstheme="minorHAnsi"/>
          <w:sz w:val="24"/>
          <w:szCs w:val="24"/>
        </w:rPr>
        <w:t xml:space="preserve">roups, the deadline for making requests for interpretation was 8 July 2020 </w:t>
      </w:r>
      <w:r w:rsidR="00110230">
        <w:rPr>
          <w:rFonts w:cstheme="minorHAnsi"/>
          <w:sz w:val="24"/>
          <w:szCs w:val="24"/>
        </w:rPr>
        <w:t xml:space="preserve">(this </w:t>
      </w:r>
      <w:r w:rsidRPr="00A97181">
        <w:rPr>
          <w:rFonts w:cstheme="minorHAnsi"/>
          <w:sz w:val="24"/>
          <w:szCs w:val="24"/>
        </w:rPr>
        <w:t>was shorter than normal, considering that these groups were only established on 16 June 2020</w:t>
      </w:r>
      <w:r w:rsidR="00110230">
        <w:rPr>
          <w:rFonts w:cstheme="minorHAnsi"/>
          <w:sz w:val="24"/>
          <w:szCs w:val="24"/>
        </w:rPr>
        <w:t>)</w:t>
      </w:r>
      <w:r w:rsidRPr="00A97181">
        <w:rPr>
          <w:rFonts w:cstheme="minorHAnsi"/>
          <w:sz w:val="24"/>
          <w:szCs w:val="24"/>
        </w:rPr>
        <w:t>.</w:t>
      </w:r>
      <w:r w:rsidR="005D2279">
        <w:rPr>
          <w:rFonts w:cstheme="minorHAnsi"/>
          <w:sz w:val="24"/>
          <w:szCs w:val="24"/>
        </w:rPr>
        <w:t xml:space="preserve"> A</w:t>
      </w:r>
      <w:r w:rsidRPr="00A97181">
        <w:rPr>
          <w:rFonts w:cstheme="minorHAnsi"/>
          <w:sz w:val="24"/>
          <w:szCs w:val="24"/>
        </w:rPr>
        <w:t xml:space="preserve">dequate responses </w:t>
      </w:r>
      <w:r w:rsidR="005D2279">
        <w:rPr>
          <w:rFonts w:cstheme="minorHAnsi"/>
          <w:sz w:val="24"/>
          <w:szCs w:val="24"/>
        </w:rPr>
        <w:t xml:space="preserve">were </w:t>
      </w:r>
      <w:r w:rsidRPr="00A97181">
        <w:rPr>
          <w:rFonts w:cstheme="minorHAnsi"/>
          <w:sz w:val="24"/>
          <w:szCs w:val="24"/>
        </w:rPr>
        <w:t xml:space="preserve">received to justify interpretation in English, French and Spanish. </w:t>
      </w:r>
    </w:p>
    <w:p w14:paraId="43C764C5" w14:textId="1A8CF0E3" w:rsidR="00FF11CA" w:rsidRPr="00A97181" w:rsidRDefault="00A97181" w:rsidP="00E44BCB">
      <w:pPr>
        <w:autoSpaceDE/>
        <w:autoSpaceDN/>
        <w:adjustRightInd/>
        <w:spacing w:after="120"/>
        <w:rPr>
          <w:rFonts w:cstheme="minorHAnsi"/>
          <w:szCs w:val="24"/>
        </w:rPr>
      </w:pPr>
      <w:r w:rsidRPr="00A97181">
        <w:rPr>
          <w:rFonts w:cstheme="minorHAnsi"/>
          <w:iCs/>
          <w:szCs w:val="24"/>
        </w:rPr>
        <w:t>Participants stressed</w:t>
      </w:r>
      <w:r w:rsidRPr="00A97181">
        <w:rPr>
          <w:rFonts w:cstheme="minorHAnsi"/>
          <w:i/>
          <w:iCs/>
          <w:szCs w:val="24"/>
        </w:rPr>
        <w:t xml:space="preserve"> </w:t>
      </w:r>
      <w:r w:rsidRPr="00A97181">
        <w:rPr>
          <w:rFonts w:cstheme="minorHAnsi"/>
          <w:szCs w:val="24"/>
        </w:rPr>
        <w:t xml:space="preserve">that interpretation and translation are essential elements of the work of the Union that enable a common understanding among the entire ITU membership on the important issues under discussion. </w:t>
      </w:r>
      <w:r w:rsidRPr="00A97181">
        <w:rPr>
          <w:rFonts w:cstheme="minorHAnsi"/>
          <w:iCs/>
          <w:szCs w:val="24"/>
        </w:rPr>
        <w:t xml:space="preserve">The secretariat, </w:t>
      </w:r>
      <w:r w:rsidRPr="00A97181">
        <w:rPr>
          <w:rFonts w:cstheme="minorHAnsi"/>
          <w:szCs w:val="24"/>
        </w:rPr>
        <w:t xml:space="preserve">while recognizing the importance of ensuring the use of the languages of the Union on an equal footing, </w:t>
      </w:r>
      <w:r w:rsidRPr="00A97181">
        <w:rPr>
          <w:rFonts w:cstheme="minorHAnsi"/>
          <w:iCs/>
          <w:szCs w:val="24"/>
        </w:rPr>
        <w:t xml:space="preserve">pointed to the strain the provision of </w:t>
      </w:r>
      <w:r w:rsidRPr="00A97181">
        <w:rPr>
          <w:rFonts w:cstheme="minorHAnsi"/>
          <w:szCs w:val="24"/>
        </w:rPr>
        <w:t xml:space="preserve">interpretation and translation for so many meetings would put on the budget. Participants expressed the hope that the secretariat could still find a way to provide interpretation in all six languages </w:t>
      </w:r>
      <w:r w:rsidR="005D2279" w:rsidRPr="00A97181">
        <w:rPr>
          <w:rFonts w:cstheme="minorHAnsi"/>
          <w:szCs w:val="24"/>
        </w:rPr>
        <w:t xml:space="preserve">of the Union (Arabic, Chinese, English French, Russian and Spanish), </w:t>
      </w:r>
      <w:r w:rsidRPr="00A97181">
        <w:rPr>
          <w:rFonts w:eastAsiaTheme="minorHAnsi" w:cstheme="minorHAnsi"/>
          <w:szCs w:val="24"/>
        </w:rPr>
        <w:t>within the budgetary limitations of the Union</w:t>
      </w:r>
      <w:r w:rsidR="00FF11CA">
        <w:rPr>
          <w:rFonts w:eastAsiaTheme="minorHAnsi" w:cstheme="minorHAnsi"/>
          <w:szCs w:val="24"/>
        </w:rPr>
        <w:t xml:space="preserve">, if this is not possible, </w:t>
      </w:r>
      <w:r w:rsidR="00A31936">
        <w:rPr>
          <w:rFonts w:eastAsiaTheme="minorHAnsi" w:cstheme="minorHAnsi"/>
          <w:szCs w:val="24"/>
        </w:rPr>
        <w:t xml:space="preserve">some participants expressed preference for </w:t>
      </w:r>
      <w:r w:rsidR="005D2279">
        <w:rPr>
          <w:rFonts w:eastAsiaTheme="minorHAnsi" w:cstheme="minorHAnsi"/>
          <w:szCs w:val="24"/>
        </w:rPr>
        <w:t xml:space="preserve">future meetings of the group </w:t>
      </w:r>
      <w:r w:rsidR="00A31936">
        <w:rPr>
          <w:rFonts w:eastAsiaTheme="minorHAnsi" w:cstheme="minorHAnsi"/>
          <w:szCs w:val="24"/>
        </w:rPr>
        <w:t xml:space="preserve">to </w:t>
      </w:r>
      <w:r w:rsidR="005D2279">
        <w:rPr>
          <w:rFonts w:eastAsiaTheme="minorHAnsi" w:cstheme="minorHAnsi"/>
          <w:szCs w:val="24"/>
        </w:rPr>
        <w:t>be conducted</w:t>
      </w:r>
      <w:r w:rsidRPr="00A97181">
        <w:rPr>
          <w:rFonts w:eastAsiaTheme="minorHAnsi" w:cstheme="minorHAnsi"/>
          <w:szCs w:val="24"/>
        </w:rPr>
        <w:t xml:space="preserve"> in English</w:t>
      </w:r>
      <w:r w:rsidR="005D2279">
        <w:rPr>
          <w:rFonts w:eastAsiaTheme="minorHAnsi" w:cstheme="minorHAnsi"/>
          <w:szCs w:val="24"/>
        </w:rPr>
        <w:t xml:space="preserve"> only</w:t>
      </w:r>
      <w:r w:rsidRPr="00A97181">
        <w:rPr>
          <w:rFonts w:eastAsiaTheme="minorHAnsi" w:cstheme="minorHAnsi"/>
          <w:szCs w:val="24"/>
        </w:rPr>
        <w:t>.</w:t>
      </w:r>
      <w:r w:rsidR="00E44BCB" w:rsidRPr="00A97181">
        <w:rPr>
          <w:rFonts w:cstheme="minorHAnsi"/>
          <w:szCs w:val="24"/>
        </w:rPr>
        <w:t xml:space="preserve"> </w:t>
      </w:r>
    </w:p>
    <w:p w14:paraId="7A2D194D" w14:textId="211F2D61" w:rsidR="00A97181" w:rsidRPr="00200F9A" w:rsidRDefault="00A97181" w:rsidP="003E2C23">
      <w:pPr>
        <w:pStyle w:val="ContinCol"/>
        <w:spacing w:before="120" w:after="120" w:line="240" w:lineRule="auto"/>
        <w:ind w:left="0" w:firstLine="0"/>
        <w:rPr>
          <w:rFonts w:asciiTheme="minorHAnsi" w:hAnsiTheme="minorHAnsi" w:cstheme="minorHAnsi"/>
        </w:rPr>
      </w:pPr>
      <w:r w:rsidRPr="00A97181">
        <w:rPr>
          <w:rFonts w:asciiTheme="minorHAnsi" w:hAnsiTheme="minorHAnsi" w:cstheme="minorHAnsi"/>
          <w:b/>
        </w:rPr>
        <w:t>Recommendation</w:t>
      </w:r>
      <w:r w:rsidR="00200F9A">
        <w:rPr>
          <w:rFonts w:asciiTheme="minorHAnsi" w:hAnsiTheme="minorHAnsi" w:cstheme="minorHAnsi"/>
          <w:b/>
        </w:rPr>
        <w:t xml:space="preserve"> on </w:t>
      </w:r>
      <w:r w:rsidR="00200F9A" w:rsidRPr="00200F9A">
        <w:rPr>
          <w:rFonts w:asciiTheme="minorHAnsi" w:hAnsiTheme="minorHAnsi" w:cstheme="minorHAnsi"/>
          <w:b/>
        </w:rPr>
        <w:t>interpretation</w:t>
      </w:r>
      <w:r w:rsidRPr="00200F9A">
        <w:rPr>
          <w:rFonts w:asciiTheme="minorHAnsi" w:hAnsiTheme="minorHAnsi" w:cstheme="minorHAnsi"/>
          <w:b/>
        </w:rPr>
        <w:t>:</w:t>
      </w:r>
      <w:r w:rsidRPr="00200F9A">
        <w:rPr>
          <w:rFonts w:asciiTheme="minorHAnsi" w:hAnsiTheme="minorHAnsi" w:cstheme="minorHAnsi"/>
        </w:rPr>
        <w:t xml:space="preserve"> Interpretation should be provided in the six official languages of the Union within </w:t>
      </w:r>
      <w:r w:rsidRPr="00200F9A">
        <w:rPr>
          <w:rFonts w:asciiTheme="minorHAnsi" w:eastAsiaTheme="minorHAnsi" w:hAnsiTheme="minorHAnsi" w:cstheme="minorHAnsi"/>
        </w:rPr>
        <w:t>the budgetary limitations of the Union. I</w:t>
      </w:r>
      <w:r w:rsidRPr="00200F9A">
        <w:rPr>
          <w:rFonts w:asciiTheme="minorHAnsi" w:hAnsiTheme="minorHAnsi" w:cstheme="minorHAnsi"/>
        </w:rPr>
        <w:t xml:space="preserve">f funds are not available </w:t>
      </w:r>
      <w:r w:rsidR="00A31936">
        <w:rPr>
          <w:rFonts w:asciiTheme="minorHAnsi" w:hAnsiTheme="minorHAnsi" w:cstheme="minorHAnsi"/>
        </w:rPr>
        <w:t xml:space="preserve">consideration should be given to conducting </w:t>
      </w:r>
      <w:r w:rsidRPr="00200F9A">
        <w:rPr>
          <w:rFonts w:asciiTheme="minorHAnsi" w:hAnsiTheme="minorHAnsi" w:cstheme="minorHAnsi"/>
        </w:rPr>
        <w:t xml:space="preserve">the next meetings of the working group </w:t>
      </w:r>
      <w:r w:rsidR="00A31936">
        <w:rPr>
          <w:rFonts w:asciiTheme="minorHAnsi" w:hAnsiTheme="minorHAnsi" w:cstheme="minorHAnsi"/>
        </w:rPr>
        <w:t>in</w:t>
      </w:r>
      <w:r w:rsidR="00A31936" w:rsidRPr="00200F9A">
        <w:rPr>
          <w:rFonts w:asciiTheme="minorHAnsi" w:hAnsiTheme="minorHAnsi" w:cstheme="minorHAnsi"/>
        </w:rPr>
        <w:t xml:space="preserve"> </w:t>
      </w:r>
      <w:r w:rsidRPr="00200F9A">
        <w:rPr>
          <w:rFonts w:asciiTheme="minorHAnsi" w:hAnsiTheme="minorHAnsi" w:cstheme="minorHAnsi"/>
        </w:rPr>
        <w:t>English only.</w:t>
      </w:r>
    </w:p>
    <w:p w14:paraId="4D673347" w14:textId="147A384B" w:rsidR="00200F9A" w:rsidRPr="00200F9A" w:rsidRDefault="00200F9A" w:rsidP="00200F9A">
      <w:pPr>
        <w:pStyle w:val="Fixed"/>
        <w:spacing w:before="120" w:after="120" w:line="240" w:lineRule="auto"/>
        <w:ind w:right="0"/>
        <w:rPr>
          <w:rFonts w:asciiTheme="minorHAnsi" w:hAnsiTheme="minorHAnsi" w:cstheme="minorHAnsi"/>
          <w:b/>
        </w:rPr>
      </w:pPr>
      <w:r w:rsidRPr="00200F9A">
        <w:rPr>
          <w:rFonts w:asciiTheme="minorHAnsi" w:hAnsiTheme="minorHAnsi"/>
          <w:b/>
          <w:bCs/>
        </w:rPr>
        <w:t xml:space="preserve">Recommendation on document submission and language of documents: </w:t>
      </w:r>
      <w:r w:rsidRPr="00200F9A">
        <w:rPr>
          <w:rFonts w:asciiTheme="minorHAnsi" w:hAnsiTheme="minorHAnsi"/>
        </w:rPr>
        <w:t>Contributions are to be</w:t>
      </w:r>
      <w:r>
        <w:rPr>
          <w:rFonts w:asciiTheme="minorHAnsi" w:hAnsiTheme="minorHAnsi"/>
        </w:rPr>
        <w:t xml:space="preserve"> </w:t>
      </w:r>
      <w:r w:rsidRPr="00200F9A">
        <w:rPr>
          <w:rFonts w:asciiTheme="minorHAnsi" w:hAnsiTheme="minorHAnsi"/>
        </w:rPr>
        <w:t xml:space="preserve">submitted in English, or in the language of the contributing Member State, </w:t>
      </w:r>
      <w:r>
        <w:rPr>
          <w:rFonts w:asciiTheme="minorHAnsi" w:hAnsiTheme="minorHAnsi"/>
        </w:rPr>
        <w:t xml:space="preserve">provided it </w:t>
      </w:r>
      <w:r w:rsidRPr="00200F9A">
        <w:rPr>
          <w:rFonts w:asciiTheme="minorHAnsi" w:hAnsiTheme="minorHAnsi"/>
        </w:rPr>
        <w:t>is one of the official languages of the Union</w:t>
      </w:r>
      <w:r>
        <w:rPr>
          <w:rFonts w:asciiTheme="minorHAnsi" w:hAnsiTheme="minorHAnsi"/>
        </w:rPr>
        <w:t xml:space="preserve"> and that the document is received within a specified deadline.</w:t>
      </w:r>
      <w:r w:rsidRPr="00200F9A">
        <w:rPr>
          <w:rFonts w:asciiTheme="minorHAnsi" w:hAnsiTheme="minorHAnsi"/>
        </w:rPr>
        <w:t xml:space="preserve"> In </w:t>
      </w:r>
      <w:r>
        <w:rPr>
          <w:rFonts w:asciiTheme="minorHAnsi" w:hAnsiTheme="minorHAnsi"/>
        </w:rPr>
        <w:t>such a case</w:t>
      </w:r>
      <w:r w:rsidRPr="00200F9A">
        <w:rPr>
          <w:rFonts w:asciiTheme="minorHAnsi" w:hAnsiTheme="minorHAnsi"/>
        </w:rPr>
        <w:t xml:space="preserve">, the contribution will be translated into English only. </w:t>
      </w:r>
      <w:r w:rsidR="00A31936">
        <w:rPr>
          <w:rFonts w:asciiTheme="minorHAnsi" w:hAnsiTheme="minorHAnsi"/>
        </w:rPr>
        <w:t>[Secretariat notes that the deadline would be at least 45 days before the meeting, which may be difficult in the case of the Working Group Meetings due to the short timeframes involved]</w:t>
      </w:r>
    </w:p>
    <w:p w14:paraId="21D7D6E2" w14:textId="4CE98BF5" w:rsidR="00200F9A" w:rsidRPr="00200F9A" w:rsidRDefault="00200F9A" w:rsidP="002629F1">
      <w:r>
        <w:t>A</w:t>
      </w:r>
      <w:r w:rsidRPr="00606305">
        <w:t xml:space="preserve">ny reports produced by the working group </w:t>
      </w:r>
      <w:r>
        <w:t xml:space="preserve">will </w:t>
      </w:r>
      <w:r w:rsidRPr="00606305">
        <w:t>be translated into all six languages.</w:t>
      </w:r>
    </w:p>
    <w:p w14:paraId="4C7722F2" w14:textId="77777777" w:rsidR="00A97181" w:rsidRPr="00A97181" w:rsidRDefault="00A97181" w:rsidP="003E2C23">
      <w:pPr>
        <w:autoSpaceDE/>
        <w:autoSpaceDN/>
        <w:adjustRightInd/>
        <w:spacing w:after="120"/>
        <w:rPr>
          <w:rFonts w:cstheme="minorHAnsi"/>
          <w:b/>
          <w:bCs/>
          <w:szCs w:val="24"/>
        </w:rPr>
      </w:pPr>
      <w:r w:rsidRPr="00A97181">
        <w:rPr>
          <w:rFonts w:cstheme="minorHAnsi"/>
          <w:b/>
          <w:bCs/>
          <w:szCs w:val="24"/>
        </w:rPr>
        <w:t>E-mail correspondence/mailing list/Sharepoint site</w:t>
      </w:r>
    </w:p>
    <w:p w14:paraId="11847296" w14:textId="588D22A6" w:rsidR="00A97181" w:rsidRPr="00A97181" w:rsidRDefault="00A97181" w:rsidP="003E2C23">
      <w:pPr>
        <w:autoSpaceDE/>
        <w:autoSpaceDN/>
        <w:adjustRightInd/>
        <w:spacing w:after="120"/>
        <w:rPr>
          <w:rFonts w:cstheme="minorHAnsi"/>
          <w:bCs/>
          <w:szCs w:val="24"/>
        </w:rPr>
      </w:pPr>
      <w:r w:rsidRPr="00A97181">
        <w:rPr>
          <w:rFonts w:cstheme="minorHAnsi"/>
          <w:bCs/>
          <w:szCs w:val="24"/>
        </w:rPr>
        <w:t xml:space="preserve">A number of participants </w:t>
      </w:r>
      <w:r w:rsidR="005D2279">
        <w:rPr>
          <w:rFonts w:cstheme="minorHAnsi"/>
          <w:bCs/>
          <w:szCs w:val="24"/>
        </w:rPr>
        <w:t xml:space="preserve">sought </w:t>
      </w:r>
      <w:r w:rsidRPr="00A97181">
        <w:rPr>
          <w:rFonts w:cstheme="minorHAnsi"/>
          <w:bCs/>
          <w:szCs w:val="24"/>
        </w:rPr>
        <w:t xml:space="preserve">to know whether they were to choose one or all three options: e-mail correspondence, mailing list or Sharepoint site. </w:t>
      </w:r>
      <w:r w:rsidRPr="00A97181">
        <w:rPr>
          <w:rFonts w:cstheme="minorHAnsi"/>
          <w:szCs w:val="24"/>
        </w:rPr>
        <w:t xml:space="preserve">Others asked what they would be doing through a mailing list, given that the work of the working group would be based on written contributions to be discussed during meetings. </w:t>
      </w:r>
    </w:p>
    <w:p w14:paraId="212CA1B6" w14:textId="53D3376F" w:rsidR="00A97181" w:rsidRPr="00A97181" w:rsidRDefault="00A97181" w:rsidP="003E2C23">
      <w:pPr>
        <w:spacing w:after="120"/>
        <w:rPr>
          <w:rFonts w:cstheme="minorHAnsi"/>
          <w:szCs w:val="24"/>
        </w:rPr>
      </w:pPr>
      <w:r w:rsidRPr="00A97181">
        <w:rPr>
          <w:rFonts w:cstheme="minorHAnsi"/>
          <w:szCs w:val="24"/>
        </w:rPr>
        <w:t>The Chairman explained that these were proposed as</w:t>
      </w:r>
      <w:r w:rsidR="00110230">
        <w:rPr>
          <w:rFonts w:cstheme="minorHAnsi"/>
          <w:szCs w:val="24"/>
        </w:rPr>
        <w:t xml:space="preserve"> informal</w:t>
      </w:r>
      <w:r w:rsidRPr="00A97181">
        <w:rPr>
          <w:rFonts w:cstheme="minorHAnsi"/>
          <w:szCs w:val="24"/>
        </w:rPr>
        <w:t xml:space="preserve"> additional tools that would facilitate the exchange of views in a relatively informal manner, and that the official documents remain the contributions submitted to the meetings of the working group within specified deadlines. In the end, preference was expressed for just the mailing list. </w:t>
      </w:r>
    </w:p>
    <w:p w14:paraId="07D3BC62" w14:textId="7B186F6E" w:rsidR="00A97181" w:rsidRPr="00A97181" w:rsidRDefault="00A97181" w:rsidP="003E2C23">
      <w:pPr>
        <w:spacing w:after="120"/>
        <w:rPr>
          <w:rFonts w:cstheme="minorHAnsi"/>
          <w:szCs w:val="24"/>
        </w:rPr>
      </w:pPr>
      <w:r w:rsidRPr="00A97181">
        <w:rPr>
          <w:rFonts w:cstheme="minorHAnsi"/>
          <w:b/>
          <w:szCs w:val="24"/>
        </w:rPr>
        <w:t>Recommendation:</w:t>
      </w:r>
      <w:r w:rsidRPr="00A97181">
        <w:rPr>
          <w:rFonts w:cstheme="minorHAnsi"/>
          <w:szCs w:val="24"/>
        </w:rPr>
        <w:t xml:space="preserve"> The mailing list will be the only additional, but informal tool to be used to work constructively. Written contributions are the only formal documents for discussions.</w:t>
      </w:r>
      <w:r>
        <w:rPr>
          <w:rFonts w:cstheme="minorHAnsi"/>
          <w:szCs w:val="24"/>
        </w:rPr>
        <w:t xml:space="preserve"> </w:t>
      </w:r>
    </w:p>
    <w:p w14:paraId="60EEADCD" w14:textId="77777777" w:rsidR="00A97181" w:rsidRPr="00A97181" w:rsidRDefault="00A97181" w:rsidP="003E2C23">
      <w:pPr>
        <w:keepNext/>
        <w:autoSpaceDE/>
        <w:autoSpaceDN/>
        <w:adjustRightInd/>
        <w:spacing w:after="120"/>
        <w:rPr>
          <w:rFonts w:cstheme="minorHAnsi"/>
          <w:b/>
          <w:bCs/>
          <w:szCs w:val="24"/>
        </w:rPr>
      </w:pPr>
      <w:r w:rsidRPr="00A97181">
        <w:rPr>
          <w:rFonts w:cstheme="minorHAnsi"/>
          <w:b/>
          <w:bCs/>
          <w:szCs w:val="24"/>
        </w:rPr>
        <w:lastRenderedPageBreak/>
        <w:t>Recommendation for RTOs to designate focal points for regional coordination</w:t>
      </w:r>
    </w:p>
    <w:p w14:paraId="691F81CD" w14:textId="622674B3" w:rsidR="004A41E5" w:rsidRPr="00286759" w:rsidRDefault="00A97181" w:rsidP="004A41E5">
      <w:pPr>
        <w:tabs>
          <w:tab w:val="clear" w:pos="794"/>
          <w:tab w:val="clear" w:pos="1191"/>
          <w:tab w:val="clear" w:pos="1588"/>
          <w:tab w:val="clear" w:pos="1985"/>
        </w:tabs>
        <w:overflowPunct/>
        <w:autoSpaceDE/>
        <w:autoSpaceDN/>
        <w:adjustRightInd/>
        <w:textAlignment w:val="auto"/>
        <w:rPr>
          <w:rFonts w:cstheme="minorHAnsi"/>
          <w:szCs w:val="24"/>
        </w:rPr>
      </w:pPr>
      <w:r w:rsidRPr="00A97181">
        <w:rPr>
          <w:rFonts w:cstheme="minorHAnsi"/>
          <w:snapToGrid w:val="0"/>
          <w:szCs w:val="24"/>
          <w:lang w:eastAsia="fr-FR"/>
        </w:rPr>
        <w:t>All participants recognize the benefits of regional coordination for the six</w:t>
      </w:r>
      <w:r w:rsidR="00A2757D">
        <w:rPr>
          <w:rStyle w:val="FootnoteReference"/>
          <w:rFonts w:cstheme="minorHAnsi"/>
          <w:snapToGrid w:val="0"/>
          <w:szCs w:val="24"/>
          <w:lang w:eastAsia="fr-FR"/>
        </w:rPr>
        <w:footnoteReference w:id="1"/>
      </w:r>
      <w:r w:rsidRPr="00A97181">
        <w:rPr>
          <w:rFonts w:cstheme="minorHAnsi"/>
          <w:snapToGrid w:val="0"/>
          <w:szCs w:val="24"/>
          <w:lang w:eastAsia="fr-FR"/>
        </w:rPr>
        <w:t xml:space="preserve"> regions as already experienced in the preparation of all ITU conferences and assemblies.</w:t>
      </w:r>
      <w:r w:rsidR="00B15117">
        <w:rPr>
          <w:rFonts w:cstheme="minorHAnsi"/>
          <w:snapToGrid w:val="0"/>
          <w:szCs w:val="24"/>
          <w:lang w:eastAsia="fr-FR"/>
        </w:rPr>
        <w:t xml:space="preserve"> </w:t>
      </w:r>
      <w:r w:rsidR="00110230">
        <w:rPr>
          <w:rFonts w:cstheme="minorHAnsi"/>
          <w:snapToGrid w:val="0"/>
          <w:szCs w:val="24"/>
          <w:lang w:eastAsia="fr-FR"/>
        </w:rPr>
        <w:t>P</w:t>
      </w:r>
      <w:r w:rsidR="00B15117" w:rsidRPr="00A97181">
        <w:rPr>
          <w:rFonts w:cstheme="minorHAnsi"/>
          <w:szCs w:val="24"/>
        </w:rPr>
        <w:t xml:space="preserve">articipants </w:t>
      </w:r>
      <w:r w:rsidRPr="00A97181">
        <w:rPr>
          <w:rFonts w:cstheme="minorHAnsi"/>
          <w:szCs w:val="24"/>
        </w:rPr>
        <w:t xml:space="preserve">underlined that </w:t>
      </w:r>
      <w:r w:rsidR="00133F1B" w:rsidRPr="00A97181">
        <w:rPr>
          <w:rFonts w:cstheme="minorHAnsi"/>
          <w:szCs w:val="24"/>
        </w:rPr>
        <w:t xml:space="preserve">regional telecommunication organizations </w:t>
      </w:r>
      <w:r w:rsidR="00133F1B">
        <w:rPr>
          <w:rFonts w:cstheme="minorHAnsi"/>
          <w:szCs w:val="24"/>
        </w:rPr>
        <w:t>(</w:t>
      </w:r>
      <w:r w:rsidRPr="00A97181">
        <w:rPr>
          <w:rFonts w:cstheme="minorHAnsi"/>
          <w:szCs w:val="24"/>
        </w:rPr>
        <w:t>RTOs</w:t>
      </w:r>
      <w:r w:rsidR="00A2757D">
        <w:rPr>
          <w:rStyle w:val="FootnoteReference"/>
          <w:rFonts w:cstheme="minorHAnsi"/>
          <w:szCs w:val="24"/>
        </w:rPr>
        <w:footnoteReference w:id="2"/>
      </w:r>
      <w:r w:rsidR="00133F1B">
        <w:rPr>
          <w:rFonts w:cstheme="minorHAnsi"/>
          <w:szCs w:val="24"/>
        </w:rPr>
        <w:t xml:space="preserve">) </w:t>
      </w:r>
      <w:r w:rsidRPr="00A97181">
        <w:rPr>
          <w:rFonts w:cstheme="minorHAnsi"/>
          <w:szCs w:val="24"/>
        </w:rPr>
        <w:t xml:space="preserve">have </w:t>
      </w:r>
      <w:r w:rsidR="00110230">
        <w:rPr>
          <w:rFonts w:cstheme="minorHAnsi"/>
          <w:szCs w:val="24"/>
        </w:rPr>
        <w:t xml:space="preserve">traditionally </w:t>
      </w:r>
      <w:r w:rsidRPr="00A97181">
        <w:rPr>
          <w:rFonts w:cstheme="minorHAnsi"/>
          <w:szCs w:val="24"/>
        </w:rPr>
        <w:t xml:space="preserve">been the main bodies preparing regional </w:t>
      </w:r>
      <w:r w:rsidR="004A41E5">
        <w:rPr>
          <w:rFonts w:cstheme="minorHAnsi"/>
          <w:szCs w:val="24"/>
        </w:rPr>
        <w:t>positions and common proposals</w:t>
      </w:r>
      <w:r w:rsidR="00110230">
        <w:rPr>
          <w:rFonts w:cstheme="minorHAnsi"/>
          <w:szCs w:val="24"/>
        </w:rPr>
        <w:t xml:space="preserve"> for WTDC</w:t>
      </w:r>
      <w:r w:rsidR="004A41E5">
        <w:rPr>
          <w:rFonts w:cstheme="minorHAnsi"/>
          <w:szCs w:val="24"/>
        </w:rPr>
        <w:t xml:space="preserve">. </w:t>
      </w:r>
    </w:p>
    <w:p w14:paraId="59BCBF6F" w14:textId="486D897B" w:rsidR="00A97181" w:rsidRDefault="00133F1B" w:rsidP="003E2C23">
      <w:pPr>
        <w:spacing w:after="120"/>
        <w:rPr>
          <w:rFonts w:cstheme="minorHAnsi"/>
          <w:snapToGrid w:val="0"/>
          <w:szCs w:val="24"/>
          <w:lang w:eastAsia="fr-FR"/>
        </w:rPr>
      </w:pPr>
      <w:r>
        <w:rPr>
          <w:rFonts w:cstheme="minorHAnsi"/>
          <w:snapToGrid w:val="0"/>
          <w:szCs w:val="24"/>
          <w:lang w:eastAsia="fr-FR"/>
        </w:rPr>
        <w:t>Participants acknowledged that the</w:t>
      </w:r>
      <w:r w:rsidR="00A97181" w:rsidRPr="00A97181">
        <w:rPr>
          <w:rFonts w:cstheme="minorHAnsi"/>
          <w:snapToGrid w:val="0"/>
          <w:szCs w:val="24"/>
          <w:lang w:eastAsia="fr-FR"/>
        </w:rPr>
        <w:t xml:space="preserve"> consolidation of views at regional level, together with the opportunity for interregional discussions prior to the conference, has eased the task of reaching consensus on many issues during WTDCs. The continued success of future conferences will depend on greater efficiency of regional coordination and interaction at interregional level prior to such conferences.</w:t>
      </w:r>
    </w:p>
    <w:p w14:paraId="27B4491D" w14:textId="5E2986EA" w:rsidR="00A97181" w:rsidRPr="00A97181" w:rsidRDefault="005D2279" w:rsidP="003E2C23">
      <w:pPr>
        <w:spacing w:after="120"/>
        <w:rPr>
          <w:rFonts w:cstheme="minorHAnsi"/>
          <w:szCs w:val="24"/>
        </w:rPr>
      </w:pPr>
      <w:r>
        <w:rPr>
          <w:rFonts w:cstheme="minorHAnsi"/>
          <w:szCs w:val="24"/>
        </w:rPr>
        <w:t>Turning to the question of designating</w:t>
      </w:r>
      <w:r w:rsidR="00A97181" w:rsidRPr="00A97181">
        <w:rPr>
          <w:rFonts w:cstheme="minorHAnsi"/>
          <w:szCs w:val="24"/>
        </w:rPr>
        <w:t xml:space="preserve"> focal points for regional coordination, participants made </w:t>
      </w:r>
      <w:r w:rsidR="006D21D9">
        <w:rPr>
          <w:rFonts w:cstheme="minorHAnsi"/>
          <w:szCs w:val="24"/>
        </w:rPr>
        <w:t>some</w:t>
      </w:r>
      <w:r w:rsidR="00A97181" w:rsidRPr="00A97181">
        <w:rPr>
          <w:rFonts w:cstheme="minorHAnsi"/>
          <w:szCs w:val="24"/>
        </w:rPr>
        <w:t xml:space="preserve"> observations and comments. For some, it is still early days to ask RTOs to designate their focal points, given that the working group itself is yet to discuss how it can help have better preparations and process for the forthcoming WTDC.</w:t>
      </w:r>
      <w:r w:rsidR="00B15117">
        <w:rPr>
          <w:rFonts w:cstheme="minorHAnsi"/>
          <w:szCs w:val="24"/>
        </w:rPr>
        <w:t xml:space="preserve"> Others asked h</w:t>
      </w:r>
      <w:r w:rsidR="00A97181" w:rsidRPr="00A97181">
        <w:rPr>
          <w:rFonts w:cstheme="minorHAnsi"/>
          <w:szCs w:val="24"/>
        </w:rPr>
        <w:t>ow many focal points are needed from each RTO? What is the time</w:t>
      </w:r>
      <w:r w:rsidR="005B5C0F">
        <w:rPr>
          <w:rFonts w:cstheme="minorHAnsi"/>
          <w:szCs w:val="24"/>
        </w:rPr>
        <w:t>-</w:t>
      </w:r>
      <w:r w:rsidR="00A97181" w:rsidRPr="00A97181">
        <w:rPr>
          <w:rFonts w:cstheme="minorHAnsi"/>
          <w:szCs w:val="24"/>
        </w:rPr>
        <w:t xml:space="preserve">frame within which RTOs should decide on the focal points? </w:t>
      </w:r>
    </w:p>
    <w:p w14:paraId="37813A5B" w14:textId="0D880724" w:rsidR="00A97181" w:rsidRDefault="00D31FF1" w:rsidP="003E2C23">
      <w:pPr>
        <w:pStyle w:val="Fixed"/>
        <w:spacing w:before="120" w:after="120" w:line="240" w:lineRule="auto"/>
        <w:ind w:right="0"/>
        <w:rPr>
          <w:rFonts w:asciiTheme="minorHAnsi" w:hAnsiTheme="minorHAnsi" w:cstheme="minorHAnsi"/>
        </w:rPr>
      </w:pPr>
      <w:r>
        <w:rPr>
          <w:rFonts w:asciiTheme="minorHAnsi" w:hAnsiTheme="minorHAnsi" w:cstheme="minorHAnsi"/>
        </w:rPr>
        <w:t>In the context of focal points, t</w:t>
      </w:r>
      <w:r w:rsidR="00577E95">
        <w:rPr>
          <w:rFonts w:asciiTheme="minorHAnsi" w:hAnsiTheme="minorHAnsi" w:cstheme="minorHAnsi"/>
        </w:rPr>
        <w:t xml:space="preserve">he Chairman specifically </w:t>
      </w:r>
      <w:r>
        <w:rPr>
          <w:rFonts w:asciiTheme="minorHAnsi" w:hAnsiTheme="minorHAnsi" w:cstheme="minorHAnsi"/>
        </w:rPr>
        <w:t>referred to</w:t>
      </w:r>
      <w:r w:rsidR="00577E95">
        <w:rPr>
          <w:rFonts w:asciiTheme="minorHAnsi" w:hAnsiTheme="minorHAnsi" w:cstheme="minorHAnsi"/>
        </w:rPr>
        <w:t xml:space="preserve"> </w:t>
      </w:r>
      <w:r w:rsidR="00A97181" w:rsidRPr="00A97181">
        <w:rPr>
          <w:rFonts w:asciiTheme="minorHAnsi" w:hAnsiTheme="minorHAnsi" w:cstheme="minorHAnsi"/>
        </w:rPr>
        <w:t xml:space="preserve">the important call in </w:t>
      </w:r>
      <w:r w:rsidR="006F1BB7">
        <w:rPr>
          <w:rFonts w:asciiTheme="minorHAnsi" w:hAnsiTheme="minorHAnsi" w:cstheme="minorHAnsi"/>
        </w:rPr>
        <w:t>s</w:t>
      </w:r>
      <w:r w:rsidR="00A97181" w:rsidRPr="00A97181">
        <w:rPr>
          <w:rFonts w:asciiTheme="minorHAnsi" w:hAnsiTheme="minorHAnsi" w:cstheme="minorHAnsi"/>
        </w:rPr>
        <w:t>ection 2.4</w:t>
      </w:r>
      <w:r w:rsidR="00D90B8E">
        <w:rPr>
          <w:rFonts w:asciiTheme="minorHAnsi" w:hAnsiTheme="minorHAnsi" w:cstheme="minorHAnsi"/>
        </w:rPr>
        <w:t xml:space="preserve"> of Information Document 2</w:t>
      </w:r>
      <w:r w:rsidR="00A97181" w:rsidRPr="00A97181">
        <w:rPr>
          <w:rFonts w:asciiTheme="minorHAnsi" w:hAnsiTheme="minorHAnsi" w:cstheme="minorHAnsi"/>
        </w:rPr>
        <w:t>, which says</w:t>
      </w:r>
      <w:r w:rsidR="006D21D9">
        <w:rPr>
          <w:rFonts w:asciiTheme="minorHAnsi" w:hAnsiTheme="minorHAnsi" w:cstheme="minorHAnsi"/>
        </w:rPr>
        <w:t>:</w:t>
      </w:r>
      <w:r w:rsidR="00A97181" w:rsidRPr="00A97181">
        <w:rPr>
          <w:rFonts w:asciiTheme="minorHAnsi" w:hAnsiTheme="minorHAnsi" w:cstheme="minorHAnsi"/>
        </w:rPr>
        <w:t xml:space="preserve"> “establish, in collaboration with the secretariat, a list of coordinators from each region, for each topic on the conference agenda. He </w:t>
      </w:r>
      <w:r w:rsidR="005D2279">
        <w:rPr>
          <w:rFonts w:asciiTheme="minorHAnsi" w:hAnsiTheme="minorHAnsi" w:cstheme="minorHAnsi"/>
        </w:rPr>
        <w:t xml:space="preserve">stressed </w:t>
      </w:r>
      <w:r w:rsidR="00A97181" w:rsidRPr="00A97181">
        <w:rPr>
          <w:rFonts w:asciiTheme="minorHAnsi" w:hAnsiTheme="minorHAnsi" w:cstheme="minorHAnsi"/>
        </w:rPr>
        <w:t xml:space="preserve">that focal points would be designated for coordination, not for decision-making. It </w:t>
      </w:r>
      <w:r>
        <w:rPr>
          <w:rFonts w:asciiTheme="minorHAnsi" w:hAnsiTheme="minorHAnsi" w:cstheme="minorHAnsi"/>
        </w:rPr>
        <w:t>c</w:t>
      </w:r>
      <w:r w:rsidR="00A97181" w:rsidRPr="00A97181">
        <w:rPr>
          <w:rFonts w:asciiTheme="minorHAnsi" w:hAnsiTheme="minorHAnsi" w:cstheme="minorHAnsi"/>
        </w:rPr>
        <w:t>ould be one, maybe two individuals for each of the RTOs. The idea behind recommending to RTOs to designate focal points is that RTOs might wish to start the coordination now, rather than later.</w:t>
      </w:r>
      <w:r w:rsidR="00A97181">
        <w:rPr>
          <w:rFonts w:asciiTheme="minorHAnsi" w:hAnsiTheme="minorHAnsi" w:cstheme="minorHAnsi"/>
        </w:rPr>
        <w:t xml:space="preserve"> </w:t>
      </w:r>
    </w:p>
    <w:p w14:paraId="2B10A971" w14:textId="77777777" w:rsidR="00D90B8E" w:rsidRPr="00A97181" w:rsidRDefault="00D90B8E" w:rsidP="00D90B8E">
      <w:pPr>
        <w:spacing w:after="120"/>
        <w:rPr>
          <w:rFonts w:cstheme="minorHAnsi"/>
          <w:szCs w:val="24"/>
        </w:rPr>
      </w:pPr>
      <w:r w:rsidRPr="00735B98">
        <w:rPr>
          <w:rFonts w:cstheme="minorHAnsi"/>
          <w:szCs w:val="24"/>
        </w:rPr>
        <w:t>Other participants observed that normally</w:t>
      </w:r>
      <w:r w:rsidRPr="00A97181">
        <w:rPr>
          <w:rFonts w:cstheme="minorHAnsi"/>
          <w:szCs w:val="24"/>
        </w:rPr>
        <w:t>, coordination with RTOs is done</w:t>
      </w:r>
      <w:r>
        <w:rPr>
          <w:rFonts w:cstheme="minorHAnsi"/>
          <w:szCs w:val="24"/>
        </w:rPr>
        <w:t xml:space="preserve"> </w:t>
      </w:r>
      <w:r w:rsidRPr="00A97181">
        <w:rPr>
          <w:rFonts w:cstheme="minorHAnsi"/>
          <w:szCs w:val="24"/>
        </w:rPr>
        <w:t xml:space="preserve">via regionally appointed vice-chairmen, but considering that this working group does not have vice-chairmen, the recommendation to have designated focal points was a </w:t>
      </w:r>
      <w:r>
        <w:rPr>
          <w:rFonts w:cstheme="minorHAnsi"/>
          <w:szCs w:val="24"/>
        </w:rPr>
        <w:t xml:space="preserve">welcome </w:t>
      </w:r>
      <w:r w:rsidRPr="00A97181">
        <w:rPr>
          <w:rFonts w:cstheme="minorHAnsi"/>
          <w:szCs w:val="24"/>
        </w:rPr>
        <w:t xml:space="preserve">one. </w:t>
      </w:r>
      <w:r>
        <w:rPr>
          <w:rFonts w:cstheme="minorHAnsi"/>
          <w:szCs w:val="24"/>
        </w:rPr>
        <w:t>It was suggested that th</w:t>
      </w:r>
      <w:r w:rsidRPr="00A97181">
        <w:rPr>
          <w:rFonts w:cstheme="minorHAnsi"/>
          <w:szCs w:val="24"/>
        </w:rPr>
        <w:t xml:space="preserve">is could be done by asking RTOs officially to nominate focal points. </w:t>
      </w:r>
    </w:p>
    <w:p w14:paraId="39412A98" w14:textId="521B7821" w:rsidR="00D90B8E" w:rsidRPr="00A97181" w:rsidRDefault="00D90B8E" w:rsidP="00D90B8E">
      <w:pPr>
        <w:spacing w:after="120"/>
        <w:rPr>
          <w:rFonts w:cstheme="minorHAnsi"/>
          <w:szCs w:val="24"/>
        </w:rPr>
      </w:pPr>
      <w:r w:rsidRPr="00A97181">
        <w:rPr>
          <w:rFonts w:cstheme="minorHAnsi"/>
          <w:szCs w:val="24"/>
        </w:rPr>
        <w:t>The meeting</w:t>
      </w:r>
      <w:r>
        <w:rPr>
          <w:rFonts w:cstheme="minorHAnsi"/>
          <w:szCs w:val="24"/>
        </w:rPr>
        <w:t xml:space="preserve"> noted </w:t>
      </w:r>
      <w:r w:rsidRPr="00A97181">
        <w:rPr>
          <w:rFonts w:cstheme="minorHAnsi"/>
          <w:szCs w:val="24"/>
        </w:rPr>
        <w:t xml:space="preserve">that the TDAG Chairman has </w:t>
      </w:r>
      <w:r>
        <w:rPr>
          <w:rFonts w:cstheme="minorHAnsi"/>
          <w:szCs w:val="24"/>
        </w:rPr>
        <w:t xml:space="preserve">the </w:t>
      </w:r>
      <w:r w:rsidRPr="00A97181">
        <w:rPr>
          <w:rFonts w:cstheme="minorHAnsi"/>
          <w:szCs w:val="24"/>
        </w:rPr>
        <w:t xml:space="preserve">full right to ask the RTOs to nominate their focal points. The request could be done either through a circular letter by </w:t>
      </w:r>
      <w:r>
        <w:rPr>
          <w:rFonts w:cstheme="minorHAnsi"/>
          <w:szCs w:val="24"/>
        </w:rPr>
        <w:t xml:space="preserve">the </w:t>
      </w:r>
      <w:r w:rsidRPr="00A97181">
        <w:rPr>
          <w:rFonts w:cstheme="minorHAnsi"/>
          <w:szCs w:val="24"/>
        </w:rPr>
        <w:t>TDAG Chairman</w:t>
      </w:r>
      <w:r>
        <w:rPr>
          <w:rFonts w:cstheme="minorHAnsi"/>
          <w:szCs w:val="24"/>
        </w:rPr>
        <w:t>,</w:t>
      </w:r>
      <w:r w:rsidRPr="00A97181">
        <w:rPr>
          <w:rFonts w:cstheme="minorHAnsi"/>
          <w:szCs w:val="24"/>
        </w:rPr>
        <w:t xml:space="preserve"> or </w:t>
      </w:r>
      <w:r>
        <w:rPr>
          <w:rFonts w:cstheme="minorHAnsi"/>
          <w:szCs w:val="24"/>
        </w:rPr>
        <w:t xml:space="preserve">by </w:t>
      </w:r>
      <w:r w:rsidRPr="00A97181">
        <w:rPr>
          <w:rFonts w:cstheme="minorHAnsi"/>
          <w:szCs w:val="24"/>
        </w:rPr>
        <w:t>the Director of BDT</w:t>
      </w:r>
      <w:r>
        <w:rPr>
          <w:rFonts w:cstheme="minorHAnsi"/>
          <w:szCs w:val="24"/>
        </w:rPr>
        <w:t>.</w:t>
      </w:r>
    </w:p>
    <w:p w14:paraId="140BDB31" w14:textId="77777777" w:rsidR="00D90B8E" w:rsidRPr="002629F1" w:rsidRDefault="00D90B8E" w:rsidP="00D90B8E">
      <w:pPr>
        <w:spacing w:after="120"/>
        <w:rPr>
          <w:rFonts w:cstheme="minorHAnsi"/>
          <w:szCs w:val="24"/>
        </w:rPr>
      </w:pPr>
      <w:r w:rsidRPr="00A97181">
        <w:rPr>
          <w:rFonts w:cstheme="minorHAnsi"/>
          <w:szCs w:val="24"/>
        </w:rPr>
        <w:t xml:space="preserve">Participants </w:t>
      </w:r>
      <w:r w:rsidRPr="00133F1B">
        <w:rPr>
          <w:rFonts w:cstheme="minorHAnsi"/>
          <w:szCs w:val="24"/>
        </w:rPr>
        <w:t>noted that the first meeting of APT for Asia and the Pacific region will be held on 24 July 2020. Participants from this region asked for the circular letter to the RTOs to be sent</w:t>
      </w:r>
      <w:r>
        <w:rPr>
          <w:rFonts w:cstheme="minorHAnsi"/>
          <w:szCs w:val="24"/>
        </w:rPr>
        <w:t xml:space="preserve"> </w:t>
      </w:r>
      <w:r w:rsidRPr="00133F1B">
        <w:rPr>
          <w:rFonts w:cstheme="minorHAnsi"/>
          <w:szCs w:val="24"/>
        </w:rPr>
        <w:t>out before this date</w:t>
      </w:r>
      <w:r>
        <w:rPr>
          <w:rFonts w:cstheme="minorHAnsi"/>
          <w:szCs w:val="24"/>
        </w:rPr>
        <w:t>, if possible</w:t>
      </w:r>
      <w:r w:rsidRPr="00133F1B">
        <w:rPr>
          <w:rFonts w:cstheme="minorHAnsi"/>
          <w:szCs w:val="24"/>
        </w:rPr>
        <w:t xml:space="preserve">. CITEL has its meeting on 11 August 2020; and CEPT has already established a project team for preparations for WTDC and </w:t>
      </w:r>
      <w:r>
        <w:rPr>
          <w:rFonts w:cstheme="minorHAnsi"/>
          <w:szCs w:val="24"/>
        </w:rPr>
        <w:t xml:space="preserve">is about to approve a </w:t>
      </w:r>
      <w:r w:rsidRPr="00133F1B">
        <w:rPr>
          <w:rFonts w:cstheme="minorHAnsi"/>
          <w:szCs w:val="24"/>
        </w:rPr>
        <w:t xml:space="preserve">focal point. In the Arab region, the team </w:t>
      </w:r>
      <w:r>
        <w:rPr>
          <w:rFonts w:cstheme="minorHAnsi"/>
          <w:szCs w:val="24"/>
        </w:rPr>
        <w:t>that will coordinate</w:t>
      </w:r>
      <w:r w:rsidRPr="00133F1B">
        <w:rPr>
          <w:rFonts w:cstheme="minorHAnsi"/>
          <w:szCs w:val="24"/>
        </w:rPr>
        <w:t xml:space="preserve"> the preparatory process is yet to be established because the focus now is on preparations for the </w:t>
      </w:r>
      <w:r w:rsidRPr="00133F1B">
        <w:rPr>
          <w:rStyle w:val="Strong"/>
          <w:rFonts w:cstheme="minorHAnsi"/>
          <w:b w:val="0"/>
          <w:szCs w:val="24"/>
          <w:bdr w:val="none" w:sz="0" w:space="0" w:color="auto" w:frame="1"/>
        </w:rPr>
        <w:t>World Telecommunication Standardization Assembly</w:t>
      </w:r>
      <w:r w:rsidRPr="00133F1B">
        <w:rPr>
          <w:rFonts w:cstheme="minorHAnsi"/>
          <w:szCs w:val="24"/>
        </w:rPr>
        <w:t xml:space="preserve"> (WTSA). The RTO </w:t>
      </w:r>
      <w:r>
        <w:rPr>
          <w:rFonts w:cstheme="minorHAnsi"/>
          <w:szCs w:val="24"/>
        </w:rPr>
        <w:t xml:space="preserve">in this region </w:t>
      </w:r>
      <w:r w:rsidRPr="00133F1B">
        <w:rPr>
          <w:rFonts w:cstheme="minorHAnsi"/>
          <w:szCs w:val="24"/>
        </w:rPr>
        <w:t xml:space="preserve">has </w:t>
      </w:r>
      <w:r>
        <w:rPr>
          <w:rFonts w:cstheme="minorHAnsi"/>
          <w:szCs w:val="24"/>
        </w:rPr>
        <w:t xml:space="preserve">to </w:t>
      </w:r>
      <w:r w:rsidRPr="00133F1B">
        <w:rPr>
          <w:rFonts w:cstheme="minorHAnsi"/>
          <w:szCs w:val="24"/>
        </w:rPr>
        <w:t xml:space="preserve">go through a formal process, </w:t>
      </w:r>
      <w:r>
        <w:rPr>
          <w:rFonts w:cstheme="minorHAnsi"/>
          <w:szCs w:val="24"/>
        </w:rPr>
        <w:t>in which</w:t>
      </w:r>
      <w:r w:rsidRPr="00133F1B">
        <w:rPr>
          <w:rFonts w:cstheme="minorHAnsi"/>
          <w:szCs w:val="24"/>
        </w:rPr>
        <w:t xml:space="preserve"> the ministers have to decide </w:t>
      </w:r>
      <w:r w:rsidRPr="002629F1">
        <w:rPr>
          <w:rFonts w:cstheme="minorHAnsi"/>
          <w:szCs w:val="24"/>
        </w:rPr>
        <w:t xml:space="preserve">the team and the formal structure for the preparatory process. </w:t>
      </w:r>
    </w:p>
    <w:p w14:paraId="50926EFD" w14:textId="00BD3073" w:rsidR="00D31FF1" w:rsidRPr="00A97181" w:rsidRDefault="00D90B8E" w:rsidP="00D31FF1">
      <w:pPr>
        <w:spacing w:after="120"/>
        <w:rPr>
          <w:rFonts w:cstheme="minorHAnsi"/>
          <w:szCs w:val="24"/>
        </w:rPr>
      </w:pPr>
      <w:r w:rsidRPr="00A97181">
        <w:rPr>
          <w:rFonts w:cstheme="minorHAnsi"/>
        </w:rPr>
        <w:t>The Chairman</w:t>
      </w:r>
      <w:r>
        <w:rPr>
          <w:rFonts w:cstheme="minorHAnsi"/>
        </w:rPr>
        <w:t xml:space="preserve"> noted that </w:t>
      </w:r>
      <w:r w:rsidRPr="00A97181">
        <w:rPr>
          <w:rFonts w:cstheme="minorHAnsi"/>
        </w:rPr>
        <w:t xml:space="preserve">Information Document 2, in particular, </w:t>
      </w:r>
      <w:r>
        <w:rPr>
          <w:rFonts w:cstheme="minorHAnsi"/>
        </w:rPr>
        <w:t xml:space="preserve">sections 2.4 and 2.5, provided a summary of the discussions that led to the formation of the group. The Chairman suggested that </w:t>
      </w:r>
      <w:r>
        <w:rPr>
          <w:rFonts w:cstheme="minorHAnsi"/>
        </w:rPr>
        <w:lastRenderedPageBreak/>
        <w:t xml:space="preserve">this summary should frame the deliberations of the working group, and could be used by members to assist with their contributions. </w:t>
      </w:r>
      <w:r w:rsidR="00D31FF1" w:rsidRPr="00A97181">
        <w:rPr>
          <w:rFonts w:cstheme="minorHAnsi"/>
          <w:szCs w:val="24"/>
        </w:rPr>
        <w:t xml:space="preserve">These two sections </w:t>
      </w:r>
      <w:r w:rsidR="00D31FF1">
        <w:rPr>
          <w:rFonts w:cstheme="minorHAnsi"/>
          <w:szCs w:val="24"/>
        </w:rPr>
        <w:t xml:space="preserve">of Information Document 2 </w:t>
      </w:r>
      <w:r w:rsidR="00D31FF1" w:rsidRPr="00A97181">
        <w:rPr>
          <w:rFonts w:cstheme="minorHAnsi"/>
          <w:szCs w:val="24"/>
        </w:rPr>
        <w:t>are reproduced here for ease of reference.</w:t>
      </w:r>
    </w:p>
    <w:p w14:paraId="1CB8B3AF" w14:textId="675E0BA3" w:rsidR="00D31FF1" w:rsidRPr="00A97181" w:rsidRDefault="00D90B8E" w:rsidP="00D31FF1">
      <w:pPr>
        <w:spacing w:after="120"/>
        <w:ind w:left="720" w:hanging="720"/>
        <w:rPr>
          <w:rFonts w:cstheme="minorHAnsi"/>
          <w:bCs/>
          <w:szCs w:val="24"/>
        </w:rPr>
      </w:pPr>
      <w:r>
        <w:rPr>
          <w:rFonts w:cstheme="minorHAnsi"/>
          <w:szCs w:val="24"/>
        </w:rPr>
        <w:t>“</w:t>
      </w:r>
      <w:r w:rsidR="00D31FF1" w:rsidRPr="00A97181">
        <w:rPr>
          <w:rFonts w:cstheme="minorHAnsi"/>
          <w:szCs w:val="24"/>
        </w:rPr>
        <w:t>2.4</w:t>
      </w:r>
      <w:r w:rsidR="00D31FF1" w:rsidRPr="00A97181">
        <w:rPr>
          <w:rFonts w:cstheme="minorHAnsi"/>
          <w:szCs w:val="24"/>
        </w:rPr>
        <w:tab/>
      </w:r>
      <w:r w:rsidR="00D31FF1" w:rsidRPr="00A97181">
        <w:rPr>
          <w:rFonts w:cstheme="minorHAnsi"/>
          <w:szCs w:val="24"/>
          <w:u w:val="single"/>
        </w:rPr>
        <w:t>Before the Conference</w:t>
      </w:r>
      <w:r w:rsidR="00D31FF1" w:rsidRPr="00A97181">
        <w:rPr>
          <w:rFonts w:cstheme="minorHAnsi"/>
          <w:bCs/>
          <w:szCs w:val="24"/>
          <w:u w:val="single"/>
        </w:rPr>
        <w:t>:</w:t>
      </w:r>
    </w:p>
    <w:p w14:paraId="74D1F6E5" w14:textId="77777777" w:rsidR="00D31FF1" w:rsidRPr="00A97181" w:rsidRDefault="00D31FF1" w:rsidP="00D31FF1">
      <w:pPr>
        <w:spacing w:after="120"/>
        <w:ind w:left="709" w:hanging="672"/>
        <w:rPr>
          <w:rFonts w:cstheme="minorHAnsi"/>
          <w:bCs/>
          <w:szCs w:val="24"/>
        </w:rPr>
      </w:pPr>
      <w:r w:rsidRPr="00A97181">
        <w:rPr>
          <w:rFonts w:cstheme="minorHAnsi"/>
          <w:bCs/>
          <w:szCs w:val="24"/>
        </w:rPr>
        <w:tab/>
        <w:t xml:space="preserve">Consideration should be given to the following approaches: </w:t>
      </w:r>
    </w:p>
    <w:p w14:paraId="35F9A37B" w14:textId="61B51F93" w:rsidR="00D31FF1" w:rsidRPr="00A97181" w:rsidRDefault="00D31FF1" w:rsidP="00D31FF1">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A97181">
        <w:rPr>
          <w:rFonts w:cstheme="minorHAnsi"/>
          <w:bCs/>
          <w:szCs w:val="24"/>
        </w:rPr>
        <w:t>Implement a comprehensive preparatory process that introduces formal inter-regional coordination meetings (IRMs).</w:t>
      </w:r>
      <w:r>
        <w:rPr>
          <w:rFonts w:cstheme="minorHAnsi"/>
          <w:bCs/>
          <w:szCs w:val="24"/>
        </w:rPr>
        <w:t xml:space="preserve"> </w:t>
      </w:r>
      <w:r w:rsidRPr="00A97181">
        <w:rPr>
          <w:rFonts w:cstheme="minorHAnsi"/>
          <w:bCs/>
          <w:szCs w:val="24"/>
        </w:rPr>
        <w:t xml:space="preserve">These meetings should have a clearly defined format and clear agendas. Outcomes of IRMs would be non-binding as Member States have the sovereign right to submit proposals at the </w:t>
      </w:r>
      <w:r w:rsidR="006F1BB7">
        <w:rPr>
          <w:rFonts w:cstheme="minorHAnsi"/>
          <w:bCs/>
          <w:szCs w:val="24"/>
        </w:rPr>
        <w:t>c</w:t>
      </w:r>
      <w:r w:rsidRPr="00A97181">
        <w:rPr>
          <w:rFonts w:cstheme="minorHAnsi"/>
          <w:bCs/>
          <w:szCs w:val="24"/>
        </w:rPr>
        <w:t>onference.</w:t>
      </w:r>
    </w:p>
    <w:p w14:paraId="45017BED" w14:textId="77777777" w:rsidR="00D31FF1" w:rsidRPr="00A97181" w:rsidRDefault="00D31FF1" w:rsidP="00D31FF1">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A97181">
        <w:rPr>
          <w:rFonts w:cstheme="minorHAnsi"/>
          <w:bCs/>
          <w:szCs w:val="24"/>
        </w:rPr>
        <w:t>Define the number of representatives from each region to attend IRMs and decide on the chairmanship of IRMs.</w:t>
      </w:r>
    </w:p>
    <w:p w14:paraId="64FC0F8F" w14:textId="77777777" w:rsidR="00D31FF1" w:rsidRPr="00A97181" w:rsidRDefault="00D31FF1" w:rsidP="00D31FF1">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A97181">
        <w:rPr>
          <w:rFonts w:cstheme="minorHAnsi"/>
          <w:szCs w:val="24"/>
        </w:rPr>
        <w:t>Define target lists by constituent group, focus on attracting funding entities and target beneficiaries of ITU-D activities (youth, women, representatives from LDCs, persons from indigenous communities, etc.).</w:t>
      </w:r>
    </w:p>
    <w:p w14:paraId="34EDC055" w14:textId="7C89353F" w:rsidR="00D31FF1" w:rsidRPr="00A97181" w:rsidRDefault="00D31FF1" w:rsidP="00D31FF1">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A97181">
        <w:rPr>
          <w:rFonts w:cstheme="minorHAnsi"/>
          <w:bCs/>
          <w:szCs w:val="24"/>
        </w:rPr>
        <w:t xml:space="preserve">Ensure proper planning and coordination between RPMs, IRMs and RTO preparatory meetings to safeguard the efficiency of the </w:t>
      </w:r>
      <w:r w:rsidR="006F1BB7">
        <w:rPr>
          <w:rFonts w:cstheme="minorHAnsi"/>
          <w:bCs/>
          <w:szCs w:val="24"/>
        </w:rPr>
        <w:t>c</w:t>
      </w:r>
      <w:r w:rsidRPr="00A97181">
        <w:rPr>
          <w:rFonts w:cstheme="minorHAnsi"/>
          <w:bCs/>
          <w:szCs w:val="24"/>
        </w:rPr>
        <w:t>onference preparatory process.</w:t>
      </w:r>
    </w:p>
    <w:p w14:paraId="1FF85F7D" w14:textId="77777777" w:rsidR="00D31FF1" w:rsidRPr="00A97181" w:rsidRDefault="00D31FF1" w:rsidP="00D31FF1">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A97181">
        <w:rPr>
          <w:rFonts w:cstheme="minorHAnsi"/>
          <w:bCs/>
          <w:szCs w:val="24"/>
        </w:rPr>
        <w:t>Establish, in collaboration with the secretariat, a list of coordinators from each region for each topic on the conference agenda.</w:t>
      </w:r>
    </w:p>
    <w:p w14:paraId="1673F363" w14:textId="77777777" w:rsidR="00D31FF1" w:rsidRPr="00A97181" w:rsidRDefault="00D31FF1" w:rsidP="00D31FF1">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A97181">
        <w:rPr>
          <w:rFonts w:cstheme="minorHAnsi"/>
          <w:bCs/>
          <w:szCs w:val="24"/>
        </w:rPr>
        <w:t>Leverage on a selected basis, other high-profile forums to raise awareness and interest on WTDC.</w:t>
      </w:r>
    </w:p>
    <w:p w14:paraId="794CE08C" w14:textId="77777777" w:rsidR="00D31FF1" w:rsidRPr="00A97181" w:rsidRDefault="00D31FF1" w:rsidP="00D31FF1">
      <w:pPr>
        <w:spacing w:after="120"/>
        <w:ind w:left="720" w:hanging="720"/>
        <w:rPr>
          <w:rFonts w:cstheme="minorHAnsi"/>
          <w:bCs/>
          <w:szCs w:val="24"/>
        </w:rPr>
      </w:pPr>
      <w:r w:rsidRPr="00A97181">
        <w:rPr>
          <w:rFonts w:cstheme="minorHAnsi"/>
          <w:bCs/>
          <w:szCs w:val="24"/>
        </w:rPr>
        <w:t>2.5</w:t>
      </w:r>
      <w:r w:rsidRPr="00A97181">
        <w:rPr>
          <w:rFonts w:cstheme="minorHAnsi"/>
          <w:bCs/>
          <w:szCs w:val="24"/>
        </w:rPr>
        <w:tab/>
      </w:r>
      <w:r w:rsidRPr="00A97181">
        <w:rPr>
          <w:rFonts w:cstheme="minorHAnsi"/>
          <w:bCs/>
          <w:szCs w:val="24"/>
          <w:u w:val="single"/>
        </w:rPr>
        <w:t>During the c</w:t>
      </w:r>
      <w:r w:rsidRPr="00A97181">
        <w:rPr>
          <w:rFonts w:cstheme="minorHAnsi"/>
          <w:szCs w:val="24"/>
          <w:u w:val="single"/>
        </w:rPr>
        <w:t>onference</w:t>
      </w:r>
      <w:r w:rsidRPr="00A97181">
        <w:rPr>
          <w:rFonts w:cstheme="minorHAnsi"/>
          <w:bCs/>
          <w:szCs w:val="24"/>
          <w:u w:val="single"/>
        </w:rPr>
        <w:t>:</w:t>
      </w:r>
    </w:p>
    <w:p w14:paraId="154F54EC" w14:textId="36CCB2D7" w:rsidR="00D31FF1" w:rsidRPr="00A97181" w:rsidRDefault="00D31FF1" w:rsidP="00D31FF1">
      <w:pPr>
        <w:spacing w:after="120"/>
        <w:ind w:left="709"/>
        <w:rPr>
          <w:rFonts w:cstheme="minorHAnsi"/>
          <w:bCs/>
          <w:szCs w:val="24"/>
        </w:rPr>
      </w:pPr>
      <w:r w:rsidRPr="00A97181">
        <w:rPr>
          <w:rFonts w:cstheme="minorHAnsi"/>
          <w:bCs/>
          <w:szCs w:val="24"/>
        </w:rPr>
        <w:t>Consideration should be given to merging the high-level segment and the side</w:t>
      </w:r>
      <w:r w:rsidR="006F1BB7">
        <w:rPr>
          <w:rFonts w:cstheme="minorHAnsi"/>
          <w:bCs/>
          <w:szCs w:val="24"/>
        </w:rPr>
        <w:t xml:space="preserve"> </w:t>
      </w:r>
      <w:r w:rsidRPr="00A97181">
        <w:rPr>
          <w:rFonts w:cstheme="minorHAnsi"/>
          <w:bCs/>
          <w:szCs w:val="24"/>
        </w:rPr>
        <w:t>events into thematic events, a “Development Track” as follows:</w:t>
      </w:r>
    </w:p>
    <w:p w14:paraId="1F79912B" w14:textId="77777777" w:rsidR="00D31FF1" w:rsidRPr="00A97181" w:rsidRDefault="00D31FF1" w:rsidP="00D31FF1">
      <w:pPr>
        <w:pStyle w:val="ListParagraph"/>
        <w:numPr>
          <w:ilvl w:val="0"/>
          <w:numId w:val="13"/>
        </w:numPr>
        <w:tabs>
          <w:tab w:val="clear" w:pos="1134"/>
          <w:tab w:val="clear" w:pos="1871"/>
          <w:tab w:val="clear" w:pos="2268"/>
        </w:tabs>
        <w:spacing w:before="40" w:after="40"/>
        <w:ind w:left="1287" w:hanging="567"/>
        <w:contextualSpacing w:val="0"/>
        <w:rPr>
          <w:rFonts w:cstheme="minorHAnsi"/>
          <w:bCs/>
          <w:szCs w:val="24"/>
        </w:rPr>
      </w:pPr>
      <w:r w:rsidRPr="00A97181">
        <w:rPr>
          <w:rFonts w:cstheme="minorHAnsi"/>
          <w:bCs/>
          <w:szCs w:val="24"/>
        </w:rPr>
        <w:t>Carefully select themes to match the WTDC agenda and establish a clear agenda and value proposition with the intention of addressing development challenges and membership priorities, and obtaining funding/pledges to complement the ITU budget.</w:t>
      </w:r>
    </w:p>
    <w:p w14:paraId="7F19BEDD" w14:textId="65F5ACCF" w:rsidR="00735B98" w:rsidRPr="00A97181" w:rsidRDefault="00D31FF1" w:rsidP="00D31FF1">
      <w:pPr>
        <w:pStyle w:val="ListParagraph"/>
        <w:numPr>
          <w:ilvl w:val="0"/>
          <w:numId w:val="13"/>
        </w:numPr>
        <w:tabs>
          <w:tab w:val="clear" w:pos="1134"/>
          <w:tab w:val="clear" w:pos="1871"/>
          <w:tab w:val="clear" w:pos="2268"/>
        </w:tabs>
        <w:spacing w:before="40" w:after="40"/>
        <w:ind w:left="1287" w:hanging="567"/>
        <w:contextualSpacing w:val="0"/>
        <w:rPr>
          <w:rFonts w:cstheme="minorHAnsi"/>
          <w:bCs/>
          <w:szCs w:val="24"/>
        </w:rPr>
      </w:pPr>
      <w:r w:rsidRPr="00A97181">
        <w:rPr>
          <w:rFonts w:cstheme="minorHAnsi"/>
          <w:bCs/>
          <w:szCs w:val="24"/>
        </w:rPr>
        <w:t>Invite high-level participants to chair and/or deliver keynote speeches on the theme(s) selected.</w:t>
      </w:r>
    </w:p>
    <w:p w14:paraId="218C818F" w14:textId="1B0D154E" w:rsidR="00735B98" w:rsidRPr="00735B98" w:rsidRDefault="00D31FF1" w:rsidP="0084279D">
      <w:pPr>
        <w:pStyle w:val="ListParagraph"/>
        <w:numPr>
          <w:ilvl w:val="0"/>
          <w:numId w:val="13"/>
        </w:numPr>
        <w:tabs>
          <w:tab w:val="clear" w:pos="1134"/>
          <w:tab w:val="clear" w:pos="1871"/>
          <w:tab w:val="clear" w:pos="2268"/>
        </w:tabs>
        <w:spacing w:before="40" w:after="40"/>
        <w:ind w:left="1287" w:hanging="567"/>
        <w:contextualSpacing w:val="0"/>
        <w:rPr>
          <w:rFonts w:cstheme="minorHAnsi"/>
        </w:rPr>
      </w:pPr>
      <w:r w:rsidRPr="00735B98">
        <w:rPr>
          <w:rFonts w:cstheme="minorHAnsi"/>
          <w:bCs/>
        </w:rPr>
        <w:t>Organize thematic tracks to be separate from the “administrative” part of the conference.</w:t>
      </w:r>
      <w:r w:rsidR="00D90B8E">
        <w:rPr>
          <w:rFonts w:cstheme="minorHAnsi"/>
          <w:bCs/>
        </w:rPr>
        <w:t>”</w:t>
      </w:r>
    </w:p>
    <w:p w14:paraId="6B7407A5" w14:textId="1A63CED0" w:rsidR="00A97181" w:rsidRPr="002629F1" w:rsidRDefault="00A97181" w:rsidP="00D97953">
      <w:pPr>
        <w:pStyle w:val="Fixed"/>
        <w:spacing w:before="240"/>
        <w:rPr>
          <w:rFonts w:asciiTheme="minorHAnsi" w:hAnsiTheme="minorHAnsi" w:cstheme="minorHAnsi"/>
          <w:bCs/>
        </w:rPr>
      </w:pPr>
      <w:r w:rsidRPr="002629F1">
        <w:rPr>
          <w:rFonts w:asciiTheme="minorHAnsi" w:hAnsiTheme="minorHAnsi" w:cstheme="minorHAnsi"/>
          <w:b/>
        </w:rPr>
        <w:t xml:space="preserve">Recommendation: </w:t>
      </w:r>
      <w:r w:rsidRPr="002629F1">
        <w:rPr>
          <w:rFonts w:asciiTheme="minorHAnsi" w:hAnsiTheme="minorHAnsi" w:cstheme="minorHAnsi"/>
        </w:rPr>
        <w:t xml:space="preserve">The Director of BDT will send a circular letter to all </w:t>
      </w:r>
      <w:r w:rsidR="00133F1B" w:rsidRPr="002629F1">
        <w:rPr>
          <w:rFonts w:asciiTheme="minorHAnsi" w:hAnsiTheme="minorHAnsi" w:cstheme="minorHAnsi"/>
        </w:rPr>
        <w:t xml:space="preserve">RTOs </w:t>
      </w:r>
      <w:r w:rsidRPr="002629F1">
        <w:rPr>
          <w:rFonts w:asciiTheme="minorHAnsi" w:hAnsiTheme="minorHAnsi" w:cstheme="minorHAnsi"/>
        </w:rPr>
        <w:t xml:space="preserve">inviting them to designate focal points for coordination. </w:t>
      </w:r>
    </w:p>
    <w:p w14:paraId="7E2B3411" w14:textId="2E6787FC" w:rsidR="00A97181" w:rsidRPr="002629F1" w:rsidRDefault="00A97181" w:rsidP="00D97953">
      <w:pPr>
        <w:pStyle w:val="ListParagraph"/>
        <w:numPr>
          <w:ilvl w:val="0"/>
          <w:numId w:val="22"/>
        </w:numPr>
        <w:autoSpaceDE/>
        <w:autoSpaceDN/>
        <w:adjustRightInd/>
        <w:spacing w:before="240" w:after="120"/>
        <w:ind w:left="357" w:hanging="357"/>
        <w:contextualSpacing w:val="0"/>
        <w:rPr>
          <w:rFonts w:cstheme="minorHAnsi"/>
          <w:b/>
          <w:bCs/>
          <w:szCs w:val="24"/>
        </w:rPr>
      </w:pPr>
      <w:r w:rsidRPr="002629F1">
        <w:rPr>
          <w:rFonts w:cstheme="minorHAnsi"/>
          <w:b/>
          <w:bCs/>
          <w:szCs w:val="24"/>
        </w:rPr>
        <w:t>Work</w:t>
      </w:r>
      <w:r w:rsidR="00B15117" w:rsidRPr="002629F1">
        <w:rPr>
          <w:rFonts w:cstheme="minorHAnsi"/>
          <w:b/>
          <w:bCs/>
          <w:szCs w:val="24"/>
        </w:rPr>
        <w:t xml:space="preserve"> </w:t>
      </w:r>
      <w:r w:rsidRPr="002629F1">
        <w:rPr>
          <w:rFonts w:cstheme="minorHAnsi"/>
          <w:b/>
          <w:bCs/>
          <w:szCs w:val="24"/>
        </w:rPr>
        <w:t>plan</w:t>
      </w:r>
    </w:p>
    <w:p w14:paraId="7C863143" w14:textId="77777777" w:rsidR="00A97181" w:rsidRPr="00A97181" w:rsidRDefault="00A97181" w:rsidP="003E2C23">
      <w:pPr>
        <w:pStyle w:val="Fixed"/>
        <w:spacing w:before="120" w:after="120" w:line="240" w:lineRule="auto"/>
        <w:ind w:right="0"/>
        <w:rPr>
          <w:rFonts w:asciiTheme="minorHAnsi" w:hAnsiTheme="minorHAnsi" w:cstheme="minorHAnsi"/>
          <w:b/>
          <w:bCs/>
        </w:rPr>
      </w:pPr>
      <w:r w:rsidRPr="00A97181">
        <w:rPr>
          <w:rFonts w:asciiTheme="minorHAnsi" w:hAnsiTheme="minorHAnsi" w:cstheme="minorHAnsi"/>
          <w:b/>
          <w:bCs/>
        </w:rPr>
        <w:t>Deadlines for submission of written contributions</w:t>
      </w:r>
    </w:p>
    <w:p w14:paraId="431CD645" w14:textId="2B6690EE" w:rsidR="00A97181" w:rsidRDefault="00A97181" w:rsidP="003E2C23">
      <w:pPr>
        <w:pStyle w:val="Fixed"/>
        <w:spacing w:before="120" w:after="120" w:line="240" w:lineRule="auto"/>
        <w:ind w:right="0"/>
        <w:rPr>
          <w:rFonts w:asciiTheme="minorHAnsi" w:hAnsiTheme="minorHAnsi" w:cstheme="minorHAnsi"/>
        </w:rPr>
      </w:pPr>
      <w:r w:rsidRPr="00A97181">
        <w:rPr>
          <w:rFonts w:asciiTheme="minorHAnsi" w:hAnsiTheme="minorHAnsi" w:cstheme="minorHAnsi"/>
          <w:spacing w:val="-2"/>
        </w:rPr>
        <w:t xml:space="preserve">Participants asked to know the deadlines for submitting member contributions and contributions from the secretariat. The secretariat responded that contributions are subject to deadlines set out in WTDC Resolution 1. </w:t>
      </w:r>
      <w:r w:rsidRPr="00A97181">
        <w:rPr>
          <w:rFonts w:asciiTheme="minorHAnsi" w:hAnsiTheme="minorHAnsi" w:cstheme="minorHAnsi"/>
        </w:rPr>
        <w:t>Consistent with this r</w:t>
      </w:r>
      <w:r w:rsidRPr="00A97181">
        <w:rPr>
          <w:rFonts w:asciiTheme="minorHAnsi" w:hAnsiTheme="minorHAnsi" w:cstheme="minorHAnsi"/>
          <w:bCs/>
        </w:rPr>
        <w:t xml:space="preserve">esolution, </w:t>
      </w:r>
      <w:r w:rsidR="006364B3">
        <w:rPr>
          <w:rFonts w:asciiTheme="minorHAnsi" w:hAnsiTheme="minorHAnsi" w:cstheme="minorHAnsi"/>
          <w:bCs/>
        </w:rPr>
        <w:t>“</w:t>
      </w:r>
      <w:r w:rsidRPr="00A97181">
        <w:rPr>
          <w:rFonts w:asciiTheme="minorHAnsi" w:hAnsiTheme="minorHAnsi" w:cstheme="minorHAnsi"/>
          <w:bCs/>
        </w:rPr>
        <w:t xml:space="preserve">contributions must be received not later than 45 days before the opening of a meeting if they are to be translated for the meeting. Beyond this 45-day deadline, the contributor may submit the document in the original language and in any official language into which it may have been translated by the author. </w:t>
      </w:r>
      <w:r w:rsidRPr="00A97181">
        <w:rPr>
          <w:rFonts w:asciiTheme="minorHAnsi" w:hAnsiTheme="minorHAnsi" w:cstheme="minorHAnsi"/>
        </w:rPr>
        <w:t xml:space="preserve">Contributions that do not meet this 45-day deadline but are received at least 12 days before the opening of the meeting </w:t>
      </w:r>
      <w:r w:rsidRPr="00A97181">
        <w:rPr>
          <w:rFonts w:asciiTheme="minorHAnsi" w:hAnsiTheme="minorHAnsi" w:cstheme="minorHAnsi"/>
        </w:rPr>
        <w:lastRenderedPageBreak/>
        <w:t>shall be published, but not translated.</w:t>
      </w:r>
      <w:r w:rsidR="006364B3">
        <w:rPr>
          <w:rFonts w:asciiTheme="minorHAnsi" w:hAnsiTheme="minorHAnsi" w:cstheme="minorHAnsi"/>
        </w:rPr>
        <w:t>”</w:t>
      </w:r>
      <w:r w:rsidRPr="00A97181">
        <w:rPr>
          <w:rFonts w:asciiTheme="minorHAnsi" w:hAnsiTheme="minorHAnsi" w:cstheme="minorHAnsi"/>
        </w:rPr>
        <w:t xml:space="preserve"> </w:t>
      </w:r>
    </w:p>
    <w:p w14:paraId="4454E384" w14:textId="39EB3E09" w:rsidR="00A97181" w:rsidRPr="00A97181" w:rsidRDefault="00A97181" w:rsidP="003E2C23">
      <w:pPr>
        <w:autoSpaceDE/>
        <w:autoSpaceDN/>
        <w:adjustRightInd/>
        <w:spacing w:after="120"/>
        <w:rPr>
          <w:rFonts w:cstheme="minorHAnsi"/>
          <w:b/>
          <w:bCs/>
          <w:szCs w:val="24"/>
        </w:rPr>
      </w:pPr>
      <w:r w:rsidRPr="00A97181">
        <w:rPr>
          <w:rFonts w:cstheme="minorHAnsi"/>
          <w:b/>
          <w:bCs/>
          <w:szCs w:val="24"/>
        </w:rPr>
        <w:t>Date for submission of report to TDAG</w:t>
      </w:r>
    </w:p>
    <w:p w14:paraId="07A91F9D" w14:textId="10D9B98C" w:rsidR="00A97181" w:rsidRPr="00A97181" w:rsidRDefault="00A97181" w:rsidP="003E2C23">
      <w:pPr>
        <w:autoSpaceDE/>
        <w:autoSpaceDN/>
        <w:adjustRightInd/>
        <w:spacing w:after="120"/>
        <w:rPr>
          <w:rFonts w:cstheme="minorHAnsi"/>
          <w:szCs w:val="24"/>
        </w:rPr>
      </w:pPr>
      <w:r w:rsidRPr="00A97181">
        <w:rPr>
          <w:rFonts w:cstheme="minorHAnsi"/>
          <w:bCs/>
          <w:szCs w:val="24"/>
        </w:rPr>
        <w:t>For some participants, it was</w:t>
      </w:r>
      <w:r w:rsidRPr="00A97181">
        <w:rPr>
          <w:rFonts w:cstheme="minorHAnsi"/>
          <w:b/>
          <w:bCs/>
          <w:szCs w:val="24"/>
        </w:rPr>
        <w:t xml:space="preserve"> </w:t>
      </w:r>
      <w:r w:rsidRPr="00A97181">
        <w:rPr>
          <w:rFonts w:cstheme="minorHAnsi"/>
          <w:szCs w:val="24"/>
        </w:rPr>
        <w:t>too early to decide on when the report would be submitted to TDAG, considering that it will be based on written contributions</w:t>
      </w:r>
      <w:r w:rsidR="00AE0233">
        <w:rPr>
          <w:rFonts w:cstheme="minorHAnsi"/>
          <w:szCs w:val="24"/>
        </w:rPr>
        <w:t xml:space="preserve"> for which the submission dates have not been decided.</w:t>
      </w:r>
      <w:r w:rsidRPr="00A97181">
        <w:rPr>
          <w:rFonts w:cstheme="minorHAnsi"/>
          <w:szCs w:val="24"/>
        </w:rPr>
        <w:t xml:space="preserve"> </w:t>
      </w:r>
    </w:p>
    <w:p w14:paraId="5A63874F" w14:textId="77777777" w:rsidR="00A97181" w:rsidRPr="00A97181" w:rsidRDefault="00A97181" w:rsidP="003E2C23">
      <w:pPr>
        <w:pStyle w:val="Fixed"/>
        <w:spacing w:before="120" w:after="120" w:line="240" w:lineRule="auto"/>
        <w:ind w:right="0"/>
        <w:rPr>
          <w:rFonts w:asciiTheme="minorHAnsi" w:hAnsiTheme="minorHAnsi" w:cstheme="minorHAnsi"/>
          <w:b/>
        </w:rPr>
      </w:pPr>
      <w:r w:rsidRPr="00A97181">
        <w:rPr>
          <w:rFonts w:asciiTheme="minorHAnsi" w:hAnsiTheme="minorHAnsi" w:cstheme="minorHAnsi"/>
          <w:b/>
        </w:rPr>
        <w:t>Dates of next meetings</w:t>
      </w:r>
    </w:p>
    <w:p w14:paraId="374AD205" w14:textId="27614947" w:rsidR="00A97181" w:rsidRPr="00A97181" w:rsidRDefault="00A97181" w:rsidP="003E2C23">
      <w:pPr>
        <w:spacing w:after="120"/>
        <w:rPr>
          <w:rFonts w:cstheme="minorHAnsi"/>
          <w:szCs w:val="24"/>
        </w:rPr>
      </w:pPr>
      <w:r w:rsidRPr="00A97181">
        <w:rPr>
          <w:rFonts w:cstheme="minorHAnsi"/>
          <w:szCs w:val="24"/>
        </w:rPr>
        <w:t xml:space="preserve">The meeting discussed the proposed work plan in </w:t>
      </w:r>
      <w:hyperlink r:id="rId13" w:history="1">
        <w:r w:rsidRPr="00A97181">
          <w:rPr>
            <w:rStyle w:val="Hyperlink"/>
            <w:rFonts w:cstheme="minorHAnsi"/>
            <w:szCs w:val="24"/>
          </w:rPr>
          <w:t>Document DT/1</w:t>
        </w:r>
      </w:hyperlink>
      <w:r w:rsidR="00B02B46">
        <w:rPr>
          <w:rFonts w:cstheme="minorHAnsi"/>
          <w:szCs w:val="24"/>
        </w:rPr>
        <w:t xml:space="preserve">, </w:t>
      </w:r>
      <w:r w:rsidRPr="00A97181">
        <w:rPr>
          <w:rFonts w:cstheme="minorHAnsi"/>
          <w:szCs w:val="24"/>
        </w:rPr>
        <w:t xml:space="preserve">which outlines four blocks of meetings for all three TDAG working groups. The first block of meetings being 16 and 17 July 2020, followed by a second block of meetings in September, a third block also in September and a fourth block in October 2020. </w:t>
      </w:r>
    </w:p>
    <w:p w14:paraId="4470C56D" w14:textId="56CF6610" w:rsidR="00A97181" w:rsidRPr="00A97181" w:rsidRDefault="00A97181" w:rsidP="003E2C23">
      <w:pPr>
        <w:spacing w:after="120"/>
        <w:rPr>
          <w:rFonts w:cstheme="minorHAnsi"/>
          <w:szCs w:val="24"/>
        </w:rPr>
      </w:pPr>
      <w:r w:rsidRPr="00A97181">
        <w:rPr>
          <w:rFonts w:cstheme="minorHAnsi"/>
          <w:szCs w:val="24"/>
        </w:rPr>
        <w:t>Participants noted that the extraordinary meeting of TDAG was tentatively scheduled for 23</w:t>
      </w:r>
      <w:r w:rsidR="005075D2">
        <w:rPr>
          <w:rFonts w:cstheme="minorHAnsi"/>
          <w:szCs w:val="24"/>
          <w:lang w:val="en-US"/>
        </w:rPr>
        <w:t> </w:t>
      </w:r>
      <w:r w:rsidRPr="00A97181">
        <w:rPr>
          <w:rFonts w:cstheme="minorHAnsi"/>
          <w:szCs w:val="24"/>
        </w:rPr>
        <w:t>November 2020 and asked if this date needs to be approved by the Council. The secretariat clarified that the date does not need to go to the Council and will be published on the official list of meetings as soon as it is confirmed after internal consultations.</w:t>
      </w:r>
    </w:p>
    <w:p w14:paraId="40885310" w14:textId="605A7694" w:rsidR="00A97181" w:rsidRPr="00A97181" w:rsidRDefault="00A97181" w:rsidP="003E2C23">
      <w:pPr>
        <w:pStyle w:val="Heading3"/>
        <w:shd w:val="clear" w:color="auto" w:fill="FFFFFF"/>
        <w:spacing w:before="120" w:after="120"/>
        <w:ind w:left="0" w:firstLine="0"/>
        <w:rPr>
          <w:rFonts w:cstheme="minorHAnsi"/>
          <w:b w:val="0"/>
          <w:bCs/>
          <w:szCs w:val="24"/>
        </w:rPr>
      </w:pPr>
      <w:r w:rsidRPr="00A97181">
        <w:rPr>
          <w:rFonts w:cstheme="minorHAnsi"/>
          <w:b w:val="0"/>
          <w:bCs/>
          <w:szCs w:val="24"/>
        </w:rPr>
        <w:t>Participants made several observations</w:t>
      </w:r>
      <w:r w:rsidR="00B15117">
        <w:rPr>
          <w:rFonts w:cstheme="minorHAnsi"/>
          <w:b w:val="0"/>
          <w:bCs/>
          <w:szCs w:val="24"/>
        </w:rPr>
        <w:t xml:space="preserve"> as follows</w:t>
      </w:r>
      <w:r w:rsidRPr="00A97181">
        <w:rPr>
          <w:rFonts w:cstheme="minorHAnsi"/>
          <w:b w:val="0"/>
          <w:bCs/>
          <w:szCs w:val="24"/>
        </w:rPr>
        <w:t>: that too many meetings are planned with very short intervals between them; that the planning is unrealistic because many participants are also involved in other meetings taking place between July and November 2020, where they have responsibilities; that the third block of meetings would coincide with at least one of the rapporteur group meetings of ITU-D Study Group 1; that the second block of meetings would overlap with a CEPT meeting in September;</w:t>
      </w:r>
      <w:r>
        <w:rPr>
          <w:rFonts w:cstheme="minorHAnsi"/>
          <w:b w:val="0"/>
          <w:bCs/>
          <w:szCs w:val="24"/>
        </w:rPr>
        <w:t xml:space="preserve"> </w:t>
      </w:r>
      <w:r w:rsidRPr="00A97181">
        <w:rPr>
          <w:rFonts w:cstheme="minorHAnsi"/>
          <w:b w:val="0"/>
          <w:bCs/>
          <w:szCs w:val="24"/>
        </w:rPr>
        <w:t xml:space="preserve">that all the regions are now mainly preparing for </w:t>
      </w:r>
      <w:r w:rsidRPr="00B15117">
        <w:rPr>
          <w:rFonts w:cstheme="minorHAnsi"/>
          <w:b w:val="0"/>
          <w:bCs/>
          <w:szCs w:val="24"/>
        </w:rPr>
        <w:t>WTSA</w:t>
      </w:r>
      <w:r w:rsidRPr="00B15117">
        <w:rPr>
          <w:rStyle w:val="Strong"/>
          <w:rFonts w:cstheme="minorHAnsi"/>
          <w:bCs w:val="0"/>
          <w:szCs w:val="24"/>
          <w:bdr w:val="none" w:sz="0" w:space="0" w:color="auto" w:frame="1"/>
        </w:rPr>
        <w:t>;</w:t>
      </w:r>
      <w:r w:rsidRPr="00A97181">
        <w:rPr>
          <w:rStyle w:val="Strong"/>
          <w:rFonts w:cstheme="minorHAnsi"/>
          <w:b/>
          <w:bCs w:val="0"/>
          <w:szCs w:val="24"/>
          <w:bdr w:val="none" w:sz="0" w:space="0" w:color="auto" w:frame="1"/>
        </w:rPr>
        <w:t xml:space="preserve"> </w:t>
      </w:r>
      <w:r w:rsidRPr="00A97181">
        <w:rPr>
          <w:rStyle w:val="Strong"/>
          <w:rFonts w:cstheme="minorHAnsi"/>
          <w:szCs w:val="24"/>
          <w:bdr w:val="none" w:sz="0" w:space="0" w:color="auto" w:frame="1"/>
        </w:rPr>
        <w:t>and that</w:t>
      </w:r>
      <w:r w:rsidRPr="00A97181">
        <w:rPr>
          <w:rStyle w:val="Strong"/>
          <w:rFonts w:cstheme="minorHAnsi"/>
          <w:b/>
          <w:bCs w:val="0"/>
          <w:szCs w:val="24"/>
          <w:bdr w:val="none" w:sz="0" w:space="0" w:color="auto" w:frame="1"/>
        </w:rPr>
        <w:t xml:space="preserve"> </w:t>
      </w:r>
      <w:r w:rsidRPr="00A97181">
        <w:rPr>
          <w:rFonts w:cstheme="minorHAnsi"/>
          <w:b w:val="0"/>
          <w:bCs/>
          <w:szCs w:val="24"/>
        </w:rPr>
        <w:t xml:space="preserve">holding two meetings in September </w:t>
      </w:r>
      <w:r w:rsidR="00CF0937">
        <w:rPr>
          <w:rFonts w:cstheme="minorHAnsi"/>
          <w:b w:val="0"/>
          <w:bCs/>
          <w:szCs w:val="24"/>
        </w:rPr>
        <w:t xml:space="preserve">is </w:t>
      </w:r>
      <w:r w:rsidRPr="00A97181">
        <w:rPr>
          <w:rFonts w:cstheme="minorHAnsi"/>
          <w:b w:val="0"/>
          <w:bCs/>
          <w:szCs w:val="24"/>
        </w:rPr>
        <w:t>overkill.</w:t>
      </w:r>
    </w:p>
    <w:p w14:paraId="6D82A70F" w14:textId="6FE38114" w:rsidR="00A97181" w:rsidRPr="00A97181" w:rsidRDefault="00A97181" w:rsidP="003E2C23">
      <w:pPr>
        <w:spacing w:after="120"/>
        <w:rPr>
          <w:rFonts w:cstheme="minorHAnsi"/>
          <w:szCs w:val="24"/>
        </w:rPr>
      </w:pPr>
      <w:r w:rsidRPr="00B15117">
        <w:rPr>
          <w:rFonts w:cstheme="minorHAnsi"/>
          <w:szCs w:val="24"/>
        </w:rPr>
        <w:t xml:space="preserve">Participants stressed the need to avoid overlaps with any planned meetings of RTOs and </w:t>
      </w:r>
      <w:r w:rsidR="000D3DE5">
        <w:rPr>
          <w:rFonts w:cstheme="minorHAnsi"/>
          <w:szCs w:val="24"/>
        </w:rPr>
        <w:t xml:space="preserve">with </w:t>
      </w:r>
      <w:r w:rsidRPr="00B15117">
        <w:rPr>
          <w:rFonts w:cstheme="minorHAnsi"/>
          <w:szCs w:val="24"/>
        </w:rPr>
        <w:t xml:space="preserve">the following ITU meetings: </w:t>
      </w:r>
      <w:hyperlink r:id="rId14" w:history="1">
        <w:r w:rsidRPr="000D3DE5">
          <w:rPr>
            <w:rStyle w:val="Hyperlink"/>
            <w:rFonts w:cstheme="minorHAnsi"/>
            <w:bCs/>
            <w:color w:val="auto"/>
            <w:szCs w:val="24"/>
            <w:u w:val="none"/>
            <w:bdr w:val="none" w:sz="0" w:space="0" w:color="auto" w:frame="1"/>
            <w:shd w:val="clear" w:color="auto" w:fill="FFFFFF"/>
          </w:rPr>
          <w:t>ITU-D Study Group 1 Rapporteur Group e-meetings</w:t>
        </w:r>
      </w:hyperlink>
      <w:r w:rsidRPr="000D3DE5">
        <w:rPr>
          <w:rStyle w:val="Hyperlink"/>
          <w:rFonts w:cstheme="minorHAnsi"/>
          <w:bCs/>
          <w:color w:val="auto"/>
          <w:szCs w:val="24"/>
          <w:u w:val="none"/>
          <w:bdr w:val="none" w:sz="0" w:space="0" w:color="auto" w:frame="1"/>
          <w:shd w:val="clear" w:color="auto" w:fill="FFFFFF"/>
        </w:rPr>
        <w:t xml:space="preserve">, </w:t>
      </w:r>
      <w:r w:rsidRPr="000D3DE5">
        <w:rPr>
          <w:rFonts w:cstheme="minorHAnsi"/>
          <w:szCs w:val="24"/>
          <w:shd w:val="clear" w:color="auto" w:fill="FFFFFF"/>
        </w:rPr>
        <w:t xml:space="preserve">21 September - 2 October 2020; </w:t>
      </w:r>
      <w:hyperlink r:id="rId15" w:history="1">
        <w:r w:rsidRPr="000D3DE5">
          <w:rPr>
            <w:rStyle w:val="Hyperlink"/>
            <w:rFonts w:cstheme="minorHAnsi"/>
            <w:bCs/>
            <w:color w:val="auto"/>
            <w:szCs w:val="24"/>
            <w:u w:val="none"/>
            <w:bdr w:val="none" w:sz="0" w:space="0" w:color="auto" w:frame="1"/>
            <w:shd w:val="clear" w:color="auto" w:fill="FFFFFF"/>
          </w:rPr>
          <w:t>ITU-D Study Group 2 Rapporteur Group e-meetings</w:t>
        </w:r>
      </w:hyperlink>
      <w:r w:rsidRPr="000D3DE5">
        <w:rPr>
          <w:rStyle w:val="Hyperlink"/>
          <w:rFonts w:cstheme="minorHAnsi"/>
          <w:bCs/>
          <w:color w:val="auto"/>
          <w:szCs w:val="24"/>
          <w:u w:val="none"/>
          <w:bdr w:val="none" w:sz="0" w:space="0" w:color="auto" w:frame="1"/>
          <w:shd w:val="clear" w:color="auto" w:fill="FFFFFF"/>
        </w:rPr>
        <w:t>,</w:t>
      </w:r>
      <w:r w:rsidRPr="000D3DE5">
        <w:rPr>
          <w:rFonts w:cstheme="minorHAnsi"/>
          <w:szCs w:val="24"/>
        </w:rPr>
        <w:t xml:space="preserve"> </w:t>
      </w:r>
      <w:r w:rsidRPr="000D3DE5">
        <w:rPr>
          <w:rFonts w:cstheme="minorHAnsi"/>
          <w:szCs w:val="24"/>
          <w:shd w:val="clear" w:color="auto" w:fill="FFFFFF"/>
        </w:rPr>
        <w:t>5</w:t>
      </w:r>
      <w:r w:rsidR="000D3DE5">
        <w:rPr>
          <w:rFonts w:cstheme="minorHAnsi"/>
          <w:szCs w:val="24"/>
          <w:shd w:val="clear" w:color="auto" w:fill="FFFFFF"/>
        </w:rPr>
        <w:t>-</w:t>
      </w:r>
      <w:r w:rsidRPr="00B15117">
        <w:rPr>
          <w:rFonts w:cstheme="minorHAnsi"/>
          <w:szCs w:val="24"/>
          <w:shd w:val="clear" w:color="auto" w:fill="FFFFFF"/>
        </w:rPr>
        <w:t xml:space="preserve">16 October 2020; Informal Experts Group on World Telecommunication/Information and Communication Technology Policy Forum 2021 </w:t>
      </w:r>
      <w:r w:rsidRPr="00B15117">
        <w:rPr>
          <w:rStyle w:val="Strong"/>
          <w:rFonts w:cstheme="minorHAnsi"/>
          <w:b w:val="0"/>
          <w:szCs w:val="24"/>
          <w:bdr w:val="none" w:sz="0" w:space="0" w:color="auto" w:frame="1"/>
          <w:shd w:val="clear" w:color="auto" w:fill="FFFFFF"/>
        </w:rPr>
        <w:t>(IEG-WTPF-21), 14-16 September 2020; and the</w:t>
      </w:r>
      <w:r w:rsidRPr="00B15117">
        <w:rPr>
          <w:rStyle w:val="Strong"/>
          <w:rFonts w:cstheme="minorHAnsi"/>
          <w:szCs w:val="24"/>
          <w:bdr w:val="none" w:sz="0" w:space="0" w:color="auto" w:frame="1"/>
          <w:shd w:val="clear" w:color="auto" w:fill="FFFFFF"/>
        </w:rPr>
        <w:t xml:space="preserve"> </w:t>
      </w:r>
      <w:r w:rsidRPr="00A97181">
        <w:rPr>
          <w:rFonts w:cstheme="minorHAnsi"/>
          <w:szCs w:val="24"/>
          <w:shd w:val="clear" w:color="auto" w:fill="FFFFFF"/>
        </w:rPr>
        <w:t>Expert Group on the International Telecommunication Regulations (EG</w:t>
      </w:r>
      <w:r w:rsidRPr="00A97181">
        <w:rPr>
          <w:rFonts w:cstheme="minorHAnsi"/>
          <w:szCs w:val="24"/>
          <w:shd w:val="clear" w:color="auto" w:fill="FFFFFF"/>
        </w:rPr>
        <w:noBreakHyphen/>
        <w:t>ITRs), 17-18 September 2020.</w:t>
      </w:r>
    </w:p>
    <w:p w14:paraId="6A6A8247" w14:textId="3BC058A4" w:rsidR="00A97181" w:rsidRPr="000D3DE5" w:rsidRDefault="00A97181" w:rsidP="003E2C23">
      <w:pPr>
        <w:spacing w:after="120"/>
        <w:rPr>
          <w:rFonts w:cstheme="minorHAnsi"/>
          <w:szCs w:val="24"/>
        </w:rPr>
      </w:pPr>
      <w:r w:rsidRPr="00A97181">
        <w:rPr>
          <w:rFonts w:cstheme="minorHAnsi"/>
          <w:szCs w:val="24"/>
        </w:rPr>
        <w:t>The meeting schedule should take into account the fact that many of the Member State officials with specific tasks in TDAG are also heavily involved in some of the other meetings listed above. It was agreed to reduce the number of meetings</w:t>
      </w:r>
      <w:r w:rsidR="0025090A">
        <w:rPr>
          <w:rFonts w:cstheme="minorHAnsi"/>
          <w:szCs w:val="24"/>
        </w:rPr>
        <w:t xml:space="preserve">. One suggestion was to </w:t>
      </w:r>
      <w:r w:rsidRPr="00A97181">
        <w:rPr>
          <w:rFonts w:cstheme="minorHAnsi"/>
          <w:szCs w:val="24"/>
        </w:rPr>
        <w:t>delete the third block</w:t>
      </w:r>
      <w:r w:rsidR="000D3DE5">
        <w:rPr>
          <w:rFonts w:cstheme="minorHAnsi"/>
          <w:szCs w:val="24"/>
        </w:rPr>
        <w:t xml:space="preserve"> of meetings</w:t>
      </w:r>
      <w:r w:rsidRPr="00A97181">
        <w:rPr>
          <w:rFonts w:cstheme="minorHAnsi"/>
          <w:szCs w:val="24"/>
        </w:rPr>
        <w:t xml:space="preserve">. </w:t>
      </w:r>
      <w:r w:rsidR="00D407A5">
        <w:rPr>
          <w:rFonts w:cstheme="minorHAnsi"/>
          <w:szCs w:val="24"/>
        </w:rPr>
        <w:t>An appropriate number of virtual meetings will be held</w:t>
      </w:r>
      <w:r w:rsidRPr="00A97181">
        <w:rPr>
          <w:rFonts w:cstheme="minorHAnsi"/>
          <w:szCs w:val="24"/>
        </w:rPr>
        <w:t xml:space="preserve"> before </w:t>
      </w:r>
      <w:r w:rsidR="0025090A">
        <w:rPr>
          <w:rFonts w:cstheme="minorHAnsi"/>
          <w:szCs w:val="24"/>
        </w:rPr>
        <w:t xml:space="preserve">the </w:t>
      </w:r>
      <w:r w:rsidRPr="00A97181">
        <w:rPr>
          <w:rFonts w:cstheme="minorHAnsi"/>
          <w:szCs w:val="24"/>
        </w:rPr>
        <w:t xml:space="preserve">extraordinary meeting of TDAG in November 2020. </w:t>
      </w:r>
    </w:p>
    <w:p w14:paraId="219B5391" w14:textId="2DFE615D" w:rsidR="00A97181" w:rsidRPr="00A97181" w:rsidRDefault="00A97181" w:rsidP="003E2C23">
      <w:pPr>
        <w:spacing w:after="120"/>
        <w:rPr>
          <w:rFonts w:cstheme="minorHAnsi"/>
          <w:szCs w:val="24"/>
        </w:rPr>
      </w:pPr>
      <w:r w:rsidRPr="00A97181">
        <w:rPr>
          <w:rFonts w:cstheme="minorHAnsi"/>
          <w:b/>
          <w:szCs w:val="24"/>
        </w:rPr>
        <w:t>Recommendation:</w:t>
      </w:r>
      <w:r w:rsidRPr="00A97181">
        <w:rPr>
          <w:rFonts w:cstheme="minorHAnsi"/>
          <w:szCs w:val="24"/>
        </w:rPr>
        <w:t xml:space="preserve"> The secretariat will produce and circulate a revised</w:t>
      </w:r>
      <w:r w:rsidR="00D407A5">
        <w:rPr>
          <w:rFonts w:cstheme="minorHAnsi"/>
          <w:szCs w:val="24"/>
        </w:rPr>
        <w:t xml:space="preserve"> calendar of TDAG working group meetings </w:t>
      </w:r>
      <w:r w:rsidRPr="00A97181">
        <w:rPr>
          <w:rFonts w:cstheme="minorHAnsi"/>
          <w:szCs w:val="24"/>
        </w:rPr>
        <w:t>taking into account the above observations and suggestions. In particular, overlaps should b</w:t>
      </w:r>
      <w:r w:rsidR="000D3DE5">
        <w:rPr>
          <w:rFonts w:cstheme="minorHAnsi"/>
          <w:szCs w:val="24"/>
        </w:rPr>
        <w:t xml:space="preserve">e avoided and ample time should </w:t>
      </w:r>
      <w:r w:rsidRPr="00A97181">
        <w:rPr>
          <w:rFonts w:cstheme="minorHAnsi"/>
          <w:szCs w:val="24"/>
        </w:rPr>
        <w:t>be given to Member States, Sector Members and other stakeholders to comply with the deadlines for submission of contributions in a manner that will allow the working group to finalize its report ahead of the November TDAG meeting.</w:t>
      </w:r>
    </w:p>
    <w:p w14:paraId="5EE198E5" w14:textId="36AE1E11" w:rsidR="00A97181" w:rsidRPr="00A97181" w:rsidRDefault="00A97181" w:rsidP="003E2C23">
      <w:pPr>
        <w:pStyle w:val="Fixed"/>
        <w:spacing w:before="120" w:after="120" w:line="240" w:lineRule="auto"/>
        <w:ind w:right="0"/>
        <w:rPr>
          <w:rFonts w:asciiTheme="minorHAnsi" w:hAnsiTheme="minorHAnsi" w:cstheme="minorHAnsi"/>
        </w:rPr>
      </w:pPr>
      <w:r w:rsidRPr="00A97181">
        <w:rPr>
          <w:rFonts w:asciiTheme="minorHAnsi" w:hAnsiTheme="minorHAnsi" w:cstheme="minorHAnsi"/>
        </w:rPr>
        <w:t xml:space="preserve">Apart from the dates for the next meetings, the </w:t>
      </w:r>
      <w:r w:rsidR="00D407A5">
        <w:rPr>
          <w:rFonts w:asciiTheme="minorHAnsi" w:hAnsiTheme="minorHAnsi" w:cstheme="minorHAnsi"/>
        </w:rPr>
        <w:t>calendar</w:t>
      </w:r>
      <w:r w:rsidR="000D3DE5">
        <w:rPr>
          <w:rFonts w:asciiTheme="minorHAnsi" w:hAnsiTheme="minorHAnsi" w:cstheme="minorHAnsi"/>
        </w:rPr>
        <w:t xml:space="preserve"> </w:t>
      </w:r>
      <w:r w:rsidRPr="00A97181">
        <w:rPr>
          <w:rFonts w:asciiTheme="minorHAnsi" w:hAnsiTheme="minorHAnsi" w:cstheme="minorHAnsi"/>
        </w:rPr>
        <w:t>shall include the d</w:t>
      </w:r>
      <w:r w:rsidRPr="00A97181">
        <w:rPr>
          <w:rFonts w:asciiTheme="minorHAnsi" w:hAnsiTheme="minorHAnsi" w:cstheme="minorHAnsi"/>
          <w:bCs/>
        </w:rPr>
        <w:t xml:space="preserve">eadlines for submission of written contributions, the date for the draft report for comments, </w:t>
      </w:r>
      <w:r w:rsidR="000D3DE5">
        <w:rPr>
          <w:rFonts w:asciiTheme="minorHAnsi" w:hAnsiTheme="minorHAnsi" w:cstheme="minorHAnsi"/>
          <w:bCs/>
        </w:rPr>
        <w:t xml:space="preserve">and </w:t>
      </w:r>
      <w:r w:rsidRPr="00A97181">
        <w:rPr>
          <w:rFonts w:asciiTheme="minorHAnsi" w:hAnsiTheme="minorHAnsi" w:cstheme="minorHAnsi"/>
          <w:bCs/>
        </w:rPr>
        <w:t xml:space="preserve">the date for </w:t>
      </w:r>
      <w:r w:rsidR="000D3DE5">
        <w:rPr>
          <w:rFonts w:asciiTheme="minorHAnsi" w:hAnsiTheme="minorHAnsi" w:cstheme="minorHAnsi"/>
          <w:bCs/>
        </w:rPr>
        <w:t xml:space="preserve">submitting </w:t>
      </w:r>
      <w:r w:rsidRPr="00A97181">
        <w:rPr>
          <w:rFonts w:asciiTheme="minorHAnsi" w:hAnsiTheme="minorHAnsi" w:cstheme="minorHAnsi"/>
          <w:bCs/>
        </w:rPr>
        <w:t>the report to the November TDAG</w:t>
      </w:r>
      <w:r w:rsidR="00FF11CA">
        <w:rPr>
          <w:rFonts w:asciiTheme="minorHAnsi" w:hAnsiTheme="minorHAnsi" w:cstheme="minorHAnsi"/>
          <w:bCs/>
        </w:rPr>
        <w:t xml:space="preserve"> meeting</w:t>
      </w:r>
      <w:r w:rsidRPr="00A97181">
        <w:rPr>
          <w:rFonts w:asciiTheme="minorHAnsi" w:hAnsiTheme="minorHAnsi" w:cstheme="minorHAnsi"/>
          <w:bCs/>
        </w:rPr>
        <w:t>.</w:t>
      </w:r>
    </w:p>
    <w:p w14:paraId="55284780" w14:textId="5A555015" w:rsidR="00A97181" w:rsidRPr="00A97181" w:rsidRDefault="00A97181" w:rsidP="00FF11CA">
      <w:pPr>
        <w:pStyle w:val="Fixed"/>
        <w:numPr>
          <w:ilvl w:val="0"/>
          <w:numId w:val="22"/>
        </w:numPr>
        <w:spacing w:before="120" w:after="120" w:line="240" w:lineRule="auto"/>
        <w:ind w:right="0"/>
        <w:rPr>
          <w:rFonts w:asciiTheme="minorHAnsi" w:hAnsiTheme="minorHAnsi" w:cstheme="minorHAnsi"/>
          <w:b/>
        </w:rPr>
      </w:pPr>
      <w:r w:rsidRPr="00A97181">
        <w:rPr>
          <w:rFonts w:asciiTheme="minorHAnsi" w:hAnsiTheme="minorHAnsi" w:cstheme="minorHAnsi"/>
          <w:b/>
        </w:rPr>
        <w:t>Conclusion</w:t>
      </w:r>
    </w:p>
    <w:p w14:paraId="054BD524" w14:textId="7824DE3E" w:rsidR="00A97181" w:rsidRPr="00A97181" w:rsidRDefault="00FF11CA" w:rsidP="002629F1">
      <w:pPr>
        <w:spacing w:after="120"/>
        <w:rPr>
          <w:rFonts w:cstheme="minorHAnsi"/>
          <w:szCs w:val="24"/>
        </w:rPr>
      </w:pPr>
      <w:r>
        <w:rPr>
          <w:rFonts w:cstheme="minorHAnsi"/>
          <w:szCs w:val="24"/>
        </w:rPr>
        <w:t xml:space="preserve">The group will hold </w:t>
      </w:r>
      <w:r w:rsidR="00E5282C">
        <w:rPr>
          <w:rFonts w:cstheme="minorHAnsi"/>
          <w:szCs w:val="24"/>
        </w:rPr>
        <w:t xml:space="preserve">an appropriate number of virtual meetings </w:t>
      </w:r>
      <w:r w:rsidR="00EF3C38">
        <w:rPr>
          <w:rFonts w:cstheme="minorHAnsi"/>
          <w:szCs w:val="24"/>
        </w:rPr>
        <w:t>a</w:t>
      </w:r>
      <w:r w:rsidR="00A97181" w:rsidRPr="00A97181">
        <w:rPr>
          <w:rFonts w:cstheme="minorHAnsi"/>
          <w:szCs w:val="24"/>
        </w:rPr>
        <w:t>nd will produce reports for each meeting.</w:t>
      </w:r>
      <w:r w:rsidR="00A97181">
        <w:rPr>
          <w:rFonts w:cstheme="minorHAnsi"/>
          <w:szCs w:val="24"/>
        </w:rPr>
        <w:t xml:space="preserve"> </w:t>
      </w:r>
      <w:r w:rsidR="00A97181" w:rsidRPr="00A97181">
        <w:rPr>
          <w:rFonts w:cstheme="minorHAnsi"/>
          <w:szCs w:val="24"/>
        </w:rPr>
        <w:t xml:space="preserve">Each meeting report will include specific recommendations and highlight how the group </w:t>
      </w:r>
      <w:r w:rsidR="00A97181" w:rsidRPr="00A97181">
        <w:rPr>
          <w:rFonts w:cstheme="minorHAnsi"/>
          <w:szCs w:val="24"/>
        </w:rPr>
        <w:lastRenderedPageBreak/>
        <w:t>is achieving concrete results in terms of the whole process (starting from this meeting). Some of the conclusions reached at thi</w:t>
      </w:r>
      <w:r>
        <w:rPr>
          <w:rFonts w:cstheme="minorHAnsi"/>
          <w:szCs w:val="24"/>
        </w:rPr>
        <w:t>s meeting are highlighted below:</w:t>
      </w:r>
    </w:p>
    <w:p w14:paraId="30E7A48F" w14:textId="55E86C01" w:rsidR="00A97181" w:rsidRDefault="00A97181" w:rsidP="002629F1">
      <w:pPr>
        <w:pStyle w:val="ListParagraph"/>
        <w:numPr>
          <w:ilvl w:val="0"/>
          <w:numId w:val="21"/>
        </w:numPr>
        <w:spacing w:after="120"/>
        <w:contextualSpacing w:val="0"/>
        <w:rPr>
          <w:rFonts w:cstheme="minorHAnsi"/>
          <w:szCs w:val="24"/>
        </w:rPr>
      </w:pPr>
      <w:r w:rsidRPr="00A97181">
        <w:rPr>
          <w:rFonts w:cstheme="minorHAnsi"/>
          <w:szCs w:val="24"/>
        </w:rPr>
        <w:t xml:space="preserve">Interpretation should be provided in the six official languages of the Union within </w:t>
      </w:r>
      <w:r w:rsidRPr="00A97181">
        <w:rPr>
          <w:rFonts w:eastAsiaTheme="minorHAnsi" w:cstheme="minorHAnsi"/>
          <w:szCs w:val="24"/>
        </w:rPr>
        <w:t xml:space="preserve">the budgetary limitations of the Union. </w:t>
      </w:r>
    </w:p>
    <w:p w14:paraId="508B46ED" w14:textId="38A8633E" w:rsidR="00200F9A" w:rsidRPr="002629F1" w:rsidRDefault="00200F9A">
      <w:pPr>
        <w:pStyle w:val="Fixed"/>
        <w:numPr>
          <w:ilvl w:val="0"/>
          <w:numId w:val="21"/>
        </w:numPr>
        <w:spacing w:before="120" w:after="120" w:line="240" w:lineRule="auto"/>
        <w:ind w:right="0"/>
        <w:rPr>
          <w:rFonts w:asciiTheme="minorHAnsi" w:hAnsiTheme="minorHAnsi" w:cstheme="minorHAnsi"/>
        </w:rPr>
      </w:pPr>
      <w:r w:rsidRPr="002629F1">
        <w:rPr>
          <w:rFonts w:asciiTheme="minorHAnsi" w:hAnsiTheme="minorHAnsi"/>
        </w:rPr>
        <w:t>Contributions are to be submitted in English, or in the language of the contributing Member State, provided it is one of the official languages of the Union and that the document is received within a specified deadline. In such a case, the contribution will be translated into English only.</w:t>
      </w:r>
      <w:r w:rsidR="002629F1">
        <w:rPr>
          <w:rFonts w:asciiTheme="minorHAnsi" w:hAnsiTheme="minorHAnsi"/>
        </w:rPr>
        <w:t xml:space="preserve"> </w:t>
      </w:r>
      <w:r w:rsidRPr="002629F1">
        <w:rPr>
          <w:rFonts w:asciiTheme="minorHAnsi" w:hAnsiTheme="minorHAnsi"/>
        </w:rPr>
        <w:t>Any reports produced by the working group will be translated into all six languages.</w:t>
      </w:r>
    </w:p>
    <w:p w14:paraId="52B80A95" w14:textId="1A470429" w:rsidR="00A97181" w:rsidRPr="00A97181" w:rsidRDefault="00A97181">
      <w:pPr>
        <w:pStyle w:val="ListParagraph"/>
        <w:numPr>
          <w:ilvl w:val="0"/>
          <w:numId w:val="21"/>
        </w:numPr>
        <w:spacing w:after="120"/>
        <w:contextualSpacing w:val="0"/>
        <w:rPr>
          <w:rFonts w:cstheme="minorHAnsi"/>
          <w:szCs w:val="24"/>
        </w:rPr>
      </w:pPr>
      <w:r w:rsidRPr="002629F1">
        <w:rPr>
          <w:rFonts w:cstheme="minorHAnsi"/>
          <w:szCs w:val="24"/>
        </w:rPr>
        <w:t>The mailing list will</w:t>
      </w:r>
      <w:r w:rsidRPr="00A97181">
        <w:rPr>
          <w:rFonts w:cstheme="minorHAnsi"/>
          <w:szCs w:val="24"/>
        </w:rPr>
        <w:t xml:space="preserve"> be the only additional, but informal tool to be used to work constructively. Written contributions are the only formal documents for discussions.</w:t>
      </w:r>
    </w:p>
    <w:p w14:paraId="76165F72" w14:textId="7CE37A49" w:rsidR="00A97181" w:rsidRPr="00A97181" w:rsidRDefault="00A97181">
      <w:pPr>
        <w:pStyle w:val="Fixed"/>
        <w:numPr>
          <w:ilvl w:val="0"/>
          <w:numId w:val="21"/>
        </w:numPr>
        <w:spacing w:before="120" w:after="120" w:line="240" w:lineRule="auto"/>
        <w:ind w:right="0"/>
        <w:rPr>
          <w:rFonts w:asciiTheme="minorHAnsi" w:hAnsiTheme="minorHAnsi" w:cstheme="minorHAnsi"/>
        </w:rPr>
      </w:pPr>
      <w:r w:rsidRPr="00A97181">
        <w:rPr>
          <w:rFonts w:asciiTheme="minorHAnsi" w:hAnsiTheme="minorHAnsi" w:cstheme="minorHAnsi"/>
        </w:rPr>
        <w:t xml:space="preserve">The Director of BDT will send a circular letter to all </w:t>
      </w:r>
      <w:r w:rsidR="00133F1B" w:rsidRPr="00133F1B">
        <w:rPr>
          <w:rFonts w:asciiTheme="minorHAnsi" w:hAnsiTheme="minorHAnsi" w:cstheme="minorHAnsi"/>
        </w:rPr>
        <w:t>RTOs</w:t>
      </w:r>
      <w:r w:rsidR="00133F1B" w:rsidRPr="00A97181">
        <w:rPr>
          <w:rFonts w:asciiTheme="minorHAnsi" w:hAnsiTheme="minorHAnsi" w:cstheme="minorHAnsi"/>
        </w:rPr>
        <w:t xml:space="preserve"> </w:t>
      </w:r>
      <w:r w:rsidRPr="00A97181">
        <w:rPr>
          <w:rFonts w:asciiTheme="minorHAnsi" w:hAnsiTheme="minorHAnsi" w:cstheme="minorHAnsi"/>
        </w:rPr>
        <w:t xml:space="preserve">inviting them to designate focal points for </w:t>
      </w:r>
      <w:r w:rsidRPr="00B15117">
        <w:rPr>
          <w:rFonts w:asciiTheme="minorHAnsi" w:hAnsiTheme="minorHAnsi" w:cstheme="minorHAnsi"/>
        </w:rPr>
        <w:t>coordination</w:t>
      </w:r>
      <w:r w:rsidRPr="00A97181">
        <w:rPr>
          <w:rFonts w:asciiTheme="minorHAnsi" w:hAnsiTheme="minorHAnsi" w:cstheme="minorHAnsi"/>
        </w:rPr>
        <w:t>.</w:t>
      </w:r>
    </w:p>
    <w:p w14:paraId="0803813D" w14:textId="3DD74F4F" w:rsidR="00A97181" w:rsidRPr="00A97181" w:rsidRDefault="00A97181">
      <w:pPr>
        <w:pStyle w:val="Fixed"/>
        <w:numPr>
          <w:ilvl w:val="0"/>
          <w:numId w:val="21"/>
        </w:numPr>
        <w:spacing w:before="120" w:after="120" w:line="240" w:lineRule="auto"/>
        <w:ind w:right="0"/>
        <w:rPr>
          <w:rFonts w:asciiTheme="minorHAnsi" w:hAnsiTheme="minorHAnsi" w:cstheme="minorHAnsi"/>
        </w:rPr>
      </w:pPr>
      <w:r w:rsidRPr="00A97181">
        <w:rPr>
          <w:rFonts w:asciiTheme="minorHAnsi" w:hAnsiTheme="minorHAnsi" w:cstheme="minorHAnsi"/>
        </w:rPr>
        <w:t xml:space="preserve">The secretariat will produce and circulate a revised </w:t>
      </w:r>
      <w:r w:rsidR="00FF11CA">
        <w:rPr>
          <w:rFonts w:asciiTheme="minorHAnsi" w:hAnsiTheme="minorHAnsi" w:cstheme="minorHAnsi"/>
        </w:rPr>
        <w:t>schedule</w:t>
      </w:r>
      <w:r w:rsidRPr="00A97181">
        <w:rPr>
          <w:rFonts w:asciiTheme="minorHAnsi" w:hAnsiTheme="minorHAnsi" w:cstheme="minorHAnsi"/>
        </w:rPr>
        <w:t>, taking into account the observations and suggestions made in Section 4 above.</w:t>
      </w:r>
    </w:p>
    <w:p w14:paraId="5D73D23F" w14:textId="3177682B" w:rsidR="00A97181" w:rsidRPr="00A97181" w:rsidRDefault="00A97181" w:rsidP="002629F1">
      <w:pPr>
        <w:spacing w:after="120"/>
        <w:rPr>
          <w:rFonts w:cstheme="minorHAnsi"/>
          <w:b/>
          <w:bCs/>
          <w:szCs w:val="24"/>
        </w:rPr>
      </w:pPr>
      <w:r w:rsidRPr="00A97181">
        <w:rPr>
          <w:rFonts w:cstheme="minorHAnsi"/>
          <w:szCs w:val="24"/>
        </w:rPr>
        <w:t>The Chairman expressed sincere thanks to all for their interventions and very valuable support.</w:t>
      </w:r>
    </w:p>
    <w:p w14:paraId="6ED71B5E" w14:textId="77F71880" w:rsidR="001F6259" w:rsidRPr="00F02830" w:rsidRDefault="003C58BF" w:rsidP="00567053">
      <w:pPr>
        <w:tabs>
          <w:tab w:val="clear" w:pos="794"/>
          <w:tab w:val="clear" w:pos="1191"/>
          <w:tab w:val="clear" w:pos="1588"/>
          <w:tab w:val="clear" w:pos="1985"/>
        </w:tabs>
        <w:ind w:left="34" w:right="-142"/>
        <w:jc w:val="center"/>
        <w:rPr>
          <w:rFonts w:cstheme="minorHAnsi"/>
          <w:szCs w:val="24"/>
        </w:rPr>
      </w:pPr>
      <w:r w:rsidRPr="00F02830">
        <w:rPr>
          <w:rFonts w:cstheme="minorHAnsi"/>
          <w:szCs w:val="24"/>
        </w:rPr>
        <w:t>_____________</w:t>
      </w:r>
      <w:r w:rsidR="004122C5" w:rsidRPr="00F02830">
        <w:rPr>
          <w:rFonts w:cstheme="minorHAnsi"/>
          <w:szCs w:val="24"/>
        </w:rPr>
        <w:t>_</w:t>
      </w:r>
      <w:r w:rsidR="00922EC1" w:rsidRPr="00F02830">
        <w:rPr>
          <w:rFonts w:cstheme="minorHAnsi"/>
          <w:szCs w:val="24"/>
        </w:rPr>
        <w:t>_</w:t>
      </w:r>
    </w:p>
    <w:sectPr w:rsidR="001F6259" w:rsidRPr="00F02830" w:rsidSect="00567053">
      <w:headerReference w:type="default" r:id="rId16"/>
      <w:footerReference w:type="first" r:id="rId17"/>
      <w:pgSz w:w="11907" w:h="16834"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CF827" w14:textId="77777777" w:rsidR="0038551D" w:rsidRDefault="0038551D">
      <w:r>
        <w:separator/>
      </w:r>
    </w:p>
  </w:endnote>
  <w:endnote w:type="continuationSeparator" w:id="0">
    <w:p w14:paraId="00DD0967" w14:textId="77777777" w:rsidR="0038551D" w:rsidRDefault="0038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594326" w14:paraId="420CD699" w14:textId="77777777" w:rsidTr="00481C8F">
      <w:tc>
        <w:tcPr>
          <w:tcW w:w="1527" w:type="dxa"/>
          <w:tcBorders>
            <w:top w:val="single" w:sz="4" w:space="0" w:color="000000"/>
            <w:left w:val="nil"/>
            <w:bottom w:val="nil"/>
            <w:right w:val="nil"/>
          </w:tcBorders>
          <w:hideMark/>
        </w:tcPr>
        <w:p w14:paraId="76DEEFCF" w14:textId="77777777" w:rsidR="00594326" w:rsidRDefault="00594326" w:rsidP="00594326">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61A2D853" w14:textId="77777777" w:rsidR="00594326" w:rsidRDefault="00594326" w:rsidP="00594326">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3F51D95F" w14:textId="77777777" w:rsidR="00594326" w:rsidRDefault="00594326" w:rsidP="00594326">
          <w:pPr>
            <w:pStyle w:val="FirstFooter"/>
            <w:tabs>
              <w:tab w:val="left" w:pos="2302"/>
            </w:tabs>
            <w:rPr>
              <w:sz w:val="18"/>
              <w:szCs w:val="18"/>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lang w:val="en-GB"/>
            </w:rPr>
            <w:t>Telecommunication Development Bureau</w:t>
          </w:r>
        </w:p>
      </w:tc>
      <w:bookmarkStart w:id="3" w:name="OrgName"/>
      <w:bookmarkEnd w:id="3"/>
    </w:tr>
    <w:tr w:rsidR="00594326" w14:paraId="1BC8AB6E" w14:textId="77777777" w:rsidTr="00481C8F">
      <w:tc>
        <w:tcPr>
          <w:tcW w:w="1527" w:type="dxa"/>
        </w:tcPr>
        <w:p w14:paraId="01917132" w14:textId="77777777" w:rsidR="00594326" w:rsidRDefault="00594326" w:rsidP="00594326">
          <w:pPr>
            <w:pStyle w:val="FirstFooter"/>
            <w:tabs>
              <w:tab w:val="left" w:pos="1559"/>
              <w:tab w:val="left" w:pos="3828"/>
            </w:tabs>
            <w:rPr>
              <w:sz w:val="20"/>
              <w:lang w:val="en-US"/>
            </w:rPr>
          </w:pPr>
        </w:p>
      </w:tc>
      <w:tc>
        <w:tcPr>
          <w:tcW w:w="2412" w:type="dxa"/>
          <w:hideMark/>
        </w:tcPr>
        <w:p w14:paraId="43B034D3" w14:textId="77777777" w:rsidR="00594326" w:rsidRDefault="00594326" w:rsidP="00594326">
          <w:pPr>
            <w:pStyle w:val="FirstFooter"/>
            <w:tabs>
              <w:tab w:val="left" w:pos="2302"/>
            </w:tabs>
            <w:rPr>
              <w:sz w:val="18"/>
              <w:szCs w:val="18"/>
              <w:lang w:val="en-US"/>
            </w:rPr>
          </w:pPr>
          <w:r>
            <w:rPr>
              <w:sz w:val="18"/>
              <w:szCs w:val="18"/>
              <w:lang w:val="en-US"/>
            </w:rPr>
            <w:t>Phone number:</w:t>
          </w:r>
        </w:p>
      </w:tc>
      <w:tc>
        <w:tcPr>
          <w:tcW w:w="5991" w:type="dxa"/>
        </w:tcPr>
        <w:p w14:paraId="59E75C31" w14:textId="77777777" w:rsidR="00594326" w:rsidRDefault="00594326" w:rsidP="00594326">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4" w:name="PhoneNo"/>
      <w:bookmarkEnd w:id="4"/>
    </w:tr>
    <w:tr w:rsidR="00594326" w14:paraId="30A7A95B" w14:textId="77777777" w:rsidTr="00481C8F">
      <w:tc>
        <w:tcPr>
          <w:tcW w:w="1527" w:type="dxa"/>
        </w:tcPr>
        <w:p w14:paraId="7C655673" w14:textId="77777777" w:rsidR="00594326" w:rsidRDefault="00594326" w:rsidP="00594326">
          <w:pPr>
            <w:pStyle w:val="FirstFooter"/>
            <w:tabs>
              <w:tab w:val="left" w:pos="1559"/>
              <w:tab w:val="left" w:pos="3828"/>
            </w:tabs>
            <w:rPr>
              <w:sz w:val="20"/>
              <w:lang w:val="en-US"/>
            </w:rPr>
          </w:pPr>
        </w:p>
      </w:tc>
      <w:tc>
        <w:tcPr>
          <w:tcW w:w="2412" w:type="dxa"/>
          <w:hideMark/>
        </w:tcPr>
        <w:p w14:paraId="56B28285" w14:textId="77777777" w:rsidR="00594326" w:rsidRDefault="00594326" w:rsidP="00594326">
          <w:pPr>
            <w:pStyle w:val="FirstFooter"/>
            <w:tabs>
              <w:tab w:val="left" w:pos="2302"/>
            </w:tabs>
            <w:rPr>
              <w:sz w:val="18"/>
              <w:szCs w:val="18"/>
              <w:lang w:val="en-US"/>
            </w:rPr>
          </w:pPr>
          <w:r>
            <w:rPr>
              <w:sz w:val="18"/>
              <w:szCs w:val="18"/>
              <w:lang w:val="en-US"/>
            </w:rPr>
            <w:t>E-mail:</w:t>
          </w:r>
        </w:p>
      </w:tc>
      <w:tc>
        <w:tcPr>
          <w:tcW w:w="5991" w:type="dxa"/>
        </w:tcPr>
        <w:p w14:paraId="19461531" w14:textId="77777777" w:rsidR="00594326" w:rsidRDefault="00C872F7" w:rsidP="00594326">
          <w:pPr>
            <w:pStyle w:val="FirstFooter"/>
            <w:tabs>
              <w:tab w:val="left" w:pos="2302"/>
            </w:tabs>
            <w:rPr>
              <w:sz w:val="18"/>
              <w:szCs w:val="18"/>
              <w:lang w:val="en-US"/>
            </w:rPr>
          </w:pPr>
          <w:hyperlink r:id="rId1" w:history="1">
            <w:r w:rsidR="00594326" w:rsidRPr="00D934D7">
              <w:rPr>
                <w:rStyle w:val="Hyperlink"/>
                <w:sz w:val="18"/>
                <w:szCs w:val="22"/>
              </w:rPr>
              <w:t>stephen.bereaux@itu.int</w:t>
            </w:r>
          </w:hyperlink>
          <w:r w:rsidR="00594326" w:rsidRPr="00D934D7">
            <w:rPr>
              <w:sz w:val="18"/>
              <w:szCs w:val="22"/>
            </w:rPr>
            <w:t xml:space="preserve"> </w:t>
          </w:r>
        </w:p>
      </w:tc>
      <w:bookmarkStart w:id="5" w:name="Email"/>
      <w:bookmarkEnd w:id="5"/>
    </w:tr>
  </w:tbl>
  <w:p w14:paraId="1D91A11F" w14:textId="22CB4542" w:rsidR="00594326" w:rsidRPr="00594326" w:rsidRDefault="00594326" w:rsidP="00594326">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Pr="00BE53BF">
        <w:rPr>
          <w:rStyle w:val="Hyperlink"/>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A5B49" w14:textId="77777777" w:rsidR="0038551D" w:rsidRDefault="0038551D">
      <w:r>
        <w:t>____________________</w:t>
      </w:r>
    </w:p>
  </w:footnote>
  <w:footnote w:type="continuationSeparator" w:id="0">
    <w:p w14:paraId="7AA4D6F3" w14:textId="77777777" w:rsidR="0038551D" w:rsidRDefault="0038551D">
      <w:r>
        <w:continuationSeparator/>
      </w:r>
    </w:p>
  </w:footnote>
  <w:footnote w:id="1">
    <w:p w14:paraId="6F4A9D5D" w14:textId="2FA9D62D" w:rsidR="00A2757D" w:rsidRPr="00A2757D" w:rsidRDefault="00A2757D" w:rsidP="00A2757D">
      <w:pPr>
        <w:pStyle w:val="FootnoteText"/>
        <w:spacing w:before="0"/>
        <w:rPr>
          <w:sz w:val="20"/>
          <w:lang w:val="en-US"/>
        </w:rPr>
      </w:pPr>
      <w:r w:rsidRPr="00A2757D">
        <w:rPr>
          <w:rStyle w:val="FootnoteReference"/>
          <w:sz w:val="20"/>
        </w:rPr>
        <w:footnoteRef/>
      </w:r>
      <w:r w:rsidRPr="00A2757D">
        <w:rPr>
          <w:sz w:val="20"/>
        </w:rPr>
        <w:t xml:space="preserve"> </w:t>
      </w:r>
      <w:r>
        <w:rPr>
          <w:sz w:val="20"/>
        </w:rPr>
        <w:tab/>
      </w:r>
      <w:r w:rsidRPr="00A2757D">
        <w:rPr>
          <w:sz w:val="20"/>
        </w:rPr>
        <w:t>Africa, Americas, Arab States, Asia and the Pacific, Commonwealth of Independent States, Europe.</w:t>
      </w:r>
    </w:p>
  </w:footnote>
  <w:footnote w:id="2">
    <w:p w14:paraId="58FC2E21" w14:textId="218A3F69" w:rsidR="00A2757D" w:rsidRPr="002629F1" w:rsidRDefault="00A2757D" w:rsidP="00A2757D">
      <w:pPr>
        <w:pStyle w:val="FootnoteText"/>
        <w:spacing w:before="0"/>
        <w:rPr>
          <w:sz w:val="20"/>
          <w:lang w:val="en-US"/>
        </w:rPr>
      </w:pPr>
      <w:r w:rsidRPr="00A2757D">
        <w:rPr>
          <w:rStyle w:val="FootnoteReference"/>
          <w:sz w:val="20"/>
        </w:rPr>
        <w:footnoteRef/>
      </w:r>
      <w:r w:rsidRPr="00A2757D">
        <w:rPr>
          <w:sz w:val="20"/>
        </w:rPr>
        <w:t xml:space="preserve"> </w:t>
      </w:r>
      <w:r>
        <w:rPr>
          <w:sz w:val="20"/>
        </w:rPr>
        <w:tab/>
      </w:r>
      <w:r w:rsidRPr="00A2757D">
        <w:rPr>
          <w:sz w:val="20"/>
        </w:rPr>
        <w:t>Asia-Pacific Telecommunity (APT); European Conference of Postal and Telecommunications Administrations (CEPT); Inter-American Telecommunications Commission (CITEL); African Telecommunications Union (ATU); Council of Arab Ministers of Telecommunication and Information represented by the Secretariat-General of the League of Arab States (LAS); and the Regional Commonwealth in the field of Communications (RCC).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A2B1B" w14:textId="43D1A4B3" w:rsidR="00721657" w:rsidRPr="00594326" w:rsidRDefault="00594326" w:rsidP="00594326">
    <w:pPr>
      <w:pStyle w:val="Header"/>
      <w:rPr>
        <w:rStyle w:val="PageNumber"/>
        <w:lang w:val="en-US"/>
      </w:rPr>
    </w:pPr>
    <w:r>
      <w:rPr>
        <w:rStyle w:val="PageNumber"/>
        <w:lang w:val="en-US"/>
      </w:rPr>
      <w:t>TDAG-WG-Prep/</w:t>
    </w:r>
    <w:r w:rsidR="00A97181">
      <w:rPr>
        <w:rStyle w:val="PageNumber"/>
        <w:lang w:val="en-US"/>
      </w:rPr>
      <w:t>4</w:t>
    </w:r>
    <w:r>
      <w:rPr>
        <w:rStyle w:val="PageNumber"/>
        <w:lang w:val="en-US"/>
      </w:rPr>
      <w:t>-E</w:t>
    </w:r>
    <w:r>
      <w:rPr>
        <w:rStyle w:val="PageNumber"/>
        <w:lang w:val="en-US"/>
      </w:rPr>
      <w:b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sidR="00380989">
      <w:rPr>
        <w:rStyle w:val="PageNumber"/>
        <w:noProof/>
        <w:lang w:val="en-US"/>
      </w:rPr>
      <w:t>7</w:t>
    </w:r>
    <w:r w:rsidRPr="00643042">
      <w:rPr>
        <w:rStyle w:val="PageNumber"/>
        <w:noProof/>
        <w:lang w:val="en-US"/>
      </w:rPr>
      <w:fldChar w:fldCharType="end"/>
    </w:r>
    <w:r>
      <w:rPr>
        <w:rStyle w:val="PageNumbe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2E1"/>
    <w:multiLevelType w:val="multilevel"/>
    <w:tmpl w:val="F72E5A3C"/>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Wingdings" w:hAnsi="Wingding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 w15:restartNumberingAfterBreak="0">
    <w:nsid w:val="07B13911"/>
    <w:multiLevelType w:val="hybridMultilevel"/>
    <w:tmpl w:val="0C5202CE"/>
    <w:lvl w:ilvl="0" w:tplc="D8AA70E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ED6386"/>
    <w:multiLevelType w:val="hybridMultilevel"/>
    <w:tmpl w:val="CAE2FEF2"/>
    <w:lvl w:ilvl="0" w:tplc="D8AA70EE">
      <w:start w:val="1"/>
      <w:numFmt w:val="bullet"/>
      <w:lvlText w:val=""/>
      <w:lvlJc w:val="left"/>
      <w:pPr>
        <w:ind w:left="717" w:hanging="360"/>
      </w:pPr>
      <w:rPr>
        <w:rFonts w:ascii="Symbol" w:hAnsi="Symbol" w:hint="default"/>
      </w:rPr>
    </w:lvl>
    <w:lvl w:ilvl="1" w:tplc="20000003" w:tentative="1">
      <w:start w:val="1"/>
      <w:numFmt w:val="bullet"/>
      <w:lvlText w:val="o"/>
      <w:lvlJc w:val="left"/>
      <w:pPr>
        <w:ind w:left="1437" w:hanging="360"/>
      </w:pPr>
      <w:rPr>
        <w:rFonts w:ascii="Courier New" w:hAnsi="Courier New" w:cs="Courier New" w:hint="default"/>
      </w:rPr>
    </w:lvl>
    <w:lvl w:ilvl="2" w:tplc="20000005" w:tentative="1">
      <w:start w:val="1"/>
      <w:numFmt w:val="bullet"/>
      <w:lvlText w:val=""/>
      <w:lvlJc w:val="left"/>
      <w:pPr>
        <w:ind w:left="2157" w:hanging="360"/>
      </w:pPr>
      <w:rPr>
        <w:rFonts w:ascii="Wingdings" w:hAnsi="Wingdings" w:hint="default"/>
      </w:rPr>
    </w:lvl>
    <w:lvl w:ilvl="3" w:tplc="20000001" w:tentative="1">
      <w:start w:val="1"/>
      <w:numFmt w:val="bullet"/>
      <w:lvlText w:val=""/>
      <w:lvlJc w:val="left"/>
      <w:pPr>
        <w:ind w:left="2877" w:hanging="360"/>
      </w:pPr>
      <w:rPr>
        <w:rFonts w:ascii="Symbol" w:hAnsi="Symbol" w:hint="default"/>
      </w:rPr>
    </w:lvl>
    <w:lvl w:ilvl="4" w:tplc="20000003" w:tentative="1">
      <w:start w:val="1"/>
      <w:numFmt w:val="bullet"/>
      <w:lvlText w:val="o"/>
      <w:lvlJc w:val="left"/>
      <w:pPr>
        <w:ind w:left="3597" w:hanging="360"/>
      </w:pPr>
      <w:rPr>
        <w:rFonts w:ascii="Courier New" w:hAnsi="Courier New" w:cs="Courier New" w:hint="default"/>
      </w:rPr>
    </w:lvl>
    <w:lvl w:ilvl="5" w:tplc="20000005" w:tentative="1">
      <w:start w:val="1"/>
      <w:numFmt w:val="bullet"/>
      <w:lvlText w:val=""/>
      <w:lvlJc w:val="left"/>
      <w:pPr>
        <w:ind w:left="4317" w:hanging="360"/>
      </w:pPr>
      <w:rPr>
        <w:rFonts w:ascii="Wingdings" w:hAnsi="Wingdings" w:hint="default"/>
      </w:rPr>
    </w:lvl>
    <w:lvl w:ilvl="6" w:tplc="20000001" w:tentative="1">
      <w:start w:val="1"/>
      <w:numFmt w:val="bullet"/>
      <w:lvlText w:val=""/>
      <w:lvlJc w:val="left"/>
      <w:pPr>
        <w:ind w:left="5037" w:hanging="360"/>
      </w:pPr>
      <w:rPr>
        <w:rFonts w:ascii="Symbol" w:hAnsi="Symbol" w:hint="default"/>
      </w:rPr>
    </w:lvl>
    <w:lvl w:ilvl="7" w:tplc="20000003" w:tentative="1">
      <w:start w:val="1"/>
      <w:numFmt w:val="bullet"/>
      <w:lvlText w:val="o"/>
      <w:lvlJc w:val="left"/>
      <w:pPr>
        <w:ind w:left="5757" w:hanging="360"/>
      </w:pPr>
      <w:rPr>
        <w:rFonts w:ascii="Courier New" w:hAnsi="Courier New" w:cs="Courier New" w:hint="default"/>
      </w:rPr>
    </w:lvl>
    <w:lvl w:ilvl="8" w:tplc="20000005" w:tentative="1">
      <w:start w:val="1"/>
      <w:numFmt w:val="bullet"/>
      <w:lvlText w:val=""/>
      <w:lvlJc w:val="left"/>
      <w:pPr>
        <w:ind w:left="6477" w:hanging="360"/>
      </w:pPr>
      <w:rPr>
        <w:rFonts w:ascii="Wingdings" w:hAnsi="Wingdings" w:hint="default"/>
      </w:rPr>
    </w:lvl>
  </w:abstractNum>
  <w:abstractNum w:abstractNumId="3" w15:restartNumberingAfterBreak="0">
    <w:nsid w:val="110A5EAD"/>
    <w:multiLevelType w:val="hybridMultilevel"/>
    <w:tmpl w:val="C5C841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206F17"/>
    <w:multiLevelType w:val="hybridMultilevel"/>
    <w:tmpl w:val="09E02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3C0F6E"/>
    <w:multiLevelType w:val="hybridMultilevel"/>
    <w:tmpl w:val="33A48E28"/>
    <w:lvl w:ilvl="0" w:tplc="20000001">
      <w:start w:val="1"/>
      <w:numFmt w:val="bullet"/>
      <w:lvlText w:val=""/>
      <w:lvlJc w:val="left"/>
      <w:pPr>
        <w:ind w:left="754" w:hanging="360"/>
      </w:pPr>
      <w:rPr>
        <w:rFonts w:ascii="Symbol" w:hAnsi="Symbol" w:hint="default"/>
      </w:rPr>
    </w:lvl>
    <w:lvl w:ilvl="1" w:tplc="20000003" w:tentative="1">
      <w:start w:val="1"/>
      <w:numFmt w:val="bullet"/>
      <w:lvlText w:val="o"/>
      <w:lvlJc w:val="left"/>
      <w:pPr>
        <w:ind w:left="1474" w:hanging="360"/>
      </w:pPr>
      <w:rPr>
        <w:rFonts w:ascii="Courier New" w:hAnsi="Courier New" w:cs="Courier New" w:hint="default"/>
      </w:rPr>
    </w:lvl>
    <w:lvl w:ilvl="2" w:tplc="20000005" w:tentative="1">
      <w:start w:val="1"/>
      <w:numFmt w:val="bullet"/>
      <w:lvlText w:val=""/>
      <w:lvlJc w:val="left"/>
      <w:pPr>
        <w:ind w:left="2194" w:hanging="360"/>
      </w:pPr>
      <w:rPr>
        <w:rFonts w:ascii="Wingdings" w:hAnsi="Wingdings" w:hint="default"/>
      </w:rPr>
    </w:lvl>
    <w:lvl w:ilvl="3" w:tplc="20000001" w:tentative="1">
      <w:start w:val="1"/>
      <w:numFmt w:val="bullet"/>
      <w:lvlText w:val=""/>
      <w:lvlJc w:val="left"/>
      <w:pPr>
        <w:ind w:left="2914" w:hanging="360"/>
      </w:pPr>
      <w:rPr>
        <w:rFonts w:ascii="Symbol" w:hAnsi="Symbol" w:hint="default"/>
      </w:rPr>
    </w:lvl>
    <w:lvl w:ilvl="4" w:tplc="20000003" w:tentative="1">
      <w:start w:val="1"/>
      <w:numFmt w:val="bullet"/>
      <w:lvlText w:val="o"/>
      <w:lvlJc w:val="left"/>
      <w:pPr>
        <w:ind w:left="3634" w:hanging="360"/>
      </w:pPr>
      <w:rPr>
        <w:rFonts w:ascii="Courier New" w:hAnsi="Courier New" w:cs="Courier New" w:hint="default"/>
      </w:rPr>
    </w:lvl>
    <w:lvl w:ilvl="5" w:tplc="20000005" w:tentative="1">
      <w:start w:val="1"/>
      <w:numFmt w:val="bullet"/>
      <w:lvlText w:val=""/>
      <w:lvlJc w:val="left"/>
      <w:pPr>
        <w:ind w:left="4354" w:hanging="360"/>
      </w:pPr>
      <w:rPr>
        <w:rFonts w:ascii="Wingdings" w:hAnsi="Wingdings" w:hint="default"/>
      </w:rPr>
    </w:lvl>
    <w:lvl w:ilvl="6" w:tplc="20000001" w:tentative="1">
      <w:start w:val="1"/>
      <w:numFmt w:val="bullet"/>
      <w:lvlText w:val=""/>
      <w:lvlJc w:val="left"/>
      <w:pPr>
        <w:ind w:left="5074" w:hanging="360"/>
      </w:pPr>
      <w:rPr>
        <w:rFonts w:ascii="Symbol" w:hAnsi="Symbol" w:hint="default"/>
      </w:rPr>
    </w:lvl>
    <w:lvl w:ilvl="7" w:tplc="20000003" w:tentative="1">
      <w:start w:val="1"/>
      <w:numFmt w:val="bullet"/>
      <w:lvlText w:val="o"/>
      <w:lvlJc w:val="left"/>
      <w:pPr>
        <w:ind w:left="5794" w:hanging="360"/>
      </w:pPr>
      <w:rPr>
        <w:rFonts w:ascii="Courier New" w:hAnsi="Courier New" w:cs="Courier New" w:hint="default"/>
      </w:rPr>
    </w:lvl>
    <w:lvl w:ilvl="8" w:tplc="20000005" w:tentative="1">
      <w:start w:val="1"/>
      <w:numFmt w:val="bullet"/>
      <w:lvlText w:val=""/>
      <w:lvlJc w:val="left"/>
      <w:pPr>
        <w:ind w:left="6514" w:hanging="360"/>
      </w:pPr>
      <w:rPr>
        <w:rFonts w:ascii="Wingdings" w:hAnsi="Wingdings" w:hint="default"/>
      </w:rPr>
    </w:lvl>
  </w:abstractNum>
  <w:abstractNum w:abstractNumId="6" w15:restartNumberingAfterBreak="0">
    <w:nsid w:val="24201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8" w15:restartNumberingAfterBreak="0">
    <w:nsid w:val="27A81703"/>
    <w:multiLevelType w:val="hybridMultilevel"/>
    <w:tmpl w:val="02EA0F9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051FE0"/>
    <w:multiLevelType w:val="hybridMultilevel"/>
    <w:tmpl w:val="36EEA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20155"/>
    <w:multiLevelType w:val="hybridMultilevel"/>
    <w:tmpl w:val="951AA980"/>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12" w15:restartNumberingAfterBreak="0">
    <w:nsid w:val="3DAB0EEA"/>
    <w:multiLevelType w:val="hybridMultilevel"/>
    <w:tmpl w:val="D53E3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21813"/>
    <w:multiLevelType w:val="hybridMultilevel"/>
    <w:tmpl w:val="8A7648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3A00215"/>
    <w:multiLevelType w:val="hybridMultilevel"/>
    <w:tmpl w:val="058C14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4C8646B"/>
    <w:multiLevelType w:val="hybridMultilevel"/>
    <w:tmpl w:val="43FC9F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5BA1306"/>
    <w:multiLevelType w:val="hybridMultilevel"/>
    <w:tmpl w:val="2522053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15:restartNumberingAfterBreak="0">
    <w:nsid w:val="6862328C"/>
    <w:multiLevelType w:val="hybridMultilevel"/>
    <w:tmpl w:val="9C24BE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795116"/>
    <w:multiLevelType w:val="hybridMultilevel"/>
    <w:tmpl w:val="396C342C"/>
    <w:lvl w:ilvl="0" w:tplc="6936BB18">
      <w:start w:val="1"/>
      <w:numFmt w:val="decimal"/>
      <w:lvlText w:val="%1."/>
      <w:lvlJc w:val="left"/>
      <w:pPr>
        <w:ind w:left="1155" w:hanging="360"/>
      </w:pPr>
      <w:rPr>
        <w:rFonts w:hint="default"/>
      </w:rPr>
    </w:lvl>
    <w:lvl w:ilvl="1" w:tplc="20000019" w:tentative="1">
      <w:start w:val="1"/>
      <w:numFmt w:val="lowerLetter"/>
      <w:lvlText w:val="%2."/>
      <w:lvlJc w:val="left"/>
      <w:pPr>
        <w:ind w:left="1875" w:hanging="360"/>
      </w:pPr>
    </w:lvl>
    <w:lvl w:ilvl="2" w:tplc="2000001B" w:tentative="1">
      <w:start w:val="1"/>
      <w:numFmt w:val="lowerRoman"/>
      <w:lvlText w:val="%3."/>
      <w:lvlJc w:val="right"/>
      <w:pPr>
        <w:ind w:left="2595" w:hanging="180"/>
      </w:pPr>
    </w:lvl>
    <w:lvl w:ilvl="3" w:tplc="2000000F" w:tentative="1">
      <w:start w:val="1"/>
      <w:numFmt w:val="decimal"/>
      <w:lvlText w:val="%4."/>
      <w:lvlJc w:val="left"/>
      <w:pPr>
        <w:ind w:left="3315" w:hanging="360"/>
      </w:pPr>
    </w:lvl>
    <w:lvl w:ilvl="4" w:tplc="20000019" w:tentative="1">
      <w:start w:val="1"/>
      <w:numFmt w:val="lowerLetter"/>
      <w:lvlText w:val="%5."/>
      <w:lvlJc w:val="left"/>
      <w:pPr>
        <w:ind w:left="4035" w:hanging="360"/>
      </w:pPr>
    </w:lvl>
    <w:lvl w:ilvl="5" w:tplc="2000001B" w:tentative="1">
      <w:start w:val="1"/>
      <w:numFmt w:val="lowerRoman"/>
      <w:lvlText w:val="%6."/>
      <w:lvlJc w:val="right"/>
      <w:pPr>
        <w:ind w:left="4755" w:hanging="180"/>
      </w:pPr>
    </w:lvl>
    <w:lvl w:ilvl="6" w:tplc="2000000F" w:tentative="1">
      <w:start w:val="1"/>
      <w:numFmt w:val="decimal"/>
      <w:lvlText w:val="%7."/>
      <w:lvlJc w:val="left"/>
      <w:pPr>
        <w:ind w:left="5475" w:hanging="360"/>
      </w:pPr>
    </w:lvl>
    <w:lvl w:ilvl="7" w:tplc="20000019" w:tentative="1">
      <w:start w:val="1"/>
      <w:numFmt w:val="lowerLetter"/>
      <w:lvlText w:val="%8."/>
      <w:lvlJc w:val="left"/>
      <w:pPr>
        <w:ind w:left="6195" w:hanging="360"/>
      </w:pPr>
    </w:lvl>
    <w:lvl w:ilvl="8" w:tplc="2000001B" w:tentative="1">
      <w:start w:val="1"/>
      <w:numFmt w:val="lowerRoman"/>
      <w:lvlText w:val="%9."/>
      <w:lvlJc w:val="right"/>
      <w:pPr>
        <w:ind w:left="6915" w:hanging="180"/>
      </w:pPr>
    </w:lvl>
  </w:abstractNum>
  <w:abstractNum w:abstractNumId="20" w15:restartNumberingAfterBreak="0">
    <w:nsid w:val="78407DAA"/>
    <w:multiLevelType w:val="hybridMultilevel"/>
    <w:tmpl w:val="62A26DFC"/>
    <w:lvl w:ilvl="0" w:tplc="B092740C">
      <w:numFmt w:val="bullet"/>
      <w:lvlText w:val="•"/>
      <w:lvlJc w:val="left"/>
      <w:pPr>
        <w:ind w:left="394" w:hanging="360"/>
      </w:pPr>
      <w:rPr>
        <w:rFonts w:ascii="Calibri" w:eastAsia="Times New Roman" w:hAnsi="Calibri" w:cs="Calibri" w:hint="default"/>
      </w:rPr>
    </w:lvl>
    <w:lvl w:ilvl="1" w:tplc="20000003" w:tentative="1">
      <w:start w:val="1"/>
      <w:numFmt w:val="bullet"/>
      <w:lvlText w:val="o"/>
      <w:lvlJc w:val="left"/>
      <w:pPr>
        <w:ind w:left="1114" w:hanging="360"/>
      </w:pPr>
      <w:rPr>
        <w:rFonts w:ascii="Courier New" w:hAnsi="Courier New" w:cs="Courier New" w:hint="default"/>
      </w:rPr>
    </w:lvl>
    <w:lvl w:ilvl="2" w:tplc="20000005" w:tentative="1">
      <w:start w:val="1"/>
      <w:numFmt w:val="bullet"/>
      <w:lvlText w:val=""/>
      <w:lvlJc w:val="left"/>
      <w:pPr>
        <w:ind w:left="1834" w:hanging="360"/>
      </w:pPr>
      <w:rPr>
        <w:rFonts w:ascii="Wingdings" w:hAnsi="Wingdings" w:hint="default"/>
      </w:rPr>
    </w:lvl>
    <w:lvl w:ilvl="3" w:tplc="20000001" w:tentative="1">
      <w:start w:val="1"/>
      <w:numFmt w:val="bullet"/>
      <w:lvlText w:val=""/>
      <w:lvlJc w:val="left"/>
      <w:pPr>
        <w:ind w:left="2554" w:hanging="360"/>
      </w:pPr>
      <w:rPr>
        <w:rFonts w:ascii="Symbol" w:hAnsi="Symbol" w:hint="default"/>
      </w:rPr>
    </w:lvl>
    <w:lvl w:ilvl="4" w:tplc="20000003" w:tentative="1">
      <w:start w:val="1"/>
      <w:numFmt w:val="bullet"/>
      <w:lvlText w:val="o"/>
      <w:lvlJc w:val="left"/>
      <w:pPr>
        <w:ind w:left="3274" w:hanging="360"/>
      </w:pPr>
      <w:rPr>
        <w:rFonts w:ascii="Courier New" w:hAnsi="Courier New" w:cs="Courier New" w:hint="default"/>
      </w:rPr>
    </w:lvl>
    <w:lvl w:ilvl="5" w:tplc="20000005" w:tentative="1">
      <w:start w:val="1"/>
      <w:numFmt w:val="bullet"/>
      <w:lvlText w:val=""/>
      <w:lvlJc w:val="left"/>
      <w:pPr>
        <w:ind w:left="3994" w:hanging="360"/>
      </w:pPr>
      <w:rPr>
        <w:rFonts w:ascii="Wingdings" w:hAnsi="Wingdings" w:hint="default"/>
      </w:rPr>
    </w:lvl>
    <w:lvl w:ilvl="6" w:tplc="20000001" w:tentative="1">
      <w:start w:val="1"/>
      <w:numFmt w:val="bullet"/>
      <w:lvlText w:val=""/>
      <w:lvlJc w:val="left"/>
      <w:pPr>
        <w:ind w:left="4714" w:hanging="360"/>
      </w:pPr>
      <w:rPr>
        <w:rFonts w:ascii="Symbol" w:hAnsi="Symbol" w:hint="default"/>
      </w:rPr>
    </w:lvl>
    <w:lvl w:ilvl="7" w:tplc="20000003" w:tentative="1">
      <w:start w:val="1"/>
      <w:numFmt w:val="bullet"/>
      <w:lvlText w:val="o"/>
      <w:lvlJc w:val="left"/>
      <w:pPr>
        <w:ind w:left="5434" w:hanging="360"/>
      </w:pPr>
      <w:rPr>
        <w:rFonts w:ascii="Courier New" w:hAnsi="Courier New" w:cs="Courier New" w:hint="default"/>
      </w:rPr>
    </w:lvl>
    <w:lvl w:ilvl="8" w:tplc="20000005" w:tentative="1">
      <w:start w:val="1"/>
      <w:numFmt w:val="bullet"/>
      <w:lvlText w:val=""/>
      <w:lvlJc w:val="left"/>
      <w:pPr>
        <w:ind w:left="6154" w:hanging="360"/>
      </w:pPr>
      <w:rPr>
        <w:rFonts w:ascii="Wingdings" w:hAnsi="Wingdings" w:hint="default"/>
      </w:rPr>
    </w:lvl>
  </w:abstractNum>
  <w:abstractNum w:abstractNumId="21" w15:restartNumberingAfterBreak="0">
    <w:nsid w:val="78773D0F"/>
    <w:multiLevelType w:val="hybridMultilevel"/>
    <w:tmpl w:val="4302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20"/>
  </w:num>
  <w:num w:numId="4">
    <w:abstractNumId w:val="2"/>
  </w:num>
  <w:num w:numId="5">
    <w:abstractNumId w:val="1"/>
  </w:num>
  <w:num w:numId="6">
    <w:abstractNumId w:val="21"/>
  </w:num>
  <w:num w:numId="7">
    <w:abstractNumId w:val="12"/>
  </w:num>
  <w:num w:numId="8">
    <w:abstractNumId w:val="3"/>
  </w:num>
  <w:num w:numId="9">
    <w:abstractNumId w:val="11"/>
  </w:num>
  <w:num w:numId="10">
    <w:abstractNumId w:val="10"/>
  </w:num>
  <w:num w:numId="11">
    <w:abstractNumId w:val="13"/>
  </w:num>
  <w:num w:numId="12">
    <w:abstractNumId w:val="4"/>
  </w:num>
  <w:num w:numId="13">
    <w:abstractNumId w:val="16"/>
  </w:num>
  <w:num w:numId="14">
    <w:abstractNumId w:val="19"/>
  </w:num>
  <w:num w:numId="15">
    <w:abstractNumId w:val="14"/>
  </w:num>
  <w:num w:numId="16">
    <w:abstractNumId w:val="8"/>
  </w:num>
  <w:num w:numId="17">
    <w:abstractNumId w:val="0"/>
  </w:num>
  <w:num w:numId="18">
    <w:abstractNumId w:val="7"/>
  </w:num>
  <w:num w:numId="19">
    <w:abstractNumId w:val="15"/>
  </w:num>
  <w:num w:numId="20">
    <w:abstractNumId w:val="10"/>
  </w:num>
  <w:num w:numId="21">
    <w:abstractNumId w:val="9"/>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99"/>
    <w:rsid w:val="00001396"/>
    <w:rsid w:val="00002716"/>
    <w:rsid w:val="00002A5C"/>
    <w:rsid w:val="00005791"/>
    <w:rsid w:val="00010827"/>
    <w:rsid w:val="00015089"/>
    <w:rsid w:val="000164B5"/>
    <w:rsid w:val="0002065A"/>
    <w:rsid w:val="00024164"/>
    <w:rsid w:val="0002520B"/>
    <w:rsid w:val="00032C33"/>
    <w:rsid w:val="00037A9E"/>
    <w:rsid w:val="00037F91"/>
    <w:rsid w:val="00044D2C"/>
    <w:rsid w:val="00050D32"/>
    <w:rsid w:val="000536CB"/>
    <w:rsid w:val="000539F1"/>
    <w:rsid w:val="00054747"/>
    <w:rsid w:val="0005521D"/>
    <w:rsid w:val="00055A2A"/>
    <w:rsid w:val="00056744"/>
    <w:rsid w:val="0006061C"/>
    <w:rsid w:val="000615C1"/>
    <w:rsid w:val="00061675"/>
    <w:rsid w:val="00065F73"/>
    <w:rsid w:val="00073308"/>
    <w:rsid w:val="000743AA"/>
    <w:rsid w:val="00091C11"/>
    <w:rsid w:val="0009225C"/>
    <w:rsid w:val="00096577"/>
    <w:rsid w:val="000A17C4"/>
    <w:rsid w:val="000A36A4"/>
    <w:rsid w:val="000B00F2"/>
    <w:rsid w:val="000B2352"/>
    <w:rsid w:val="000B5D7C"/>
    <w:rsid w:val="000C7039"/>
    <w:rsid w:val="000C7B84"/>
    <w:rsid w:val="000D114D"/>
    <w:rsid w:val="000D261B"/>
    <w:rsid w:val="000D3DE5"/>
    <w:rsid w:val="000D4A5E"/>
    <w:rsid w:val="000D58A3"/>
    <w:rsid w:val="000E3ED4"/>
    <w:rsid w:val="000E3F9C"/>
    <w:rsid w:val="000F04E1"/>
    <w:rsid w:val="000F1550"/>
    <w:rsid w:val="000F251B"/>
    <w:rsid w:val="000F5FE8"/>
    <w:rsid w:val="000F635A"/>
    <w:rsid w:val="000F6644"/>
    <w:rsid w:val="00100833"/>
    <w:rsid w:val="00102F72"/>
    <w:rsid w:val="00103963"/>
    <w:rsid w:val="00107E85"/>
    <w:rsid w:val="00110230"/>
    <w:rsid w:val="00111B88"/>
    <w:rsid w:val="00113EE8"/>
    <w:rsid w:val="0011455A"/>
    <w:rsid w:val="00114A65"/>
    <w:rsid w:val="00130884"/>
    <w:rsid w:val="00133061"/>
    <w:rsid w:val="00133F1B"/>
    <w:rsid w:val="00141699"/>
    <w:rsid w:val="00145A8C"/>
    <w:rsid w:val="00147000"/>
    <w:rsid w:val="0015036F"/>
    <w:rsid w:val="00163091"/>
    <w:rsid w:val="001645CB"/>
    <w:rsid w:val="001647C3"/>
    <w:rsid w:val="00166305"/>
    <w:rsid w:val="00167545"/>
    <w:rsid w:val="001703C6"/>
    <w:rsid w:val="00173781"/>
    <w:rsid w:val="0017470C"/>
    <w:rsid w:val="00175ADF"/>
    <w:rsid w:val="00175CAE"/>
    <w:rsid w:val="001828DB"/>
    <w:rsid w:val="001850FE"/>
    <w:rsid w:val="00185135"/>
    <w:rsid w:val="0019037C"/>
    <w:rsid w:val="001905A9"/>
    <w:rsid w:val="00191273"/>
    <w:rsid w:val="001942A7"/>
    <w:rsid w:val="0019587B"/>
    <w:rsid w:val="001A163D"/>
    <w:rsid w:val="001A441E"/>
    <w:rsid w:val="001A6733"/>
    <w:rsid w:val="001B2305"/>
    <w:rsid w:val="001B357F"/>
    <w:rsid w:val="001B408C"/>
    <w:rsid w:val="001C3444"/>
    <w:rsid w:val="001C3702"/>
    <w:rsid w:val="001C4656"/>
    <w:rsid w:val="001C46BC"/>
    <w:rsid w:val="001D0794"/>
    <w:rsid w:val="001D552A"/>
    <w:rsid w:val="001F23E6"/>
    <w:rsid w:val="001F3003"/>
    <w:rsid w:val="001F4238"/>
    <w:rsid w:val="001F6259"/>
    <w:rsid w:val="00200A38"/>
    <w:rsid w:val="00200A46"/>
    <w:rsid w:val="00200F9A"/>
    <w:rsid w:val="00211B6F"/>
    <w:rsid w:val="00217CC3"/>
    <w:rsid w:val="00220AB6"/>
    <w:rsid w:val="0022120F"/>
    <w:rsid w:val="0022754A"/>
    <w:rsid w:val="00231D64"/>
    <w:rsid w:val="00233087"/>
    <w:rsid w:val="002333CA"/>
    <w:rsid w:val="00236560"/>
    <w:rsid w:val="0023662E"/>
    <w:rsid w:val="00245D0F"/>
    <w:rsid w:val="0025090A"/>
    <w:rsid w:val="002548C3"/>
    <w:rsid w:val="002554CE"/>
    <w:rsid w:val="00255A4F"/>
    <w:rsid w:val="002566A4"/>
    <w:rsid w:val="002578AC"/>
    <w:rsid w:val="00257ACD"/>
    <w:rsid w:val="00262908"/>
    <w:rsid w:val="002629F1"/>
    <w:rsid w:val="002650F4"/>
    <w:rsid w:val="00265387"/>
    <w:rsid w:val="002715FD"/>
    <w:rsid w:val="002770B1"/>
    <w:rsid w:val="00281EC8"/>
    <w:rsid w:val="00284CDC"/>
    <w:rsid w:val="00285B33"/>
    <w:rsid w:val="00287A3C"/>
    <w:rsid w:val="00293C89"/>
    <w:rsid w:val="00295D31"/>
    <w:rsid w:val="00296D10"/>
    <w:rsid w:val="002A2FC6"/>
    <w:rsid w:val="002A7DEE"/>
    <w:rsid w:val="002B5E1E"/>
    <w:rsid w:val="002C1EC7"/>
    <w:rsid w:val="002C2841"/>
    <w:rsid w:val="002C4342"/>
    <w:rsid w:val="002C7EA3"/>
    <w:rsid w:val="002D0A80"/>
    <w:rsid w:val="002D0C64"/>
    <w:rsid w:val="002D17F2"/>
    <w:rsid w:val="002D20AE"/>
    <w:rsid w:val="002D6C61"/>
    <w:rsid w:val="002E2104"/>
    <w:rsid w:val="002E2DAC"/>
    <w:rsid w:val="002E6963"/>
    <w:rsid w:val="002E6F8F"/>
    <w:rsid w:val="002F05D8"/>
    <w:rsid w:val="002F2DE0"/>
    <w:rsid w:val="002F5E25"/>
    <w:rsid w:val="00302776"/>
    <w:rsid w:val="0030353C"/>
    <w:rsid w:val="003111C0"/>
    <w:rsid w:val="00311EA8"/>
    <w:rsid w:val="003125C3"/>
    <w:rsid w:val="00312AE6"/>
    <w:rsid w:val="00317D1A"/>
    <w:rsid w:val="003211FF"/>
    <w:rsid w:val="0032418B"/>
    <w:rsid w:val="00327247"/>
    <w:rsid w:val="00327A9D"/>
    <w:rsid w:val="0033130E"/>
    <w:rsid w:val="0033269C"/>
    <w:rsid w:val="003400B5"/>
    <w:rsid w:val="00352CFE"/>
    <w:rsid w:val="0035516C"/>
    <w:rsid w:val="00355A4C"/>
    <w:rsid w:val="00355B8E"/>
    <w:rsid w:val="00355CEA"/>
    <w:rsid w:val="003604FB"/>
    <w:rsid w:val="00360B73"/>
    <w:rsid w:val="00365732"/>
    <w:rsid w:val="003708C3"/>
    <w:rsid w:val="00380989"/>
    <w:rsid w:val="00380B71"/>
    <w:rsid w:val="0038365A"/>
    <w:rsid w:val="0038551D"/>
    <w:rsid w:val="00386A89"/>
    <w:rsid w:val="00392198"/>
    <w:rsid w:val="0039648E"/>
    <w:rsid w:val="003A5AFE"/>
    <w:rsid w:val="003A5D5F"/>
    <w:rsid w:val="003A7FFE"/>
    <w:rsid w:val="003B0A63"/>
    <w:rsid w:val="003B50E1"/>
    <w:rsid w:val="003C1746"/>
    <w:rsid w:val="003C2AA9"/>
    <w:rsid w:val="003C52B3"/>
    <w:rsid w:val="003C58BF"/>
    <w:rsid w:val="003D0769"/>
    <w:rsid w:val="003D451D"/>
    <w:rsid w:val="003E2BEC"/>
    <w:rsid w:val="003E2C23"/>
    <w:rsid w:val="003F2DD8"/>
    <w:rsid w:val="003F3F2D"/>
    <w:rsid w:val="003F50B2"/>
    <w:rsid w:val="00400CCF"/>
    <w:rsid w:val="00401BFF"/>
    <w:rsid w:val="00402C63"/>
    <w:rsid w:val="00404424"/>
    <w:rsid w:val="0041156B"/>
    <w:rsid w:val="004122C5"/>
    <w:rsid w:val="00413B78"/>
    <w:rsid w:val="00416DDE"/>
    <w:rsid w:val="004258F6"/>
    <w:rsid w:val="004326C7"/>
    <w:rsid w:val="0044411E"/>
    <w:rsid w:val="00446B55"/>
    <w:rsid w:val="004509BD"/>
    <w:rsid w:val="00453435"/>
    <w:rsid w:val="00460E7E"/>
    <w:rsid w:val="004650F8"/>
    <w:rsid w:val="00466398"/>
    <w:rsid w:val="0047306D"/>
    <w:rsid w:val="00473791"/>
    <w:rsid w:val="00476E48"/>
    <w:rsid w:val="00481DE9"/>
    <w:rsid w:val="00481FEC"/>
    <w:rsid w:val="0049128B"/>
    <w:rsid w:val="004933BE"/>
    <w:rsid w:val="004936A8"/>
    <w:rsid w:val="00493B49"/>
    <w:rsid w:val="00495501"/>
    <w:rsid w:val="004A070A"/>
    <w:rsid w:val="004A0B42"/>
    <w:rsid w:val="004A298F"/>
    <w:rsid w:val="004A320E"/>
    <w:rsid w:val="004A41E5"/>
    <w:rsid w:val="004A4E9C"/>
    <w:rsid w:val="004B1A3C"/>
    <w:rsid w:val="004D2CC3"/>
    <w:rsid w:val="004D35CB"/>
    <w:rsid w:val="004E00DC"/>
    <w:rsid w:val="004E0498"/>
    <w:rsid w:val="004E20E5"/>
    <w:rsid w:val="004E4A0E"/>
    <w:rsid w:val="004E64EA"/>
    <w:rsid w:val="004E7828"/>
    <w:rsid w:val="004F3FE3"/>
    <w:rsid w:val="004F46AA"/>
    <w:rsid w:val="004F6A70"/>
    <w:rsid w:val="00500AD7"/>
    <w:rsid w:val="00502ABF"/>
    <w:rsid w:val="00504DB0"/>
    <w:rsid w:val="0050542F"/>
    <w:rsid w:val="005075D2"/>
    <w:rsid w:val="00507C35"/>
    <w:rsid w:val="00510735"/>
    <w:rsid w:val="00511E85"/>
    <w:rsid w:val="00514D2F"/>
    <w:rsid w:val="005161CB"/>
    <w:rsid w:val="005255DD"/>
    <w:rsid w:val="00525E5E"/>
    <w:rsid w:val="00532B5F"/>
    <w:rsid w:val="00541A86"/>
    <w:rsid w:val="0054420E"/>
    <w:rsid w:val="0054465F"/>
    <w:rsid w:val="00544D1B"/>
    <w:rsid w:val="00545DC0"/>
    <w:rsid w:val="00545F6C"/>
    <w:rsid w:val="005477D9"/>
    <w:rsid w:val="0055720C"/>
    <w:rsid w:val="00557BCC"/>
    <w:rsid w:val="00561F7E"/>
    <w:rsid w:val="005632DD"/>
    <w:rsid w:val="0056423B"/>
    <w:rsid w:val="00567053"/>
    <w:rsid w:val="00570AE8"/>
    <w:rsid w:val="00573424"/>
    <w:rsid w:val="0057402F"/>
    <w:rsid w:val="00577E95"/>
    <w:rsid w:val="005801BF"/>
    <w:rsid w:val="005849D6"/>
    <w:rsid w:val="00585367"/>
    <w:rsid w:val="005871A1"/>
    <w:rsid w:val="0058737E"/>
    <w:rsid w:val="00592518"/>
    <w:rsid w:val="00592E87"/>
    <w:rsid w:val="00594326"/>
    <w:rsid w:val="00594C4D"/>
    <w:rsid w:val="005A33B0"/>
    <w:rsid w:val="005A454D"/>
    <w:rsid w:val="005B41FF"/>
    <w:rsid w:val="005B5C0F"/>
    <w:rsid w:val="005B70D8"/>
    <w:rsid w:val="005B7E12"/>
    <w:rsid w:val="005C2DC2"/>
    <w:rsid w:val="005C304A"/>
    <w:rsid w:val="005C326F"/>
    <w:rsid w:val="005C3D69"/>
    <w:rsid w:val="005C7C98"/>
    <w:rsid w:val="005D11EA"/>
    <w:rsid w:val="005D2279"/>
    <w:rsid w:val="005D49D9"/>
    <w:rsid w:val="005D55A4"/>
    <w:rsid w:val="005D57C8"/>
    <w:rsid w:val="005D7761"/>
    <w:rsid w:val="005E0278"/>
    <w:rsid w:val="005E090D"/>
    <w:rsid w:val="005E3CA0"/>
    <w:rsid w:val="005E44B1"/>
    <w:rsid w:val="005E636A"/>
    <w:rsid w:val="005E67B0"/>
    <w:rsid w:val="005E7047"/>
    <w:rsid w:val="005E777F"/>
    <w:rsid w:val="005F1CA7"/>
    <w:rsid w:val="005F43DD"/>
    <w:rsid w:val="005F4EDC"/>
    <w:rsid w:val="005F51A9"/>
    <w:rsid w:val="005F6BE1"/>
    <w:rsid w:val="005F7416"/>
    <w:rsid w:val="005F7506"/>
    <w:rsid w:val="00600C11"/>
    <w:rsid w:val="00605B13"/>
    <w:rsid w:val="00606B89"/>
    <w:rsid w:val="00611EAF"/>
    <w:rsid w:val="00623F30"/>
    <w:rsid w:val="00625777"/>
    <w:rsid w:val="00625FB8"/>
    <w:rsid w:val="006261BD"/>
    <w:rsid w:val="006320B3"/>
    <w:rsid w:val="00635EDB"/>
    <w:rsid w:val="006364B3"/>
    <w:rsid w:val="0064734E"/>
    <w:rsid w:val="00650137"/>
    <w:rsid w:val="006509D7"/>
    <w:rsid w:val="00651CE8"/>
    <w:rsid w:val="0065521B"/>
    <w:rsid w:val="00656673"/>
    <w:rsid w:val="00671EF6"/>
    <w:rsid w:val="0067205B"/>
    <w:rsid w:val="006748F8"/>
    <w:rsid w:val="00680489"/>
    <w:rsid w:val="00681873"/>
    <w:rsid w:val="00683C32"/>
    <w:rsid w:val="00690BB2"/>
    <w:rsid w:val="00693D09"/>
    <w:rsid w:val="00694037"/>
    <w:rsid w:val="006A6549"/>
    <w:rsid w:val="006A7710"/>
    <w:rsid w:val="006A7A61"/>
    <w:rsid w:val="006B1730"/>
    <w:rsid w:val="006B1E59"/>
    <w:rsid w:val="006B2FFB"/>
    <w:rsid w:val="006C10A2"/>
    <w:rsid w:val="006C1F18"/>
    <w:rsid w:val="006C338A"/>
    <w:rsid w:val="006D21D9"/>
    <w:rsid w:val="006D2F97"/>
    <w:rsid w:val="006D40D5"/>
    <w:rsid w:val="006E0273"/>
    <w:rsid w:val="006E0D36"/>
    <w:rsid w:val="006E7F8C"/>
    <w:rsid w:val="006F009A"/>
    <w:rsid w:val="006F1BB7"/>
    <w:rsid w:val="006F27EC"/>
    <w:rsid w:val="006F3B4C"/>
    <w:rsid w:val="006F3D93"/>
    <w:rsid w:val="007019B1"/>
    <w:rsid w:val="00706075"/>
    <w:rsid w:val="00721657"/>
    <w:rsid w:val="00722E49"/>
    <w:rsid w:val="007279A8"/>
    <w:rsid w:val="00727B1A"/>
    <w:rsid w:val="00735B98"/>
    <w:rsid w:val="00741337"/>
    <w:rsid w:val="00741C3A"/>
    <w:rsid w:val="00743F77"/>
    <w:rsid w:val="00752258"/>
    <w:rsid w:val="007529E1"/>
    <w:rsid w:val="007579C0"/>
    <w:rsid w:val="00762880"/>
    <w:rsid w:val="00762AD6"/>
    <w:rsid w:val="00762E02"/>
    <w:rsid w:val="00766E3D"/>
    <w:rsid w:val="00772290"/>
    <w:rsid w:val="00777265"/>
    <w:rsid w:val="007805E7"/>
    <w:rsid w:val="0078222A"/>
    <w:rsid w:val="00787D48"/>
    <w:rsid w:val="00792A82"/>
    <w:rsid w:val="00795294"/>
    <w:rsid w:val="007A4E50"/>
    <w:rsid w:val="007A5F1F"/>
    <w:rsid w:val="007A7F9D"/>
    <w:rsid w:val="007B18A7"/>
    <w:rsid w:val="007B250E"/>
    <w:rsid w:val="007B68EA"/>
    <w:rsid w:val="007C27FC"/>
    <w:rsid w:val="007C47F2"/>
    <w:rsid w:val="007C51FF"/>
    <w:rsid w:val="007D50E4"/>
    <w:rsid w:val="007D5761"/>
    <w:rsid w:val="007E2DC5"/>
    <w:rsid w:val="007F1CC7"/>
    <w:rsid w:val="008027AC"/>
    <w:rsid w:val="008028CE"/>
    <w:rsid w:val="0080332E"/>
    <w:rsid w:val="008141E0"/>
    <w:rsid w:val="00816EE1"/>
    <w:rsid w:val="00816F88"/>
    <w:rsid w:val="0082096C"/>
    <w:rsid w:val="00822323"/>
    <w:rsid w:val="00822F83"/>
    <w:rsid w:val="00827BC6"/>
    <w:rsid w:val="008300AD"/>
    <w:rsid w:val="00833024"/>
    <w:rsid w:val="008419B1"/>
    <w:rsid w:val="0084279D"/>
    <w:rsid w:val="00844A56"/>
    <w:rsid w:val="008459D4"/>
    <w:rsid w:val="00845B11"/>
    <w:rsid w:val="0085165A"/>
    <w:rsid w:val="00852081"/>
    <w:rsid w:val="00852CFC"/>
    <w:rsid w:val="00856228"/>
    <w:rsid w:val="00872639"/>
    <w:rsid w:val="00872B6E"/>
    <w:rsid w:val="00874391"/>
    <w:rsid w:val="00874DFD"/>
    <w:rsid w:val="008756AF"/>
    <w:rsid w:val="008802F9"/>
    <w:rsid w:val="00883086"/>
    <w:rsid w:val="0088730A"/>
    <w:rsid w:val="008879FD"/>
    <w:rsid w:val="00894C37"/>
    <w:rsid w:val="008A00EA"/>
    <w:rsid w:val="008A3F93"/>
    <w:rsid w:val="008A6236"/>
    <w:rsid w:val="008A6E1C"/>
    <w:rsid w:val="008A72FD"/>
    <w:rsid w:val="008B1774"/>
    <w:rsid w:val="008B2EDF"/>
    <w:rsid w:val="008B3A63"/>
    <w:rsid w:val="008B53D1"/>
    <w:rsid w:val="008B5464"/>
    <w:rsid w:val="008B54CB"/>
    <w:rsid w:val="008B5A3D"/>
    <w:rsid w:val="008C4010"/>
    <w:rsid w:val="008C4FDF"/>
    <w:rsid w:val="008C6B1F"/>
    <w:rsid w:val="008D5E4F"/>
    <w:rsid w:val="008F14F5"/>
    <w:rsid w:val="008F48A7"/>
    <w:rsid w:val="008F71C1"/>
    <w:rsid w:val="00902D41"/>
    <w:rsid w:val="00902F49"/>
    <w:rsid w:val="00914004"/>
    <w:rsid w:val="00914279"/>
    <w:rsid w:val="00922EC1"/>
    <w:rsid w:val="00924566"/>
    <w:rsid w:val="009301F1"/>
    <w:rsid w:val="009307DF"/>
    <w:rsid w:val="009359B8"/>
    <w:rsid w:val="00935FF0"/>
    <w:rsid w:val="009431F8"/>
    <w:rsid w:val="00947A35"/>
    <w:rsid w:val="009521CD"/>
    <w:rsid w:val="00953D7B"/>
    <w:rsid w:val="0095499D"/>
    <w:rsid w:val="009553B6"/>
    <w:rsid w:val="0096201B"/>
    <w:rsid w:val="00962081"/>
    <w:rsid w:val="009641CA"/>
    <w:rsid w:val="00966CB5"/>
    <w:rsid w:val="00975786"/>
    <w:rsid w:val="00977AF0"/>
    <w:rsid w:val="00981CB7"/>
    <w:rsid w:val="00983E1F"/>
    <w:rsid w:val="00993F46"/>
    <w:rsid w:val="00997358"/>
    <w:rsid w:val="009A3772"/>
    <w:rsid w:val="009A452B"/>
    <w:rsid w:val="009B050C"/>
    <w:rsid w:val="009B087F"/>
    <w:rsid w:val="009B2AF4"/>
    <w:rsid w:val="009C110B"/>
    <w:rsid w:val="009C5441"/>
    <w:rsid w:val="009D119F"/>
    <w:rsid w:val="009D3C99"/>
    <w:rsid w:val="009D49A2"/>
    <w:rsid w:val="009D7F2C"/>
    <w:rsid w:val="009E7F8D"/>
    <w:rsid w:val="009F0432"/>
    <w:rsid w:val="009F0C9A"/>
    <w:rsid w:val="009F3940"/>
    <w:rsid w:val="009F3EB2"/>
    <w:rsid w:val="009F5CE4"/>
    <w:rsid w:val="009F6BB0"/>
    <w:rsid w:val="009F6EB1"/>
    <w:rsid w:val="00A11D05"/>
    <w:rsid w:val="00A13162"/>
    <w:rsid w:val="00A15EA6"/>
    <w:rsid w:val="00A17126"/>
    <w:rsid w:val="00A20267"/>
    <w:rsid w:val="00A2347F"/>
    <w:rsid w:val="00A2757D"/>
    <w:rsid w:val="00A3158C"/>
    <w:rsid w:val="00A31936"/>
    <w:rsid w:val="00A32DF3"/>
    <w:rsid w:val="00A332A9"/>
    <w:rsid w:val="00A337FF"/>
    <w:rsid w:val="00A33E32"/>
    <w:rsid w:val="00A35E20"/>
    <w:rsid w:val="00A36F6D"/>
    <w:rsid w:val="00A50CA0"/>
    <w:rsid w:val="00A525CC"/>
    <w:rsid w:val="00A52CC2"/>
    <w:rsid w:val="00A53E7C"/>
    <w:rsid w:val="00A60087"/>
    <w:rsid w:val="00A63683"/>
    <w:rsid w:val="00A63B06"/>
    <w:rsid w:val="00A705E8"/>
    <w:rsid w:val="00A70C24"/>
    <w:rsid w:val="00A721F4"/>
    <w:rsid w:val="00A725BB"/>
    <w:rsid w:val="00A73DCA"/>
    <w:rsid w:val="00A8624E"/>
    <w:rsid w:val="00A8762A"/>
    <w:rsid w:val="00A90CD4"/>
    <w:rsid w:val="00A9392C"/>
    <w:rsid w:val="00A9462B"/>
    <w:rsid w:val="00A97181"/>
    <w:rsid w:val="00A97D59"/>
    <w:rsid w:val="00AA087E"/>
    <w:rsid w:val="00AA3E09"/>
    <w:rsid w:val="00AA4BEF"/>
    <w:rsid w:val="00AB110C"/>
    <w:rsid w:val="00AB1659"/>
    <w:rsid w:val="00AB2EF7"/>
    <w:rsid w:val="00AB4962"/>
    <w:rsid w:val="00AB50E5"/>
    <w:rsid w:val="00AB734E"/>
    <w:rsid w:val="00AB740F"/>
    <w:rsid w:val="00AB75A8"/>
    <w:rsid w:val="00AC140E"/>
    <w:rsid w:val="00AC6F14"/>
    <w:rsid w:val="00AC7221"/>
    <w:rsid w:val="00AC7B28"/>
    <w:rsid w:val="00AD5AD9"/>
    <w:rsid w:val="00AE0233"/>
    <w:rsid w:val="00AE5961"/>
    <w:rsid w:val="00AF0745"/>
    <w:rsid w:val="00AF4971"/>
    <w:rsid w:val="00AF5276"/>
    <w:rsid w:val="00AF7C86"/>
    <w:rsid w:val="00B01046"/>
    <w:rsid w:val="00B02B46"/>
    <w:rsid w:val="00B06E96"/>
    <w:rsid w:val="00B1209F"/>
    <w:rsid w:val="00B15117"/>
    <w:rsid w:val="00B15F49"/>
    <w:rsid w:val="00B310F9"/>
    <w:rsid w:val="00B3217B"/>
    <w:rsid w:val="00B37866"/>
    <w:rsid w:val="00B40124"/>
    <w:rsid w:val="00B412FB"/>
    <w:rsid w:val="00B4131C"/>
    <w:rsid w:val="00B41EFD"/>
    <w:rsid w:val="00B4576B"/>
    <w:rsid w:val="00B46350"/>
    <w:rsid w:val="00B46658"/>
    <w:rsid w:val="00B46DF3"/>
    <w:rsid w:val="00B656E3"/>
    <w:rsid w:val="00B66E8F"/>
    <w:rsid w:val="00B71BD6"/>
    <w:rsid w:val="00B74046"/>
    <w:rsid w:val="00B80157"/>
    <w:rsid w:val="00B82549"/>
    <w:rsid w:val="00B83D5E"/>
    <w:rsid w:val="00B8460A"/>
    <w:rsid w:val="00B8650D"/>
    <w:rsid w:val="00B879B4"/>
    <w:rsid w:val="00B87CBC"/>
    <w:rsid w:val="00B90F07"/>
    <w:rsid w:val="00B9379C"/>
    <w:rsid w:val="00B96075"/>
    <w:rsid w:val="00B97BB9"/>
    <w:rsid w:val="00BA0009"/>
    <w:rsid w:val="00BB1863"/>
    <w:rsid w:val="00BB25EE"/>
    <w:rsid w:val="00BB363A"/>
    <w:rsid w:val="00BB6F2E"/>
    <w:rsid w:val="00BB6F91"/>
    <w:rsid w:val="00BC10A0"/>
    <w:rsid w:val="00BC7BA2"/>
    <w:rsid w:val="00BD426B"/>
    <w:rsid w:val="00BD79F0"/>
    <w:rsid w:val="00BE2B4D"/>
    <w:rsid w:val="00BE3CB7"/>
    <w:rsid w:val="00BF2904"/>
    <w:rsid w:val="00BF3814"/>
    <w:rsid w:val="00BF3DB6"/>
    <w:rsid w:val="00BF459F"/>
    <w:rsid w:val="00C015F8"/>
    <w:rsid w:val="00C0513F"/>
    <w:rsid w:val="00C07E26"/>
    <w:rsid w:val="00C1011C"/>
    <w:rsid w:val="00C12F94"/>
    <w:rsid w:val="00C14D60"/>
    <w:rsid w:val="00C177C5"/>
    <w:rsid w:val="00C27B9A"/>
    <w:rsid w:val="00C34EC3"/>
    <w:rsid w:val="00C40286"/>
    <w:rsid w:val="00C4038C"/>
    <w:rsid w:val="00C41670"/>
    <w:rsid w:val="00C42722"/>
    <w:rsid w:val="00C42BA2"/>
    <w:rsid w:val="00C436F2"/>
    <w:rsid w:val="00C43AB4"/>
    <w:rsid w:val="00C44066"/>
    <w:rsid w:val="00C44E13"/>
    <w:rsid w:val="00C45DA7"/>
    <w:rsid w:val="00C47975"/>
    <w:rsid w:val="00C60A41"/>
    <w:rsid w:val="00C62DE8"/>
    <w:rsid w:val="00C62DFB"/>
    <w:rsid w:val="00C630E6"/>
    <w:rsid w:val="00C63812"/>
    <w:rsid w:val="00C64AF3"/>
    <w:rsid w:val="00C66F4D"/>
    <w:rsid w:val="00C67BB5"/>
    <w:rsid w:val="00C703DA"/>
    <w:rsid w:val="00C72713"/>
    <w:rsid w:val="00C848EF"/>
    <w:rsid w:val="00C86600"/>
    <w:rsid w:val="00C872F7"/>
    <w:rsid w:val="00C87BCA"/>
    <w:rsid w:val="00C87EED"/>
    <w:rsid w:val="00C94506"/>
    <w:rsid w:val="00C954BC"/>
    <w:rsid w:val="00CA151B"/>
    <w:rsid w:val="00CA1DFB"/>
    <w:rsid w:val="00CA1F0B"/>
    <w:rsid w:val="00CB110F"/>
    <w:rsid w:val="00CB2A2E"/>
    <w:rsid w:val="00CB338A"/>
    <w:rsid w:val="00CB79C5"/>
    <w:rsid w:val="00CC411F"/>
    <w:rsid w:val="00CC4B75"/>
    <w:rsid w:val="00CC5773"/>
    <w:rsid w:val="00CC732E"/>
    <w:rsid w:val="00CD2FCD"/>
    <w:rsid w:val="00CD7207"/>
    <w:rsid w:val="00CE0422"/>
    <w:rsid w:val="00CE0DBE"/>
    <w:rsid w:val="00CE5E4D"/>
    <w:rsid w:val="00CF02C4"/>
    <w:rsid w:val="00CF0937"/>
    <w:rsid w:val="00CF167F"/>
    <w:rsid w:val="00CF72E5"/>
    <w:rsid w:val="00D013EE"/>
    <w:rsid w:val="00D01F54"/>
    <w:rsid w:val="00D026D8"/>
    <w:rsid w:val="00D040F7"/>
    <w:rsid w:val="00D04A76"/>
    <w:rsid w:val="00D10FC7"/>
    <w:rsid w:val="00D1438F"/>
    <w:rsid w:val="00D1519F"/>
    <w:rsid w:val="00D154AC"/>
    <w:rsid w:val="00D16E54"/>
    <w:rsid w:val="00D20099"/>
    <w:rsid w:val="00D20E99"/>
    <w:rsid w:val="00D21C83"/>
    <w:rsid w:val="00D223D9"/>
    <w:rsid w:val="00D31FF1"/>
    <w:rsid w:val="00D35BDD"/>
    <w:rsid w:val="00D407A5"/>
    <w:rsid w:val="00D43CFA"/>
    <w:rsid w:val="00D51CD4"/>
    <w:rsid w:val="00D51E28"/>
    <w:rsid w:val="00D56E1C"/>
    <w:rsid w:val="00D57DDE"/>
    <w:rsid w:val="00D63006"/>
    <w:rsid w:val="00D72301"/>
    <w:rsid w:val="00D90B8E"/>
    <w:rsid w:val="00D911DE"/>
    <w:rsid w:val="00D91B97"/>
    <w:rsid w:val="00D93ACC"/>
    <w:rsid w:val="00D93C08"/>
    <w:rsid w:val="00D95DAC"/>
    <w:rsid w:val="00D97953"/>
    <w:rsid w:val="00DA0B53"/>
    <w:rsid w:val="00DA4974"/>
    <w:rsid w:val="00DB1171"/>
    <w:rsid w:val="00DB12F2"/>
    <w:rsid w:val="00DB1519"/>
    <w:rsid w:val="00DB2840"/>
    <w:rsid w:val="00DC1BD3"/>
    <w:rsid w:val="00DC2C1A"/>
    <w:rsid w:val="00DC64A3"/>
    <w:rsid w:val="00DD2115"/>
    <w:rsid w:val="00DD2728"/>
    <w:rsid w:val="00DD5488"/>
    <w:rsid w:val="00DD6396"/>
    <w:rsid w:val="00DD66B4"/>
    <w:rsid w:val="00DE1972"/>
    <w:rsid w:val="00DE27AB"/>
    <w:rsid w:val="00DE2E8F"/>
    <w:rsid w:val="00DF2AB3"/>
    <w:rsid w:val="00DF7250"/>
    <w:rsid w:val="00E00CAA"/>
    <w:rsid w:val="00E03EBF"/>
    <w:rsid w:val="00E05209"/>
    <w:rsid w:val="00E07CAE"/>
    <w:rsid w:val="00E1023F"/>
    <w:rsid w:val="00E11BCF"/>
    <w:rsid w:val="00E13FA5"/>
    <w:rsid w:val="00E169CC"/>
    <w:rsid w:val="00E1767E"/>
    <w:rsid w:val="00E17C52"/>
    <w:rsid w:val="00E2258E"/>
    <w:rsid w:val="00E236BE"/>
    <w:rsid w:val="00E23DC6"/>
    <w:rsid w:val="00E24326"/>
    <w:rsid w:val="00E260C2"/>
    <w:rsid w:val="00E32596"/>
    <w:rsid w:val="00E368F7"/>
    <w:rsid w:val="00E36EB8"/>
    <w:rsid w:val="00E37FB8"/>
    <w:rsid w:val="00E40B07"/>
    <w:rsid w:val="00E42326"/>
    <w:rsid w:val="00E43544"/>
    <w:rsid w:val="00E44BCB"/>
    <w:rsid w:val="00E44D89"/>
    <w:rsid w:val="00E477EA"/>
    <w:rsid w:val="00E5282C"/>
    <w:rsid w:val="00E54AF4"/>
    <w:rsid w:val="00E55807"/>
    <w:rsid w:val="00E63B14"/>
    <w:rsid w:val="00E65CA0"/>
    <w:rsid w:val="00E707E7"/>
    <w:rsid w:val="00E70D9F"/>
    <w:rsid w:val="00E76BD0"/>
    <w:rsid w:val="00E76DD9"/>
    <w:rsid w:val="00E82E73"/>
    <w:rsid w:val="00E83810"/>
    <w:rsid w:val="00E86933"/>
    <w:rsid w:val="00E9605B"/>
    <w:rsid w:val="00E97298"/>
    <w:rsid w:val="00E97753"/>
    <w:rsid w:val="00EA4D3B"/>
    <w:rsid w:val="00EA7DE7"/>
    <w:rsid w:val="00EB7A8A"/>
    <w:rsid w:val="00EB7E82"/>
    <w:rsid w:val="00EC454C"/>
    <w:rsid w:val="00EE3A64"/>
    <w:rsid w:val="00EE50E5"/>
    <w:rsid w:val="00EF01CF"/>
    <w:rsid w:val="00EF3C38"/>
    <w:rsid w:val="00EF6CE5"/>
    <w:rsid w:val="00F02830"/>
    <w:rsid w:val="00F03590"/>
    <w:rsid w:val="00F03622"/>
    <w:rsid w:val="00F077FD"/>
    <w:rsid w:val="00F11BBE"/>
    <w:rsid w:val="00F124FF"/>
    <w:rsid w:val="00F1606A"/>
    <w:rsid w:val="00F204F3"/>
    <w:rsid w:val="00F218AB"/>
    <w:rsid w:val="00F238B3"/>
    <w:rsid w:val="00F23FAD"/>
    <w:rsid w:val="00F24FED"/>
    <w:rsid w:val="00F25586"/>
    <w:rsid w:val="00F2651D"/>
    <w:rsid w:val="00F27362"/>
    <w:rsid w:val="00F31498"/>
    <w:rsid w:val="00F31908"/>
    <w:rsid w:val="00F324BC"/>
    <w:rsid w:val="00F32FEF"/>
    <w:rsid w:val="00F41B1C"/>
    <w:rsid w:val="00F42E13"/>
    <w:rsid w:val="00F42F1C"/>
    <w:rsid w:val="00F43B44"/>
    <w:rsid w:val="00F440E5"/>
    <w:rsid w:val="00F448F6"/>
    <w:rsid w:val="00F52741"/>
    <w:rsid w:val="00F539D2"/>
    <w:rsid w:val="00F53D8A"/>
    <w:rsid w:val="00F54239"/>
    <w:rsid w:val="00F60DAC"/>
    <w:rsid w:val="00F626F7"/>
    <w:rsid w:val="00F736F9"/>
    <w:rsid w:val="00F73833"/>
    <w:rsid w:val="00F9211C"/>
    <w:rsid w:val="00F9290F"/>
    <w:rsid w:val="00FA095D"/>
    <w:rsid w:val="00FA6C8B"/>
    <w:rsid w:val="00FA6CDA"/>
    <w:rsid w:val="00FA7C89"/>
    <w:rsid w:val="00FB0CFA"/>
    <w:rsid w:val="00FB4139"/>
    <w:rsid w:val="00FB476E"/>
    <w:rsid w:val="00FC0D90"/>
    <w:rsid w:val="00FC428A"/>
    <w:rsid w:val="00FC4480"/>
    <w:rsid w:val="00FC7D8C"/>
    <w:rsid w:val="00FD3980"/>
    <w:rsid w:val="00FD431E"/>
    <w:rsid w:val="00FD5A2C"/>
    <w:rsid w:val="00FE0D47"/>
    <w:rsid w:val="00FE1D5C"/>
    <w:rsid w:val="00FE2F8B"/>
    <w:rsid w:val="00FE3669"/>
    <w:rsid w:val="00FE3E11"/>
    <w:rsid w:val="00FE5204"/>
    <w:rsid w:val="00FF11CA"/>
    <w:rsid w:val="00FF287F"/>
    <w:rsid w:val="00FF4DC0"/>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95856BB"/>
  <w15:docId w15:val="{B99F619B-35DE-4B9F-8B84-828AF294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uiPriority w:val="99"/>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uiPriority w:val="99"/>
    <w:rsid w:val="00B37866"/>
  </w:style>
  <w:style w:type="paragraph" w:customStyle="1" w:styleId="Resref">
    <w:name w:val="Res_ref"/>
    <w:basedOn w:val="Recref"/>
    <w:next w:val="Resdate"/>
    <w:qFormat/>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656673"/>
    <w:rPr>
      <w:color w:val="605E5C"/>
      <w:shd w:val="clear" w:color="auto" w:fill="E1DFDD"/>
    </w:rPr>
  </w:style>
  <w:style w:type="character" w:customStyle="1" w:styleId="ResNoChar">
    <w:name w:val="Res_No Char"/>
    <w:link w:val="ResNo"/>
    <w:locked/>
    <w:rsid w:val="00EB7E82"/>
    <w:rPr>
      <w:rFonts w:asciiTheme="minorHAnsi" w:hAnsiTheme="minorHAnsi"/>
      <w:caps/>
      <w:sz w:val="28"/>
      <w:lang w:val="en-GB" w:eastAsia="en-US"/>
    </w:rPr>
  </w:style>
  <w:style w:type="character" w:customStyle="1" w:styleId="RestitleChar">
    <w:name w:val="Res_title Char"/>
    <w:link w:val="Restitle"/>
    <w:uiPriority w:val="99"/>
    <w:locked/>
    <w:rsid w:val="00EB7E82"/>
    <w:rPr>
      <w:rFonts w:asciiTheme="minorHAnsi" w:hAnsiTheme="minorHAnsi"/>
      <w:b/>
      <w:sz w:val="28"/>
      <w:lang w:val="en-GB" w:eastAsia="en-US"/>
    </w:rPr>
  </w:style>
  <w:style w:type="character" w:customStyle="1" w:styleId="href">
    <w:name w:val="href"/>
    <w:basedOn w:val="DefaultParagraphFont"/>
    <w:rsid w:val="00EB7E82"/>
  </w:style>
  <w:style w:type="character" w:customStyle="1" w:styleId="CallChar">
    <w:name w:val="Call Char"/>
    <w:link w:val="Call"/>
    <w:uiPriority w:val="99"/>
    <w:locked/>
    <w:rsid w:val="00B46658"/>
    <w:rPr>
      <w:rFonts w:asciiTheme="minorHAnsi" w:hAnsiTheme="minorHAnsi"/>
      <w:i/>
      <w:sz w:val="24"/>
      <w:lang w:val="en-GB" w:eastAsia="en-US"/>
    </w:rPr>
  </w:style>
  <w:style w:type="character" w:customStyle="1" w:styleId="tlid-translation">
    <w:name w:val="tlid-translation"/>
    <w:basedOn w:val="DefaultParagraphFont"/>
    <w:rsid w:val="00B46658"/>
  </w:style>
  <w:style w:type="paragraph" w:styleId="BalloonText">
    <w:name w:val="Balloon Text"/>
    <w:basedOn w:val="Normal"/>
    <w:link w:val="BalloonTextChar"/>
    <w:semiHidden/>
    <w:unhideWhenUsed/>
    <w:rsid w:val="00E76DD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6DD9"/>
    <w:rPr>
      <w:rFonts w:ascii="Segoe UI" w:hAnsi="Segoe UI" w:cs="Segoe UI"/>
      <w:sz w:val="18"/>
      <w:szCs w:val="18"/>
      <w:lang w:val="en-GB" w:eastAsia="en-US"/>
    </w:rPr>
  </w:style>
  <w:style w:type="character" w:styleId="FollowedHyperlink">
    <w:name w:val="FollowedHyperlink"/>
    <w:basedOn w:val="DefaultParagraphFont"/>
    <w:semiHidden/>
    <w:unhideWhenUsed/>
    <w:rsid w:val="00A52CC2"/>
    <w:rPr>
      <w:color w:val="800080" w:themeColor="followedHyperlink"/>
      <w:u w:val="single"/>
    </w:rPr>
  </w:style>
  <w:style w:type="character" w:customStyle="1" w:styleId="UnresolvedMention2">
    <w:name w:val="Unresolved Mention2"/>
    <w:basedOn w:val="DefaultParagraphFont"/>
    <w:uiPriority w:val="99"/>
    <w:semiHidden/>
    <w:unhideWhenUsed/>
    <w:rsid w:val="00A52CC2"/>
    <w:rPr>
      <w:color w:val="605E5C"/>
      <w:shd w:val="clear" w:color="auto" w:fill="E1DFDD"/>
    </w:rPr>
  </w:style>
  <w:style w:type="character" w:styleId="CommentReference">
    <w:name w:val="annotation reference"/>
    <w:basedOn w:val="DefaultParagraphFont"/>
    <w:semiHidden/>
    <w:unhideWhenUsed/>
    <w:rsid w:val="005B7E12"/>
    <w:rPr>
      <w:sz w:val="16"/>
      <w:szCs w:val="16"/>
    </w:rPr>
  </w:style>
  <w:style w:type="paragraph" w:styleId="CommentText">
    <w:name w:val="annotation text"/>
    <w:basedOn w:val="Normal"/>
    <w:link w:val="CommentTextChar"/>
    <w:unhideWhenUsed/>
    <w:rsid w:val="005B7E12"/>
    <w:rPr>
      <w:sz w:val="20"/>
    </w:rPr>
  </w:style>
  <w:style w:type="character" w:customStyle="1" w:styleId="CommentTextChar">
    <w:name w:val="Comment Text Char"/>
    <w:basedOn w:val="DefaultParagraphFont"/>
    <w:link w:val="CommentText"/>
    <w:rsid w:val="005B7E1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B7E12"/>
    <w:rPr>
      <w:b/>
      <w:bCs/>
    </w:rPr>
  </w:style>
  <w:style w:type="character" w:customStyle="1" w:styleId="CommentSubjectChar">
    <w:name w:val="Comment Subject Char"/>
    <w:basedOn w:val="CommentTextChar"/>
    <w:link w:val="CommentSubject"/>
    <w:semiHidden/>
    <w:rsid w:val="005B7E12"/>
    <w:rPr>
      <w:rFonts w:asciiTheme="minorHAnsi" w:hAnsiTheme="minorHAnsi"/>
      <w:b/>
      <w:bCs/>
      <w:lang w:val="en-GB" w:eastAsia="en-US"/>
    </w:rPr>
  </w:style>
  <w:style w:type="paragraph" w:styleId="Revision">
    <w:name w:val="Revision"/>
    <w:hidden/>
    <w:uiPriority w:val="99"/>
    <w:semiHidden/>
    <w:rsid w:val="005161CB"/>
    <w:rPr>
      <w:rFonts w:asciiTheme="minorHAnsi" w:hAnsiTheme="minorHAnsi"/>
      <w:sz w:val="24"/>
      <w:lang w:val="en-GB" w:eastAsia="en-US"/>
    </w:rPr>
  </w:style>
  <w:style w:type="paragraph" w:customStyle="1" w:styleId="Fixed">
    <w:name w:val="Fixed"/>
    <w:rsid w:val="00A97181"/>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styleId="NoSpacing">
    <w:name w:val="No Spacing"/>
    <w:uiPriority w:val="1"/>
    <w:qFormat/>
    <w:rsid w:val="00A97181"/>
    <w:pPr>
      <w:widowControl w:val="0"/>
      <w:autoSpaceDE w:val="0"/>
      <w:autoSpaceDN w:val="0"/>
      <w:adjustRightInd w:val="0"/>
      <w:ind w:right="1396" w:firstLine="720"/>
    </w:pPr>
    <w:rPr>
      <w:rFonts w:ascii="Courier New" w:hAnsi="Courier New" w:cs="Courier New"/>
      <w:sz w:val="24"/>
      <w:szCs w:val="24"/>
      <w:lang w:eastAsia="en-US"/>
    </w:rPr>
  </w:style>
  <w:style w:type="character" w:customStyle="1" w:styleId="ListParagraphChar">
    <w:name w:val="List Paragraph Char"/>
    <w:link w:val="ListParagraph"/>
    <w:uiPriority w:val="34"/>
    <w:locked/>
    <w:rsid w:val="00A97181"/>
    <w:rPr>
      <w:rFonts w:asciiTheme="minorHAnsi" w:hAnsiTheme="minorHAnsi"/>
      <w:sz w:val="24"/>
      <w:lang w:val="en-GB" w:eastAsia="en-US"/>
    </w:rPr>
  </w:style>
  <w:style w:type="paragraph" w:customStyle="1" w:styleId="ContinCol">
    <w:name w:val="Contin Col"/>
    <w:basedOn w:val="Fixed"/>
    <w:next w:val="Fixed"/>
    <w:uiPriority w:val="99"/>
    <w:rsid w:val="00A97181"/>
    <w:pPr>
      <w:spacing w:line="528" w:lineRule="atLeast"/>
      <w:ind w:left="144" w:right="0" w:firstLine="576"/>
    </w:pPr>
    <w:rPr>
      <w:rFonts w:ascii="Arial" w:eastAsiaTheme="minorEastAsia" w:hAnsi="Arial" w:cs="Arial"/>
    </w:rPr>
  </w:style>
  <w:style w:type="character" w:customStyle="1" w:styleId="FootnoteTextChar">
    <w:name w:val="Footnote Text Char"/>
    <w:basedOn w:val="DefaultParagraphFont"/>
    <w:link w:val="FootnoteText"/>
    <w:rsid w:val="00A97181"/>
    <w:rPr>
      <w:rFonts w:asciiTheme="minorHAnsi" w:hAnsiTheme="minorHAnsi"/>
      <w:sz w:val="24"/>
      <w:lang w:val="en-GB" w:eastAsia="en-US"/>
    </w:rPr>
  </w:style>
  <w:style w:type="character" w:styleId="Strong">
    <w:name w:val="Strong"/>
    <w:basedOn w:val="DefaultParagraphFont"/>
    <w:uiPriority w:val="22"/>
    <w:qFormat/>
    <w:rsid w:val="00A97181"/>
    <w:rPr>
      <w:b/>
      <w:bCs/>
    </w:rPr>
  </w:style>
  <w:style w:type="paragraph" w:styleId="EndnoteText">
    <w:name w:val="endnote text"/>
    <w:basedOn w:val="Normal"/>
    <w:link w:val="EndnoteTextChar"/>
    <w:semiHidden/>
    <w:unhideWhenUsed/>
    <w:rsid w:val="00A2757D"/>
    <w:pPr>
      <w:spacing w:before="0"/>
    </w:pPr>
    <w:rPr>
      <w:sz w:val="20"/>
    </w:rPr>
  </w:style>
  <w:style w:type="character" w:customStyle="1" w:styleId="EndnoteTextChar">
    <w:name w:val="Endnote Text Char"/>
    <w:basedOn w:val="DefaultParagraphFont"/>
    <w:link w:val="EndnoteText"/>
    <w:semiHidden/>
    <w:rsid w:val="00A2757D"/>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45095">
      <w:bodyDiv w:val="1"/>
      <w:marLeft w:val="0"/>
      <w:marRight w:val="0"/>
      <w:marTop w:val="0"/>
      <w:marBottom w:val="0"/>
      <w:divBdr>
        <w:top w:val="none" w:sz="0" w:space="0" w:color="auto"/>
        <w:left w:val="none" w:sz="0" w:space="0" w:color="auto"/>
        <w:bottom w:val="none" w:sz="0" w:space="0" w:color="auto"/>
        <w:right w:val="none" w:sz="0" w:space="0" w:color="auto"/>
      </w:divBdr>
    </w:div>
    <w:div w:id="245920571">
      <w:bodyDiv w:val="1"/>
      <w:marLeft w:val="0"/>
      <w:marRight w:val="0"/>
      <w:marTop w:val="0"/>
      <w:marBottom w:val="0"/>
      <w:divBdr>
        <w:top w:val="none" w:sz="0" w:space="0" w:color="auto"/>
        <w:left w:val="none" w:sz="0" w:space="0" w:color="auto"/>
        <w:bottom w:val="none" w:sz="0" w:space="0" w:color="auto"/>
        <w:right w:val="none" w:sz="0" w:space="0" w:color="auto"/>
      </w:divBdr>
    </w:div>
    <w:div w:id="693114596">
      <w:bodyDiv w:val="1"/>
      <w:marLeft w:val="0"/>
      <w:marRight w:val="0"/>
      <w:marTop w:val="0"/>
      <w:marBottom w:val="0"/>
      <w:divBdr>
        <w:top w:val="none" w:sz="0" w:space="0" w:color="auto"/>
        <w:left w:val="none" w:sz="0" w:space="0" w:color="auto"/>
        <w:bottom w:val="none" w:sz="0" w:space="0" w:color="auto"/>
        <w:right w:val="none" w:sz="0" w:space="0" w:color="auto"/>
      </w:divBdr>
    </w:div>
    <w:div w:id="1177423083">
      <w:bodyDiv w:val="1"/>
      <w:marLeft w:val="0"/>
      <w:marRight w:val="0"/>
      <w:marTop w:val="0"/>
      <w:marBottom w:val="0"/>
      <w:divBdr>
        <w:top w:val="none" w:sz="0" w:space="0" w:color="auto"/>
        <w:left w:val="none" w:sz="0" w:space="0" w:color="auto"/>
        <w:bottom w:val="none" w:sz="0" w:space="0" w:color="auto"/>
        <w:right w:val="none" w:sz="0" w:space="0" w:color="auto"/>
      </w:divBdr>
    </w:div>
    <w:div w:id="1660881732">
      <w:bodyDiv w:val="1"/>
      <w:marLeft w:val="0"/>
      <w:marRight w:val="0"/>
      <w:marTop w:val="0"/>
      <w:marBottom w:val="0"/>
      <w:divBdr>
        <w:top w:val="none" w:sz="0" w:space="0" w:color="auto"/>
        <w:left w:val="none" w:sz="0" w:space="0" w:color="auto"/>
        <w:bottom w:val="none" w:sz="0" w:space="0" w:color="auto"/>
        <w:right w:val="none" w:sz="0" w:space="0" w:color="auto"/>
      </w:divBdr>
    </w:div>
    <w:div w:id="1678574640">
      <w:bodyDiv w:val="1"/>
      <w:marLeft w:val="0"/>
      <w:marRight w:val="0"/>
      <w:marTop w:val="0"/>
      <w:marBottom w:val="0"/>
      <w:divBdr>
        <w:top w:val="none" w:sz="0" w:space="0" w:color="auto"/>
        <w:left w:val="none" w:sz="0" w:space="0" w:color="auto"/>
        <w:bottom w:val="none" w:sz="0" w:space="0" w:color="auto"/>
        <w:right w:val="none" w:sz="0" w:space="0" w:color="auto"/>
      </w:divBdr>
    </w:div>
    <w:div w:id="1889955884">
      <w:bodyDiv w:val="1"/>
      <w:marLeft w:val="0"/>
      <w:marRight w:val="0"/>
      <w:marTop w:val="0"/>
      <w:marBottom w:val="0"/>
      <w:divBdr>
        <w:top w:val="none" w:sz="0" w:space="0" w:color="auto"/>
        <w:left w:val="none" w:sz="0" w:space="0" w:color="auto"/>
        <w:bottom w:val="none" w:sz="0" w:space="0" w:color="auto"/>
        <w:right w:val="none" w:sz="0" w:space="0" w:color="auto"/>
      </w:divBdr>
    </w:div>
    <w:div w:id="19829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TDAG26.WP-200716-TD-0001/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6.WP-C-0002/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net4/ITU-D/CDS/sg/blkmeetings.asp?lg=1&amp;sp=2018&amp;blk=2496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ITU-D/CDS/sg/blkmeetings.asp?lg=1&amp;sp=2018&amp;blk=2496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CBE5-1EF9-483C-A2E1-A4EFDBBF015C}">
  <ds:schemaRefs>
    <ds:schemaRef ds:uri="http://schemas.microsoft.com/office/2006/documentManagement/types"/>
    <ds:schemaRef ds:uri="e26013a6-dd53-4f81-a3aa-aa9e274cd820"/>
    <ds:schemaRef ds:uri="http://purl.org/dc/dcmitype/"/>
    <ds:schemaRef ds:uri="http://purl.org/dc/elements/1.1/"/>
    <ds:schemaRef ds:uri="http://schemas.microsoft.com/office/2006/metadata/properties"/>
    <ds:schemaRef ds:uri="19978beb-ff1d-4bed-896c-532c4589527b"/>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9FC9446-C4CB-4820-9905-B5530A667DCB}">
  <ds:schemaRefs>
    <ds:schemaRef ds:uri="http://schemas.microsoft.com/sharepoint/v3/contenttype/forms"/>
  </ds:schemaRefs>
</ds:datastoreItem>
</file>

<file path=customXml/itemProps3.xml><?xml version="1.0" encoding="utf-8"?>
<ds:datastoreItem xmlns:ds="http://schemas.openxmlformats.org/officeDocument/2006/customXml" ds:itemID="{0BAAA666-1444-454C-8CBB-7E41C0179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E6530-8307-45CF-A249-8D9C3EB8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2671</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Web Dialogues on WTDC reform</vt:lpstr>
    </vt:vector>
  </TitlesOfParts>
  <Manager>General Secretariat - Pool</Manager>
  <Company>International Telecommunication Union (ITU)</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Dialogues on WTDC reform</dc:title>
  <dc:creator>BDT</dc:creator>
  <cp:lastModifiedBy>BDT-nd</cp:lastModifiedBy>
  <cp:revision>3</cp:revision>
  <cp:lastPrinted>2014-11-04T09:22:00Z</cp:lastPrinted>
  <dcterms:created xsi:type="dcterms:W3CDTF">2020-07-22T14:40:00Z</dcterms:created>
  <dcterms:modified xsi:type="dcterms:W3CDTF">2020-07-22T14:42:00Z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y fmtid="{D5CDD505-2E9C-101B-9397-08002B2CF9AE}" pid="9" name="_dlc_DocIdItemGuid">
    <vt:lpwstr>d9ae974b-4ade-4d49-8a0c-ae190ba60d27</vt:lpwstr>
  </property>
</Properties>
</file>