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081"/>
        <w:tblW w:w="5000" w:type="pct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24"/>
        <w:gridCol w:w="3692"/>
        <w:gridCol w:w="3836"/>
      </w:tblGrid>
      <w:tr w:rsidR="007763CD" w:rsidRPr="002C4F96" w14:paraId="62D10F74" w14:textId="77777777" w:rsidTr="008F3147">
        <w:trPr>
          <w:cantSplit/>
          <w:trHeight w:val="991"/>
        </w:trPr>
        <w:tc>
          <w:tcPr>
            <w:tcW w:w="9852" w:type="dxa"/>
            <w:gridSpan w:val="3"/>
            <w:tcBorders>
              <w:bottom w:val="single" w:sz="2" w:space="0" w:color="00B0F0"/>
            </w:tcBorders>
          </w:tcPr>
          <w:p w14:paraId="17EC2C1A" w14:textId="77777777" w:rsidR="007763CD" w:rsidRPr="001D6756" w:rsidRDefault="007763CD" w:rsidP="008F3147">
            <w:pPr>
              <w:spacing w:before="240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2C4F96">
              <w:rPr>
                <w:rFonts w:cstheme="minorHAns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7633FFF9" wp14:editId="43EFF828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2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D6756">
              <w:rPr>
                <w:rFonts w:cstheme="minorHAnsi"/>
                <w:b/>
                <w:bCs/>
                <w:sz w:val="28"/>
                <w:szCs w:val="28"/>
                <w:lang w:val="en-US"/>
              </w:rPr>
              <w:t>TDAG Working Group on Resolutions, Declaration and Thematic Priorities</w:t>
            </w:r>
          </w:p>
          <w:p w14:paraId="5A64A9C0" w14:textId="77777777" w:rsidR="007763CD" w:rsidRPr="002C4F96" w:rsidRDefault="007763CD" w:rsidP="008F3147">
            <w:pPr>
              <w:rPr>
                <w:rFonts w:cstheme="minorHAnsi"/>
                <w:sz w:val="28"/>
                <w:szCs w:val="28"/>
              </w:rPr>
            </w:pPr>
            <w:r w:rsidRPr="002C4F96">
              <w:rPr>
                <w:rFonts w:cstheme="minorHAnsi"/>
                <w:b/>
                <w:bCs/>
                <w:sz w:val="28"/>
                <w:szCs w:val="28"/>
              </w:rPr>
              <w:t>9 April 2021, Virtual</w:t>
            </w:r>
          </w:p>
        </w:tc>
      </w:tr>
      <w:tr w:rsidR="007763CD" w:rsidRPr="001D6756" w14:paraId="4A86B7F3" w14:textId="77777777" w:rsidTr="006A5C9F">
        <w:trPr>
          <w:cantSplit/>
        </w:trPr>
        <w:tc>
          <w:tcPr>
            <w:tcW w:w="6016" w:type="dxa"/>
            <w:gridSpan w:val="2"/>
            <w:tcBorders>
              <w:top w:val="single" w:sz="2" w:space="0" w:color="00B0F0"/>
            </w:tcBorders>
          </w:tcPr>
          <w:p w14:paraId="094AB3C7" w14:textId="77777777" w:rsidR="007763CD" w:rsidRPr="002C4F96" w:rsidRDefault="007763CD" w:rsidP="006A5C9F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836" w:type="dxa"/>
            <w:tcBorders>
              <w:top w:val="single" w:sz="2" w:space="0" w:color="00B0F0"/>
            </w:tcBorders>
          </w:tcPr>
          <w:p w14:paraId="11DF9C95" w14:textId="352430CA" w:rsidR="007763CD" w:rsidRPr="002C4F96" w:rsidRDefault="007763CD" w:rsidP="006A5C9F">
            <w:pPr>
              <w:spacing w:before="0"/>
              <w:rPr>
                <w:rFonts w:cstheme="minorHAnsi"/>
                <w:b/>
                <w:bCs/>
                <w:szCs w:val="24"/>
                <w:lang w:val="fr-FR"/>
              </w:rPr>
            </w:pPr>
          </w:p>
        </w:tc>
      </w:tr>
      <w:tr w:rsidR="006A5C9F" w:rsidRPr="002C4F96" w14:paraId="132B0164" w14:textId="77777777" w:rsidTr="006A5C9F">
        <w:trPr>
          <w:cantSplit/>
        </w:trPr>
        <w:tc>
          <w:tcPr>
            <w:tcW w:w="6016" w:type="dxa"/>
            <w:gridSpan w:val="2"/>
          </w:tcPr>
          <w:p w14:paraId="2D4BCB7B" w14:textId="77777777" w:rsidR="006A5C9F" w:rsidRPr="002C4F96" w:rsidRDefault="006A5C9F" w:rsidP="006A5C9F">
            <w:pPr>
              <w:spacing w:before="0"/>
              <w:rPr>
                <w:rFonts w:cstheme="minorHAnsi"/>
                <w:b/>
                <w:bCs/>
                <w:szCs w:val="24"/>
                <w:lang w:val="fr-FR"/>
              </w:rPr>
            </w:pPr>
          </w:p>
        </w:tc>
        <w:tc>
          <w:tcPr>
            <w:tcW w:w="3836" w:type="dxa"/>
          </w:tcPr>
          <w:p w14:paraId="4FC9FE3B" w14:textId="71B08184" w:rsidR="006A5C9F" w:rsidRPr="002C4F96" w:rsidRDefault="006A5C9F" w:rsidP="006A5C9F">
            <w:pPr>
              <w:spacing w:before="0"/>
              <w:rPr>
                <w:rFonts w:cstheme="minorHAnsi"/>
                <w:b/>
                <w:bCs/>
                <w:szCs w:val="24"/>
              </w:rPr>
            </w:pPr>
            <w:r w:rsidRPr="003335F6">
              <w:rPr>
                <w:b/>
                <w:bCs/>
                <w:lang w:val="es-ES"/>
              </w:rPr>
              <w:t xml:space="preserve">Document </w:t>
            </w:r>
            <w:bookmarkStart w:id="0" w:name="DocRef1"/>
            <w:bookmarkEnd w:id="0"/>
            <w:r w:rsidRPr="003335F6">
              <w:rPr>
                <w:b/>
                <w:bCs/>
                <w:lang w:val="es-ES"/>
              </w:rPr>
              <w:t>TDAG-WG-RDTP</w:t>
            </w:r>
            <w:bookmarkStart w:id="1" w:name="DocNo1"/>
            <w:bookmarkEnd w:id="1"/>
            <w:r>
              <w:rPr>
                <w:b/>
                <w:bCs/>
                <w:lang w:val="es-ES"/>
              </w:rPr>
              <w:t>/DT/10</w:t>
            </w:r>
            <w:r w:rsidRPr="003335F6">
              <w:rPr>
                <w:b/>
                <w:bCs/>
                <w:lang w:val="es-ES"/>
              </w:rPr>
              <w:t>-E</w:t>
            </w:r>
          </w:p>
        </w:tc>
      </w:tr>
      <w:tr w:rsidR="006A5C9F" w:rsidRPr="002C4F96" w14:paraId="49CAAAF8" w14:textId="77777777" w:rsidTr="006A5C9F">
        <w:trPr>
          <w:cantSplit/>
        </w:trPr>
        <w:tc>
          <w:tcPr>
            <w:tcW w:w="6016" w:type="dxa"/>
            <w:gridSpan w:val="2"/>
          </w:tcPr>
          <w:p w14:paraId="1056D5FA" w14:textId="77777777" w:rsidR="006A5C9F" w:rsidRPr="002C4F96" w:rsidRDefault="006A5C9F" w:rsidP="006A5C9F">
            <w:pPr>
              <w:spacing w:before="0"/>
              <w:rPr>
                <w:rFonts w:cstheme="minorHAnsi"/>
                <w:b/>
                <w:bCs/>
                <w:szCs w:val="24"/>
                <w:lang w:val="fr-FR"/>
              </w:rPr>
            </w:pPr>
          </w:p>
        </w:tc>
        <w:tc>
          <w:tcPr>
            <w:tcW w:w="3836" w:type="dxa"/>
          </w:tcPr>
          <w:p w14:paraId="6E5B90B0" w14:textId="6EAA237E" w:rsidR="006A5C9F" w:rsidRPr="002C4F96" w:rsidRDefault="006A5C9F" w:rsidP="006A5C9F">
            <w:pPr>
              <w:spacing w:before="0"/>
              <w:rPr>
                <w:rFonts w:cstheme="minorHAnsi"/>
                <w:b/>
                <w:bCs/>
                <w:szCs w:val="24"/>
              </w:rPr>
            </w:pPr>
            <w:r>
              <w:rPr>
                <w:b/>
                <w:szCs w:val="24"/>
              </w:rPr>
              <w:t>31 March 2021</w:t>
            </w:r>
          </w:p>
        </w:tc>
      </w:tr>
      <w:tr w:rsidR="006A5C9F" w:rsidRPr="002C4F96" w14:paraId="1B230B58" w14:textId="77777777" w:rsidTr="006A5C9F">
        <w:trPr>
          <w:cantSplit/>
        </w:trPr>
        <w:tc>
          <w:tcPr>
            <w:tcW w:w="6016" w:type="dxa"/>
            <w:gridSpan w:val="2"/>
          </w:tcPr>
          <w:p w14:paraId="73E118A4" w14:textId="77777777" w:rsidR="006A5C9F" w:rsidRPr="002C4F96" w:rsidRDefault="006A5C9F" w:rsidP="006A5C9F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836" w:type="dxa"/>
          </w:tcPr>
          <w:p w14:paraId="1D7B3814" w14:textId="491E9418" w:rsidR="006A5C9F" w:rsidRPr="002C4F96" w:rsidRDefault="006A5C9F" w:rsidP="006A5C9F">
            <w:pPr>
              <w:spacing w:before="0"/>
              <w:rPr>
                <w:rFonts w:cstheme="minorHAnsi"/>
                <w:b/>
                <w:bCs/>
                <w:szCs w:val="24"/>
              </w:rPr>
            </w:pPr>
            <w:r>
              <w:rPr>
                <w:b/>
              </w:rPr>
              <w:t>English and Russian only</w:t>
            </w:r>
          </w:p>
        </w:tc>
      </w:tr>
      <w:tr w:rsidR="007763CD" w:rsidRPr="002C4F96" w14:paraId="1B3D62F0" w14:textId="77777777" w:rsidTr="008F3147">
        <w:trPr>
          <w:cantSplit/>
          <w:trHeight w:val="357"/>
        </w:trPr>
        <w:tc>
          <w:tcPr>
            <w:tcW w:w="2324" w:type="dxa"/>
          </w:tcPr>
          <w:p w14:paraId="2A76EBAA" w14:textId="77777777" w:rsidR="007763CD" w:rsidRPr="002C4F96" w:rsidRDefault="007763CD" w:rsidP="008F3147">
            <w:pPr>
              <w:spacing w:before="80" w:after="80"/>
              <w:rPr>
                <w:rFonts w:cstheme="minorHAnsi"/>
                <w:b/>
                <w:szCs w:val="24"/>
                <w:lang w:val="en-US"/>
              </w:rPr>
            </w:pPr>
            <w:r w:rsidRPr="002C4F96">
              <w:rPr>
                <w:rFonts w:cstheme="minorHAnsi"/>
                <w:b/>
                <w:bCs/>
                <w:szCs w:val="24"/>
                <w:lang w:val="en-US"/>
              </w:rPr>
              <w:t>Source:</w:t>
            </w:r>
          </w:p>
        </w:tc>
        <w:tc>
          <w:tcPr>
            <w:tcW w:w="7528" w:type="dxa"/>
            <w:gridSpan w:val="2"/>
          </w:tcPr>
          <w:p w14:paraId="2F3B912E" w14:textId="77777777" w:rsidR="007763CD" w:rsidRPr="002C4F96" w:rsidRDefault="007763CD" w:rsidP="008F3147">
            <w:pPr>
              <w:spacing w:before="80" w:after="80"/>
              <w:rPr>
                <w:rFonts w:cstheme="minorHAnsi"/>
                <w:bCs/>
                <w:szCs w:val="24"/>
                <w:lang w:val="en-US"/>
              </w:rPr>
            </w:pPr>
            <w:r w:rsidRPr="002C4F96">
              <w:rPr>
                <w:rFonts w:cstheme="minorHAnsi"/>
                <w:bCs/>
                <w:szCs w:val="24"/>
                <w:lang w:val="en-US"/>
              </w:rPr>
              <w:t>Russian Federation</w:t>
            </w:r>
          </w:p>
        </w:tc>
      </w:tr>
      <w:tr w:rsidR="007763CD" w:rsidRPr="001D6756" w14:paraId="2055760A" w14:textId="77777777" w:rsidTr="008F3147">
        <w:trPr>
          <w:cantSplit/>
          <w:trHeight w:val="369"/>
        </w:trPr>
        <w:tc>
          <w:tcPr>
            <w:tcW w:w="2324" w:type="dxa"/>
            <w:tcBorders>
              <w:bottom w:val="single" w:sz="4" w:space="0" w:color="00B0F0"/>
            </w:tcBorders>
          </w:tcPr>
          <w:p w14:paraId="1D0940C5" w14:textId="77777777" w:rsidR="007763CD" w:rsidRPr="001D6756" w:rsidRDefault="007763CD" w:rsidP="008F3147">
            <w:pPr>
              <w:spacing w:before="80" w:after="80"/>
              <w:rPr>
                <w:rFonts w:cstheme="minorHAnsi"/>
                <w:b/>
                <w:bCs/>
                <w:szCs w:val="24"/>
                <w:lang w:val="en-US"/>
              </w:rPr>
            </w:pPr>
            <w:r w:rsidRPr="001D6756">
              <w:rPr>
                <w:rFonts w:cstheme="minorHAnsi"/>
                <w:b/>
                <w:bCs/>
                <w:szCs w:val="24"/>
                <w:lang w:val="en-US"/>
              </w:rPr>
              <w:t>Title:</w:t>
            </w:r>
          </w:p>
        </w:tc>
        <w:tc>
          <w:tcPr>
            <w:tcW w:w="7528" w:type="dxa"/>
            <w:gridSpan w:val="2"/>
            <w:tcBorders>
              <w:bottom w:val="single" w:sz="4" w:space="0" w:color="00B0F0"/>
            </w:tcBorders>
          </w:tcPr>
          <w:p w14:paraId="07068629" w14:textId="77777777" w:rsidR="007763CD" w:rsidRPr="001D6756" w:rsidRDefault="007763CD" w:rsidP="008F3147">
            <w:pPr>
              <w:spacing w:before="80" w:after="80"/>
              <w:rPr>
                <w:rFonts w:cstheme="minorHAnsi"/>
                <w:bCs/>
                <w:szCs w:val="24"/>
                <w:lang w:val="en-US"/>
              </w:rPr>
            </w:pPr>
            <w:r>
              <w:rPr>
                <w:rFonts w:cstheme="minorHAnsi"/>
                <w:bCs/>
                <w:szCs w:val="24"/>
                <w:lang w:val="en-US"/>
              </w:rPr>
              <w:t xml:space="preserve">Proposals to </w:t>
            </w:r>
            <w:r w:rsidR="006F7C95">
              <w:rPr>
                <w:rFonts w:cstheme="minorHAnsi"/>
                <w:bCs/>
                <w:szCs w:val="24"/>
                <w:lang w:val="en-US"/>
              </w:rPr>
              <w:t>suppress</w:t>
            </w:r>
            <w:r>
              <w:rPr>
                <w:rFonts w:cstheme="minorHAnsi"/>
                <w:bCs/>
                <w:szCs w:val="24"/>
                <w:lang w:val="en-US"/>
              </w:rPr>
              <w:t xml:space="preserve"> WTDC</w:t>
            </w:r>
            <w:r w:rsidRPr="001D6756">
              <w:rPr>
                <w:rFonts w:cstheme="minorHAnsi"/>
                <w:bCs/>
                <w:szCs w:val="24"/>
                <w:lang w:val="en-US"/>
              </w:rPr>
              <w:t xml:space="preserve"> Resolutio</w:t>
            </w:r>
            <w:r>
              <w:rPr>
                <w:rFonts w:cstheme="minorHAnsi"/>
                <w:bCs/>
                <w:szCs w:val="24"/>
                <w:lang w:val="en-US"/>
              </w:rPr>
              <w:t xml:space="preserve">n 86 (Rev. Buenos Aires, 2017) </w:t>
            </w:r>
            <w:r w:rsidRPr="001D6756">
              <w:rPr>
                <w:rFonts w:cstheme="minorHAnsi"/>
                <w:bCs/>
                <w:szCs w:val="24"/>
                <w:lang w:val="en-US"/>
              </w:rPr>
              <w:t>Use in the ITU Telecommunication Development Sector of the languages o</w:t>
            </w:r>
            <w:r>
              <w:rPr>
                <w:rFonts w:cstheme="minorHAnsi"/>
                <w:bCs/>
                <w:szCs w:val="24"/>
                <w:lang w:val="en-US"/>
              </w:rPr>
              <w:t>f the Union on an equal footing</w:t>
            </w:r>
          </w:p>
        </w:tc>
      </w:tr>
    </w:tbl>
    <w:p w14:paraId="099E1861" w14:textId="77777777" w:rsidR="007763CD" w:rsidRDefault="007763CD" w:rsidP="007763CD">
      <w:pPr>
        <w:ind w:left="-426"/>
        <w:rPr>
          <w:rFonts w:eastAsia="Calibri" w:cs="Calibri"/>
          <w:szCs w:val="24"/>
          <w:lang w:val="en-US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7763CD" w:rsidRPr="001D6756" w14:paraId="1DF1C977" w14:textId="77777777" w:rsidTr="008F3147">
        <w:tc>
          <w:tcPr>
            <w:tcW w:w="9889" w:type="dxa"/>
          </w:tcPr>
          <w:p w14:paraId="111A044D" w14:textId="77777777" w:rsidR="007763CD" w:rsidRPr="001D6756" w:rsidRDefault="007763CD" w:rsidP="005434AF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rPr>
                <w:rFonts w:cstheme="minorHAnsi"/>
                <w:b/>
                <w:bCs/>
                <w:szCs w:val="24"/>
              </w:rPr>
            </w:pPr>
            <w:r w:rsidRPr="001D6756">
              <w:rPr>
                <w:rFonts w:cstheme="minorHAnsi"/>
                <w:b/>
                <w:bCs/>
                <w:szCs w:val="24"/>
              </w:rPr>
              <w:t xml:space="preserve">Summary: </w:t>
            </w:r>
          </w:p>
          <w:p w14:paraId="2E23C741" w14:textId="77777777" w:rsidR="007763CD" w:rsidRPr="001D6756" w:rsidRDefault="007763CD" w:rsidP="005434AF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rPr>
                <w:rFonts w:cstheme="minorHAnsi"/>
                <w:bCs/>
                <w:szCs w:val="24"/>
              </w:rPr>
            </w:pPr>
            <w:bookmarkStart w:id="2" w:name="Abstract"/>
            <w:bookmarkEnd w:id="2"/>
            <w:r w:rsidRPr="001D6756">
              <w:rPr>
                <w:rFonts w:cstheme="minorHAnsi"/>
                <w:bCs/>
                <w:szCs w:val="24"/>
              </w:rPr>
              <w:t xml:space="preserve">This contribution </w:t>
            </w:r>
            <w:r w:rsidR="006F7C95">
              <w:rPr>
                <w:rFonts w:cstheme="minorHAnsi"/>
                <w:bCs/>
                <w:szCs w:val="24"/>
              </w:rPr>
              <w:t>proposes to suppress the</w:t>
            </w:r>
            <w:r w:rsidRPr="001D6756">
              <w:rPr>
                <w:rFonts w:cstheme="minorHAnsi"/>
                <w:bCs/>
                <w:szCs w:val="24"/>
              </w:rPr>
              <w:t xml:space="preserve"> text of Resolution 86 of WTDC, </w:t>
            </w:r>
            <w:proofErr w:type="gramStart"/>
            <w:r w:rsidRPr="001D6756">
              <w:rPr>
                <w:rFonts w:cstheme="minorHAnsi"/>
                <w:bCs/>
                <w:szCs w:val="24"/>
              </w:rPr>
              <w:t>taking into account</w:t>
            </w:r>
            <w:proofErr w:type="gramEnd"/>
            <w:r w:rsidRPr="001D6756">
              <w:rPr>
                <w:rFonts w:cstheme="minorHAnsi"/>
                <w:bCs/>
                <w:szCs w:val="24"/>
              </w:rPr>
              <w:t xml:space="preserve"> the cur</w:t>
            </w:r>
            <w:r w:rsidR="006F7C95">
              <w:rPr>
                <w:rFonts w:cstheme="minorHAnsi"/>
                <w:bCs/>
                <w:szCs w:val="24"/>
              </w:rPr>
              <w:t>rent work of ITU-D Study Groups</w:t>
            </w:r>
            <w:r w:rsidRPr="001D6756">
              <w:rPr>
                <w:rFonts w:cstheme="minorHAnsi"/>
                <w:bCs/>
                <w:szCs w:val="24"/>
              </w:rPr>
              <w:t>.</w:t>
            </w:r>
          </w:p>
          <w:p w14:paraId="2D9FD4D1" w14:textId="77777777" w:rsidR="007763CD" w:rsidRPr="001D6756" w:rsidRDefault="007763CD" w:rsidP="005434AF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rPr>
                <w:rFonts w:cstheme="minorHAnsi"/>
                <w:b/>
                <w:bCs/>
                <w:szCs w:val="24"/>
              </w:rPr>
            </w:pPr>
            <w:r w:rsidRPr="001D6756">
              <w:rPr>
                <w:rFonts w:cstheme="minorHAnsi"/>
                <w:b/>
                <w:bCs/>
                <w:szCs w:val="24"/>
              </w:rPr>
              <w:t>Expected outputs:</w:t>
            </w:r>
          </w:p>
          <w:p w14:paraId="67B42559" w14:textId="77777777" w:rsidR="007763CD" w:rsidRPr="001D6756" w:rsidRDefault="007763CD" w:rsidP="005434AF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rPr>
                <w:rFonts w:cstheme="minorHAnsi"/>
                <w:bCs/>
                <w:szCs w:val="24"/>
              </w:rPr>
            </w:pPr>
            <w:r w:rsidRPr="001D6756">
              <w:rPr>
                <w:rFonts w:cstheme="minorHAnsi"/>
                <w:bCs/>
                <w:szCs w:val="24"/>
              </w:rPr>
              <w:t>This document is submitted for further consideration and discussion.</w:t>
            </w:r>
          </w:p>
          <w:p w14:paraId="0509B5DB" w14:textId="77777777" w:rsidR="007763CD" w:rsidRPr="001D6756" w:rsidRDefault="007763CD" w:rsidP="005434AF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rPr>
                <w:rFonts w:cstheme="minorHAnsi"/>
                <w:b/>
                <w:bCs/>
                <w:szCs w:val="24"/>
              </w:rPr>
            </w:pPr>
            <w:r w:rsidRPr="001D6756">
              <w:rPr>
                <w:rFonts w:cstheme="minorHAnsi"/>
                <w:b/>
                <w:bCs/>
                <w:szCs w:val="24"/>
              </w:rPr>
              <w:t>Action required:</w:t>
            </w:r>
          </w:p>
          <w:p w14:paraId="609242F6" w14:textId="77777777" w:rsidR="007763CD" w:rsidRPr="001D6756" w:rsidRDefault="007763CD" w:rsidP="005434AF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rPr>
                <w:rFonts w:cstheme="minorHAnsi"/>
                <w:bCs/>
                <w:szCs w:val="24"/>
              </w:rPr>
            </w:pPr>
            <w:bookmarkStart w:id="3" w:name="ActionRequired"/>
            <w:bookmarkEnd w:id="3"/>
            <w:r w:rsidRPr="001D6756">
              <w:rPr>
                <w:rFonts w:cstheme="minorHAnsi"/>
                <w:bCs/>
                <w:szCs w:val="24"/>
              </w:rPr>
              <w:t>It is proposed to consider this document and make comments and suggestions regarding the</w:t>
            </w:r>
            <w:r w:rsidR="006F7C95">
              <w:rPr>
                <w:rFonts w:cstheme="minorHAnsi"/>
                <w:bCs/>
                <w:szCs w:val="24"/>
              </w:rPr>
              <w:t xml:space="preserve"> proposal to suppress the Resolution</w:t>
            </w:r>
            <w:r w:rsidRPr="001D6756">
              <w:rPr>
                <w:rFonts w:cstheme="minorHAnsi"/>
                <w:bCs/>
                <w:szCs w:val="24"/>
              </w:rPr>
              <w:t>.</w:t>
            </w:r>
          </w:p>
          <w:p w14:paraId="661FBE3E" w14:textId="77777777" w:rsidR="007763CD" w:rsidRPr="001D6756" w:rsidRDefault="007763CD" w:rsidP="005434AF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rPr>
                <w:rFonts w:cstheme="minorHAnsi"/>
                <w:b/>
                <w:bCs/>
                <w:szCs w:val="24"/>
              </w:rPr>
            </w:pPr>
            <w:r w:rsidRPr="001D6756">
              <w:rPr>
                <w:rFonts w:cstheme="minorHAnsi"/>
                <w:b/>
                <w:bCs/>
                <w:szCs w:val="24"/>
              </w:rPr>
              <w:t>References:</w:t>
            </w:r>
          </w:p>
          <w:p w14:paraId="6AD2396C" w14:textId="77777777" w:rsidR="007763CD" w:rsidRPr="001D6756" w:rsidRDefault="007763CD" w:rsidP="005434AF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rPr>
                <w:rFonts w:cstheme="minorHAnsi"/>
                <w:szCs w:val="24"/>
                <w:lang w:val="en-US"/>
              </w:rPr>
            </w:pPr>
            <w:bookmarkStart w:id="4" w:name="References"/>
            <w:bookmarkStart w:id="5" w:name="dbreak"/>
            <w:bookmarkEnd w:id="4"/>
            <w:bookmarkEnd w:id="5"/>
            <w:r>
              <w:rPr>
                <w:rFonts w:cstheme="minorHAnsi"/>
                <w:bCs/>
                <w:szCs w:val="24"/>
              </w:rPr>
              <w:t>Basic text</w:t>
            </w:r>
            <w:r w:rsidRPr="001D6756">
              <w:rPr>
                <w:rFonts w:cstheme="minorHAnsi"/>
                <w:bCs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bCs/>
                <w:szCs w:val="24"/>
                <w:lang w:val="en-US"/>
              </w:rPr>
              <w:t xml:space="preserve">of the </w:t>
            </w:r>
            <w:r w:rsidRPr="001D6756">
              <w:rPr>
                <w:rFonts w:cstheme="minorHAnsi"/>
                <w:bCs/>
                <w:szCs w:val="24"/>
              </w:rPr>
              <w:t xml:space="preserve">Resolution </w:t>
            </w:r>
            <w:r>
              <w:rPr>
                <w:bCs/>
                <w:szCs w:val="24"/>
              </w:rPr>
              <w:t>86</w:t>
            </w:r>
            <w:r w:rsidRPr="001D6756">
              <w:rPr>
                <w:rFonts w:cstheme="minorHAnsi"/>
                <w:bCs/>
                <w:szCs w:val="24"/>
              </w:rPr>
              <w:t xml:space="preserve"> (Rev. Buenos Aires, 2017)</w:t>
            </w:r>
          </w:p>
        </w:tc>
      </w:tr>
    </w:tbl>
    <w:p w14:paraId="5FCA9CFD" w14:textId="77777777" w:rsidR="007763CD" w:rsidRPr="00495D08" w:rsidRDefault="007763CD" w:rsidP="007763C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asciiTheme="minorHAnsi" w:eastAsiaTheme="minorHAnsi" w:hAnsiTheme="minorHAnsi" w:cstheme="minorHAnsi"/>
          <w:sz w:val="28"/>
          <w:szCs w:val="32"/>
          <w:lang w:val="en-US"/>
        </w:rPr>
      </w:pPr>
    </w:p>
    <w:p w14:paraId="7AF5900A" w14:textId="77777777" w:rsidR="00796B8C" w:rsidRPr="00495D08" w:rsidRDefault="00497583" w:rsidP="00495D0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asciiTheme="minorHAnsi" w:eastAsiaTheme="minorHAnsi" w:hAnsiTheme="minorHAnsi" w:cstheme="minorHAnsi"/>
          <w:sz w:val="28"/>
          <w:szCs w:val="32"/>
          <w:lang w:val="en-US"/>
        </w:rPr>
      </w:pPr>
      <w:r>
        <w:rPr>
          <w:rFonts w:asciiTheme="minorHAnsi" w:hAnsiTheme="minorHAnsi"/>
          <w:b/>
          <w:szCs w:val="24"/>
          <w:lang w:val="en-US"/>
        </w:rPr>
        <w:br w:type="page"/>
      </w:r>
      <w:r w:rsidR="00796B8C">
        <w:rPr>
          <w:rFonts w:asciiTheme="minorHAnsi" w:hAnsiTheme="minorHAnsi"/>
          <w:b/>
          <w:szCs w:val="24"/>
          <w:lang w:val="en-US"/>
        </w:rPr>
        <w:lastRenderedPageBreak/>
        <w:t>I</w:t>
      </w:r>
      <w:r w:rsidR="00796B8C">
        <w:rPr>
          <w:rFonts w:asciiTheme="minorHAnsi" w:hAnsiTheme="minorHAnsi"/>
          <w:b/>
          <w:szCs w:val="24"/>
          <w:lang w:val="en-US"/>
        </w:rPr>
        <w:tab/>
        <w:t>Introduction</w:t>
      </w:r>
    </w:p>
    <w:p w14:paraId="39A3D2AF" w14:textId="77777777" w:rsidR="00497583" w:rsidRPr="004B5F78" w:rsidRDefault="00497583" w:rsidP="008F314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The </w:t>
      </w:r>
      <w:r w:rsidRPr="004B5F78">
        <w:rPr>
          <w:rFonts w:asciiTheme="minorHAnsi" w:hAnsiTheme="minorHAnsi"/>
          <w:szCs w:val="24"/>
        </w:rPr>
        <w:t>Plenipotentiary Conference</w:t>
      </w:r>
      <w:r>
        <w:rPr>
          <w:rFonts w:asciiTheme="minorHAnsi" w:hAnsiTheme="minorHAnsi"/>
          <w:szCs w:val="24"/>
        </w:rPr>
        <w:t xml:space="preserve"> that took place in</w:t>
      </w:r>
      <w:r w:rsidRPr="004B5F78">
        <w:rPr>
          <w:rFonts w:asciiTheme="minorHAnsi" w:hAnsiTheme="minorHAnsi"/>
          <w:szCs w:val="24"/>
        </w:rPr>
        <w:t xml:space="preserve"> Dubai, </w:t>
      </w:r>
      <w:r>
        <w:rPr>
          <w:rFonts w:asciiTheme="minorHAnsi" w:hAnsiTheme="minorHAnsi"/>
          <w:szCs w:val="24"/>
        </w:rPr>
        <w:t xml:space="preserve">in </w:t>
      </w:r>
      <w:r w:rsidRPr="004B5F78">
        <w:rPr>
          <w:rFonts w:asciiTheme="minorHAnsi" w:hAnsiTheme="minorHAnsi"/>
          <w:szCs w:val="24"/>
        </w:rPr>
        <w:t xml:space="preserve">2018 (PP-18) acknowledged </w:t>
      </w:r>
      <w:r>
        <w:rPr>
          <w:rFonts w:asciiTheme="minorHAnsi" w:hAnsiTheme="minorHAnsi"/>
          <w:szCs w:val="24"/>
        </w:rPr>
        <w:t xml:space="preserve">the need for </w:t>
      </w:r>
      <w:r w:rsidRPr="004B5F78">
        <w:rPr>
          <w:rFonts w:asciiTheme="minorHAnsi" w:hAnsiTheme="minorHAnsi"/>
          <w:szCs w:val="24"/>
        </w:rPr>
        <w:t>WTDC as well as WTSA and R</w:t>
      </w:r>
      <w:r>
        <w:rPr>
          <w:rFonts w:asciiTheme="minorHAnsi" w:hAnsiTheme="minorHAnsi"/>
          <w:szCs w:val="24"/>
        </w:rPr>
        <w:t>A</w:t>
      </w:r>
      <w:r w:rsidRPr="004B5F78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to</w:t>
      </w:r>
      <w:r w:rsidRPr="004B5F78">
        <w:rPr>
          <w:rFonts w:asciiTheme="minorHAnsi" w:hAnsiTheme="minorHAnsi"/>
          <w:szCs w:val="24"/>
        </w:rPr>
        <w:t xml:space="preserve"> streamlin</w:t>
      </w:r>
      <w:r>
        <w:rPr>
          <w:rFonts w:asciiTheme="minorHAnsi" w:hAnsiTheme="minorHAnsi"/>
          <w:szCs w:val="24"/>
        </w:rPr>
        <w:t>e</w:t>
      </w:r>
      <w:r w:rsidRPr="004B5F78">
        <w:rPr>
          <w:rFonts w:asciiTheme="minorHAnsi" w:hAnsiTheme="minorHAnsi"/>
          <w:szCs w:val="24"/>
        </w:rPr>
        <w:t xml:space="preserve"> resolutions. </w:t>
      </w:r>
    </w:p>
    <w:p w14:paraId="5CD65193" w14:textId="77777777" w:rsidR="00497583" w:rsidRDefault="00497583" w:rsidP="008F3147">
      <w:pPr>
        <w:spacing w:after="120"/>
        <w:rPr>
          <w:rFonts w:asciiTheme="minorHAnsi" w:hAnsiTheme="minorHAnsi"/>
          <w:szCs w:val="24"/>
        </w:rPr>
      </w:pPr>
      <w:r w:rsidRPr="004B5F78">
        <w:rPr>
          <w:rFonts w:asciiTheme="minorHAnsi" w:hAnsiTheme="minorHAnsi"/>
          <w:szCs w:val="24"/>
        </w:rPr>
        <w:t xml:space="preserve">PP-18 approved the </w:t>
      </w:r>
      <w:r w:rsidR="00796B8C">
        <w:rPr>
          <w:rFonts w:asciiTheme="minorHAnsi" w:hAnsiTheme="minorHAnsi"/>
          <w:szCs w:val="24"/>
        </w:rPr>
        <w:t xml:space="preserve">revision of </w:t>
      </w:r>
      <w:r w:rsidRPr="004B5F78">
        <w:rPr>
          <w:rFonts w:asciiTheme="minorHAnsi" w:hAnsiTheme="minorHAnsi"/>
          <w:szCs w:val="24"/>
        </w:rPr>
        <w:t xml:space="preserve">Resolution </w:t>
      </w:r>
      <w:r w:rsidR="00796B8C">
        <w:rPr>
          <w:rFonts w:asciiTheme="minorHAnsi" w:hAnsiTheme="minorHAnsi"/>
          <w:szCs w:val="24"/>
        </w:rPr>
        <w:t>154</w:t>
      </w:r>
      <w:r w:rsidRPr="004B5F78">
        <w:rPr>
          <w:rFonts w:asciiTheme="minorHAnsi" w:hAnsiTheme="minorHAnsi"/>
          <w:szCs w:val="24"/>
        </w:rPr>
        <w:t xml:space="preserve"> </w:t>
      </w:r>
      <w:r w:rsidR="00796B8C" w:rsidRPr="00751D25">
        <w:rPr>
          <w:rFonts w:asciiTheme="minorHAnsi" w:hAnsiTheme="minorHAnsi"/>
          <w:szCs w:val="24"/>
        </w:rPr>
        <w:t>(Rev. Dubai, 2018) on the use of the six official languages of the Union on an equal footing</w:t>
      </w:r>
      <w:r w:rsidR="00796B8C">
        <w:rPr>
          <w:rFonts w:asciiTheme="minorHAnsi" w:hAnsiTheme="minorHAnsi"/>
          <w:szCs w:val="24"/>
        </w:rPr>
        <w:t>.</w:t>
      </w:r>
    </w:p>
    <w:p w14:paraId="2504519D" w14:textId="77777777" w:rsidR="00497583" w:rsidRDefault="00497583" w:rsidP="008F3147">
      <w:pPr>
        <w:spacing w:after="120"/>
        <w:rPr>
          <w:rFonts w:asciiTheme="minorHAnsi" w:hAnsiTheme="minorHAnsi"/>
          <w:szCs w:val="24"/>
        </w:rPr>
      </w:pPr>
      <w:r w:rsidRPr="00B83462">
        <w:rPr>
          <w:rFonts w:asciiTheme="minorHAnsi" w:hAnsiTheme="minorHAnsi"/>
          <w:szCs w:val="24"/>
        </w:rPr>
        <w:t xml:space="preserve">It is proposed to </w:t>
      </w:r>
      <w:r w:rsidRPr="004B5F78">
        <w:rPr>
          <w:rFonts w:asciiTheme="minorHAnsi" w:hAnsiTheme="minorHAnsi"/>
          <w:szCs w:val="24"/>
        </w:rPr>
        <w:t xml:space="preserve">suppress WTDC Resolution </w:t>
      </w:r>
      <w:r w:rsidR="00751D25">
        <w:rPr>
          <w:rFonts w:asciiTheme="minorHAnsi" w:hAnsiTheme="minorHAnsi"/>
          <w:szCs w:val="24"/>
        </w:rPr>
        <w:t>86</w:t>
      </w:r>
      <w:r w:rsidRPr="004B5F78">
        <w:rPr>
          <w:rFonts w:asciiTheme="minorHAnsi" w:hAnsiTheme="minorHAnsi"/>
          <w:szCs w:val="24"/>
        </w:rPr>
        <w:t xml:space="preserve"> </w:t>
      </w:r>
      <w:r w:rsidR="005339A5" w:rsidRPr="00751D25">
        <w:rPr>
          <w:rFonts w:asciiTheme="minorHAnsi" w:hAnsiTheme="minorHAnsi"/>
          <w:szCs w:val="24"/>
        </w:rPr>
        <w:t xml:space="preserve">(Rev. Buenos Aires, 2017) </w:t>
      </w:r>
      <w:r w:rsidRPr="004B5F78">
        <w:rPr>
          <w:rFonts w:asciiTheme="minorHAnsi" w:hAnsiTheme="minorHAnsi"/>
          <w:szCs w:val="24"/>
        </w:rPr>
        <w:t xml:space="preserve">on </w:t>
      </w:r>
      <w:r w:rsidR="00751D25">
        <w:rPr>
          <w:rFonts w:asciiTheme="minorHAnsi" w:hAnsiTheme="minorHAnsi"/>
          <w:szCs w:val="24"/>
        </w:rPr>
        <w:t>the u</w:t>
      </w:r>
      <w:r w:rsidR="00751D25" w:rsidRPr="00751D25">
        <w:rPr>
          <w:rFonts w:asciiTheme="minorHAnsi" w:hAnsiTheme="minorHAnsi"/>
          <w:szCs w:val="24"/>
        </w:rPr>
        <w:t>se in the ITU Telecommunication Development Sector of the languages of the Union on an equal footing</w:t>
      </w:r>
      <w:r w:rsidR="00751D25" w:rsidRPr="004B5F78">
        <w:rPr>
          <w:rFonts w:asciiTheme="minorHAnsi" w:hAnsiTheme="minorHAnsi"/>
          <w:szCs w:val="24"/>
        </w:rPr>
        <w:t xml:space="preserve"> </w:t>
      </w:r>
      <w:r w:rsidRPr="004B5F78">
        <w:rPr>
          <w:rFonts w:asciiTheme="minorHAnsi" w:hAnsiTheme="minorHAnsi"/>
          <w:szCs w:val="24"/>
        </w:rPr>
        <w:t>and include the appropriate text to WTDC Resolution 1.</w:t>
      </w:r>
    </w:p>
    <w:p w14:paraId="31BBCC60" w14:textId="77777777" w:rsidR="00751D25" w:rsidRPr="00751D25" w:rsidRDefault="00751D25" w:rsidP="00CC1FB2">
      <w:pPr>
        <w:spacing w:after="120"/>
        <w:jc w:val="both"/>
        <w:rPr>
          <w:rFonts w:asciiTheme="minorHAnsi" w:hAnsiTheme="minorHAnsi"/>
          <w:b/>
          <w:szCs w:val="24"/>
        </w:rPr>
      </w:pPr>
      <w:r w:rsidRPr="00751D25">
        <w:rPr>
          <w:rFonts w:asciiTheme="minorHAnsi" w:hAnsiTheme="minorHAnsi"/>
          <w:b/>
          <w:szCs w:val="24"/>
        </w:rPr>
        <w:t>II</w:t>
      </w:r>
      <w:r w:rsidRPr="00751D25">
        <w:rPr>
          <w:rFonts w:asciiTheme="minorHAnsi" w:hAnsiTheme="minorHAnsi"/>
          <w:b/>
          <w:szCs w:val="24"/>
        </w:rPr>
        <w:tab/>
        <w:t>Proposal</w:t>
      </w:r>
    </w:p>
    <w:p w14:paraId="0C9C5EA3" w14:textId="77777777" w:rsidR="00751D25" w:rsidRPr="00751D25" w:rsidRDefault="006F7C95" w:rsidP="00CC1FB2">
      <w:pPr>
        <w:tabs>
          <w:tab w:val="left" w:pos="1590"/>
        </w:tabs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2.1</w:t>
      </w:r>
      <w:r>
        <w:rPr>
          <w:rFonts w:asciiTheme="minorHAnsi" w:hAnsiTheme="minorHAnsi"/>
          <w:szCs w:val="24"/>
        </w:rPr>
        <w:tab/>
        <w:t>SUP</w:t>
      </w:r>
      <w:r>
        <w:rPr>
          <w:rFonts w:asciiTheme="minorHAnsi" w:hAnsiTheme="minorHAnsi"/>
          <w:szCs w:val="24"/>
        </w:rPr>
        <w:tab/>
        <w:t>Resolution</w:t>
      </w:r>
      <w:r w:rsidR="00751D25" w:rsidRPr="00751D25">
        <w:rPr>
          <w:rFonts w:asciiTheme="minorHAnsi" w:hAnsiTheme="minorHAnsi"/>
          <w:szCs w:val="24"/>
        </w:rPr>
        <w:t xml:space="preserve"> 86 (Rev. Buenos Aires, 2017) </w:t>
      </w:r>
    </w:p>
    <w:p w14:paraId="65E74BEF" w14:textId="77777777" w:rsidR="00497583" w:rsidRPr="00495D08" w:rsidRDefault="00751D25" w:rsidP="00495D08">
      <w:pPr>
        <w:spacing w:after="120"/>
        <w:jc w:val="center"/>
        <w:rPr>
          <w:rFonts w:asciiTheme="minorHAnsi" w:hAnsiTheme="minorHAnsi"/>
          <w:b/>
          <w:szCs w:val="24"/>
        </w:rPr>
      </w:pPr>
      <w:r w:rsidRPr="00495D08">
        <w:rPr>
          <w:rFonts w:asciiTheme="minorHAnsi" w:hAnsiTheme="minorHAnsi"/>
          <w:b/>
          <w:szCs w:val="24"/>
        </w:rPr>
        <w:t>“Use in the ITU Telecommunication Development Sector of the languages of the Union on an equal footing”</w:t>
      </w:r>
    </w:p>
    <w:p w14:paraId="7558FCEB" w14:textId="77777777" w:rsidR="000052A4" w:rsidRPr="000052A4" w:rsidRDefault="00497583" w:rsidP="008F3147">
      <w:pPr>
        <w:pStyle w:val="ResNo"/>
        <w:spacing w:before="120" w:after="120"/>
        <w:jc w:val="left"/>
        <w:rPr>
          <w:rFonts w:asciiTheme="minorHAnsi" w:hAnsiTheme="minorHAnsi"/>
          <w:b/>
          <w:caps w:val="0"/>
          <w:sz w:val="24"/>
          <w:szCs w:val="24"/>
          <w:lang w:val="en-US"/>
        </w:rPr>
      </w:pPr>
      <w:r w:rsidRPr="000052A4">
        <w:rPr>
          <w:rFonts w:asciiTheme="minorHAnsi" w:hAnsiTheme="minorHAnsi"/>
          <w:caps w:val="0"/>
          <w:sz w:val="24"/>
          <w:szCs w:val="24"/>
        </w:rPr>
        <w:t>2.2</w:t>
      </w:r>
      <w:r w:rsidRPr="000052A4">
        <w:rPr>
          <w:rFonts w:asciiTheme="minorHAnsi" w:hAnsiTheme="minorHAnsi"/>
          <w:caps w:val="0"/>
          <w:sz w:val="24"/>
          <w:szCs w:val="24"/>
        </w:rPr>
        <w:tab/>
      </w:r>
      <w:bookmarkStart w:id="6" w:name="_Toc393980066"/>
      <w:r w:rsidR="000052A4" w:rsidRPr="000052A4">
        <w:rPr>
          <w:rFonts w:asciiTheme="minorHAnsi" w:hAnsiTheme="minorHAnsi"/>
          <w:caps w:val="0"/>
          <w:sz w:val="24"/>
          <w:szCs w:val="24"/>
        </w:rPr>
        <w:t xml:space="preserve">To incorporate sections relating to the use in </w:t>
      </w:r>
      <w:r w:rsidR="000052A4">
        <w:rPr>
          <w:rFonts w:asciiTheme="minorHAnsi" w:hAnsiTheme="minorHAnsi"/>
          <w:caps w:val="0"/>
          <w:sz w:val="24"/>
          <w:szCs w:val="24"/>
        </w:rPr>
        <w:t xml:space="preserve">the </w:t>
      </w:r>
      <w:r w:rsidR="000052A4" w:rsidRPr="000052A4">
        <w:rPr>
          <w:rFonts w:asciiTheme="minorHAnsi" w:hAnsiTheme="minorHAnsi"/>
          <w:caps w:val="0"/>
          <w:sz w:val="24"/>
          <w:szCs w:val="24"/>
        </w:rPr>
        <w:t xml:space="preserve">ITU-D of the languages of the Union on an equal footing in the corresponding sections of </w:t>
      </w:r>
      <w:r w:rsidR="000052A4">
        <w:rPr>
          <w:rFonts w:asciiTheme="minorHAnsi" w:hAnsiTheme="minorHAnsi"/>
          <w:caps w:val="0"/>
          <w:sz w:val="24"/>
          <w:szCs w:val="24"/>
        </w:rPr>
        <w:t xml:space="preserve">the </w:t>
      </w:r>
      <w:r w:rsidR="000052A4" w:rsidRPr="000052A4">
        <w:rPr>
          <w:rFonts w:asciiTheme="minorHAnsi" w:hAnsiTheme="minorHAnsi"/>
          <w:caps w:val="0"/>
          <w:sz w:val="24"/>
          <w:szCs w:val="24"/>
        </w:rPr>
        <w:t>WTDC Resolution 1 “Rules of Procedure for the ITU Telecommunication Development Sector of the World Telecommunication Development Conference”.</w:t>
      </w:r>
    </w:p>
    <w:bookmarkEnd w:id="6"/>
    <w:p w14:paraId="71EBAF31" w14:textId="085E9C82" w:rsidR="00497583" w:rsidRDefault="008F3147" w:rsidP="008F3147">
      <w:pPr>
        <w:jc w:val="center"/>
      </w:pPr>
      <w:r>
        <w:t>________________</w:t>
      </w:r>
    </w:p>
    <w:p w14:paraId="79ACD353" w14:textId="77777777" w:rsidR="00A700F1" w:rsidRDefault="00205530"/>
    <w:sectPr w:rsidR="00A700F1" w:rsidSect="008F31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72A37" w14:textId="77777777" w:rsidR="00AC34E7" w:rsidRDefault="00AC34E7">
      <w:pPr>
        <w:spacing w:before="0"/>
      </w:pPr>
      <w:r>
        <w:separator/>
      </w:r>
    </w:p>
  </w:endnote>
  <w:endnote w:type="continuationSeparator" w:id="0">
    <w:p w14:paraId="711198F5" w14:textId="77777777" w:rsidR="00AC34E7" w:rsidRDefault="00AC34E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7E65E" w14:textId="77777777" w:rsidR="00205530" w:rsidRDefault="002055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242A4" w14:textId="77777777" w:rsidR="00205530" w:rsidRDefault="002055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4A0" w:firstRow="1" w:lastRow="0" w:firstColumn="1" w:lastColumn="0" w:noHBand="0" w:noVBand="1"/>
    </w:tblPr>
    <w:tblGrid>
      <w:gridCol w:w="1515"/>
      <w:gridCol w:w="2393"/>
      <w:gridCol w:w="5946"/>
    </w:tblGrid>
    <w:tr w:rsidR="009924C8" w:rsidRPr="00BB6B5A" w14:paraId="0CEFCC85" w14:textId="77777777" w:rsidTr="005815DD">
      <w:tc>
        <w:tcPr>
          <w:tcW w:w="769" w:type="pct"/>
          <w:tcBorders>
            <w:top w:val="single" w:sz="4" w:space="0" w:color="000000"/>
          </w:tcBorders>
          <w:shd w:val="clear" w:color="auto" w:fill="auto"/>
        </w:tcPr>
        <w:p w14:paraId="42920189" w14:textId="77777777" w:rsidR="009924C8" w:rsidRPr="002752D5" w:rsidRDefault="005339A5" w:rsidP="009924C8">
          <w:pPr>
            <w:pStyle w:val="FirstFooter"/>
            <w:tabs>
              <w:tab w:val="left" w:pos="1559"/>
              <w:tab w:val="left" w:pos="3828"/>
            </w:tabs>
            <w:rPr>
              <w:rFonts w:asciiTheme="minorHAnsi" w:hAnsiTheme="minorHAnsi"/>
              <w:sz w:val="18"/>
              <w:szCs w:val="18"/>
            </w:rPr>
          </w:pPr>
          <w:bookmarkStart w:id="9" w:name="_Hlk64553507"/>
          <w:r w:rsidRPr="002752D5">
            <w:rPr>
              <w:rFonts w:asciiTheme="minorHAnsi" w:hAnsiTheme="minorHAnsi"/>
              <w:sz w:val="18"/>
              <w:szCs w:val="18"/>
              <w:lang w:val="en-US"/>
            </w:rPr>
            <w:t>Contact:</w:t>
          </w:r>
        </w:p>
      </w:tc>
      <w:tc>
        <w:tcPr>
          <w:tcW w:w="1214" w:type="pct"/>
          <w:tcBorders>
            <w:top w:val="single" w:sz="4" w:space="0" w:color="000000"/>
          </w:tcBorders>
          <w:shd w:val="clear" w:color="auto" w:fill="auto"/>
        </w:tcPr>
        <w:p w14:paraId="7651CCFE" w14:textId="77777777" w:rsidR="009924C8" w:rsidRPr="002752D5" w:rsidRDefault="005339A5" w:rsidP="009924C8">
          <w:pPr>
            <w:pStyle w:val="FirstFooter"/>
            <w:tabs>
              <w:tab w:val="left" w:pos="2302"/>
            </w:tabs>
            <w:ind w:left="2302" w:hanging="2302"/>
            <w:rPr>
              <w:rFonts w:asciiTheme="minorHAnsi" w:hAnsiTheme="minorHAnsi"/>
              <w:sz w:val="18"/>
              <w:szCs w:val="18"/>
              <w:lang w:val="en-US"/>
            </w:rPr>
          </w:pPr>
          <w:r w:rsidRPr="002752D5">
            <w:rPr>
              <w:rFonts w:asciiTheme="minorHAnsi" w:hAnsiTheme="minorHAnsi"/>
              <w:sz w:val="18"/>
              <w:szCs w:val="18"/>
              <w:lang w:val="en-US"/>
            </w:rPr>
            <w:t>Name/Organization/Entity:</w:t>
          </w:r>
        </w:p>
      </w:tc>
      <w:tc>
        <w:tcPr>
          <w:tcW w:w="3017" w:type="pct"/>
          <w:tcBorders>
            <w:top w:val="single" w:sz="4" w:space="0" w:color="000000"/>
          </w:tcBorders>
        </w:tcPr>
        <w:p w14:paraId="3B321F84" w14:textId="77777777" w:rsidR="009924C8" w:rsidRDefault="005339A5" w:rsidP="009924C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Prof. Dr Vladimir Minkin</w:t>
          </w:r>
          <w:r w:rsidRPr="002F067E">
            <w:rPr>
              <w:sz w:val="18"/>
              <w:szCs w:val="18"/>
              <w:lang w:val="en-US"/>
            </w:rPr>
            <w:t>, Radio Research &amp; Development Institute (NIIR), Russia</w:t>
          </w:r>
          <w:r>
            <w:rPr>
              <w:sz w:val="18"/>
              <w:szCs w:val="18"/>
              <w:lang w:val="en-US"/>
            </w:rPr>
            <w:t>n Federation</w:t>
          </w:r>
        </w:p>
      </w:tc>
      <w:bookmarkStart w:id="10" w:name="OrgName"/>
      <w:bookmarkEnd w:id="10"/>
    </w:tr>
    <w:tr w:rsidR="009924C8" w:rsidRPr="00CF2D02" w14:paraId="588B31DF" w14:textId="77777777" w:rsidTr="005815DD">
      <w:tc>
        <w:tcPr>
          <w:tcW w:w="769" w:type="pct"/>
          <w:shd w:val="clear" w:color="auto" w:fill="auto"/>
        </w:tcPr>
        <w:p w14:paraId="6685BB51" w14:textId="77777777" w:rsidR="009924C8" w:rsidRPr="00CF2D02" w:rsidRDefault="00205530" w:rsidP="009924C8">
          <w:pPr>
            <w:pStyle w:val="FirstFooter"/>
            <w:tabs>
              <w:tab w:val="left" w:pos="1559"/>
              <w:tab w:val="left" w:pos="3828"/>
            </w:tabs>
            <w:rPr>
              <w:rFonts w:asciiTheme="minorHAnsi" w:hAnsiTheme="minorHAnsi"/>
              <w:sz w:val="18"/>
              <w:szCs w:val="18"/>
              <w:lang w:val="en-US"/>
            </w:rPr>
          </w:pPr>
        </w:p>
      </w:tc>
      <w:tc>
        <w:tcPr>
          <w:tcW w:w="1214" w:type="pct"/>
          <w:shd w:val="clear" w:color="auto" w:fill="auto"/>
        </w:tcPr>
        <w:p w14:paraId="33700AB0" w14:textId="77777777" w:rsidR="009924C8" w:rsidRPr="00CF2D02" w:rsidRDefault="005339A5" w:rsidP="009924C8">
          <w:pPr>
            <w:pStyle w:val="FirstFooter"/>
            <w:tabs>
              <w:tab w:val="left" w:pos="2302"/>
            </w:tabs>
            <w:rPr>
              <w:rFonts w:asciiTheme="minorHAnsi" w:hAnsiTheme="minorHAnsi"/>
              <w:sz w:val="18"/>
              <w:szCs w:val="18"/>
              <w:lang w:val="en-US"/>
            </w:rPr>
          </w:pPr>
          <w:r w:rsidRPr="00CF2D02">
            <w:rPr>
              <w:rFonts w:asciiTheme="minorHAnsi" w:hAnsiTheme="minorHAnsi"/>
              <w:sz w:val="18"/>
              <w:szCs w:val="18"/>
              <w:lang w:val="en-US"/>
            </w:rPr>
            <w:t>Phone number:</w:t>
          </w:r>
        </w:p>
      </w:tc>
      <w:tc>
        <w:tcPr>
          <w:tcW w:w="3017" w:type="pct"/>
        </w:tcPr>
        <w:p w14:paraId="6C56C9DE" w14:textId="77777777" w:rsidR="009924C8" w:rsidRPr="0067590C" w:rsidRDefault="005339A5" w:rsidP="009924C8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67590C">
            <w:rPr>
              <w:sz w:val="18"/>
              <w:szCs w:val="18"/>
            </w:rPr>
            <w:t>+7 499 2619307</w:t>
          </w:r>
        </w:p>
      </w:tc>
      <w:bookmarkStart w:id="11" w:name="PhoneNo"/>
      <w:bookmarkEnd w:id="11"/>
    </w:tr>
    <w:tr w:rsidR="009924C8" w:rsidRPr="00CF2D02" w14:paraId="4747298A" w14:textId="77777777" w:rsidTr="005815DD">
      <w:tc>
        <w:tcPr>
          <w:tcW w:w="769" w:type="pct"/>
          <w:shd w:val="clear" w:color="auto" w:fill="auto"/>
        </w:tcPr>
        <w:p w14:paraId="6F052B53" w14:textId="77777777" w:rsidR="009924C8" w:rsidRPr="00CF2D02" w:rsidRDefault="00205530" w:rsidP="009924C8">
          <w:pPr>
            <w:pStyle w:val="FirstFooter"/>
            <w:tabs>
              <w:tab w:val="left" w:pos="1559"/>
              <w:tab w:val="left" w:pos="3828"/>
            </w:tabs>
            <w:rPr>
              <w:rFonts w:asciiTheme="minorHAnsi" w:hAnsiTheme="minorHAnsi"/>
              <w:sz w:val="18"/>
              <w:szCs w:val="18"/>
              <w:lang w:val="en-US"/>
            </w:rPr>
          </w:pPr>
        </w:p>
      </w:tc>
      <w:tc>
        <w:tcPr>
          <w:tcW w:w="1214" w:type="pct"/>
          <w:shd w:val="clear" w:color="auto" w:fill="auto"/>
        </w:tcPr>
        <w:p w14:paraId="345BFDE6" w14:textId="77777777" w:rsidR="009924C8" w:rsidRPr="00CF2D02" w:rsidRDefault="005339A5" w:rsidP="009924C8">
          <w:pPr>
            <w:pStyle w:val="FirstFooter"/>
            <w:tabs>
              <w:tab w:val="left" w:pos="2302"/>
            </w:tabs>
            <w:rPr>
              <w:rFonts w:asciiTheme="minorHAnsi" w:hAnsiTheme="minorHAnsi"/>
              <w:sz w:val="18"/>
              <w:szCs w:val="18"/>
              <w:lang w:val="en-US"/>
            </w:rPr>
          </w:pPr>
          <w:r w:rsidRPr="00CF2D02">
            <w:rPr>
              <w:rFonts w:asciiTheme="minorHAnsi" w:hAnsiTheme="minorHAnsi"/>
              <w:sz w:val="18"/>
              <w:szCs w:val="18"/>
              <w:lang w:val="en-US"/>
            </w:rPr>
            <w:t>E-mail:</w:t>
          </w:r>
        </w:p>
      </w:tc>
      <w:tc>
        <w:tcPr>
          <w:tcW w:w="3017" w:type="pct"/>
        </w:tcPr>
        <w:p w14:paraId="48282603" w14:textId="77777777" w:rsidR="009924C8" w:rsidRPr="0067590C" w:rsidRDefault="00205530" w:rsidP="009924C8">
          <w:pPr>
            <w:pStyle w:val="FirstFooter"/>
            <w:tabs>
              <w:tab w:val="left" w:pos="2302"/>
            </w:tabs>
            <w:rPr>
              <w:rStyle w:val="Hyperlink"/>
              <w:sz w:val="18"/>
              <w:szCs w:val="18"/>
            </w:rPr>
          </w:pPr>
          <w:hyperlink r:id="rId1" w:history="1"/>
          <w:hyperlink r:id="rId2" w:history="1">
            <w:r w:rsidR="005339A5" w:rsidRPr="00AD7E09">
              <w:rPr>
                <w:rStyle w:val="Hyperlink"/>
                <w:sz w:val="18"/>
                <w:szCs w:val="18"/>
              </w:rPr>
              <w:t>minkin.itu@mail.ru</w:t>
            </w:r>
          </w:hyperlink>
          <w:r w:rsidR="005339A5">
            <w:rPr>
              <w:sz w:val="18"/>
              <w:szCs w:val="18"/>
            </w:rPr>
            <w:t xml:space="preserve"> </w:t>
          </w:r>
        </w:p>
      </w:tc>
      <w:bookmarkStart w:id="12" w:name="Email"/>
      <w:bookmarkEnd w:id="12"/>
    </w:tr>
  </w:tbl>
  <w:bookmarkEnd w:id="9"/>
  <w:p w14:paraId="101174EB" w14:textId="3A15D55C" w:rsidR="009924C8" w:rsidRPr="00205530" w:rsidRDefault="00205530" w:rsidP="00205530">
    <w:pPr>
      <w:pStyle w:val="Footer"/>
      <w:tabs>
        <w:tab w:val="center" w:pos="5103"/>
      </w:tabs>
      <w:spacing w:before="120"/>
      <w:jc w:val="center"/>
      <w:rPr>
        <w:rFonts w:asciiTheme="minorHAnsi" w:hAnsiTheme="minorHAnsi"/>
        <w:sz w:val="16"/>
      </w:rPr>
    </w:pPr>
    <w:r>
      <w:fldChar w:fldCharType="begin"/>
    </w:r>
    <w:r>
      <w:instrText xml:space="preserve"> HYPERLINK "https://www.itu.int/en/ITU-D/Conferences/TDAG/Pages/TDAG_WG_WTDC.aspx" </w:instrText>
    </w:r>
    <w:r>
      <w:fldChar w:fldCharType="separate"/>
    </w:r>
    <w:r>
      <w:rPr>
        <w:rStyle w:val="Hyperlink"/>
        <w:sz w:val="18"/>
        <w:szCs w:val="18"/>
      </w:rPr>
      <w:t>TDAG-WG-RDTP</w:t>
    </w:r>
    <w:r>
      <w:fldChar w:fldCharType="end"/>
    </w:r>
    <w:bookmarkStart w:id="13" w:name="_GoBack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FE461" w14:textId="77777777" w:rsidR="00AC34E7" w:rsidRDefault="00AC34E7">
      <w:pPr>
        <w:spacing w:before="0"/>
      </w:pPr>
      <w:r>
        <w:separator/>
      </w:r>
    </w:p>
  </w:footnote>
  <w:footnote w:type="continuationSeparator" w:id="0">
    <w:p w14:paraId="14AD3BF6" w14:textId="77777777" w:rsidR="00AC34E7" w:rsidRDefault="00AC34E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D6512" w14:textId="77777777" w:rsidR="00205530" w:rsidRDefault="002055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2AF25" w14:textId="258803D0" w:rsidR="009924C8" w:rsidRPr="008F3147" w:rsidRDefault="008F3147" w:rsidP="008F3147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  <w:tab w:val="right" w:pos="9639"/>
      </w:tabs>
      <w:ind w:right="1"/>
      <w:rPr>
        <w:rFonts w:asciiTheme="minorHAnsi" w:hAnsiTheme="minorHAnsi"/>
        <w:lang w:val="es-ES"/>
      </w:rPr>
    </w:pPr>
    <w:r w:rsidRPr="00972BCD">
      <w:rPr>
        <w:sz w:val="22"/>
        <w:szCs w:val="22"/>
      </w:rPr>
      <w:tab/>
    </w:r>
    <w:bookmarkStart w:id="7" w:name="DocRef2"/>
    <w:bookmarkEnd w:id="7"/>
    <w:r w:rsidRPr="003335F6">
      <w:rPr>
        <w:sz w:val="22"/>
        <w:szCs w:val="22"/>
        <w:lang w:val="es-ES"/>
      </w:rPr>
      <w:t>TDAG-WG-RDTP</w:t>
    </w:r>
    <w:r>
      <w:rPr>
        <w:sz w:val="22"/>
        <w:szCs w:val="22"/>
        <w:lang w:val="de-CH"/>
      </w:rPr>
      <w:t>/</w:t>
    </w:r>
    <w:bookmarkStart w:id="8" w:name="DocNo2"/>
    <w:bookmarkEnd w:id="8"/>
    <w:r>
      <w:rPr>
        <w:sz w:val="22"/>
        <w:szCs w:val="22"/>
        <w:lang w:val="de-CH"/>
      </w:rPr>
      <w:t>DT/</w:t>
    </w:r>
    <w:r w:rsidR="006A5C9F">
      <w:rPr>
        <w:sz w:val="22"/>
        <w:szCs w:val="22"/>
        <w:lang w:val="de-CH"/>
      </w:rPr>
      <w:t>10</w:t>
    </w:r>
    <w:r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>
      <w:t>2</w:t>
    </w:r>
    <w:r w:rsidRPr="00972BCD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E0C95" w14:textId="77777777" w:rsidR="00205530" w:rsidRDefault="00205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583"/>
    <w:rsid w:val="000052A4"/>
    <w:rsid w:val="00017C58"/>
    <w:rsid w:val="00205530"/>
    <w:rsid w:val="00495D08"/>
    <w:rsid w:val="00497583"/>
    <w:rsid w:val="00510EF3"/>
    <w:rsid w:val="005339A5"/>
    <w:rsid w:val="00626EB7"/>
    <w:rsid w:val="006A5C9F"/>
    <w:rsid w:val="006F7C95"/>
    <w:rsid w:val="00751D25"/>
    <w:rsid w:val="007763CD"/>
    <w:rsid w:val="00796B8C"/>
    <w:rsid w:val="008F3147"/>
    <w:rsid w:val="009C43C1"/>
    <w:rsid w:val="00AC34E7"/>
    <w:rsid w:val="00CC1FB2"/>
    <w:rsid w:val="00E66186"/>
    <w:rsid w:val="00F9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FA218"/>
  <w15:docId w15:val="{F91C2BA3-6E9C-4426-A64B-1524952B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58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No">
    <w:name w:val="Res_No"/>
    <w:basedOn w:val="Normal"/>
    <w:next w:val="Restitle"/>
    <w:link w:val="ResNoChar"/>
    <w:rsid w:val="00497583"/>
    <w:pPr>
      <w:spacing w:before="720"/>
      <w:jc w:val="center"/>
    </w:pPr>
    <w:rPr>
      <w:caps/>
      <w:sz w:val="28"/>
    </w:rPr>
  </w:style>
  <w:style w:type="paragraph" w:customStyle="1" w:styleId="Restitle">
    <w:name w:val="Res_title"/>
    <w:basedOn w:val="Normal"/>
    <w:next w:val="Normal"/>
    <w:link w:val="RestitleChar"/>
    <w:rsid w:val="00497583"/>
    <w:pPr>
      <w:spacing w:before="240" w:after="240"/>
      <w:jc w:val="center"/>
    </w:pPr>
    <w:rPr>
      <w:b/>
      <w:sz w:val="28"/>
    </w:rPr>
  </w:style>
  <w:style w:type="character" w:customStyle="1" w:styleId="RestitleChar">
    <w:name w:val="Res_title Char"/>
    <w:basedOn w:val="DefaultParagraphFont"/>
    <w:link w:val="Restitle"/>
    <w:locked/>
    <w:rsid w:val="00497583"/>
    <w:rPr>
      <w:rFonts w:ascii="Calibri" w:eastAsia="Times New Roman" w:hAnsi="Calibri" w:cs="Times New Roman"/>
      <w:b/>
      <w:sz w:val="28"/>
      <w:szCs w:val="20"/>
      <w:lang w:val="en-GB"/>
    </w:rPr>
  </w:style>
  <w:style w:type="character" w:customStyle="1" w:styleId="ResNoChar">
    <w:name w:val="Res_No Char"/>
    <w:link w:val="ResNo"/>
    <w:rsid w:val="00497583"/>
    <w:rPr>
      <w:rFonts w:ascii="Calibri" w:eastAsia="Times New Roman" w:hAnsi="Calibri" w:cs="Times New Roman"/>
      <w:caps/>
      <w:sz w:val="28"/>
      <w:szCs w:val="20"/>
      <w:lang w:val="en-GB"/>
    </w:rPr>
  </w:style>
  <w:style w:type="paragraph" w:customStyle="1" w:styleId="Committee">
    <w:name w:val="Committee"/>
    <w:basedOn w:val="Normal"/>
    <w:qFormat/>
    <w:rsid w:val="00497583"/>
    <w:pPr>
      <w:framePr w:hSpace="180" w:wrap="around" w:hAnchor="margin" w:y="-675"/>
      <w:tabs>
        <w:tab w:val="clear" w:pos="567"/>
        <w:tab w:val="clear" w:pos="1701"/>
        <w:tab w:val="clear" w:pos="2835"/>
        <w:tab w:val="left" w:pos="851"/>
        <w:tab w:val="left" w:pos="1871"/>
      </w:tabs>
      <w:spacing w:before="0" w:line="240" w:lineRule="atLeast"/>
      <w:textAlignment w:val="auto"/>
    </w:pPr>
    <w:rPr>
      <w:rFonts w:asciiTheme="minorHAnsi" w:hAnsiTheme="minorHAnsi" w:cstheme="minorHAnsi"/>
      <w:b/>
      <w:sz w:val="22"/>
      <w:szCs w:val="24"/>
    </w:rPr>
  </w:style>
  <w:style w:type="table" w:styleId="TableGrid">
    <w:name w:val="Table Grid"/>
    <w:basedOn w:val="TableNormal"/>
    <w:rsid w:val="0049758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 1"/>
    <w:basedOn w:val="Normal"/>
    <w:next w:val="Normal"/>
    <w:rsid w:val="00497583"/>
    <w:pPr>
      <w:spacing w:before="240"/>
    </w:pPr>
    <w:rPr>
      <w:rFonts w:asciiTheme="minorHAnsi" w:hAnsiTheme="minorHAnsi" w:cs="Times New Roman Bold"/>
      <w:b/>
    </w:rPr>
  </w:style>
  <w:style w:type="paragraph" w:styleId="Header">
    <w:name w:val="header"/>
    <w:basedOn w:val="Normal"/>
    <w:link w:val="HeaderChar"/>
    <w:uiPriority w:val="99"/>
    <w:unhideWhenUsed/>
    <w:rsid w:val="00497583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77"/>
        <w:tab w:val="right" w:pos="9355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97583"/>
    <w:rPr>
      <w:rFonts w:ascii="Calibri" w:eastAsia="Times New Roman" w:hAnsi="Calibri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nhideWhenUsed/>
    <w:rsid w:val="00497583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77"/>
        <w:tab w:val="right" w:pos="9355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497583"/>
    <w:rPr>
      <w:rFonts w:ascii="Calibri" w:eastAsia="Times New Roman" w:hAnsi="Calibri" w:cs="Times New Roman"/>
      <w:sz w:val="24"/>
      <w:szCs w:val="20"/>
      <w:lang w:val="en-GB"/>
    </w:rPr>
  </w:style>
  <w:style w:type="character" w:styleId="Hyperlink">
    <w:name w:val="Hyperlink"/>
    <w:basedOn w:val="DefaultParagraphFont"/>
    <w:rsid w:val="00497583"/>
    <w:rPr>
      <w:color w:val="0000FF"/>
      <w:u w:val="single"/>
    </w:rPr>
  </w:style>
  <w:style w:type="paragraph" w:customStyle="1" w:styleId="FirstFooter">
    <w:name w:val="FirstFooter"/>
    <w:basedOn w:val="Footer"/>
    <w:rsid w:val="00497583"/>
    <w:pPr>
      <w:tabs>
        <w:tab w:val="clear" w:pos="4677"/>
        <w:tab w:val="clear" w:pos="9355"/>
        <w:tab w:val="left" w:pos="5954"/>
        <w:tab w:val="right" w:pos="9639"/>
      </w:tabs>
    </w:pPr>
    <w:rPr>
      <w:noProof/>
      <w:sz w:val="16"/>
    </w:rPr>
  </w:style>
  <w:style w:type="character" w:customStyle="1" w:styleId="jlqj4b">
    <w:name w:val="jlqj4b"/>
    <w:basedOn w:val="DefaultParagraphFont"/>
    <w:rsid w:val="000052A4"/>
  </w:style>
  <w:style w:type="character" w:styleId="PageNumber">
    <w:name w:val="page number"/>
    <w:basedOn w:val="DefaultParagraphFont"/>
    <w:rsid w:val="008F3147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minkin.itu@mail.ru" TargetMode="External"/><Relationship Id="rId1" Type="http://schemas.openxmlformats.org/officeDocument/2006/relationships/hyperlink" Target="mailto:a.plossky@nii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НИИР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Владимир Маркович</dc:creator>
  <cp:lastModifiedBy>BDT-nd</cp:lastModifiedBy>
  <cp:revision>5</cp:revision>
  <dcterms:created xsi:type="dcterms:W3CDTF">2021-03-30T10:03:00Z</dcterms:created>
  <dcterms:modified xsi:type="dcterms:W3CDTF">2021-03-31T08:45:00Z</dcterms:modified>
</cp:coreProperties>
</file>