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492"/>
        <w:bidiVisual/>
        <w:tblW w:w="5000" w:type="pct"/>
        <w:jc w:val="center"/>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305"/>
        <w:gridCol w:w="229"/>
        <w:gridCol w:w="5174"/>
        <w:gridCol w:w="2931"/>
      </w:tblGrid>
      <w:tr w:rsidR="002F416B" w:rsidRPr="003674C1" w14:paraId="1AE77A0B" w14:textId="77777777" w:rsidTr="002F416B">
        <w:trPr>
          <w:cantSplit/>
          <w:trHeight w:val="1134"/>
          <w:jc w:val="center"/>
        </w:trPr>
        <w:tc>
          <w:tcPr>
            <w:tcW w:w="750" w:type="pct"/>
            <w:gridSpan w:val="2"/>
            <w:tcBorders>
              <w:bottom w:val="single" w:sz="2" w:space="0" w:color="00B0F0"/>
            </w:tcBorders>
          </w:tcPr>
          <w:p w14:paraId="2674A778" w14:textId="77777777" w:rsidR="002F416B" w:rsidRPr="00783A69" w:rsidRDefault="002F416B" w:rsidP="008C02DB">
            <w:pPr>
              <w:spacing w:before="240"/>
              <w:jc w:val="left"/>
              <w:rPr>
                <w:b/>
                <w:bCs/>
                <w:sz w:val="32"/>
                <w:szCs w:val="32"/>
                <w:rtl/>
                <w:lang w:bidi="ar-EG"/>
              </w:rPr>
            </w:pPr>
            <w:r w:rsidRPr="0085753F">
              <w:rPr>
                <w:noProof/>
                <w:color w:val="3399FF"/>
                <w:sz w:val="32"/>
                <w:szCs w:val="32"/>
              </w:rPr>
              <w:drawing>
                <wp:inline distT="0" distB="0" distL="0" distR="0" wp14:anchorId="19981D0E" wp14:editId="7B9F6A63">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250" w:type="pct"/>
            <w:gridSpan w:val="2"/>
            <w:tcBorders>
              <w:bottom w:val="single" w:sz="2" w:space="0" w:color="00B0F0"/>
            </w:tcBorders>
          </w:tcPr>
          <w:p w14:paraId="64496036" w14:textId="41ECF239" w:rsidR="002F416B" w:rsidRPr="00783A69" w:rsidRDefault="00BE4F95" w:rsidP="008C02DB">
            <w:pPr>
              <w:spacing w:before="240"/>
              <w:jc w:val="left"/>
              <w:rPr>
                <w:b/>
                <w:bCs/>
                <w:sz w:val="32"/>
                <w:szCs w:val="32"/>
                <w:lang w:bidi="ar-SY"/>
              </w:rPr>
            </w:pPr>
            <w:r w:rsidRPr="00B82B09">
              <w:rPr>
                <w:rFonts w:hint="cs"/>
                <w:b/>
                <w:bCs/>
                <w:spacing w:val="10"/>
                <w:sz w:val="32"/>
                <w:szCs w:val="32"/>
                <w:rtl/>
                <w:lang w:bidi="ar-EG"/>
              </w:rPr>
              <w:t xml:space="preserve">فريق العمل التابع للفريق </w:t>
            </w:r>
            <w:r w:rsidR="002F416B" w:rsidRPr="00B82B09">
              <w:rPr>
                <w:rFonts w:hint="cs"/>
                <w:b/>
                <w:bCs/>
                <w:spacing w:val="10"/>
                <w:sz w:val="32"/>
                <w:szCs w:val="32"/>
                <w:rtl/>
                <w:lang w:bidi="ar-EG"/>
              </w:rPr>
              <w:t>الاستشاري لتنمية الاتصالات</w:t>
            </w:r>
            <w:r w:rsidR="002F416B" w:rsidRPr="00D1527D">
              <w:rPr>
                <w:rFonts w:hint="cs"/>
                <w:b/>
                <w:bCs/>
                <w:sz w:val="32"/>
                <w:szCs w:val="32"/>
                <w:rtl/>
                <w:lang w:bidi="ar-EG"/>
              </w:rPr>
              <w:t xml:space="preserve"> </w:t>
            </w:r>
            <w:r w:rsidR="002F416B" w:rsidRPr="00B82B09">
              <w:rPr>
                <w:rFonts w:hint="cs"/>
                <w:b/>
                <w:bCs/>
                <w:spacing w:val="-6"/>
                <w:sz w:val="32"/>
                <w:szCs w:val="32"/>
                <w:rtl/>
                <w:lang w:bidi="ar-EG"/>
              </w:rPr>
              <w:t>والمعني</w:t>
            </w:r>
            <w:r w:rsidR="00B82B09" w:rsidRPr="00B82B09">
              <w:rPr>
                <w:rFonts w:hint="eastAsia"/>
                <w:b/>
                <w:bCs/>
                <w:spacing w:val="-6"/>
                <w:sz w:val="32"/>
                <w:szCs w:val="32"/>
                <w:rtl/>
                <w:lang w:bidi="ar-EG"/>
              </w:rPr>
              <w:t> </w:t>
            </w:r>
            <w:r w:rsidR="002F416B" w:rsidRPr="00B82B09">
              <w:rPr>
                <w:rFonts w:hint="cs"/>
                <w:b/>
                <w:bCs/>
                <w:spacing w:val="-6"/>
                <w:sz w:val="32"/>
                <w:szCs w:val="32"/>
                <w:rtl/>
                <w:lang w:bidi="ar-EG"/>
              </w:rPr>
              <w:t>بالأعمال التحضيرية للمؤتمر العالمي لتنمية الاتصالات</w:t>
            </w:r>
          </w:p>
          <w:p w14:paraId="6DFCEB9B" w14:textId="47680962" w:rsidR="002F416B" w:rsidRPr="003674C1" w:rsidRDefault="008E2646" w:rsidP="008C02DB">
            <w:pPr>
              <w:spacing w:after="120"/>
              <w:rPr>
                <w:b/>
                <w:bCs/>
                <w:lang w:val="en-GB" w:bidi="ar-EG"/>
              </w:rPr>
            </w:pPr>
            <w:r>
              <w:rPr>
                <w:b/>
                <w:bCs/>
                <w:sz w:val="26"/>
                <w:szCs w:val="26"/>
                <w:lang w:bidi="ar-EG"/>
              </w:rPr>
              <w:t>7</w:t>
            </w:r>
            <w:r w:rsidR="002F416B" w:rsidRPr="003C4402">
              <w:rPr>
                <w:rFonts w:hint="cs"/>
                <w:b/>
                <w:bCs/>
                <w:sz w:val="26"/>
                <w:szCs w:val="26"/>
                <w:rtl/>
                <w:lang w:bidi="ar-EG"/>
              </w:rPr>
              <w:t xml:space="preserve"> </w:t>
            </w:r>
            <w:r>
              <w:rPr>
                <w:rFonts w:hint="cs"/>
                <w:b/>
                <w:bCs/>
                <w:sz w:val="26"/>
                <w:szCs w:val="26"/>
                <w:rtl/>
                <w:lang w:bidi="ar-EG"/>
              </w:rPr>
              <w:t>س</w:t>
            </w:r>
            <w:proofErr w:type="spellStart"/>
            <w:r>
              <w:rPr>
                <w:rFonts w:hint="cs"/>
                <w:b/>
                <w:bCs/>
                <w:sz w:val="26"/>
                <w:szCs w:val="26"/>
                <w:rtl/>
              </w:rPr>
              <w:t>بتمبر</w:t>
            </w:r>
            <w:proofErr w:type="spellEnd"/>
            <w:r w:rsidR="002F416B" w:rsidRPr="003C4402">
              <w:rPr>
                <w:rFonts w:hint="cs"/>
                <w:b/>
                <w:bCs/>
                <w:sz w:val="26"/>
                <w:szCs w:val="26"/>
                <w:rtl/>
                <w:lang w:bidi="ar-EG"/>
              </w:rPr>
              <w:t xml:space="preserve"> </w:t>
            </w:r>
            <w:r w:rsidR="002F416B" w:rsidRPr="003C4402">
              <w:rPr>
                <w:b/>
                <w:bCs/>
                <w:sz w:val="26"/>
                <w:szCs w:val="26"/>
                <w:lang w:bidi="ar-EG"/>
              </w:rPr>
              <w:t>2020</w:t>
            </w:r>
            <w:r w:rsidR="002F416B">
              <w:rPr>
                <w:rFonts w:hint="cs"/>
                <w:b/>
                <w:bCs/>
                <w:sz w:val="26"/>
                <w:szCs w:val="26"/>
                <w:rtl/>
                <w:lang w:bidi="ar-EG"/>
              </w:rPr>
              <w:t>، اجتماع افتراضي</w:t>
            </w:r>
          </w:p>
        </w:tc>
      </w:tr>
      <w:tr w:rsidR="002F416B" w:rsidRPr="003674C1" w14:paraId="7CAD67E2" w14:textId="77777777" w:rsidTr="002F416B">
        <w:trPr>
          <w:cantSplit/>
          <w:jc w:val="center"/>
        </w:trPr>
        <w:tc>
          <w:tcPr>
            <w:tcW w:w="3457" w:type="pct"/>
            <w:gridSpan w:val="3"/>
            <w:tcBorders>
              <w:top w:val="single" w:sz="2" w:space="0" w:color="00B0F0"/>
            </w:tcBorders>
          </w:tcPr>
          <w:p w14:paraId="3D41BEA7" w14:textId="77777777" w:rsidR="002F416B" w:rsidRPr="003674C1" w:rsidRDefault="002F416B" w:rsidP="008C02DB">
            <w:pPr>
              <w:spacing w:before="160" w:after="40" w:line="260" w:lineRule="exact"/>
              <w:rPr>
                <w:b/>
                <w:bCs/>
                <w:lang w:val="en-GB" w:bidi="ar-EG"/>
              </w:rPr>
            </w:pPr>
          </w:p>
        </w:tc>
        <w:tc>
          <w:tcPr>
            <w:tcW w:w="1543" w:type="pct"/>
          </w:tcPr>
          <w:p w14:paraId="1E3BF186" w14:textId="22EAFF38" w:rsidR="002F416B" w:rsidRPr="003674C1" w:rsidRDefault="002F416B" w:rsidP="008C02DB">
            <w:pPr>
              <w:spacing w:before="160" w:after="40" w:line="260" w:lineRule="exact"/>
              <w:rPr>
                <w:b/>
                <w:bCs/>
                <w:lang w:val="en-GB" w:bidi="ar-EG"/>
              </w:rPr>
            </w:pPr>
            <w:r w:rsidRPr="00783A69">
              <w:rPr>
                <w:rFonts w:hint="cs"/>
                <w:b/>
                <w:bCs/>
                <w:rtl/>
                <w:lang w:bidi="ar-EG"/>
              </w:rPr>
              <w:t xml:space="preserve">الوثيقة </w:t>
            </w:r>
            <w:r w:rsidRPr="003A6BE8">
              <w:rPr>
                <w:b/>
                <w:bCs/>
                <w:lang w:val="en-GB" w:bidi="ar-EG"/>
              </w:rPr>
              <w:t>TDAG-WG-Prep</w:t>
            </w:r>
            <w:r>
              <w:rPr>
                <w:b/>
                <w:bCs/>
                <w:lang w:bidi="ar-EG"/>
              </w:rPr>
              <w:t>/</w:t>
            </w:r>
            <w:r w:rsidR="008E2646">
              <w:rPr>
                <w:b/>
                <w:bCs/>
                <w:lang w:bidi="ar-EG"/>
              </w:rPr>
              <w:t>1</w:t>
            </w:r>
            <w:r w:rsidR="008E2646">
              <w:rPr>
                <w:b/>
                <w:bCs/>
              </w:rPr>
              <w:t>2</w:t>
            </w:r>
            <w:r w:rsidRPr="00783A69">
              <w:rPr>
                <w:b/>
                <w:bCs/>
                <w:lang w:bidi="ar-EG"/>
              </w:rPr>
              <w:t>-A</w:t>
            </w:r>
          </w:p>
        </w:tc>
      </w:tr>
      <w:tr w:rsidR="002F416B" w:rsidRPr="003674C1" w14:paraId="78957812" w14:textId="77777777" w:rsidTr="002F416B">
        <w:trPr>
          <w:cantSplit/>
          <w:jc w:val="center"/>
        </w:trPr>
        <w:tc>
          <w:tcPr>
            <w:tcW w:w="3457" w:type="pct"/>
            <w:gridSpan w:val="3"/>
          </w:tcPr>
          <w:p w14:paraId="237750E0" w14:textId="77777777" w:rsidR="002F416B" w:rsidRPr="003674C1" w:rsidRDefault="002F416B" w:rsidP="008C02DB">
            <w:pPr>
              <w:spacing w:before="40" w:after="40" w:line="260" w:lineRule="exact"/>
              <w:rPr>
                <w:b/>
                <w:bCs/>
                <w:lang w:val="en-GB" w:bidi="ar-EG"/>
              </w:rPr>
            </w:pPr>
          </w:p>
        </w:tc>
        <w:tc>
          <w:tcPr>
            <w:tcW w:w="1543" w:type="pct"/>
          </w:tcPr>
          <w:p w14:paraId="336659F2" w14:textId="6592E8D0" w:rsidR="002F416B" w:rsidRPr="003674C1" w:rsidRDefault="008E2646" w:rsidP="008C02DB">
            <w:pPr>
              <w:spacing w:before="40" w:after="40" w:line="260" w:lineRule="exact"/>
              <w:rPr>
                <w:b/>
                <w:bCs/>
                <w:lang w:val="en-GB" w:bidi="ar-EG"/>
              </w:rPr>
            </w:pPr>
            <w:r>
              <w:rPr>
                <w:b/>
                <w:bCs/>
                <w:lang w:bidi="ar-EG"/>
              </w:rPr>
              <w:t>1</w:t>
            </w:r>
            <w:r>
              <w:rPr>
                <w:b/>
                <w:bCs/>
              </w:rPr>
              <w:t>1</w:t>
            </w:r>
            <w:r w:rsidR="002F416B" w:rsidRPr="00783A69">
              <w:rPr>
                <w:rFonts w:hint="cs"/>
                <w:b/>
                <w:bCs/>
                <w:rtl/>
                <w:lang w:bidi="ar-EG"/>
              </w:rPr>
              <w:t xml:space="preserve"> </w:t>
            </w:r>
            <w:r>
              <w:rPr>
                <w:rFonts w:hint="cs"/>
                <w:b/>
                <w:bCs/>
                <w:rtl/>
                <w:lang w:bidi="ar-EG"/>
              </w:rPr>
              <w:t>س</w:t>
            </w:r>
            <w:proofErr w:type="spellStart"/>
            <w:r>
              <w:rPr>
                <w:rFonts w:hint="cs"/>
                <w:b/>
                <w:bCs/>
                <w:rtl/>
              </w:rPr>
              <w:t>بتمبر</w:t>
            </w:r>
            <w:proofErr w:type="spellEnd"/>
            <w:r w:rsidR="002F416B" w:rsidRPr="00783A69">
              <w:rPr>
                <w:rFonts w:hint="cs"/>
                <w:b/>
                <w:bCs/>
                <w:rtl/>
                <w:lang w:bidi="ar-EG"/>
              </w:rPr>
              <w:t xml:space="preserve"> </w:t>
            </w:r>
            <w:r w:rsidR="002F416B">
              <w:rPr>
                <w:b/>
                <w:bCs/>
                <w:lang w:bidi="ar-EG"/>
              </w:rPr>
              <w:t>2020</w:t>
            </w:r>
          </w:p>
        </w:tc>
      </w:tr>
      <w:tr w:rsidR="002F416B" w:rsidRPr="003674C1" w14:paraId="7DFF5FA2" w14:textId="77777777" w:rsidTr="002F416B">
        <w:trPr>
          <w:cantSplit/>
          <w:jc w:val="center"/>
        </w:trPr>
        <w:tc>
          <w:tcPr>
            <w:tcW w:w="3457" w:type="pct"/>
            <w:gridSpan w:val="3"/>
          </w:tcPr>
          <w:p w14:paraId="192C3E9B" w14:textId="77777777" w:rsidR="002F416B" w:rsidRPr="003674C1" w:rsidRDefault="002F416B" w:rsidP="008C02DB">
            <w:pPr>
              <w:spacing w:before="40" w:after="40" w:line="260" w:lineRule="exact"/>
              <w:rPr>
                <w:b/>
                <w:bCs/>
                <w:lang w:val="en-GB" w:bidi="ar-EG"/>
              </w:rPr>
            </w:pPr>
          </w:p>
        </w:tc>
        <w:tc>
          <w:tcPr>
            <w:tcW w:w="1543" w:type="pct"/>
          </w:tcPr>
          <w:p w14:paraId="516A81B8" w14:textId="77777777" w:rsidR="002F416B" w:rsidRPr="003674C1" w:rsidRDefault="002F416B" w:rsidP="008C02DB">
            <w:pPr>
              <w:spacing w:before="40" w:after="40" w:line="260" w:lineRule="exact"/>
              <w:rPr>
                <w:b/>
                <w:bCs/>
                <w:lang w:val="en-GB" w:bidi="ar-EG"/>
              </w:rPr>
            </w:pPr>
            <w:r w:rsidRPr="00783A69">
              <w:rPr>
                <w:rFonts w:hint="cs"/>
                <w:b/>
                <w:bCs/>
                <w:rtl/>
                <w:lang w:bidi="ar-EG"/>
              </w:rPr>
              <w:t>الأصل: بالإنكليزية</w:t>
            </w:r>
          </w:p>
        </w:tc>
      </w:tr>
      <w:tr w:rsidR="002F416B" w:rsidRPr="003674C1" w14:paraId="73520F4C" w14:textId="77777777" w:rsidTr="002F416B">
        <w:trPr>
          <w:cantSplit/>
          <w:trHeight w:val="408"/>
          <w:jc w:val="center"/>
        </w:trPr>
        <w:tc>
          <w:tcPr>
            <w:tcW w:w="638" w:type="pct"/>
          </w:tcPr>
          <w:p w14:paraId="4904CA5A" w14:textId="77777777" w:rsidR="002F416B" w:rsidRPr="003674C1" w:rsidRDefault="002F416B" w:rsidP="008C02DB">
            <w:pPr>
              <w:spacing w:before="60" w:after="60" w:line="300" w:lineRule="exact"/>
              <w:rPr>
                <w:b/>
                <w:position w:val="2"/>
                <w:lang w:bidi="ar-EG"/>
              </w:rPr>
            </w:pPr>
            <w:r w:rsidRPr="003674C1">
              <w:rPr>
                <w:rFonts w:hint="cs"/>
                <w:b/>
                <w:bCs/>
                <w:position w:val="2"/>
                <w:rtl/>
                <w:lang w:bidi="ar-EG"/>
              </w:rPr>
              <w:t>المصدر:</w:t>
            </w:r>
          </w:p>
        </w:tc>
        <w:tc>
          <w:tcPr>
            <w:tcW w:w="4362" w:type="pct"/>
            <w:gridSpan w:val="3"/>
          </w:tcPr>
          <w:p w14:paraId="57D3CC50" w14:textId="5F201961" w:rsidR="002F416B" w:rsidRPr="00905C40" w:rsidRDefault="008E2646" w:rsidP="008E2646">
            <w:pPr>
              <w:spacing w:before="60" w:after="60" w:line="300" w:lineRule="exact"/>
              <w:rPr>
                <w:position w:val="2"/>
                <w:lang w:bidi="ar-EG"/>
              </w:rPr>
            </w:pPr>
            <w:r w:rsidRPr="008E2646">
              <w:rPr>
                <w:rFonts w:hint="cs"/>
                <w:position w:val="2"/>
                <w:rtl/>
                <w:lang w:bidi="ar-EG"/>
              </w:rPr>
              <w:t>مديرة مكتب تنمية الاتصالات</w:t>
            </w:r>
          </w:p>
        </w:tc>
      </w:tr>
      <w:tr w:rsidR="002F416B" w:rsidRPr="003674C1" w14:paraId="06EE0ED6" w14:textId="77777777" w:rsidTr="002F416B">
        <w:trPr>
          <w:cantSplit/>
          <w:trHeight w:val="407"/>
          <w:jc w:val="center"/>
        </w:trPr>
        <w:tc>
          <w:tcPr>
            <w:tcW w:w="638" w:type="pct"/>
            <w:tcBorders>
              <w:bottom w:val="single" w:sz="4" w:space="0" w:color="00B0F0"/>
            </w:tcBorders>
          </w:tcPr>
          <w:p w14:paraId="2E21C894" w14:textId="77777777" w:rsidR="002F416B" w:rsidRPr="003674C1" w:rsidRDefault="002F416B" w:rsidP="008C02DB">
            <w:pPr>
              <w:spacing w:before="60" w:after="60" w:line="300" w:lineRule="exact"/>
              <w:rPr>
                <w:b/>
                <w:bCs/>
                <w:position w:val="2"/>
                <w:lang w:bidi="ar-EG"/>
              </w:rPr>
            </w:pPr>
            <w:r w:rsidRPr="003674C1">
              <w:rPr>
                <w:rFonts w:hint="cs"/>
                <w:b/>
                <w:bCs/>
                <w:position w:val="2"/>
                <w:rtl/>
                <w:lang w:bidi="ar-EG"/>
              </w:rPr>
              <w:t>العنوان:</w:t>
            </w:r>
          </w:p>
        </w:tc>
        <w:tc>
          <w:tcPr>
            <w:tcW w:w="4362" w:type="pct"/>
            <w:gridSpan w:val="3"/>
            <w:tcBorders>
              <w:bottom w:val="single" w:sz="4" w:space="0" w:color="00B0F0"/>
            </w:tcBorders>
          </w:tcPr>
          <w:p w14:paraId="611893E1" w14:textId="3E49C79E" w:rsidR="002F416B" w:rsidRPr="00905C40" w:rsidRDefault="008E2646" w:rsidP="008E2646">
            <w:pPr>
              <w:spacing w:before="60" w:after="60" w:line="300" w:lineRule="exact"/>
              <w:rPr>
                <w:position w:val="2"/>
                <w:lang w:bidi="ar-EG"/>
              </w:rPr>
            </w:pPr>
            <w:r w:rsidRPr="008E2646">
              <w:rPr>
                <w:rFonts w:hint="cs"/>
                <w:position w:val="2"/>
                <w:rtl/>
                <w:lang w:bidi="ar-EG"/>
              </w:rPr>
              <w:t>تقرير فريق العمل التابع للفريق الاستشاري لتنمية الاتصالات والمعني بالأعمال التحضيرية للمؤتمر العالمي لتنمية الاتصالات</w:t>
            </w:r>
          </w:p>
        </w:tc>
      </w:tr>
    </w:tbl>
    <w:p w14:paraId="414ED69B" w14:textId="690154F3" w:rsidR="003674C1" w:rsidRDefault="008E2646" w:rsidP="00D1527D">
      <w:pPr>
        <w:pStyle w:val="Headingb"/>
        <w:rPr>
          <w:rtl/>
          <w:lang w:bidi="ar-EG"/>
        </w:rPr>
      </w:pPr>
      <w:r>
        <w:rPr>
          <w:rFonts w:hint="cs"/>
          <w:rtl/>
          <w:lang w:bidi="ar-EG"/>
        </w:rPr>
        <w:t>ملخص</w:t>
      </w:r>
    </w:p>
    <w:p w14:paraId="7324DDEB" w14:textId="5EC0A2CB" w:rsidR="008E2646" w:rsidRPr="00C36E11" w:rsidRDefault="00C36E11" w:rsidP="0006468A">
      <w:pPr>
        <w:rPr>
          <w:rtl/>
          <w:lang w:val="en-GB"/>
        </w:rPr>
      </w:pPr>
      <w:r>
        <w:rPr>
          <w:rFonts w:hint="cs"/>
          <w:rtl/>
        </w:rPr>
        <w:t xml:space="preserve">عقد </w:t>
      </w:r>
      <w:r w:rsidRPr="008E2646">
        <w:rPr>
          <w:rFonts w:hint="cs"/>
          <w:position w:val="2"/>
          <w:rtl/>
          <w:lang w:bidi="ar-EG"/>
        </w:rPr>
        <w:t>فريق العمل التابع للفريق الاستشاري لتنمية الاتصالات والمعني بالأعمال التحضيرية للمؤتمر العالمي لتنمية الاتصالات</w:t>
      </w:r>
      <w:r w:rsidR="00B82B09">
        <w:rPr>
          <w:rFonts w:hint="eastAsia"/>
          <w:rtl/>
          <w:lang w:bidi="ar-EG"/>
        </w:rPr>
        <w:t> </w:t>
      </w:r>
      <w:r>
        <w:rPr>
          <w:lang w:val="en-GB" w:bidi="ar-EG"/>
        </w:rPr>
        <w:t>(TDAG-WG-Prep)</w:t>
      </w:r>
      <w:r>
        <w:rPr>
          <w:rFonts w:hint="cs"/>
          <w:rtl/>
          <w:lang w:val="en-GB"/>
        </w:rPr>
        <w:t xml:space="preserve">، برئاسة السيد سنتياغو </w:t>
      </w:r>
      <w:proofErr w:type="spellStart"/>
      <w:r>
        <w:rPr>
          <w:rFonts w:hint="cs"/>
          <w:rtl/>
          <w:lang w:val="en-GB"/>
        </w:rPr>
        <w:t>رييس</w:t>
      </w:r>
      <w:proofErr w:type="spellEnd"/>
      <w:r>
        <w:rPr>
          <w:rFonts w:hint="cs"/>
          <w:rtl/>
          <w:lang w:val="en-GB"/>
        </w:rPr>
        <w:t xml:space="preserve">-بوردا (كندا) اجتماعه الثاني في </w:t>
      </w:r>
      <w:r>
        <w:rPr>
          <w:lang w:val="en-GB"/>
        </w:rPr>
        <w:t>7</w:t>
      </w:r>
      <w:r>
        <w:rPr>
          <w:rFonts w:hint="cs"/>
          <w:rtl/>
          <w:lang w:val="en-GB"/>
        </w:rPr>
        <w:t xml:space="preserve"> سبتمبر </w:t>
      </w:r>
      <w:r>
        <w:rPr>
          <w:lang w:val="en-GB"/>
        </w:rPr>
        <w:t>2020</w:t>
      </w:r>
      <w:r>
        <w:rPr>
          <w:rFonts w:hint="cs"/>
          <w:rtl/>
          <w:lang w:val="en-GB"/>
        </w:rPr>
        <w:t xml:space="preserve"> الذي حضره أكثر من </w:t>
      </w:r>
      <w:r>
        <w:rPr>
          <w:lang w:val="en-GB"/>
        </w:rPr>
        <w:t>100</w:t>
      </w:r>
      <w:r w:rsidR="00D1527D">
        <w:rPr>
          <w:rFonts w:hint="eastAsia"/>
          <w:rtl/>
          <w:lang w:val="en-GB"/>
        </w:rPr>
        <w:t> </w:t>
      </w:r>
      <w:r>
        <w:rPr>
          <w:rFonts w:hint="cs"/>
          <w:rtl/>
          <w:lang w:val="en-GB"/>
        </w:rPr>
        <w:t xml:space="preserve">مشارك. </w:t>
      </w:r>
      <w:r w:rsidR="00BD77F9">
        <w:rPr>
          <w:rFonts w:hint="cs"/>
          <w:rtl/>
          <w:lang w:val="en-GB"/>
        </w:rPr>
        <w:t>و</w:t>
      </w:r>
      <w:r w:rsidR="00752D4C">
        <w:rPr>
          <w:rFonts w:hint="cs"/>
          <w:rtl/>
          <w:lang w:val="en-GB"/>
        </w:rPr>
        <w:t xml:space="preserve">قدّم </w:t>
      </w:r>
      <w:r w:rsidR="00CA301B">
        <w:rPr>
          <w:rFonts w:hint="cs"/>
          <w:rtl/>
          <w:lang w:val="en-GB"/>
        </w:rPr>
        <w:t>مندوبون من</w:t>
      </w:r>
      <w:r w:rsidR="00BD77F9">
        <w:rPr>
          <w:rFonts w:hint="cs"/>
          <w:rtl/>
          <w:lang w:val="en-GB"/>
        </w:rPr>
        <w:t xml:space="preserve"> الاتحاد الروسي وليتوانيا </w:t>
      </w:r>
      <w:r w:rsidR="00BD77F9">
        <w:rPr>
          <w:rFonts w:hint="cs"/>
          <w:color w:val="000000"/>
          <w:rtl/>
        </w:rPr>
        <w:t>و</w:t>
      </w:r>
      <w:r w:rsidR="00BD77F9">
        <w:rPr>
          <w:color w:val="000000"/>
          <w:rtl/>
        </w:rPr>
        <w:t xml:space="preserve">رابطة مشغلي السواتل في أوروبا والشرق الأوسط </w:t>
      </w:r>
      <w:r w:rsidR="00CA301B">
        <w:rPr>
          <w:rFonts w:hint="cs"/>
          <w:color w:val="000000"/>
          <w:rtl/>
        </w:rPr>
        <w:t>وإفريقيا</w:t>
      </w:r>
      <w:r w:rsidR="00B82B09">
        <w:rPr>
          <w:rFonts w:hint="eastAsia"/>
          <w:color w:val="000000"/>
          <w:rtl/>
        </w:rPr>
        <w:t> </w:t>
      </w:r>
      <w:r w:rsidR="00BD77F9">
        <w:rPr>
          <w:color w:val="000000"/>
        </w:rPr>
        <w:t>(ESOA)</w:t>
      </w:r>
      <w:r w:rsidR="00BD77F9">
        <w:rPr>
          <w:rFonts w:hint="cs"/>
          <w:rtl/>
          <w:lang w:val="en-GB"/>
        </w:rPr>
        <w:t xml:space="preserve"> وزمبابوي</w:t>
      </w:r>
      <w:r w:rsidR="00CA301B">
        <w:rPr>
          <w:rFonts w:hint="cs"/>
          <w:rtl/>
          <w:lang w:val="en-GB"/>
        </w:rPr>
        <w:t xml:space="preserve"> مساهمات إلى الاجتماع</w:t>
      </w:r>
      <w:r w:rsidR="00BD77F9">
        <w:rPr>
          <w:rFonts w:hint="cs"/>
          <w:rtl/>
          <w:lang w:val="en-GB"/>
        </w:rPr>
        <w:t>. ونظر الاجتماع أيضاً في المساهمة التي وردت من إندونيسيا، غير أنه لم</w:t>
      </w:r>
      <w:r w:rsidR="00B82B09">
        <w:rPr>
          <w:rFonts w:hint="eastAsia"/>
          <w:rtl/>
          <w:lang w:val="en-GB"/>
        </w:rPr>
        <w:t> </w:t>
      </w:r>
      <w:r w:rsidR="00BD77F9">
        <w:rPr>
          <w:rFonts w:hint="cs"/>
          <w:rtl/>
          <w:lang w:val="en-GB"/>
        </w:rPr>
        <w:t xml:space="preserve">يكن من الممكن تقديمها شفوياً بسبب مشاكل </w:t>
      </w:r>
      <w:r w:rsidR="005C4B62">
        <w:rPr>
          <w:rFonts w:hint="cs"/>
          <w:rtl/>
          <w:lang w:val="en-GB"/>
        </w:rPr>
        <w:t>تتعلق</w:t>
      </w:r>
      <w:r w:rsidR="00BD77F9">
        <w:rPr>
          <w:rFonts w:hint="cs"/>
          <w:rtl/>
          <w:lang w:val="en-GB"/>
        </w:rPr>
        <w:t xml:space="preserve"> </w:t>
      </w:r>
      <w:r w:rsidR="005C4B62">
        <w:rPr>
          <w:rFonts w:hint="cs"/>
          <w:rtl/>
          <w:lang w:val="en-GB"/>
        </w:rPr>
        <w:t>ب</w:t>
      </w:r>
      <w:r w:rsidR="00BD77F9">
        <w:rPr>
          <w:rFonts w:hint="cs"/>
          <w:rtl/>
          <w:lang w:val="en-GB"/>
        </w:rPr>
        <w:t>التوصيلية.</w:t>
      </w:r>
    </w:p>
    <w:p w14:paraId="31C9152F" w14:textId="4963BC10" w:rsidR="008E2646" w:rsidRPr="003E4AD5" w:rsidRDefault="006B0AC5" w:rsidP="00D1527D">
      <w:pPr>
        <w:rPr>
          <w:lang w:val="en-GB"/>
        </w:rPr>
      </w:pPr>
      <w:r w:rsidRPr="003E4AD5">
        <w:rPr>
          <w:rFonts w:hint="cs"/>
          <w:rtl/>
          <w:lang w:bidi="ar-EG"/>
        </w:rPr>
        <w:t xml:space="preserve">وتتماشى المقترحات المقدمة في هذه المساهمات بشكل عام مع المسائل المطروحة في الملحق </w:t>
      </w:r>
      <w:r w:rsidRPr="003E4AD5">
        <w:rPr>
          <w:lang w:val="en-GB" w:bidi="ar-EG"/>
        </w:rPr>
        <w:t>4</w:t>
      </w:r>
      <w:r w:rsidRPr="003E4AD5">
        <w:rPr>
          <w:rFonts w:hint="cs"/>
          <w:rtl/>
          <w:lang w:val="en-GB"/>
        </w:rPr>
        <w:t xml:space="preserve"> </w:t>
      </w:r>
      <w:hyperlink r:id="rId9" w:history="1">
        <w:r w:rsidR="00D1527D" w:rsidRPr="003E4AD5">
          <w:rPr>
            <w:rStyle w:val="Hyperlink"/>
            <w:rFonts w:hint="cs"/>
            <w:rtl/>
          </w:rPr>
          <w:t xml:space="preserve">بالرسالة المعممة </w:t>
        </w:r>
        <w:r w:rsidR="00D1527D" w:rsidRPr="003E4AD5">
          <w:rPr>
            <w:rStyle w:val="Hyperlink"/>
          </w:rPr>
          <w:t>BDT/DDR/TDAG/052</w:t>
        </w:r>
      </w:hyperlink>
      <w:r w:rsidRPr="003E4AD5">
        <w:rPr>
          <w:rFonts w:hint="cs"/>
          <w:rtl/>
          <w:lang w:val="en-GB"/>
        </w:rPr>
        <w:t>: "</w:t>
      </w:r>
      <w:r w:rsidRPr="003E4AD5">
        <w:rPr>
          <w:color w:val="000000"/>
          <w:rtl/>
        </w:rPr>
        <w:t xml:space="preserve">أسئلة توجيهية </w:t>
      </w:r>
      <w:r w:rsidR="00B43CAB" w:rsidRPr="003E4AD5">
        <w:rPr>
          <w:rFonts w:hint="cs"/>
          <w:color w:val="000000"/>
          <w:rtl/>
        </w:rPr>
        <w:t xml:space="preserve">بشأن تقديم الأعضاء </w:t>
      </w:r>
      <w:r w:rsidRPr="003E4AD5">
        <w:rPr>
          <w:color w:val="000000"/>
          <w:rtl/>
        </w:rPr>
        <w:t>المساهمات إلى اجتماع فريق العمل التابع للفريق الاستشاري لتنمية الاتصالات والمعني بالأعمال التحضيرية للمؤتمر العالمي لتنمية الاتصالات</w:t>
      </w:r>
      <w:r w:rsidR="00B43CAB" w:rsidRPr="003E4AD5">
        <w:rPr>
          <w:rFonts w:hint="cs"/>
          <w:rtl/>
          <w:lang w:val="en-GB"/>
        </w:rPr>
        <w:t xml:space="preserve">". ويرد في الملحق </w:t>
      </w:r>
      <w:r w:rsidR="00B43CAB" w:rsidRPr="003E4AD5">
        <w:rPr>
          <w:lang w:val="en-GB"/>
        </w:rPr>
        <w:t>1</w:t>
      </w:r>
      <w:r w:rsidR="00B43CAB" w:rsidRPr="003E4AD5">
        <w:rPr>
          <w:rFonts w:hint="cs"/>
          <w:rtl/>
          <w:lang w:val="en-GB"/>
        </w:rPr>
        <w:t xml:space="preserve"> بهذا التقرير ملخص موحد</w:t>
      </w:r>
      <w:r w:rsidR="003E4AD5" w:rsidRPr="003E4AD5">
        <w:rPr>
          <w:rFonts w:hint="eastAsia"/>
          <w:rtl/>
          <w:lang w:val="en-GB"/>
        </w:rPr>
        <w:t> </w:t>
      </w:r>
      <w:r w:rsidR="00B43CAB" w:rsidRPr="003E4AD5">
        <w:rPr>
          <w:rFonts w:hint="cs"/>
          <w:rtl/>
          <w:lang w:val="en-GB"/>
        </w:rPr>
        <w:t>للمقترحات</w:t>
      </w:r>
      <w:r w:rsidR="00B43CAB" w:rsidRPr="003E4AD5">
        <w:rPr>
          <w:lang w:val="en-GB"/>
        </w:rPr>
        <w:t>.</w:t>
      </w:r>
    </w:p>
    <w:p w14:paraId="7F6E20E3" w14:textId="4CF61C8B" w:rsidR="00B43CAB" w:rsidRPr="006B0AC5" w:rsidRDefault="00B43CAB" w:rsidP="0006468A">
      <w:pPr>
        <w:rPr>
          <w:rtl/>
          <w:lang w:val="en-GB"/>
        </w:rPr>
      </w:pPr>
      <w:r>
        <w:rPr>
          <w:rFonts w:hint="cs"/>
          <w:rtl/>
          <w:lang w:val="en-GB"/>
        </w:rPr>
        <w:t>ويقدم هذا التقرير ملخصاً موجزاً للملاحظات والتعليقات التي أُبديت بشأن تلك المساهمات خلال الاجتماع.</w:t>
      </w:r>
    </w:p>
    <w:p w14:paraId="17BEC08F" w14:textId="2D1E4553" w:rsidR="008E2646" w:rsidRDefault="00751E8E" w:rsidP="0006468A">
      <w:pPr>
        <w:rPr>
          <w:rtl/>
        </w:rPr>
      </w:pPr>
      <w:r w:rsidRPr="00751E8E">
        <w:rPr>
          <w:rFonts w:hint="cs"/>
          <w:b/>
          <w:bCs/>
          <w:rtl/>
          <w:lang w:bidi="ar-EG"/>
        </w:rPr>
        <w:t>وأكد المشاركون على ضرورة تخصيص مزيد من الوقت للمناقشات بشأن المسائل المسندة إلى لجان الدراسات والقرارات</w:t>
      </w:r>
      <w:r>
        <w:rPr>
          <w:rFonts w:hint="cs"/>
          <w:rtl/>
          <w:lang w:bidi="ar-EG"/>
        </w:rPr>
        <w:t>.</w:t>
      </w:r>
      <w:r>
        <w:rPr>
          <w:rFonts w:hint="cs"/>
          <w:rtl/>
        </w:rPr>
        <w:t xml:space="preserve"> وأشير إلى أن </w:t>
      </w:r>
      <w:r w:rsidR="00CA301B">
        <w:rPr>
          <w:rFonts w:hint="cs"/>
          <w:rtl/>
        </w:rPr>
        <w:t>الدروس</w:t>
      </w:r>
      <w:r>
        <w:rPr>
          <w:rFonts w:hint="cs"/>
          <w:rtl/>
        </w:rPr>
        <w:t xml:space="preserve"> المستفادة من المؤتمرات العالمية السابقة لتنمية الاتصالات تشير إلى </w:t>
      </w:r>
      <w:r w:rsidR="00CA301B">
        <w:rPr>
          <w:rFonts w:hint="cs"/>
          <w:rtl/>
        </w:rPr>
        <w:t>ضرورة</w:t>
      </w:r>
      <w:r>
        <w:rPr>
          <w:rFonts w:hint="cs"/>
          <w:rtl/>
        </w:rPr>
        <w:t xml:space="preserve"> الحد من "الأحداث الجانبية" لاستيعاب هذه المناقشات على نحو أفضل.</w:t>
      </w:r>
    </w:p>
    <w:p w14:paraId="4171F2D0" w14:textId="70AC9B77" w:rsidR="008E2646" w:rsidRPr="00751E8E" w:rsidRDefault="00751E8E" w:rsidP="0006468A">
      <w:pPr>
        <w:rPr>
          <w:rtl/>
          <w:lang w:val="en-GB"/>
        </w:rPr>
      </w:pPr>
      <w:r w:rsidRPr="00751E8E">
        <w:rPr>
          <w:rFonts w:hint="cs"/>
          <w:b/>
          <w:bCs/>
          <w:rtl/>
          <w:lang w:bidi="ar-EG"/>
        </w:rPr>
        <w:t xml:space="preserve">ورحب المشاركون بفكرة وضع خطة جديدة لبيانات السياسة </w:t>
      </w:r>
      <w:r>
        <w:rPr>
          <w:rFonts w:hint="cs"/>
          <w:b/>
          <w:bCs/>
          <w:rtl/>
          <w:lang w:bidi="ar-EG"/>
        </w:rPr>
        <w:t xml:space="preserve">العامة </w:t>
      </w:r>
      <w:r w:rsidRPr="00751E8E">
        <w:rPr>
          <w:rFonts w:hint="cs"/>
          <w:b/>
          <w:bCs/>
          <w:rtl/>
          <w:lang w:bidi="ar-EG"/>
        </w:rPr>
        <w:t>رفيعة المستوى</w:t>
      </w:r>
      <w:r>
        <w:rPr>
          <w:rFonts w:hint="cs"/>
          <w:rtl/>
          <w:lang w:bidi="ar-EG"/>
        </w:rPr>
        <w:t xml:space="preserve"> </w:t>
      </w:r>
      <w:r w:rsidR="00D1527D">
        <w:rPr>
          <w:rFonts w:hint="cs"/>
          <w:rtl/>
          <w:lang w:bidi="ar-EG"/>
        </w:rPr>
        <w:t>–</w:t>
      </w:r>
      <w:r>
        <w:rPr>
          <w:rFonts w:hint="cs"/>
          <w:rtl/>
          <w:lang w:bidi="ar-EG"/>
        </w:rPr>
        <w:t xml:space="preserve"> وهي خطة من شأنها أن تسهم أيضاً في</w:t>
      </w:r>
      <w:r w:rsidR="00D1527D">
        <w:rPr>
          <w:rFonts w:hint="eastAsia"/>
          <w:rtl/>
          <w:lang w:bidi="ar-EG"/>
        </w:rPr>
        <w:t> </w:t>
      </w:r>
      <w:r>
        <w:rPr>
          <w:rFonts w:hint="cs"/>
          <w:rtl/>
          <w:lang w:bidi="ar-EG"/>
        </w:rPr>
        <w:t xml:space="preserve">نتائج المؤتمر، على النحو المبين في المقترح المقدم من زمبابوي. وعلى الرغم من أهمية بيانات السياسة العامة رفيعة المستوى، فقد شهد أعضاء الاتحاد على مر السنين </w:t>
      </w:r>
      <w:r w:rsidR="00CA301B">
        <w:rPr>
          <w:rFonts w:hint="cs"/>
          <w:rtl/>
          <w:lang w:bidi="ar-EG"/>
        </w:rPr>
        <w:t>ميول</w:t>
      </w:r>
      <w:r>
        <w:rPr>
          <w:rFonts w:hint="cs"/>
          <w:rtl/>
          <w:lang w:bidi="ar-EG"/>
        </w:rPr>
        <w:t xml:space="preserve"> هذه البيانات إلى الرتابة</w:t>
      </w:r>
      <w:r>
        <w:rPr>
          <w:rFonts w:hint="cs"/>
          <w:rtl/>
        </w:rPr>
        <w:t xml:space="preserve"> </w:t>
      </w:r>
      <w:r w:rsidR="00CA301B">
        <w:rPr>
          <w:rFonts w:hint="cs"/>
          <w:rtl/>
        </w:rPr>
        <w:t>وإهدار</w:t>
      </w:r>
      <w:r>
        <w:rPr>
          <w:rFonts w:hint="cs"/>
          <w:rtl/>
        </w:rPr>
        <w:t xml:space="preserve"> وقت عمل المؤتمر الرئيسي.</w:t>
      </w:r>
    </w:p>
    <w:p w14:paraId="1005161B" w14:textId="2B8D0ACC" w:rsidR="008E2646" w:rsidRDefault="00175312" w:rsidP="0006468A">
      <w:pPr>
        <w:rPr>
          <w:rtl/>
        </w:rPr>
      </w:pPr>
      <w:r w:rsidRPr="00175312">
        <w:rPr>
          <w:rFonts w:hint="cs"/>
          <w:b/>
          <w:bCs/>
          <w:rtl/>
          <w:lang w:bidi="ar-EG"/>
        </w:rPr>
        <w:t>ويلزم وضع إطار مفاهيمي</w:t>
      </w:r>
      <w:r>
        <w:rPr>
          <w:rFonts w:hint="cs"/>
          <w:rtl/>
          <w:lang w:bidi="ar-EG"/>
        </w:rPr>
        <w:t xml:space="preserve"> يحدد المجموعة الكاملة لأصحاب المصل</w:t>
      </w:r>
      <w:r w:rsidR="00374AB7">
        <w:rPr>
          <w:rFonts w:hint="cs"/>
          <w:rtl/>
          <w:lang w:bidi="ar-EG"/>
        </w:rPr>
        <w:t>ح</w:t>
      </w:r>
      <w:r>
        <w:rPr>
          <w:rFonts w:hint="cs"/>
          <w:rtl/>
          <w:lang w:bidi="ar-EG"/>
        </w:rPr>
        <w:t>ة وآلية مشاركتهم في المؤتمر</w:t>
      </w:r>
      <w:r>
        <w:rPr>
          <w:rFonts w:hint="cs"/>
          <w:rtl/>
        </w:rPr>
        <w:t xml:space="preserve">. هل </w:t>
      </w:r>
      <w:r w:rsidR="00374AB7">
        <w:rPr>
          <w:rFonts w:hint="cs"/>
          <w:rtl/>
        </w:rPr>
        <w:t>ستقتصر</w:t>
      </w:r>
      <w:r>
        <w:rPr>
          <w:rFonts w:hint="cs"/>
          <w:rtl/>
        </w:rPr>
        <w:t xml:space="preserve"> هذه المشاركة على الأحداث الجانبية؟ هل ستُعقد </w:t>
      </w:r>
      <w:r w:rsidR="00374AB7">
        <w:rPr>
          <w:rFonts w:hint="cs"/>
          <w:rtl/>
        </w:rPr>
        <w:t>الأحداث الجانبية</w:t>
      </w:r>
      <w:r>
        <w:rPr>
          <w:rFonts w:hint="cs"/>
          <w:rtl/>
        </w:rPr>
        <w:t xml:space="preserve"> بالتوازي مع مناقشات القرارات أو مسائل لجان الدراسات أو الجوانب الأساسية الأخرى للمؤتمر؟</w:t>
      </w:r>
    </w:p>
    <w:p w14:paraId="2D24FB49" w14:textId="0D9B6074" w:rsidR="008E2646" w:rsidRPr="0042038E" w:rsidRDefault="00374AB7" w:rsidP="0006468A">
      <w:pPr>
        <w:rPr>
          <w:rFonts w:hint="cs"/>
          <w:rtl/>
          <w:lang w:bidi="ar-EG"/>
        </w:rPr>
      </w:pPr>
      <w:r w:rsidRPr="0042038E">
        <w:rPr>
          <w:rFonts w:hint="cs"/>
          <w:b/>
          <w:bCs/>
          <w:rtl/>
          <w:lang w:bidi="ar-EG"/>
        </w:rPr>
        <w:t>عند تحديد مجموعات أصحاب المصلحة، أُشير إلى أن هذا ينبغي أن يشمل الجهات المانحة التي ينبغي تشجيعها على المشاركة في المؤتمر</w:t>
      </w:r>
      <w:r w:rsidRPr="0042038E">
        <w:rPr>
          <w:rFonts w:hint="cs"/>
          <w:rtl/>
          <w:lang w:bidi="ar-EG"/>
        </w:rPr>
        <w:t xml:space="preserve">، إذ يمكن أن تسهم في تمويل مشاريع التنمية في قطاع تنمية الاتصالات. وكانت هناك دعوة للبدء في إشراك أصحاب المصلحة المعنيين في تمويل مختلف الأنشطة </w:t>
      </w:r>
      <w:r w:rsidRPr="0042038E">
        <w:rPr>
          <w:rtl/>
          <w:lang w:bidi="ar-EG"/>
        </w:rPr>
        <w:t>–</w:t>
      </w:r>
      <w:r w:rsidRPr="0042038E">
        <w:rPr>
          <w:rFonts w:hint="cs"/>
          <w:rtl/>
          <w:lang w:bidi="ar-EG"/>
        </w:rPr>
        <w:t xml:space="preserve"> مؤسسات الإقراض والقطاع الخاص ومجتمع أصحاب المصلحة المتعددين.</w:t>
      </w:r>
      <w:r w:rsidR="00DE4970" w:rsidRPr="0042038E">
        <w:rPr>
          <w:rFonts w:hint="cs"/>
          <w:rtl/>
          <w:lang w:bidi="ar-EG"/>
        </w:rPr>
        <w:t xml:space="preserve"> ويضطلع مختلف أصحاب المصلحة هؤلاء بدور خاص في تنفيذ المشاريع.</w:t>
      </w:r>
      <w:r w:rsidR="00DE4970" w:rsidRPr="0042038E">
        <w:rPr>
          <w:rFonts w:hint="cs"/>
          <w:rtl/>
        </w:rPr>
        <w:t xml:space="preserve"> وفي هذا الصدد، </w:t>
      </w:r>
      <w:r w:rsidR="0077778A" w:rsidRPr="0042038E">
        <w:rPr>
          <w:rFonts w:hint="cs"/>
          <w:rtl/>
        </w:rPr>
        <w:t>ستجري دراسة وظيفة تنفيذ المشاريع في</w:t>
      </w:r>
      <w:r w:rsidR="0042038E" w:rsidRPr="0042038E">
        <w:rPr>
          <w:rFonts w:hint="eastAsia"/>
          <w:rtl/>
        </w:rPr>
        <w:t> </w:t>
      </w:r>
      <w:r w:rsidR="0077778A" w:rsidRPr="0042038E">
        <w:rPr>
          <w:rFonts w:hint="cs"/>
          <w:rtl/>
        </w:rPr>
        <w:t xml:space="preserve">الاتحاد بمزيد من التفصيل من حيث التعاون </w:t>
      </w:r>
      <w:r w:rsidR="00557ED7" w:rsidRPr="0042038E">
        <w:rPr>
          <w:rFonts w:hint="cs"/>
          <w:rtl/>
        </w:rPr>
        <w:t>والشراكة</w:t>
      </w:r>
      <w:r w:rsidR="0077778A" w:rsidRPr="0042038E">
        <w:rPr>
          <w:rFonts w:hint="cs"/>
          <w:rtl/>
        </w:rPr>
        <w:t xml:space="preserve"> مع </w:t>
      </w:r>
      <w:r w:rsidR="00557ED7" w:rsidRPr="0042038E">
        <w:rPr>
          <w:rFonts w:hint="cs"/>
          <w:rtl/>
        </w:rPr>
        <w:t>المنظمات المختصة</w:t>
      </w:r>
      <w:r w:rsidR="0077778A" w:rsidRPr="0042038E">
        <w:rPr>
          <w:rFonts w:hint="cs"/>
          <w:rtl/>
        </w:rPr>
        <w:t xml:space="preserve"> ذات الصلة على المستويين الإقليمي والدولي.</w:t>
      </w:r>
    </w:p>
    <w:p w14:paraId="7DC87EF6" w14:textId="60096C3F" w:rsidR="008E2646" w:rsidRDefault="00255A7F" w:rsidP="0042038E">
      <w:pPr>
        <w:keepNext/>
        <w:keepLines/>
        <w:rPr>
          <w:rFonts w:hint="cs"/>
          <w:rtl/>
          <w:lang w:bidi="ar-EG"/>
        </w:rPr>
      </w:pPr>
      <w:r w:rsidRPr="00173174">
        <w:rPr>
          <w:rFonts w:hint="cs"/>
          <w:b/>
          <w:bCs/>
          <w:rtl/>
        </w:rPr>
        <w:lastRenderedPageBreak/>
        <w:t>وأشار</w:t>
      </w:r>
      <w:r w:rsidR="00744A34">
        <w:rPr>
          <w:rFonts w:hint="cs"/>
          <w:b/>
          <w:bCs/>
          <w:rtl/>
        </w:rPr>
        <w:t>ت</w:t>
      </w:r>
      <w:r w:rsidRPr="00173174">
        <w:rPr>
          <w:rFonts w:hint="cs"/>
          <w:b/>
          <w:bCs/>
          <w:rtl/>
        </w:rPr>
        <w:t xml:space="preserve"> رئيس</w:t>
      </w:r>
      <w:r w:rsidR="00744A34">
        <w:rPr>
          <w:rFonts w:hint="cs"/>
          <w:b/>
          <w:bCs/>
          <w:rtl/>
        </w:rPr>
        <w:t>ة</w:t>
      </w:r>
      <w:r w:rsidRPr="00173174">
        <w:rPr>
          <w:rFonts w:hint="cs"/>
          <w:b/>
          <w:bCs/>
          <w:rtl/>
        </w:rPr>
        <w:t xml:space="preserve"> الفريق الاستشاري إلى </w:t>
      </w:r>
      <w:r w:rsidR="004E6E60" w:rsidRPr="00173174">
        <w:rPr>
          <w:rFonts w:hint="cs"/>
          <w:b/>
          <w:bCs/>
          <w:rtl/>
        </w:rPr>
        <w:t>أن الاتحاد ينبغي له</w:t>
      </w:r>
      <w:r w:rsidRPr="00173174">
        <w:rPr>
          <w:rFonts w:hint="cs"/>
          <w:b/>
          <w:bCs/>
          <w:rtl/>
        </w:rPr>
        <w:t xml:space="preserve"> أن يعيد النظر في مصطلح</w:t>
      </w:r>
      <w:r w:rsidR="00536219" w:rsidRPr="00173174">
        <w:rPr>
          <w:b/>
          <w:bCs/>
        </w:rPr>
        <w:t xml:space="preserve"> </w:t>
      </w:r>
      <w:r w:rsidRPr="00173174">
        <w:rPr>
          <w:rFonts w:hint="cs"/>
          <w:b/>
          <w:bCs/>
          <w:rtl/>
        </w:rPr>
        <w:t>"المسار المنفصل"</w:t>
      </w:r>
      <w:r w:rsidRPr="00173174">
        <w:rPr>
          <w:rFonts w:hint="cs"/>
          <w:rtl/>
        </w:rPr>
        <w:t xml:space="preserve"> لتجنب التفسير الحالي </w:t>
      </w:r>
      <w:r w:rsidR="004E6E60" w:rsidRPr="00173174">
        <w:rPr>
          <w:rFonts w:hint="cs"/>
          <w:rtl/>
        </w:rPr>
        <w:t xml:space="preserve">الذي يفيد </w:t>
      </w:r>
      <w:r w:rsidRPr="00173174">
        <w:rPr>
          <w:rFonts w:hint="cs"/>
          <w:rtl/>
        </w:rPr>
        <w:t>بأن اتباع نهج منفصل المسار يمكن أن يعرقل مشاركة الدول الأعضاء الأصغر في الاتحاد وأعضاء القطاع ذوي الوفود الصغيرة. وفي الوقت نفسه، ينبغي أن يكون مفهوماً أنه سيكون هناك مساران: مسار واحد للوظائف الإدارية التقليدية التي يتعين على المؤتمر إنجازها ومسار ثانٍ يركز على الأنشطة الموجهة نحو التنمية.</w:t>
      </w:r>
    </w:p>
    <w:p w14:paraId="6CF5ABAF" w14:textId="492DF36A" w:rsidR="008E2646" w:rsidRDefault="00255A7F" w:rsidP="00955DA0">
      <w:pPr>
        <w:rPr>
          <w:rtl/>
          <w:lang w:bidi="ar-EG"/>
        </w:rPr>
      </w:pPr>
      <w:r>
        <w:rPr>
          <w:rFonts w:hint="cs"/>
          <w:rtl/>
        </w:rPr>
        <w:t xml:space="preserve">وعلّق مندوب البرازيل بأن </w:t>
      </w:r>
      <w:r w:rsidRPr="00255A7F">
        <w:rPr>
          <w:rFonts w:hint="cs"/>
          <w:b/>
          <w:bCs/>
          <w:rtl/>
        </w:rPr>
        <w:t xml:space="preserve">الأعمال التحضيرية للمؤتمر العالمي لتنمية الاتصالات لعام </w:t>
      </w:r>
      <w:r w:rsidRPr="00255A7F">
        <w:rPr>
          <w:b/>
          <w:bCs/>
          <w:lang w:val="en-GB"/>
        </w:rPr>
        <w:t>2021</w:t>
      </w:r>
      <w:r w:rsidRPr="00255A7F">
        <w:rPr>
          <w:rFonts w:hint="cs"/>
          <w:b/>
          <w:bCs/>
          <w:rtl/>
          <w:lang w:val="en-GB"/>
        </w:rPr>
        <w:t xml:space="preserve"> جارية في العديد من المنظمات الإقليمية للاتصالات</w:t>
      </w:r>
      <w:r>
        <w:rPr>
          <w:rFonts w:hint="cs"/>
          <w:rtl/>
          <w:lang w:val="en-GB"/>
        </w:rPr>
        <w:t>.</w:t>
      </w:r>
      <w:r w:rsidR="00955DA0">
        <w:rPr>
          <w:rFonts w:hint="cs"/>
          <w:rtl/>
          <w:lang w:val="en-GB"/>
        </w:rPr>
        <w:t xml:space="preserve"> وقد عيّنت لجنة البلدان الأمريكية للاتصالات</w:t>
      </w:r>
      <w:r w:rsidR="0016707E">
        <w:rPr>
          <w:rFonts w:hint="cs"/>
          <w:rtl/>
          <w:lang w:val="en-GB"/>
        </w:rPr>
        <w:t xml:space="preserve"> (</w:t>
      </w:r>
      <w:proofErr w:type="spellStart"/>
      <w:r w:rsidR="0016707E">
        <w:rPr>
          <w:rFonts w:hint="cs"/>
          <w:rtl/>
          <w:lang w:val="en-GB"/>
        </w:rPr>
        <w:t>سيتيل</w:t>
      </w:r>
      <w:proofErr w:type="spellEnd"/>
      <w:r w:rsidR="0016707E">
        <w:rPr>
          <w:rFonts w:hint="cs"/>
          <w:rtl/>
          <w:lang w:val="en-GB"/>
        </w:rPr>
        <w:t>)</w:t>
      </w:r>
      <w:r w:rsidR="00955DA0">
        <w:rPr>
          <w:rFonts w:hint="cs"/>
          <w:rtl/>
          <w:lang w:val="en-GB"/>
        </w:rPr>
        <w:t xml:space="preserve"> ثلاثة أزواج من جهات الاتصال لأفرقة العمل الثلاثة التابعة للفريق الاستشاري: </w:t>
      </w:r>
      <w:r w:rsidR="00955DA0">
        <w:rPr>
          <w:color w:val="000000"/>
          <w:rtl/>
        </w:rPr>
        <w:t>فريق العمل التابع للفريق الاستشاري لتنمية الاتصالات والمعني بالأعمال التحضيرية للمؤتمر العالمي لتنمية الاتصالات</w:t>
      </w:r>
      <w:r w:rsidR="004919C4" w:rsidRPr="008B63A1">
        <w:rPr>
          <w:rFonts w:hint="cs"/>
          <w:color w:val="000000"/>
          <w:rtl/>
        </w:rPr>
        <w:t xml:space="preserve"> </w:t>
      </w:r>
      <w:r w:rsidR="004919C4" w:rsidRPr="008B63A1">
        <w:rPr>
          <w:rFonts w:cstheme="minorHAnsi"/>
        </w:rPr>
        <w:t>TDAG WTDC-Prep)</w:t>
      </w:r>
      <w:r w:rsidR="004919C4" w:rsidRPr="008B63A1">
        <w:rPr>
          <w:rFonts w:hint="cs"/>
          <w:rtl/>
        </w:rPr>
        <w:t>)</w:t>
      </w:r>
      <w:r w:rsidR="00955DA0">
        <w:rPr>
          <w:rFonts w:hint="cs"/>
          <w:rtl/>
        </w:rPr>
        <w:t>، و</w:t>
      </w:r>
      <w:r w:rsidR="008E2646" w:rsidRPr="008E2646">
        <w:rPr>
          <w:rtl/>
        </w:rPr>
        <w:t>فريق العمل التابع للفريق الاستشاري لتنمية الاتصالات والمعني بقرارات المؤتمر</w:t>
      </w:r>
      <w:r w:rsidR="008E2646" w:rsidRPr="008E2646">
        <w:rPr>
          <w:lang w:bidi="ar-EG"/>
        </w:rPr>
        <w:t xml:space="preserve"> WTDC </w:t>
      </w:r>
      <w:r w:rsidR="008E2646" w:rsidRPr="008E2646">
        <w:rPr>
          <w:rtl/>
        </w:rPr>
        <w:t>والإعلان والأولويات المواضيعية</w:t>
      </w:r>
      <w:r w:rsidR="008E2646">
        <w:rPr>
          <w:rFonts w:hint="cs"/>
          <w:rtl/>
          <w:lang w:bidi="ar-EG"/>
        </w:rPr>
        <w:t xml:space="preserve"> </w:t>
      </w:r>
      <w:r w:rsidR="008E2646" w:rsidRPr="008E2646">
        <w:rPr>
          <w:lang w:bidi="ar-EG"/>
        </w:rPr>
        <w:t>(TDAG-WG-RDTP)</w:t>
      </w:r>
      <w:r w:rsidR="008E2646">
        <w:rPr>
          <w:rFonts w:hint="cs"/>
          <w:rtl/>
          <w:lang w:bidi="ar-EG"/>
        </w:rPr>
        <w:t xml:space="preserve">؛ </w:t>
      </w:r>
      <w:r w:rsidR="00955DA0">
        <w:rPr>
          <w:rFonts w:hint="cs"/>
          <w:rtl/>
        </w:rPr>
        <w:t>و</w:t>
      </w:r>
      <w:r w:rsidR="008E2646" w:rsidRPr="008E2646">
        <w:rPr>
          <w:rtl/>
        </w:rPr>
        <w:t>فريق العمل التابع للفريق الاستشاري لتنمية الاتصالات والمعني بالخطتين الاستراتيجية والتشغيلية</w:t>
      </w:r>
      <w:r w:rsidR="008E2646">
        <w:rPr>
          <w:rFonts w:hint="cs"/>
          <w:rtl/>
          <w:lang w:bidi="ar-EG"/>
        </w:rPr>
        <w:t xml:space="preserve"> </w:t>
      </w:r>
      <w:r w:rsidR="008E2646" w:rsidRPr="008E2646">
        <w:rPr>
          <w:lang w:bidi="ar-EG"/>
        </w:rPr>
        <w:t>(TDAG-WG-SOP)</w:t>
      </w:r>
      <w:r w:rsidR="008E2646">
        <w:rPr>
          <w:rFonts w:hint="cs"/>
          <w:rtl/>
          <w:lang w:bidi="ar-EG"/>
        </w:rPr>
        <w:t>.</w:t>
      </w:r>
    </w:p>
    <w:p w14:paraId="7FC46F24" w14:textId="7E85F386" w:rsidR="008E2646" w:rsidRDefault="004919C4" w:rsidP="008E2646">
      <w:pPr>
        <w:rPr>
          <w:rtl/>
        </w:rPr>
      </w:pPr>
      <w:r>
        <w:rPr>
          <w:rFonts w:hint="cs"/>
          <w:rtl/>
          <w:lang w:bidi="ar-EG"/>
        </w:rPr>
        <w:t xml:space="preserve">ونظراً للترابط بين القضايا </w:t>
      </w:r>
      <w:r w:rsidR="004E6E60">
        <w:rPr>
          <w:rFonts w:hint="cs"/>
          <w:rtl/>
          <w:lang w:bidi="ar-EG"/>
        </w:rPr>
        <w:t>التي تتناولها</w:t>
      </w:r>
      <w:r>
        <w:rPr>
          <w:rFonts w:hint="cs"/>
          <w:rtl/>
          <w:lang w:bidi="ar-EG"/>
        </w:rPr>
        <w:t xml:space="preserve"> هذه الأفرقة، تعمل جهات الاتصال التابعة للجنة البلدان الأمريكية للاتصالات معاً لضمان </w:t>
      </w:r>
      <w:r w:rsidR="00F87945">
        <w:rPr>
          <w:rFonts w:hint="cs"/>
          <w:rtl/>
          <w:lang w:bidi="ar-EG"/>
        </w:rPr>
        <w:t xml:space="preserve">تحقيق </w:t>
      </w:r>
      <w:r w:rsidR="004E6E60">
        <w:rPr>
          <w:rFonts w:hint="cs"/>
          <w:rtl/>
          <w:lang w:bidi="ar-EG"/>
        </w:rPr>
        <w:t>ال</w:t>
      </w:r>
      <w:r>
        <w:rPr>
          <w:rFonts w:hint="cs"/>
          <w:rtl/>
          <w:lang w:bidi="ar-EG"/>
        </w:rPr>
        <w:t>تماسك و</w:t>
      </w:r>
      <w:r w:rsidR="004E6E60">
        <w:rPr>
          <w:rFonts w:hint="cs"/>
          <w:rtl/>
          <w:lang w:bidi="ar-EG"/>
        </w:rPr>
        <w:t>ال</w:t>
      </w:r>
      <w:r>
        <w:rPr>
          <w:rFonts w:hint="cs"/>
          <w:rtl/>
          <w:lang w:bidi="ar-EG"/>
        </w:rPr>
        <w:t>اتساق. وقد عيّنت لجنة البلدان الأمريكية للاتصالات السيدة أندريا غريبا (البرازيل) مسؤولة اتصال للفريق</w:t>
      </w:r>
      <w:r w:rsidR="005D7230">
        <w:rPr>
          <w:rFonts w:hint="eastAsia"/>
          <w:rtl/>
          <w:lang w:bidi="ar-EG"/>
        </w:rPr>
        <w:t> </w:t>
      </w:r>
      <w:r w:rsidRPr="005D7230">
        <w:rPr>
          <w:rFonts w:cstheme="minorHAnsi"/>
        </w:rPr>
        <w:t>TDAG WTDC-Prep</w:t>
      </w:r>
      <w:r>
        <w:rPr>
          <w:rFonts w:hint="cs"/>
          <w:rtl/>
        </w:rPr>
        <w:t xml:space="preserve">. والسيد سانتياغو </w:t>
      </w:r>
      <w:proofErr w:type="spellStart"/>
      <w:r w:rsidR="0016707E">
        <w:rPr>
          <w:rFonts w:hint="cs"/>
          <w:rtl/>
        </w:rPr>
        <w:t>رييس</w:t>
      </w:r>
      <w:proofErr w:type="spellEnd"/>
      <w:r>
        <w:rPr>
          <w:rFonts w:hint="cs"/>
          <w:rtl/>
        </w:rPr>
        <w:t xml:space="preserve">-بوردا </w:t>
      </w:r>
      <w:r w:rsidRPr="005D7230">
        <w:rPr>
          <w:rFonts w:hint="cs"/>
          <w:rtl/>
        </w:rPr>
        <w:t xml:space="preserve">هو رئيس فريق العمل </w:t>
      </w:r>
      <w:r w:rsidR="009E036B" w:rsidRPr="005D7230">
        <w:rPr>
          <w:rFonts w:hint="cs"/>
          <w:rtl/>
        </w:rPr>
        <w:t xml:space="preserve">التابع </w:t>
      </w:r>
      <w:r w:rsidRPr="005D7230">
        <w:rPr>
          <w:rFonts w:hint="cs"/>
          <w:rtl/>
        </w:rPr>
        <w:t xml:space="preserve">للجنة </w:t>
      </w:r>
      <w:proofErr w:type="spellStart"/>
      <w:r w:rsidR="0016707E" w:rsidRPr="005D7230">
        <w:rPr>
          <w:rFonts w:hint="cs"/>
          <w:rtl/>
        </w:rPr>
        <w:t>سيتيل</w:t>
      </w:r>
      <w:proofErr w:type="spellEnd"/>
      <w:r w:rsidR="0016707E" w:rsidRPr="005D7230">
        <w:rPr>
          <w:rFonts w:hint="cs"/>
          <w:rtl/>
        </w:rPr>
        <w:t xml:space="preserve"> </w:t>
      </w:r>
      <w:r w:rsidRPr="005D7230">
        <w:rPr>
          <w:rFonts w:hint="cs"/>
          <w:rtl/>
        </w:rPr>
        <w:t>والمعني</w:t>
      </w:r>
      <w:r w:rsidR="00A053F2" w:rsidRPr="005D7230">
        <w:rPr>
          <w:rFonts w:hint="cs"/>
          <w:rtl/>
        </w:rPr>
        <w:t xml:space="preserve"> بالمؤتمر العالمي لتنمية الاتصالات</w:t>
      </w:r>
      <w:r w:rsidRPr="005D7230">
        <w:rPr>
          <w:rFonts w:hint="cs"/>
          <w:rtl/>
        </w:rPr>
        <w:t>.</w:t>
      </w:r>
    </w:p>
    <w:p w14:paraId="68DA7B48" w14:textId="12CFB115" w:rsidR="008E2646" w:rsidRDefault="0016707E" w:rsidP="008E2646">
      <w:pPr>
        <w:rPr>
          <w:rtl/>
          <w:lang w:val="en-GB"/>
        </w:rPr>
      </w:pPr>
      <w:r w:rsidRPr="005D7230">
        <w:rPr>
          <w:rFonts w:hint="cs"/>
          <w:rtl/>
          <w:lang w:bidi="ar-EG"/>
        </w:rPr>
        <w:t xml:space="preserve">وأشار مندوب الأردن إلى أن الاجتماع التحضيري الأول </w:t>
      </w:r>
      <w:r w:rsidR="004E6E60" w:rsidRPr="005D7230">
        <w:rPr>
          <w:rFonts w:hint="cs"/>
          <w:rtl/>
          <w:lang w:bidi="ar-EG"/>
        </w:rPr>
        <w:t>ل</w:t>
      </w:r>
      <w:r w:rsidR="002722A9" w:rsidRPr="005D7230">
        <w:rPr>
          <w:rFonts w:hint="cs"/>
          <w:rtl/>
          <w:lang w:bidi="ar-EG"/>
        </w:rPr>
        <w:t xml:space="preserve">فريق العمل </w:t>
      </w:r>
      <w:r w:rsidR="00F87945" w:rsidRPr="005D7230">
        <w:rPr>
          <w:rFonts w:hint="cs"/>
          <w:rtl/>
          <w:lang w:bidi="ar-EG"/>
        </w:rPr>
        <w:t xml:space="preserve">للدول </w:t>
      </w:r>
      <w:r w:rsidR="002722A9" w:rsidRPr="005D7230">
        <w:rPr>
          <w:rFonts w:hint="cs"/>
          <w:rtl/>
          <w:lang w:bidi="ar-EG"/>
        </w:rPr>
        <w:t>العربي</w:t>
      </w:r>
      <w:r w:rsidR="00F87945" w:rsidRPr="005D7230">
        <w:rPr>
          <w:rFonts w:hint="cs"/>
          <w:rtl/>
          <w:lang w:bidi="ar-EG"/>
        </w:rPr>
        <w:t>ة</w:t>
      </w:r>
      <w:r w:rsidRPr="005D7230">
        <w:rPr>
          <w:rFonts w:hint="cs"/>
          <w:rtl/>
          <w:lang w:bidi="ar-EG"/>
        </w:rPr>
        <w:t xml:space="preserve"> </w:t>
      </w:r>
      <w:r w:rsidR="00F87945" w:rsidRPr="005D7230">
        <w:rPr>
          <w:rFonts w:hint="cs"/>
          <w:rtl/>
          <w:lang w:bidi="ar-EG"/>
        </w:rPr>
        <w:t>و</w:t>
      </w:r>
      <w:r w:rsidRPr="005D7230">
        <w:rPr>
          <w:rFonts w:hint="cs"/>
          <w:rtl/>
          <w:lang w:bidi="ar-EG"/>
        </w:rPr>
        <w:t>المعني بالمؤتمر</w:t>
      </w:r>
      <w:r w:rsidR="00F87945" w:rsidRPr="005D7230">
        <w:rPr>
          <w:rFonts w:hint="cs"/>
          <w:rtl/>
          <w:lang w:bidi="ar-EG"/>
        </w:rPr>
        <w:t xml:space="preserve"> العالمي لتنمية الاتصالات</w:t>
      </w:r>
      <w:r w:rsidRPr="005D7230">
        <w:rPr>
          <w:rFonts w:hint="cs"/>
          <w:rtl/>
          <w:lang w:bidi="ar-EG"/>
        </w:rPr>
        <w:t xml:space="preserve"> عُقد عبر الإنترنت </w:t>
      </w:r>
      <w:r w:rsidR="002722A9" w:rsidRPr="005D7230">
        <w:rPr>
          <w:rFonts w:hint="cs"/>
          <w:rtl/>
          <w:lang w:bidi="ar-EG"/>
        </w:rPr>
        <w:t>ف</w:t>
      </w:r>
      <w:r w:rsidRPr="005D7230">
        <w:rPr>
          <w:rFonts w:hint="cs"/>
          <w:rtl/>
          <w:lang w:bidi="ar-EG"/>
        </w:rPr>
        <w:t>ي</w:t>
      </w:r>
      <w:r w:rsidR="002722A9" w:rsidRPr="005D7230">
        <w:rPr>
          <w:rFonts w:hint="cs"/>
          <w:rtl/>
          <w:lang w:bidi="ar-EG"/>
        </w:rPr>
        <w:t xml:space="preserve"> الفترة</w:t>
      </w:r>
      <w:r w:rsidR="005D7230">
        <w:rPr>
          <w:rFonts w:hint="cs"/>
          <w:rtl/>
          <w:lang w:bidi="ar-EG"/>
        </w:rPr>
        <w:t xml:space="preserve"> </w:t>
      </w:r>
      <w:r w:rsidRPr="005D7230">
        <w:rPr>
          <w:lang w:val="en-GB" w:bidi="ar-EG"/>
        </w:rPr>
        <w:t>27-25</w:t>
      </w:r>
      <w:r w:rsidRPr="005D7230">
        <w:rPr>
          <w:rFonts w:hint="cs"/>
          <w:rtl/>
          <w:lang w:val="en-GB"/>
        </w:rPr>
        <w:t xml:space="preserve"> أغسطس </w:t>
      </w:r>
      <w:r w:rsidRPr="005D7230">
        <w:rPr>
          <w:lang w:val="en-GB"/>
        </w:rPr>
        <w:t>2020</w:t>
      </w:r>
      <w:r w:rsidRPr="005D7230">
        <w:rPr>
          <w:rFonts w:hint="cs"/>
          <w:rtl/>
          <w:lang w:val="en-GB"/>
        </w:rPr>
        <w:t xml:space="preserve">، حيث كانت أفرقة العمل الثلاثة التابعة للفريق الاستشاري </w:t>
      </w:r>
      <w:r w:rsidR="004E6E60" w:rsidRPr="005D7230">
        <w:rPr>
          <w:rFonts w:hint="cs"/>
          <w:rtl/>
          <w:lang w:val="en-GB"/>
        </w:rPr>
        <w:t>أحد البنود المطروحة</w:t>
      </w:r>
      <w:r w:rsidRPr="005D7230">
        <w:rPr>
          <w:rFonts w:hint="cs"/>
          <w:rtl/>
          <w:lang w:val="en-GB"/>
        </w:rPr>
        <w:t xml:space="preserve"> في جدول الأعمال وحيث تم الاتفاق على تعيين جهات اتصال</w:t>
      </w:r>
      <w:r w:rsidR="002722A9" w:rsidRPr="005D7230">
        <w:rPr>
          <w:rFonts w:hint="cs"/>
          <w:rtl/>
          <w:lang w:val="en-GB"/>
        </w:rPr>
        <w:t xml:space="preserve">. </w:t>
      </w:r>
      <w:r w:rsidRPr="005D7230">
        <w:rPr>
          <w:rFonts w:hint="cs"/>
          <w:rtl/>
          <w:lang w:val="en-GB"/>
        </w:rPr>
        <w:t xml:space="preserve">وتم تعيين السيد الأنصاري </w:t>
      </w:r>
      <w:proofErr w:type="spellStart"/>
      <w:r w:rsidRPr="005D7230">
        <w:rPr>
          <w:rFonts w:hint="cs"/>
          <w:rtl/>
          <w:lang w:val="en-GB"/>
        </w:rPr>
        <w:t>المشاقبة</w:t>
      </w:r>
      <w:proofErr w:type="spellEnd"/>
      <w:r w:rsidRPr="005D7230">
        <w:rPr>
          <w:rFonts w:hint="cs"/>
          <w:rtl/>
          <w:lang w:val="en-GB"/>
        </w:rPr>
        <w:t xml:space="preserve"> (الأردن) مسؤول اتصال </w:t>
      </w:r>
      <w:r w:rsidRPr="005D7230">
        <w:rPr>
          <w:rFonts w:hint="cs"/>
          <w:rtl/>
          <w:lang w:bidi="ar-EG"/>
        </w:rPr>
        <w:t xml:space="preserve">للفريق </w:t>
      </w:r>
      <w:r w:rsidRPr="005D7230">
        <w:rPr>
          <w:rFonts w:cstheme="minorHAnsi"/>
        </w:rPr>
        <w:t>TDAG WTDC-Prep</w:t>
      </w:r>
      <w:r w:rsidRPr="005D7230">
        <w:rPr>
          <w:rFonts w:hint="cs"/>
          <w:rtl/>
        </w:rPr>
        <w:t>.</w:t>
      </w:r>
    </w:p>
    <w:p w14:paraId="4AC472C7" w14:textId="542CA6C2" w:rsidR="00027602" w:rsidRPr="00B849CF" w:rsidRDefault="004E6E60" w:rsidP="008E2646">
      <w:pPr>
        <w:rPr>
          <w:rFonts w:hint="cs"/>
          <w:rtl/>
          <w:lang w:val="en-GB" w:bidi="ar-EG"/>
        </w:rPr>
      </w:pPr>
      <w:r w:rsidRPr="005D7230">
        <w:rPr>
          <w:rFonts w:hint="cs"/>
          <w:rtl/>
          <w:lang w:val="en-GB"/>
        </w:rPr>
        <w:t>و</w:t>
      </w:r>
      <w:r w:rsidR="00027602" w:rsidRPr="005D7230">
        <w:rPr>
          <w:rFonts w:hint="cs"/>
          <w:rtl/>
          <w:lang w:val="en-GB"/>
        </w:rPr>
        <w:t xml:space="preserve">أبلغ مندوب جمهورية إيران الإسلامية الاجتماع بأن </w:t>
      </w:r>
      <w:r w:rsidR="00B849CF" w:rsidRPr="005D7230">
        <w:rPr>
          <w:rFonts w:hint="cs"/>
          <w:rtl/>
          <w:lang w:val="en-GB"/>
        </w:rPr>
        <w:t xml:space="preserve">جماعة آسيا والمحيط الهادئ للاتصالات </w:t>
      </w:r>
      <w:r w:rsidR="00B849CF" w:rsidRPr="005D7230">
        <w:rPr>
          <w:lang w:val="en-GB"/>
        </w:rPr>
        <w:t>(APT)</w:t>
      </w:r>
      <w:r w:rsidR="00B849CF" w:rsidRPr="005D7230">
        <w:rPr>
          <w:rFonts w:hint="cs"/>
          <w:rtl/>
          <w:lang w:val="en-GB"/>
        </w:rPr>
        <w:t xml:space="preserve"> تعتزم عقد </w:t>
      </w:r>
      <w:proofErr w:type="gramStart"/>
      <w:r w:rsidR="00B849CF" w:rsidRPr="005D7230">
        <w:rPr>
          <w:rFonts w:hint="cs"/>
          <w:rtl/>
          <w:lang w:val="en-GB"/>
        </w:rPr>
        <w:t>ثلاثة</w:t>
      </w:r>
      <w:proofErr w:type="gramEnd"/>
      <w:r w:rsidR="00B849CF" w:rsidRPr="005D7230">
        <w:rPr>
          <w:rFonts w:hint="cs"/>
          <w:rtl/>
          <w:lang w:val="en-GB"/>
        </w:rPr>
        <w:t xml:space="preserve"> اجتماعات قبل المؤتمر </w:t>
      </w:r>
      <w:r w:rsidR="00B849CF" w:rsidRPr="005D7230">
        <w:rPr>
          <w:lang w:val="en-GB"/>
        </w:rPr>
        <w:t>WTDC-21</w:t>
      </w:r>
      <w:r w:rsidR="00B849CF" w:rsidRPr="005D7230">
        <w:rPr>
          <w:rFonts w:hint="cs"/>
          <w:rtl/>
          <w:lang w:val="en-GB"/>
        </w:rPr>
        <w:t xml:space="preserve">. وقد حددت الجماعة اجتماعاً استثنائياً واحداً للمؤتمر في </w:t>
      </w:r>
      <w:r w:rsidR="00B849CF" w:rsidRPr="005D7230">
        <w:rPr>
          <w:lang w:val="en-GB"/>
        </w:rPr>
        <w:t>4</w:t>
      </w:r>
      <w:r w:rsidR="00B849CF" w:rsidRPr="005D7230">
        <w:rPr>
          <w:rFonts w:hint="cs"/>
          <w:rtl/>
          <w:lang w:val="en-GB"/>
        </w:rPr>
        <w:t xml:space="preserve"> نوفمبر </w:t>
      </w:r>
      <w:r w:rsidR="00B849CF" w:rsidRPr="005D7230">
        <w:rPr>
          <w:lang w:val="en-GB"/>
        </w:rPr>
        <w:t>2020</w:t>
      </w:r>
      <w:r w:rsidR="00B849CF" w:rsidRPr="005D7230">
        <w:rPr>
          <w:rFonts w:hint="cs"/>
          <w:rtl/>
          <w:lang w:val="en-GB"/>
        </w:rPr>
        <w:t xml:space="preserve"> لتنسيق وجهات نظر الإدارات الأعضاء فيها وتقديم تقرير إلى اجتماع الفريق الاستشاري في </w:t>
      </w:r>
      <w:r w:rsidR="00B849CF" w:rsidRPr="005D7230">
        <w:rPr>
          <w:lang w:val="en-GB"/>
        </w:rPr>
        <w:t>23</w:t>
      </w:r>
      <w:r w:rsidR="00B849CF" w:rsidRPr="005D7230">
        <w:rPr>
          <w:rFonts w:hint="cs"/>
          <w:rtl/>
          <w:lang w:val="en-GB"/>
        </w:rPr>
        <w:t xml:space="preserve"> نوفمبر </w:t>
      </w:r>
      <w:r w:rsidR="00B849CF" w:rsidRPr="005D7230">
        <w:rPr>
          <w:lang w:val="en-GB"/>
        </w:rPr>
        <w:t>2020</w:t>
      </w:r>
      <w:r w:rsidR="00B849CF" w:rsidRPr="005D7230">
        <w:rPr>
          <w:rFonts w:hint="cs"/>
          <w:rtl/>
          <w:lang w:val="en-GB"/>
        </w:rPr>
        <w:t>. وتم تعيين الدكتور أحمد رضا شرفات، رئيس الفريق</w:t>
      </w:r>
      <w:r w:rsidR="005D7230" w:rsidRPr="005D7230">
        <w:rPr>
          <w:rFonts w:hint="eastAsia"/>
          <w:rtl/>
          <w:lang w:val="en-GB"/>
        </w:rPr>
        <w:t> </w:t>
      </w:r>
      <w:r w:rsidR="00B849CF" w:rsidRPr="005D7230">
        <w:rPr>
          <w:shd w:val="clear" w:color="auto" w:fill="FFFFFF"/>
        </w:rPr>
        <w:t>TDAG-WG-RDTP</w:t>
      </w:r>
      <w:r w:rsidRPr="005D7230">
        <w:rPr>
          <w:rFonts w:hint="cs"/>
          <w:rtl/>
        </w:rPr>
        <w:t>،</w:t>
      </w:r>
      <w:r w:rsidR="00B849CF" w:rsidRPr="005D7230">
        <w:rPr>
          <w:rFonts w:hint="cs"/>
          <w:rtl/>
        </w:rPr>
        <w:t xml:space="preserve"> رئيساً للفريق التحضيري التابع لجماعة </w:t>
      </w:r>
      <w:r w:rsidR="00B849CF" w:rsidRPr="005D7230">
        <w:rPr>
          <w:lang w:val="en-GB"/>
        </w:rPr>
        <w:t>APT</w:t>
      </w:r>
      <w:r w:rsidR="00B849CF" w:rsidRPr="005D7230">
        <w:rPr>
          <w:rFonts w:hint="cs"/>
          <w:rtl/>
          <w:lang w:val="en-GB"/>
        </w:rPr>
        <w:t xml:space="preserve"> والمعني بالمؤتمر </w:t>
      </w:r>
      <w:r w:rsidR="00B849CF" w:rsidRPr="005D7230">
        <w:rPr>
          <w:lang w:val="en-GB"/>
        </w:rPr>
        <w:t>WTDC-21</w:t>
      </w:r>
      <w:r w:rsidR="00B849CF" w:rsidRPr="005D7230">
        <w:rPr>
          <w:rFonts w:hint="cs"/>
          <w:rtl/>
          <w:lang w:val="en-GB"/>
        </w:rPr>
        <w:t>.</w:t>
      </w:r>
    </w:p>
    <w:p w14:paraId="5DFB0847" w14:textId="65BA7D26" w:rsidR="008E2646" w:rsidRDefault="0061035E" w:rsidP="008E2646">
      <w:pPr>
        <w:rPr>
          <w:rtl/>
        </w:rPr>
      </w:pPr>
      <w:r>
        <w:rPr>
          <w:rFonts w:hint="cs"/>
          <w:rtl/>
          <w:lang w:bidi="ar-EG"/>
        </w:rPr>
        <w:t xml:space="preserve">وأوصى مندوب المملكة العربية السعودية بأن يعدّ مكتب تنمية الاتصالات، للاجتماع المقبل، وثيقة معلومات تشمل ما يلي: </w:t>
      </w:r>
    </w:p>
    <w:p w14:paraId="06ACE47C" w14:textId="437A70EF" w:rsidR="008E2646" w:rsidRDefault="005D7230" w:rsidP="005D7230">
      <w:pPr>
        <w:pStyle w:val="enumlev1"/>
        <w:rPr>
          <w:rtl/>
        </w:rPr>
      </w:pPr>
      <w:r>
        <w:rPr>
          <w:rFonts w:hint="eastAsia"/>
          <w:rtl/>
        </w:rPr>
        <w:t>–</w:t>
      </w:r>
      <w:r w:rsidR="0061035E">
        <w:rPr>
          <w:rtl/>
        </w:rPr>
        <w:tab/>
      </w:r>
      <w:r w:rsidR="0061035E">
        <w:rPr>
          <w:rFonts w:hint="cs"/>
          <w:rtl/>
        </w:rPr>
        <w:t>مفهوم أو مشروع هيكل المؤتمر؛</w:t>
      </w:r>
    </w:p>
    <w:p w14:paraId="52F3170B" w14:textId="0063AABC" w:rsidR="0061035E" w:rsidRDefault="005D7230" w:rsidP="005D7230">
      <w:pPr>
        <w:pStyle w:val="enumlev1"/>
        <w:rPr>
          <w:rtl/>
        </w:rPr>
      </w:pPr>
      <w:r>
        <w:rPr>
          <w:rFonts w:hint="eastAsia"/>
          <w:rtl/>
        </w:rPr>
        <w:t>–</w:t>
      </w:r>
      <w:r w:rsidR="0061035E">
        <w:rPr>
          <w:rtl/>
        </w:rPr>
        <w:tab/>
      </w:r>
      <w:r w:rsidR="004E6E60">
        <w:rPr>
          <w:rFonts w:hint="cs"/>
          <w:rtl/>
        </w:rPr>
        <w:t>ال</w:t>
      </w:r>
      <w:r w:rsidR="0061035E">
        <w:rPr>
          <w:rFonts w:hint="cs"/>
          <w:rtl/>
        </w:rPr>
        <w:t xml:space="preserve">مواضيع </w:t>
      </w:r>
      <w:r w:rsidR="004E6E60">
        <w:rPr>
          <w:rFonts w:hint="cs"/>
          <w:rtl/>
        </w:rPr>
        <w:t>ال</w:t>
      </w:r>
      <w:r w:rsidR="0061035E">
        <w:rPr>
          <w:rFonts w:hint="cs"/>
          <w:rtl/>
        </w:rPr>
        <w:t xml:space="preserve">مرشحة أو </w:t>
      </w:r>
      <w:r w:rsidR="004E6E60">
        <w:rPr>
          <w:rFonts w:hint="cs"/>
          <w:rtl/>
        </w:rPr>
        <w:t>ال</w:t>
      </w:r>
      <w:r w:rsidR="0061035E">
        <w:rPr>
          <w:rFonts w:hint="cs"/>
          <w:rtl/>
        </w:rPr>
        <w:t xml:space="preserve">مواضيع </w:t>
      </w:r>
      <w:r w:rsidR="004E6E60">
        <w:rPr>
          <w:rFonts w:hint="cs"/>
          <w:rtl/>
        </w:rPr>
        <w:t>ال</w:t>
      </w:r>
      <w:r w:rsidR="0061035E">
        <w:rPr>
          <w:rFonts w:hint="cs"/>
          <w:rtl/>
        </w:rPr>
        <w:t>محتملة للمؤتمر؛</w:t>
      </w:r>
    </w:p>
    <w:p w14:paraId="26125B30" w14:textId="026CEC2A" w:rsidR="0061035E" w:rsidRPr="005D7230" w:rsidRDefault="005D7230" w:rsidP="005D7230">
      <w:pPr>
        <w:pStyle w:val="enumlev1"/>
        <w:rPr>
          <w:spacing w:val="-4"/>
          <w:rtl/>
        </w:rPr>
      </w:pPr>
      <w:r w:rsidRPr="005D7230">
        <w:rPr>
          <w:rFonts w:hint="eastAsia"/>
          <w:spacing w:val="-4"/>
          <w:rtl/>
        </w:rPr>
        <w:t>–</w:t>
      </w:r>
      <w:r w:rsidR="0061035E" w:rsidRPr="005D7230">
        <w:rPr>
          <w:spacing w:val="-4"/>
          <w:rtl/>
        </w:rPr>
        <w:tab/>
      </w:r>
      <w:r w:rsidR="004E6E60" w:rsidRPr="005D7230">
        <w:rPr>
          <w:rFonts w:hint="cs"/>
          <w:spacing w:val="-4"/>
          <w:rtl/>
        </w:rPr>
        <w:t>كيفية عقد</w:t>
      </w:r>
      <w:r w:rsidR="0061035E" w:rsidRPr="005D7230">
        <w:rPr>
          <w:rFonts w:hint="cs"/>
          <w:spacing w:val="-4"/>
          <w:rtl/>
        </w:rPr>
        <w:t xml:space="preserve"> الجزء رفيع المستوى وكيف</w:t>
      </w:r>
      <w:r w:rsidR="004E6E60" w:rsidRPr="005D7230">
        <w:rPr>
          <w:rFonts w:hint="cs"/>
          <w:spacing w:val="-4"/>
          <w:rtl/>
        </w:rPr>
        <w:t>ية تناسب</w:t>
      </w:r>
      <w:r w:rsidR="0061035E" w:rsidRPr="005D7230">
        <w:rPr>
          <w:rFonts w:hint="cs"/>
          <w:spacing w:val="-4"/>
          <w:rtl/>
        </w:rPr>
        <w:t xml:space="preserve"> المسارات المختلفة مع بعضها البعض ومع مناقشات المسار الإداري؛</w:t>
      </w:r>
    </w:p>
    <w:p w14:paraId="01C89882" w14:textId="2AF13437" w:rsidR="0061035E" w:rsidRDefault="005D7230" w:rsidP="005D7230">
      <w:pPr>
        <w:pStyle w:val="enumlev1"/>
        <w:rPr>
          <w:rtl/>
        </w:rPr>
      </w:pPr>
      <w:r>
        <w:rPr>
          <w:rFonts w:hint="eastAsia"/>
          <w:rtl/>
        </w:rPr>
        <w:t>–</w:t>
      </w:r>
      <w:r w:rsidR="0061035E">
        <w:rPr>
          <w:rtl/>
        </w:rPr>
        <w:tab/>
      </w:r>
      <w:r w:rsidR="0061035E">
        <w:rPr>
          <w:rFonts w:hint="cs"/>
          <w:rtl/>
        </w:rPr>
        <w:t>أفكار بشأن الآليات ونوع المشاركين الذين سيُدعون كخبراء أو أصحاب مصلحة.</w:t>
      </w:r>
    </w:p>
    <w:p w14:paraId="171916AB" w14:textId="6EFCEC7B" w:rsidR="008E2646" w:rsidRDefault="0061035E" w:rsidP="008E2646">
      <w:pPr>
        <w:rPr>
          <w:rtl/>
          <w:lang w:bidi="ar-EG"/>
        </w:rPr>
      </w:pPr>
      <w:r>
        <w:rPr>
          <w:rFonts w:hint="cs"/>
          <w:rtl/>
          <w:lang w:bidi="ar-EG"/>
        </w:rPr>
        <w:t xml:space="preserve">ومن شأن كل ذلك أن يوفر فهماً مشتركاً للأعضاء بشأن </w:t>
      </w:r>
      <w:r w:rsidR="00923C02">
        <w:rPr>
          <w:rFonts w:hint="cs"/>
          <w:rtl/>
          <w:lang w:bidi="ar-EG"/>
        </w:rPr>
        <w:t>كيفية تطوير المؤتمر وتعزيزه.</w:t>
      </w:r>
    </w:p>
    <w:p w14:paraId="4CE2132E" w14:textId="0F0286E0" w:rsidR="008E2646" w:rsidRPr="004D3EAF" w:rsidRDefault="004D3EAF" w:rsidP="005D7230">
      <w:pPr>
        <w:pStyle w:val="Headingb"/>
        <w:rPr>
          <w:rtl/>
          <w:lang w:bidi="ar-EG"/>
        </w:rPr>
      </w:pPr>
      <w:r w:rsidRPr="004D3EAF">
        <w:rPr>
          <w:rFonts w:hint="cs"/>
          <w:rtl/>
          <w:lang w:bidi="ar-EG"/>
        </w:rPr>
        <w:t>الخلاصة</w:t>
      </w:r>
    </w:p>
    <w:p w14:paraId="1B1E49F2" w14:textId="4C4B4E9F" w:rsidR="004D3EAF" w:rsidRPr="004D3EAF" w:rsidRDefault="004D3EAF" w:rsidP="008E2646">
      <w:pPr>
        <w:rPr>
          <w:rtl/>
          <w:lang w:val="en-GB"/>
        </w:rPr>
      </w:pPr>
      <w:r>
        <w:rPr>
          <w:rFonts w:hint="cs"/>
          <w:rtl/>
          <w:lang w:bidi="ar-EG"/>
        </w:rPr>
        <w:t xml:space="preserve">يسّرت المساهمات المقدمة إلى هذا الاجتماع الثاني للفريق </w:t>
      </w:r>
      <w:r>
        <w:rPr>
          <w:lang w:val="en-GB" w:bidi="ar-EG"/>
        </w:rPr>
        <w:t>TDAG WTDC-Prep</w:t>
      </w:r>
      <w:r>
        <w:rPr>
          <w:rFonts w:hint="cs"/>
          <w:rtl/>
          <w:lang w:val="en-GB"/>
        </w:rPr>
        <w:t xml:space="preserve"> المناقشة وسمحت للفريق بالمضي قدماً. وسيقوم الفريق، تم</w:t>
      </w:r>
      <w:r w:rsidR="004D43A8">
        <w:rPr>
          <w:rFonts w:hint="cs"/>
          <w:rtl/>
          <w:lang w:val="en-GB"/>
        </w:rPr>
        <w:t>ا</w:t>
      </w:r>
      <w:r>
        <w:rPr>
          <w:rFonts w:hint="cs"/>
          <w:rtl/>
          <w:lang w:val="en-GB"/>
        </w:rPr>
        <w:t xml:space="preserve">شياً مع اختصاصاته، بوضع مقترحات وتقديم توصيات لتعزيز الترتيبات المتعلقة بالمؤتمر، بما في ذلك مضمون المؤتمر؛ وتحديد موضوع (مواضيع) المؤتمر؛ والنظر في المسارات المواضيعية؛ وتحديد أصحاب المصلحة الرئيسيين. وكما قال رئيس الفريق: "إن مفهوم </w:t>
      </w:r>
      <w:r w:rsidR="00F4306A">
        <w:rPr>
          <w:rFonts w:hint="cs"/>
          <w:rtl/>
          <w:lang w:val="en-GB"/>
        </w:rPr>
        <w:t>"مناسب للغرض"</w:t>
      </w:r>
      <w:r>
        <w:rPr>
          <w:rFonts w:hint="cs"/>
          <w:rtl/>
          <w:lang w:val="en-GB"/>
        </w:rPr>
        <w:t xml:space="preserve"> هو المفهوم الذي نحتاجه ونهدف إلى ضمان تحقيقه</w:t>
      </w:r>
      <w:r w:rsidR="004E6E60">
        <w:rPr>
          <w:rFonts w:hint="cs"/>
          <w:rtl/>
          <w:lang w:val="en-GB"/>
        </w:rPr>
        <w:t xml:space="preserve"> في نهاية المطاف.</w:t>
      </w:r>
      <w:r w:rsidR="00F4306A">
        <w:rPr>
          <w:rFonts w:hint="cs"/>
          <w:rtl/>
          <w:lang w:val="en-GB"/>
        </w:rPr>
        <w:t>"</w:t>
      </w:r>
    </w:p>
    <w:p w14:paraId="630B5025" w14:textId="440E7FC5" w:rsidR="008E2646" w:rsidRDefault="008E2646" w:rsidP="008E2646">
      <w:pPr>
        <w:rPr>
          <w:rtl/>
          <w:lang w:bidi="ar-EG"/>
        </w:rPr>
      </w:pPr>
    </w:p>
    <w:p w14:paraId="7B488AB8" w14:textId="28FEB31A" w:rsidR="008E2646" w:rsidRDefault="008E2646" w:rsidP="008E2646">
      <w:pPr>
        <w:rPr>
          <w:rtl/>
          <w:lang w:bidi="ar-EG"/>
        </w:rPr>
      </w:pPr>
    </w:p>
    <w:p w14:paraId="4E29A278" w14:textId="2E4AAE03" w:rsidR="008E2646" w:rsidRDefault="008E2646" w:rsidP="008E2646">
      <w:pPr>
        <w:rPr>
          <w:rtl/>
          <w:lang w:bidi="ar-EG"/>
        </w:rPr>
      </w:pPr>
    </w:p>
    <w:p w14:paraId="02026975" w14:textId="3194621B" w:rsidR="008E2646" w:rsidRDefault="008E2646" w:rsidP="008E2646">
      <w:pPr>
        <w:rPr>
          <w:rtl/>
          <w:lang w:bidi="ar-EG"/>
        </w:rPr>
      </w:pPr>
    </w:p>
    <w:p w14:paraId="0FEEE38A" w14:textId="77777777" w:rsidR="008E2646" w:rsidRDefault="008E2646" w:rsidP="008E2646">
      <w:pPr>
        <w:rPr>
          <w:rFonts w:hint="cs"/>
          <w:rtl/>
          <w:lang w:bidi="ar-EG"/>
        </w:rPr>
        <w:sectPr w:rsidR="008E2646"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pPr>
    </w:p>
    <w:p w14:paraId="5A1161DE" w14:textId="77777777" w:rsidR="008E2646" w:rsidRPr="008E2646" w:rsidRDefault="008E2646" w:rsidP="008E2646">
      <w:pPr>
        <w:tabs>
          <w:tab w:val="clear" w:pos="794"/>
        </w:tabs>
        <w:bidi w:val="0"/>
        <w:spacing w:line="259" w:lineRule="auto"/>
        <w:jc w:val="center"/>
        <w:rPr>
          <w:rFonts w:ascii="Calibri" w:eastAsia="Times New Roman" w:hAnsi="Calibri" w:cs="Calibri"/>
          <w:b/>
          <w:color w:val="800000"/>
          <w:lang w:eastAsia="en-US"/>
        </w:rPr>
      </w:pPr>
      <w:bookmarkStart w:id="1" w:name="lt_pId075"/>
      <w:r w:rsidRPr="008E2646">
        <w:rPr>
          <w:rFonts w:ascii="Calibri" w:eastAsia="Times New Roman" w:hAnsi="Calibri" w:cs="Times New Roman"/>
          <w:lang w:eastAsia="en-US"/>
        </w:rPr>
        <w:lastRenderedPageBreak/>
        <w:t>ANNEX 1</w:t>
      </w:r>
      <w:bookmarkEnd w:id="1"/>
      <w:r w:rsidRPr="008E2646">
        <w:rPr>
          <w:rFonts w:ascii="Calibri" w:eastAsia="Times New Roman" w:hAnsi="Calibri" w:cs="Calibri"/>
          <w:b/>
          <w:color w:val="800000"/>
          <w:lang w:eastAsia="en-US"/>
        </w:rPr>
        <w:t xml:space="preserve"> </w:t>
      </w:r>
    </w:p>
    <w:p w14:paraId="67E47111" w14:textId="77777777" w:rsidR="008E2646" w:rsidRPr="008E2646" w:rsidRDefault="008E2646" w:rsidP="008E2646">
      <w:pPr>
        <w:keepNext/>
        <w:tabs>
          <w:tab w:val="clear" w:pos="794"/>
        </w:tabs>
        <w:bidi w:val="0"/>
        <w:spacing w:after="120" w:line="259" w:lineRule="auto"/>
        <w:jc w:val="center"/>
        <w:rPr>
          <w:rFonts w:ascii="Calibri" w:eastAsia="Times New Roman" w:hAnsi="Calibri" w:cs="Times New Roman"/>
          <w:b/>
          <w:bCs/>
          <w:lang w:eastAsia="en-US" w:bidi="ar-EG"/>
        </w:rPr>
      </w:pPr>
      <w:bookmarkStart w:id="2" w:name="lt_pId076"/>
      <w:r w:rsidRPr="008E2646">
        <w:rPr>
          <w:rFonts w:ascii="Calibri" w:eastAsia="Times New Roman" w:hAnsi="Calibri" w:cs="Times New Roman"/>
          <w:b/>
          <w:bCs/>
          <w:lang w:eastAsia="en-US"/>
        </w:rPr>
        <w:t>Compilation of proposals submitted to the 2</w:t>
      </w:r>
      <w:r w:rsidRPr="008E2646">
        <w:rPr>
          <w:rFonts w:ascii="Calibri" w:eastAsia="Times New Roman" w:hAnsi="Calibri" w:cs="Times New Roman"/>
          <w:b/>
          <w:bCs/>
          <w:vertAlign w:val="superscript"/>
          <w:lang w:eastAsia="en-US"/>
        </w:rPr>
        <w:t>nd</w:t>
      </w:r>
      <w:r w:rsidRPr="008E2646">
        <w:rPr>
          <w:rFonts w:ascii="Calibri" w:eastAsia="Times New Roman" w:hAnsi="Calibri" w:cs="Times New Roman"/>
          <w:b/>
          <w:bCs/>
          <w:lang w:eastAsia="en-US"/>
        </w:rPr>
        <w:t xml:space="preserve"> meeting of the TDAG-WG-Prep, 7 September 2020</w:t>
      </w:r>
      <w:bookmarkEnd w:id="2"/>
    </w:p>
    <w:tbl>
      <w:tblPr>
        <w:tblStyle w:val="TableGrid1"/>
        <w:tblW w:w="0" w:type="auto"/>
        <w:tblLook w:val="04A0" w:firstRow="1" w:lastRow="0" w:firstColumn="1" w:lastColumn="0" w:noHBand="0" w:noVBand="1"/>
      </w:tblPr>
      <w:tblGrid>
        <w:gridCol w:w="1907"/>
        <w:gridCol w:w="2443"/>
        <w:gridCol w:w="2413"/>
        <w:gridCol w:w="2819"/>
        <w:gridCol w:w="1841"/>
        <w:gridCol w:w="2139"/>
      </w:tblGrid>
      <w:tr w:rsidR="008E2646" w:rsidRPr="008E2646" w14:paraId="0D09CB84" w14:textId="77777777" w:rsidTr="008E2646">
        <w:trPr>
          <w:tblHeader/>
        </w:trPr>
        <w:tc>
          <w:tcPr>
            <w:tcW w:w="1907" w:type="dxa"/>
            <w:shd w:val="clear" w:color="auto" w:fill="F4B083"/>
            <w:vAlign w:val="center"/>
          </w:tcPr>
          <w:p w14:paraId="41D276D6" w14:textId="77777777" w:rsidR="008E2646" w:rsidRPr="008E2646" w:rsidRDefault="008E2646" w:rsidP="008E2646">
            <w:pPr>
              <w:tabs>
                <w:tab w:val="clear" w:pos="794"/>
              </w:tabs>
              <w:bidi w:val="0"/>
              <w:spacing w:after="120" w:line="240" w:lineRule="auto"/>
              <w:jc w:val="center"/>
              <w:rPr>
                <w:rFonts w:ascii="Calibri" w:eastAsia="Times New Roman" w:hAnsi="Calibri" w:cs="Times New Roman"/>
                <w:b/>
                <w:bCs/>
                <w:sz w:val="18"/>
                <w:szCs w:val="18"/>
              </w:rPr>
            </w:pPr>
            <w:bookmarkStart w:id="3" w:name="lt_pId077"/>
            <w:r w:rsidRPr="008E2646">
              <w:rPr>
                <w:rFonts w:ascii="Calibri" w:eastAsia="Times New Roman" w:hAnsi="Calibri" w:cs="Times New Roman"/>
                <w:b/>
                <w:bCs/>
                <w:sz w:val="18"/>
                <w:szCs w:val="18"/>
              </w:rPr>
              <w:t>Topic</w:t>
            </w:r>
            <w:bookmarkEnd w:id="3"/>
          </w:p>
        </w:tc>
        <w:tc>
          <w:tcPr>
            <w:tcW w:w="2443" w:type="dxa"/>
            <w:shd w:val="clear" w:color="auto" w:fill="F4B083"/>
            <w:vAlign w:val="center"/>
          </w:tcPr>
          <w:p w14:paraId="4225CB88" w14:textId="77777777" w:rsidR="008E2646" w:rsidRPr="008E2646" w:rsidRDefault="008E2646" w:rsidP="008E2646">
            <w:pPr>
              <w:tabs>
                <w:tab w:val="clear" w:pos="794"/>
              </w:tabs>
              <w:bidi w:val="0"/>
              <w:spacing w:after="120" w:line="240" w:lineRule="auto"/>
              <w:jc w:val="center"/>
              <w:rPr>
                <w:rFonts w:ascii="Calibri" w:eastAsia="Times New Roman" w:hAnsi="Calibri" w:cs="Times New Roman"/>
                <w:b/>
                <w:bCs/>
                <w:sz w:val="18"/>
                <w:szCs w:val="18"/>
              </w:rPr>
            </w:pPr>
            <w:bookmarkStart w:id="4" w:name="lt_pId078"/>
            <w:r w:rsidRPr="008E2646">
              <w:rPr>
                <w:rFonts w:ascii="Calibri" w:eastAsia="Times New Roman" w:hAnsi="Calibri" w:cs="Times New Roman"/>
                <w:b/>
                <w:bCs/>
                <w:sz w:val="18"/>
                <w:szCs w:val="18"/>
              </w:rPr>
              <w:t>Russian Federation</w:t>
            </w:r>
            <w:bookmarkEnd w:id="4"/>
            <w:r w:rsidRPr="008E2646">
              <w:rPr>
                <w:rFonts w:ascii="Calibri" w:eastAsia="Times New Roman" w:hAnsi="Calibri" w:cs="Times New Roman"/>
                <w:b/>
                <w:bCs/>
                <w:sz w:val="18"/>
                <w:szCs w:val="18"/>
              </w:rPr>
              <w:br/>
            </w:r>
            <w:bookmarkStart w:id="5" w:name="lt_pId079"/>
            <w:r w:rsidRPr="008E2646">
              <w:rPr>
                <w:rFonts w:ascii="Calibri" w:eastAsia="Times New Roman" w:hAnsi="Calibri" w:cs="Times New Roman"/>
                <w:b/>
                <w:bCs/>
                <w:sz w:val="18"/>
                <w:szCs w:val="18"/>
              </w:rPr>
              <w:t>(</w:t>
            </w:r>
            <w:hyperlink r:id="rId13" w:history="1">
              <w:r w:rsidRPr="008E2646">
                <w:rPr>
                  <w:rFonts w:ascii="Calibri" w:eastAsia="Times New Roman" w:hAnsi="Calibri" w:cs="Times New Roman"/>
                  <w:b/>
                  <w:bCs/>
                  <w:color w:val="0000FF"/>
                  <w:sz w:val="18"/>
                  <w:szCs w:val="18"/>
                  <w:u w:val="single"/>
                </w:rPr>
                <w:t>TDAG-WG-Prep/7</w:t>
              </w:r>
            </w:hyperlink>
            <w:r w:rsidRPr="008E2646">
              <w:rPr>
                <w:rFonts w:ascii="Calibri" w:eastAsia="Times New Roman" w:hAnsi="Calibri" w:cs="Times New Roman"/>
                <w:b/>
                <w:bCs/>
                <w:sz w:val="18"/>
                <w:szCs w:val="18"/>
              </w:rPr>
              <w:t>)</w:t>
            </w:r>
            <w:bookmarkEnd w:id="5"/>
          </w:p>
        </w:tc>
        <w:tc>
          <w:tcPr>
            <w:tcW w:w="2413" w:type="dxa"/>
            <w:shd w:val="clear" w:color="auto" w:fill="F4B083"/>
            <w:vAlign w:val="center"/>
          </w:tcPr>
          <w:p w14:paraId="3EFDE770" w14:textId="77777777" w:rsidR="008E2646" w:rsidRPr="008E2646" w:rsidRDefault="008E2646" w:rsidP="008E2646">
            <w:pPr>
              <w:tabs>
                <w:tab w:val="clear" w:pos="794"/>
              </w:tabs>
              <w:bidi w:val="0"/>
              <w:spacing w:after="120" w:line="240" w:lineRule="auto"/>
              <w:jc w:val="center"/>
              <w:rPr>
                <w:rFonts w:ascii="Calibri" w:eastAsia="Times New Roman" w:hAnsi="Calibri" w:cs="Times New Roman"/>
                <w:b/>
                <w:bCs/>
                <w:sz w:val="18"/>
                <w:szCs w:val="18"/>
              </w:rPr>
            </w:pPr>
            <w:bookmarkStart w:id="6" w:name="lt_pId080"/>
            <w:r w:rsidRPr="008E2646">
              <w:rPr>
                <w:rFonts w:ascii="Calibri" w:eastAsia="Times New Roman" w:hAnsi="Calibri" w:cs="Times New Roman"/>
                <w:b/>
                <w:bCs/>
                <w:sz w:val="18"/>
                <w:szCs w:val="18"/>
              </w:rPr>
              <w:t>Indonesia</w:t>
            </w:r>
            <w:bookmarkEnd w:id="6"/>
            <w:r w:rsidRPr="008E2646">
              <w:rPr>
                <w:rFonts w:ascii="Calibri" w:eastAsia="Times New Roman" w:hAnsi="Calibri" w:cs="Times New Roman"/>
                <w:b/>
                <w:bCs/>
                <w:sz w:val="18"/>
                <w:szCs w:val="18"/>
              </w:rPr>
              <w:br/>
            </w:r>
            <w:bookmarkStart w:id="7" w:name="lt_pId081"/>
            <w:r w:rsidRPr="008E2646">
              <w:rPr>
                <w:rFonts w:ascii="Calibri" w:eastAsia="Times New Roman" w:hAnsi="Calibri" w:cs="Times New Roman"/>
                <w:b/>
                <w:bCs/>
                <w:sz w:val="18"/>
                <w:szCs w:val="18"/>
              </w:rPr>
              <w:t>(</w:t>
            </w:r>
            <w:hyperlink r:id="rId14" w:history="1">
              <w:r w:rsidRPr="008E2646">
                <w:rPr>
                  <w:rFonts w:ascii="Calibri" w:eastAsia="Times New Roman" w:hAnsi="Calibri" w:cs="Times New Roman"/>
                  <w:b/>
                  <w:bCs/>
                  <w:color w:val="0000FF"/>
                  <w:sz w:val="18"/>
                  <w:szCs w:val="18"/>
                  <w:u w:val="single"/>
                </w:rPr>
                <w:t>TDAG-WG-Prep/8</w:t>
              </w:r>
            </w:hyperlink>
            <w:r w:rsidRPr="008E2646">
              <w:rPr>
                <w:rFonts w:ascii="Calibri" w:eastAsia="Times New Roman" w:hAnsi="Calibri" w:cs="Times New Roman"/>
                <w:b/>
                <w:bCs/>
                <w:sz w:val="18"/>
                <w:szCs w:val="18"/>
              </w:rPr>
              <w:t>)</w:t>
            </w:r>
            <w:bookmarkEnd w:id="7"/>
          </w:p>
        </w:tc>
        <w:tc>
          <w:tcPr>
            <w:tcW w:w="2819" w:type="dxa"/>
            <w:shd w:val="clear" w:color="auto" w:fill="F4B083"/>
            <w:vAlign w:val="center"/>
          </w:tcPr>
          <w:p w14:paraId="2DA49505" w14:textId="77777777" w:rsidR="008E2646" w:rsidRPr="008E2646" w:rsidRDefault="008E2646" w:rsidP="008E2646">
            <w:pPr>
              <w:tabs>
                <w:tab w:val="clear" w:pos="794"/>
              </w:tabs>
              <w:bidi w:val="0"/>
              <w:spacing w:after="120" w:line="240" w:lineRule="auto"/>
              <w:jc w:val="center"/>
              <w:rPr>
                <w:rFonts w:ascii="Calibri" w:eastAsia="Times New Roman" w:hAnsi="Calibri" w:cs="Times New Roman"/>
                <w:b/>
                <w:bCs/>
                <w:sz w:val="18"/>
                <w:szCs w:val="18"/>
              </w:rPr>
            </w:pPr>
            <w:bookmarkStart w:id="8" w:name="lt_pId082"/>
            <w:r w:rsidRPr="008E2646">
              <w:rPr>
                <w:rFonts w:ascii="Calibri" w:eastAsia="Times New Roman" w:hAnsi="Calibri" w:cs="Times New Roman"/>
                <w:b/>
                <w:bCs/>
                <w:sz w:val="18"/>
                <w:szCs w:val="18"/>
              </w:rPr>
              <w:t>ESOA</w:t>
            </w:r>
            <w:bookmarkEnd w:id="8"/>
            <w:r w:rsidRPr="008E2646">
              <w:rPr>
                <w:rFonts w:ascii="Calibri" w:eastAsia="Times New Roman" w:hAnsi="Calibri" w:cs="Times New Roman"/>
                <w:b/>
                <w:bCs/>
                <w:sz w:val="18"/>
                <w:szCs w:val="18"/>
              </w:rPr>
              <w:br/>
            </w:r>
            <w:bookmarkStart w:id="9" w:name="lt_pId083"/>
            <w:r w:rsidRPr="008E2646">
              <w:rPr>
                <w:rFonts w:ascii="Calibri" w:eastAsia="Times New Roman" w:hAnsi="Calibri" w:cs="Times New Roman"/>
                <w:b/>
                <w:bCs/>
                <w:sz w:val="18"/>
                <w:szCs w:val="18"/>
              </w:rPr>
              <w:t>(</w:t>
            </w:r>
            <w:hyperlink r:id="rId15" w:history="1">
              <w:r w:rsidRPr="008E2646">
                <w:rPr>
                  <w:rFonts w:ascii="Calibri" w:eastAsia="Times New Roman" w:hAnsi="Calibri" w:cs="Times New Roman"/>
                  <w:b/>
                  <w:bCs/>
                  <w:color w:val="0000FF"/>
                  <w:sz w:val="18"/>
                  <w:szCs w:val="18"/>
                  <w:u w:val="single"/>
                </w:rPr>
                <w:t>TDAG-WG-Prep/9</w:t>
              </w:r>
            </w:hyperlink>
            <w:r w:rsidRPr="008E2646">
              <w:rPr>
                <w:rFonts w:ascii="Calibri" w:eastAsia="Times New Roman" w:hAnsi="Calibri" w:cs="Times New Roman"/>
                <w:b/>
                <w:bCs/>
                <w:sz w:val="18"/>
                <w:szCs w:val="18"/>
              </w:rPr>
              <w:t>)</w:t>
            </w:r>
            <w:bookmarkEnd w:id="9"/>
          </w:p>
        </w:tc>
        <w:tc>
          <w:tcPr>
            <w:tcW w:w="1841" w:type="dxa"/>
            <w:shd w:val="clear" w:color="auto" w:fill="F4B083"/>
            <w:vAlign w:val="center"/>
          </w:tcPr>
          <w:p w14:paraId="1DF5B8C9" w14:textId="77777777" w:rsidR="008E2646" w:rsidRPr="008E2646" w:rsidRDefault="008E2646" w:rsidP="008E2646">
            <w:pPr>
              <w:tabs>
                <w:tab w:val="clear" w:pos="794"/>
              </w:tabs>
              <w:bidi w:val="0"/>
              <w:spacing w:after="120" w:line="240" w:lineRule="auto"/>
              <w:jc w:val="center"/>
              <w:rPr>
                <w:rFonts w:ascii="Calibri" w:eastAsia="Times New Roman" w:hAnsi="Calibri" w:cs="Times New Roman"/>
                <w:b/>
                <w:bCs/>
                <w:sz w:val="18"/>
                <w:szCs w:val="18"/>
              </w:rPr>
            </w:pPr>
            <w:bookmarkStart w:id="10" w:name="lt_pId084"/>
            <w:r w:rsidRPr="008E2646">
              <w:rPr>
                <w:rFonts w:ascii="Calibri" w:eastAsia="Times New Roman" w:hAnsi="Calibri" w:cs="Times New Roman"/>
                <w:b/>
                <w:bCs/>
                <w:sz w:val="18"/>
                <w:szCs w:val="18"/>
              </w:rPr>
              <w:t>Lithuania</w:t>
            </w:r>
            <w:bookmarkEnd w:id="10"/>
            <w:r w:rsidRPr="008E2646">
              <w:rPr>
                <w:rFonts w:ascii="Calibri" w:eastAsia="Times New Roman" w:hAnsi="Calibri" w:cs="Times New Roman"/>
                <w:b/>
                <w:bCs/>
                <w:sz w:val="18"/>
                <w:szCs w:val="18"/>
              </w:rPr>
              <w:br/>
            </w:r>
            <w:bookmarkStart w:id="11" w:name="lt_pId085"/>
            <w:r w:rsidRPr="008E2646">
              <w:rPr>
                <w:rFonts w:ascii="Calibri" w:eastAsia="Times New Roman" w:hAnsi="Calibri" w:cs="Times New Roman"/>
                <w:b/>
                <w:bCs/>
                <w:sz w:val="18"/>
                <w:szCs w:val="18"/>
              </w:rPr>
              <w:t>(</w:t>
            </w:r>
            <w:hyperlink r:id="rId16" w:history="1">
              <w:r w:rsidRPr="008E2646">
                <w:rPr>
                  <w:rFonts w:ascii="Calibri" w:eastAsia="Times New Roman" w:hAnsi="Calibri" w:cs="Times New Roman"/>
                  <w:b/>
                  <w:bCs/>
                  <w:color w:val="0000FF"/>
                  <w:sz w:val="18"/>
                  <w:szCs w:val="18"/>
                  <w:u w:val="single"/>
                </w:rPr>
                <w:t>TDAG-WG-Prep/10</w:t>
              </w:r>
            </w:hyperlink>
            <w:r w:rsidRPr="008E2646">
              <w:rPr>
                <w:rFonts w:ascii="Calibri" w:eastAsia="Times New Roman" w:hAnsi="Calibri" w:cs="Times New Roman"/>
                <w:b/>
                <w:bCs/>
                <w:sz w:val="18"/>
                <w:szCs w:val="18"/>
              </w:rPr>
              <w:t>)</w:t>
            </w:r>
            <w:bookmarkEnd w:id="11"/>
          </w:p>
        </w:tc>
        <w:tc>
          <w:tcPr>
            <w:tcW w:w="2139" w:type="dxa"/>
            <w:shd w:val="clear" w:color="auto" w:fill="F4B083"/>
            <w:vAlign w:val="center"/>
          </w:tcPr>
          <w:p w14:paraId="76BEB3EF" w14:textId="77777777" w:rsidR="008E2646" w:rsidRPr="008E2646" w:rsidRDefault="008E2646" w:rsidP="008E2646">
            <w:pPr>
              <w:tabs>
                <w:tab w:val="clear" w:pos="794"/>
              </w:tabs>
              <w:bidi w:val="0"/>
              <w:spacing w:after="120" w:line="240" w:lineRule="auto"/>
              <w:jc w:val="center"/>
              <w:rPr>
                <w:rFonts w:ascii="Calibri" w:eastAsia="Times New Roman" w:hAnsi="Calibri" w:cs="Times New Roman"/>
                <w:b/>
                <w:bCs/>
                <w:sz w:val="18"/>
                <w:szCs w:val="18"/>
              </w:rPr>
            </w:pPr>
            <w:bookmarkStart w:id="12" w:name="lt_pId086"/>
            <w:r w:rsidRPr="008E2646">
              <w:rPr>
                <w:rFonts w:ascii="Calibri" w:eastAsia="Times New Roman" w:hAnsi="Calibri" w:cs="Times New Roman"/>
                <w:b/>
                <w:bCs/>
                <w:sz w:val="18"/>
                <w:szCs w:val="18"/>
              </w:rPr>
              <w:t>Zimbabwe</w:t>
            </w:r>
            <w:bookmarkEnd w:id="12"/>
            <w:r w:rsidRPr="008E2646">
              <w:rPr>
                <w:rFonts w:ascii="Calibri" w:eastAsia="Times New Roman" w:hAnsi="Calibri" w:cs="Times New Roman"/>
                <w:b/>
                <w:bCs/>
                <w:sz w:val="18"/>
                <w:szCs w:val="18"/>
              </w:rPr>
              <w:br/>
            </w:r>
            <w:bookmarkStart w:id="13" w:name="lt_pId087"/>
            <w:r w:rsidRPr="008E2646">
              <w:rPr>
                <w:rFonts w:ascii="Calibri" w:eastAsia="Times New Roman" w:hAnsi="Calibri" w:cs="Times New Roman"/>
                <w:b/>
                <w:bCs/>
                <w:sz w:val="18"/>
                <w:szCs w:val="18"/>
              </w:rPr>
              <w:t>(</w:t>
            </w:r>
            <w:hyperlink r:id="rId17" w:history="1">
              <w:r w:rsidRPr="008E2646">
                <w:rPr>
                  <w:rFonts w:ascii="Calibri" w:eastAsia="Times New Roman" w:hAnsi="Calibri" w:cs="Times New Roman"/>
                  <w:b/>
                  <w:bCs/>
                  <w:color w:val="0000FF"/>
                  <w:sz w:val="18"/>
                  <w:szCs w:val="18"/>
                  <w:u w:val="single"/>
                </w:rPr>
                <w:t>TDAG-WG-Prep/11</w:t>
              </w:r>
            </w:hyperlink>
            <w:r w:rsidRPr="008E2646">
              <w:rPr>
                <w:rFonts w:ascii="Calibri" w:eastAsia="Times New Roman" w:hAnsi="Calibri" w:cs="Times New Roman"/>
                <w:b/>
                <w:bCs/>
                <w:sz w:val="18"/>
                <w:szCs w:val="18"/>
              </w:rPr>
              <w:t>)</w:t>
            </w:r>
            <w:bookmarkEnd w:id="13"/>
          </w:p>
        </w:tc>
      </w:tr>
      <w:tr w:rsidR="008E2646" w:rsidRPr="008E2646" w14:paraId="2421B91F" w14:textId="77777777" w:rsidTr="008E2646">
        <w:tc>
          <w:tcPr>
            <w:tcW w:w="1907" w:type="dxa"/>
            <w:shd w:val="clear" w:color="auto" w:fill="FFE599"/>
          </w:tcPr>
          <w:p w14:paraId="4BD14BD0"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b/>
                <w:bCs/>
                <w:sz w:val="18"/>
                <w:szCs w:val="18"/>
              </w:rPr>
            </w:pPr>
            <w:bookmarkStart w:id="14" w:name="lt_pId088"/>
            <w:r w:rsidRPr="008E2646">
              <w:rPr>
                <w:rFonts w:ascii="Calibri" w:eastAsia="Times New Roman" w:hAnsi="Calibri" w:cs="Times New Roman"/>
                <w:b/>
                <w:bCs/>
                <w:sz w:val="18"/>
                <w:szCs w:val="18"/>
              </w:rPr>
              <w:t>Before the Conference</w:t>
            </w:r>
            <w:bookmarkEnd w:id="14"/>
          </w:p>
        </w:tc>
        <w:tc>
          <w:tcPr>
            <w:tcW w:w="2443" w:type="dxa"/>
            <w:shd w:val="clear" w:color="auto" w:fill="FFE599"/>
          </w:tcPr>
          <w:p w14:paraId="375641A1"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p>
        </w:tc>
        <w:tc>
          <w:tcPr>
            <w:tcW w:w="2413" w:type="dxa"/>
            <w:shd w:val="clear" w:color="auto" w:fill="FFE599"/>
          </w:tcPr>
          <w:p w14:paraId="032099E1"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p>
        </w:tc>
        <w:tc>
          <w:tcPr>
            <w:tcW w:w="2819" w:type="dxa"/>
            <w:shd w:val="clear" w:color="auto" w:fill="FFE599"/>
          </w:tcPr>
          <w:p w14:paraId="14BBFECB"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p>
        </w:tc>
        <w:tc>
          <w:tcPr>
            <w:tcW w:w="1841" w:type="dxa"/>
            <w:shd w:val="clear" w:color="auto" w:fill="FFE599"/>
          </w:tcPr>
          <w:p w14:paraId="0B2A721E"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p>
        </w:tc>
        <w:tc>
          <w:tcPr>
            <w:tcW w:w="2139" w:type="dxa"/>
            <w:shd w:val="clear" w:color="auto" w:fill="FFE599"/>
          </w:tcPr>
          <w:p w14:paraId="76688E23"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p>
        </w:tc>
      </w:tr>
      <w:tr w:rsidR="008E2646" w:rsidRPr="008E2646" w14:paraId="21550789" w14:textId="77777777" w:rsidTr="008E2646">
        <w:tc>
          <w:tcPr>
            <w:tcW w:w="1907" w:type="dxa"/>
            <w:shd w:val="clear" w:color="auto" w:fill="FFF2CC"/>
          </w:tcPr>
          <w:p w14:paraId="3CC79D06"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bCs/>
                <w:sz w:val="18"/>
                <w:szCs w:val="18"/>
              </w:rPr>
            </w:pPr>
            <w:bookmarkStart w:id="15" w:name="lt_pId089"/>
            <w:r w:rsidRPr="008E2646">
              <w:rPr>
                <w:rFonts w:ascii="Calibri" w:eastAsia="Times New Roman" w:hAnsi="Calibri" w:cs="Times New Roman"/>
                <w:bCs/>
                <w:sz w:val="18"/>
                <w:szCs w:val="18"/>
                <w:u w:val="single"/>
              </w:rPr>
              <w:t>Inter-Regional Coordination Meetings (IRMs)</w:t>
            </w:r>
            <w:bookmarkEnd w:id="15"/>
          </w:p>
          <w:p w14:paraId="50DFC2F3" w14:textId="77777777" w:rsidR="008E2646" w:rsidRPr="008E2646" w:rsidRDefault="008E2646" w:rsidP="008E2646">
            <w:pPr>
              <w:numPr>
                <w:ilvl w:val="0"/>
                <w:numId w:val="14"/>
              </w:numPr>
              <w:tabs>
                <w:tab w:val="clear" w:pos="794"/>
              </w:tabs>
              <w:bidi w:val="0"/>
              <w:spacing w:before="40" w:after="40" w:line="240" w:lineRule="auto"/>
              <w:ind w:left="227" w:hanging="227"/>
              <w:jc w:val="left"/>
              <w:rPr>
                <w:rFonts w:ascii="Calibri" w:eastAsia="Times New Roman" w:hAnsi="Calibri" w:cs="Times New Roman"/>
                <w:bCs/>
                <w:sz w:val="18"/>
                <w:szCs w:val="18"/>
              </w:rPr>
            </w:pPr>
            <w:bookmarkStart w:id="16" w:name="lt_pId090"/>
            <w:r w:rsidRPr="008E2646">
              <w:rPr>
                <w:rFonts w:ascii="Calibri" w:eastAsia="Times New Roman" w:hAnsi="Calibri" w:cs="Times New Roman"/>
                <w:bCs/>
                <w:sz w:val="18"/>
                <w:szCs w:val="18"/>
              </w:rPr>
              <w:t>How many IRMs should be held and when?</w:t>
            </w:r>
            <w:bookmarkEnd w:id="16"/>
          </w:p>
          <w:p w14:paraId="3346C0F7" w14:textId="77777777" w:rsidR="008E2646" w:rsidRPr="008E2646" w:rsidRDefault="008E2646" w:rsidP="008E2646">
            <w:pPr>
              <w:numPr>
                <w:ilvl w:val="0"/>
                <w:numId w:val="14"/>
              </w:numPr>
              <w:tabs>
                <w:tab w:val="clear" w:pos="794"/>
              </w:tabs>
              <w:bidi w:val="0"/>
              <w:spacing w:before="40" w:after="40" w:line="240" w:lineRule="auto"/>
              <w:ind w:left="227" w:hanging="227"/>
              <w:jc w:val="left"/>
              <w:rPr>
                <w:rFonts w:ascii="Calibri" w:eastAsia="Times New Roman" w:hAnsi="Calibri" w:cs="Times New Roman"/>
                <w:bCs/>
                <w:sz w:val="18"/>
                <w:szCs w:val="18"/>
              </w:rPr>
            </w:pPr>
            <w:bookmarkStart w:id="17" w:name="lt_pId091"/>
            <w:r w:rsidRPr="008E2646">
              <w:rPr>
                <w:rFonts w:ascii="Calibri" w:eastAsia="Times New Roman" w:hAnsi="Calibri" w:cs="Times New Roman"/>
                <w:bCs/>
                <w:sz w:val="18"/>
                <w:szCs w:val="18"/>
              </w:rPr>
              <w:t>What should be the format of IRMs?</w:t>
            </w:r>
            <w:bookmarkEnd w:id="17"/>
          </w:p>
          <w:p w14:paraId="3C6591A8" w14:textId="77777777" w:rsidR="008E2646" w:rsidRPr="008E2646" w:rsidRDefault="008E2646" w:rsidP="008E2646">
            <w:pPr>
              <w:numPr>
                <w:ilvl w:val="0"/>
                <w:numId w:val="14"/>
              </w:numPr>
              <w:tabs>
                <w:tab w:val="clear" w:pos="794"/>
              </w:tabs>
              <w:bidi w:val="0"/>
              <w:spacing w:before="40" w:after="40" w:line="240" w:lineRule="auto"/>
              <w:ind w:left="227" w:hanging="227"/>
              <w:jc w:val="left"/>
              <w:rPr>
                <w:rFonts w:ascii="Calibri" w:eastAsia="Times New Roman" w:hAnsi="Calibri" w:cs="Times New Roman"/>
                <w:bCs/>
                <w:sz w:val="18"/>
                <w:szCs w:val="18"/>
              </w:rPr>
            </w:pPr>
            <w:bookmarkStart w:id="18" w:name="lt_pId092"/>
            <w:r w:rsidRPr="008E2646">
              <w:rPr>
                <w:rFonts w:ascii="Calibri" w:eastAsia="Times New Roman" w:hAnsi="Calibri" w:cs="Times New Roman"/>
                <w:bCs/>
                <w:sz w:val="18"/>
                <w:szCs w:val="18"/>
              </w:rPr>
              <w:t>What should the IRM Agenda include?</w:t>
            </w:r>
            <w:bookmarkEnd w:id="18"/>
            <w:r w:rsidRPr="008E2646">
              <w:rPr>
                <w:rFonts w:ascii="Calibri" w:eastAsia="Times New Roman" w:hAnsi="Calibri" w:cs="Times New Roman"/>
                <w:bCs/>
                <w:sz w:val="18"/>
                <w:szCs w:val="18"/>
              </w:rPr>
              <w:t xml:space="preserve"> </w:t>
            </w:r>
          </w:p>
          <w:p w14:paraId="1F91B047" w14:textId="77777777" w:rsidR="008E2646" w:rsidRPr="008E2646" w:rsidRDefault="008E2646" w:rsidP="008E2646">
            <w:pPr>
              <w:numPr>
                <w:ilvl w:val="0"/>
                <w:numId w:val="14"/>
              </w:numPr>
              <w:tabs>
                <w:tab w:val="clear" w:pos="794"/>
              </w:tabs>
              <w:bidi w:val="0"/>
              <w:spacing w:before="40" w:after="40" w:line="240" w:lineRule="auto"/>
              <w:ind w:left="227" w:hanging="227"/>
              <w:jc w:val="left"/>
              <w:rPr>
                <w:rFonts w:ascii="Calibri" w:eastAsia="Times New Roman" w:hAnsi="Calibri" w:cs="Times New Roman"/>
                <w:bCs/>
                <w:sz w:val="18"/>
                <w:szCs w:val="18"/>
              </w:rPr>
            </w:pPr>
            <w:bookmarkStart w:id="19" w:name="lt_pId093"/>
            <w:r w:rsidRPr="008E2646">
              <w:rPr>
                <w:rFonts w:ascii="Calibri" w:eastAsia="Times New Roman" w:hAnsi="Calibri" w:cs="Times New Roman"/>
                <w:bCs/>
                <w:sz w:val="18"/>
                <w:szCs w:val="18"/>
              </w:rPr>
              <w:t>Should attendance at IRMs be limited, and if so, how many representatives from each region should attend IRMs?</w:t>
            </w:r>
            <w:bookmarkEnd w:id="19"/>
          </w:p>
          <w:p w14:paraId="332449E4" w14:textId="77777777" w:rsidR="008E2646" w:rsidRPr="008E2646" w:rsidRDefault="008E2646" w:rsidP="008E2646">
            <w:pPr>
              <w:numPr>
                <w:ilvl w:val="0"/>
                <w:numId w:val="14"/>
              </w:numPr>
              <w:tabs>
                <w:tab w:val="clear" w:pos="794"/>
              </w:tabs>
              <w:bidi w:val="0"/>
              <w:spacing w:before="40" w:after="40" w:line="240" w:lineRule="auto"/>
              <w:ind w:left="227" w:hanging="227"/>
              <w:jc w:val="left"/>
              <w:rPr>
                <w:rFonts w:ascii="Calibri" w:eastAsia="Times New Roman" w:hAnsi="Calibri" w:cs="Times New Roman"/>
                <w:bCs/>
                <w:sz w:val="18"/>
                <w:szCs w:val="18"/>
              </w:rPr>
            </w:pPr>
            <w:bookmarkStart w:id="20" w:name="lt_pId094"/>
            <w:r w:rsidRPr="008E2646">
              <w:rPr>
                <w:rFonts w:ascii="Calibri" w:eastAsia="Times New Roman" w:hAnsi="Calibri" w:cs="Times New Roman"/>
                <w:bCs/>
                <w:sz w:val="18"/>
                <w:szCs w:val="18"/>
              </w:rPr>
              <w:t>How will chairmanship of IRMs be decided?</w:t>
            </w:r>
            <w:bookmarkEnd w:id="20"/>
          </w:p>
          <w:p w14:paraId="12338F37" w14:textId="77777777" w:rsidR="008E2646" w:rsidRPr="008E2646" w:rsidRDefault="008E2646" w:rsidP="008E2646">
            <w:pPr>
              <w:numPr>
                <w:ilvl w:val="0"/>
                <w:numId w:val="14"/>
              </w:numPr>
              <w:tabs>
                <w:tab w:val="clear" w:pos="794"/>
              </w:tabs>
              <w:bidi w:val="0"/>
              <w:spacing w:before="40" w:after="40" w:line="240" w:lineRule="auto"/>
              <w:ind w:left="227" w:hanging="227"/>
              <w:jc w:val="left"/>
              <w:rPr>
                <w:rFonts w:ascii="Calibri" w:eastAsia="Times New Roman" w:hAnsi="Calibri" w:cs="Times New Roman"/>
                <w:sz w:val="18"/>
                <w:szCs w:val="18"/>
              </w:rPr>
            </w:pPr>
            <w:bookmarkStart w:id="21" w:name="lt_pId095"/>
            <w:r w:rsidRPr="008E2646">
              <w:rPr>
                <w:rFonts w:ascii="Calibri" w:eastAsia="Times New Roman" w:hAnsi="Calibri" w:cs="Times New Roman"/>
                <w:bCs/>
                <w:sz w:val="18"/>
                <w:szCs w:val="18"/>
              </w:rPr>
              <w:t>What steps should be taken to ensure proper planning and coordination between RPMs, IRMs and RTO preparatory meetings?</w:t>
            </w:r>
            <w:bookmarkEnd w:id="21"/>
          </w:p>
        </w:tc>
        <w:tc>
          <w:tcPr>
            <w:tcW w:w="2443" w:type="dxa"/>
            <w:shd w:val="clear" w:color="auto" w:fill="FFF2CC"/>
          </w:tcPr>
          <w:p w14:paraId="5F09ED39"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t>1.</w:t>
            </w:r>
            <w:r w:rsidRPr="008E2646">
              <w:rPr>
                <w:rFonts w:ascii="Calibri" w:eastAsia="Times New Roman" w:hAnsi="Calibri" w:cs="Times New Roman"/>
                <w:sz w:val="18"/>
                <w:szCs w:val="18"/>
              </w:rPr>
              <w:t xml:space="preserve"> </w:t>
            </w:r>
            <w:bookmarkStart w:id="22" w:name="lt_pId097"/>
            <w:r w:rsidRPr="008E2646">
              <w:rPr>
                <w:rFonts w:ascii="Calibri" w:eastAsia="Times New Roman" w:hAnsi="Calibri" w:cs="Times New Roman"/>
                <w:sz w:val="18"/>
                <w:szCs w:val="18"/>
              </w:rPr>
              <w:t>One two-day meeting not together with TDAG (in replacement of CM-RPM).</w:t>
            </w:r>
            <w:bookmarkEnd w:id="22"/>
            <w:r w:rsidRPr="008E2646">
              <w:rPr>
                <w:rFonts w:ascii="Calibri" w:eastAsia="Times New Roman" w:hAnsi="Calibri" w:cs="Times New Roman"/>
                <w:sz w:val="18"/>
                <w:szCs w:val="18"/>
              </w:rPr>
              <w:t xml:space="preserve">  </w:t>
            </w:r>
            <w:bookmarkStart w:id="23" w:name="lt_pId098"/>
            <w:r w:rsidRPr="008E2646">
              <w:rPr>
                <w:rFonts w:ascii="Calibri" w:eastAsia="Times New Roman" w:hAnsi="Calibri" w:cs="Times New Roman"/>
                <w:sz w:val="18"/>
                <w:szCs w:val="18"/>
              </w:rPr>
              <w:t>Focus on small list of critical issues defined at RPMs, and on organizational and management issues of WTDC.</w:t>
            </w:r>
            <w:bookmarkEnd w:id="23"/>
          </w:p>
          <w:p w14:paraId="1ADE7F0C"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t>2.</w:t>
            </w:r>
            <w:r w:rsidRPr="008E2646">
              <w:rPr>
                <w:rFonts w:ascii="Calibri" w:eastAsia="Times New Roman" w:hAnsi="Calibri" w:cs="Times New Roman"/>
                <w:sz w:val="18"/>
                <w:szCs w:val="18"/>
              </w:rPr>
              <w:t xml:space="preserve"> </w:t>
            </w:r>
            <w:bookmarkStart w:id="24" w:name="lt_pId100"/>
            <w:r w:rsidRPr="008E2646">
              <w:rPr>
                <w:rFonts w:ascii="Calibri" w:eastAsia="Times New Roman" w:hAnsi="Calibri" w:cs="Times New Roman"/>
                <w:sz w:val="18"/>
                <w:szCs w:val="18"/>
              </w:rPr>
              <w:t>The IRMs could help reaching a preliminary agreement, but any changes to the preparatory process must keep the sovereign right of any Member State to submit contributions at WTDC by their own.</w:t>
            </w:r>
            <w:bookmarkEnd w:id="24"/>
          </w:p>
          <w:p w14:paraId="64BCB2F1"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b/>
                <w:bCs/>
                <w:sz w:val="18"/>
                <w:szCs w:val="18"/>
              </w:rPr>
            </w:pPr>
            <w:r w:rsidRPr="008E2646">
              <w:rPr>
                <w:rFonts w:ascii="Calibri" w:eastAsia="Times New Roman" w:hAnsi="Calibri" w:cs="Times New Roman"/>
                <w:b/>
                <w:bCs/>
                <w:sz w:val="18"/>
                <w:szCs w:val="18"/>
              </w:rPr>
              <w:t xml:space="preserve">3. </w:t>
            </w:r>
          </w:p>
          <w:p w14:paraId="3629C19C"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bCs/>
                <w:sz w:val="18"/>
                <w:szCs w:val="18"/>
              </w:rPr>
            </w:pPr>
            <w:bookmarkStart w:id="25" w:name="lt_pId102"/>
            <w:r w:rsidRPr="008E2646">
              <w:rPr>
                <w:rFonts w:ascii="Calibri" w:eastAsia="Times New Roman" w:hAnsi="Calibri" w:cs="Times New Roman"/>
                <w:bCs/>
                <w:sz w:val="18"/>
                <w:szCs w:val="18"/>
              </w:rPr>
              <w:t xml:space="preserve">Discussion towards the list of WTDC documents (Resolutions, Declaration, etc.) reflecting the preliminary proposals of </w:t>
            </w:r>
            <w:proofErr w:type="gramStart"/>
            <w:r w:rsidRPr="008E2646">
              <w:rPr>
                <w:rFonts w:ascii="Calibri" w:eastAsia="Times New Roman" w:hAnsi="Calibri" w:cs="Times New Roman"/>
                <w:bCs/>
                <w:sz w:val="18"/>
                <w:szCs w:val="18"/>
              </w:rPr>
              <w:t>RTO;</w:t>
            </w:r>
            <w:bookmarkEnd w:id="25"/>
            <w:proofErr w:type="gramEnd"/>
          </w:p>
          <w:p w14:paraId="7AF55363"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bCs/>
                <w:sz w:val="18"/>
                <w:szCs w:val="18"/>
              </w:rPr>
            </w:pPr>
            <w:bookmarkStart w:id="26" w:name="lt_pId103"/>
            <w:r w:rsidRPr="008E2646">
              <w:rPr>
                <w:rFonts w:ascii="Calibri" w:eastAsia="Times New Roman" w:hAnsi="Calibri" w:cs="Times New Roman"/>
                <w:bCs/>
                <w:sz w:val="18"/>
                <w:szCs w:val="18"/>
              </w:rPr>
              <w:t xml:space="preserve">List of RTO’s coordinators on the each of document discussed </w:t>
            </w:r>
            <w:proofErr w:type="gramStart"/>
            <w:r w:rsidRPr="008E2646">
              <w:rPr>
                <w:rFonts w:ascii="Calibri" w:eastAsia="Times New Roman" w:hAnsi="Calibri" w:cs="Times New Roman"/>
                <w:bCs/>
                <w:sz w:val="18"/>
                <w:szCs w:val="18"/>
              </w:rPr>
              <w:t>above;</w:t>
            </w:r>
            <w:bookmarkEnd w:id="26"/>
            <w:proofErr w:type="gramEnd"/>
          </w:p>
          <w:p w14:paraId="308CF560"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sz w:val="18"/>
                <w:szCs w:val="18"/>
              </w:rPr>
            </w:pPr>
            <w:bookmarkStart w:id="27" w:name="lt_pId104"/>
            <w:r w:rsidRPr="008E2646">
              <w:rPr>
                <w:rFonts w:ascii="Calibri" w:eastAsia="Times New Roman" w:hAnsi="Calibri" w:cs="Times New Roman"/>
                <w:bCs/>
                <w:sz w:val="18"/>
                <w:szCs w:val="18"/>
              </w:rPr>
              <w:t>Identification of possible problematic documents for WTDC.</w:t>
            </w:r>
            <w:bookmarkEnd w:id="27"/>
          </w:p>
          <w:p w14:paraId="2AAE39D2"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t xml:space="preserve">4. </w:t>
            </w:r>
            <w:bookmarkStart w:id="28" w:name="lt_pId106"/>
            <w:r w:rsidRPr="008E2646">
              <w:rPr>
                <w:rFonts w:ascii="Calibri" w:eastAsia="Times New Roman" w:hAnsi="Calibri" w:cs="Times New Roman"/>
                <w:sz w:val="18"/>
                <w:szCs w:val="18"/>
              </w:rPr>
              <w:t>IRM’s should be limited to the nominated coordinators from RTOs.</w:t>
            </w:r>
            <w:bookmarkEnd w:id="28"/>
          </w:p>
          <w:p w14:paraId="78ECEDE0"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lastRenderedPageBreak/>
              <w:t xml:space="preserve">5. </w:t>
            </w:r>
            <w:bookmarkStart w:id="29" w:name="lt_pId108"/>
            <w:r w:rsidRPr="008E2646">
              <w:rPr>
                <w:rFonts w:ascii="Calibri" w:eastAsia="Times New Roman" w:hAnsi="Calibri" w:cs="Times New Roman"/>
                <w:sz w:val="18"/>
                <w:szCs w:val="18"/>
              </w:rPr>
              <w:t>Chairman of WTDC-21 should chair the IRMs preferably.</w:t>
            </w:r>
            <w:bookmarkEnd w:id="29"/>
          </w:p>
          <w:p w14:paraId="346E9A3E"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t xml:space="preserve">6. </w:t>
            </w:r>
            <w:bookmarkStart w:id="30" w:name="lt_pId110"/>
            <w:r w:rsidRPr="008E2646">
              <w:rPr>
                <w:rFonts w:ascii="Calibri" w:eastAsia="Times New Roman" w:hAnsi="Calibri" w:cs="Times New Roman"/>
                <w:sz w:val="18"/>
                <w:szCs w:val="18"/>
              </w:rPr>
              <w:t>Last</w:t>
            </w:r>
            <w:r w:rsidRPr="008E2646">
              <w:rPr>
                <w:rFonts w:ascii="Calibri" w:eastAsia="Times New Roman" w:hAnsi="Calibri" w:cs="Times New Roman"/>
                <w:b/>
                <w:bCs/>
                <w:sz w:val="18"/>
                <w:szCs w:val="18"/>
              </w:rPr>
              <w:t xml:space="preserve"> </w:t>
            </w:r>
            <w:r w:rsidRPr="008E2646">
              <w:rPr>
                <w:rFonts w:ascii="Calibri" w:eastAsia="Times New Roman" w:hAnsi="Calibri" w:cs="Times New Roman"/>
                <w:sz w:val="18"/>
                <w:szCs w:val="18"/>
              </w:rPr>
              <w:t>RTO preparatory meeting should include one/two days of inter-regional coordination, with presence of other RTOs.</w:t>
            </w:r>
            <w:bookmarkEnd w:id="30"/>
            <w:r w:rsidRPr="008E2646">
              <w:rPr>
                <w:rFonts w:ascii="Calibri" w:eastAsia="Times New Roman" w:hAnsi="Calibri" w:cs="Times New Roman"/>
                <w:sz w:val="18"/>
                <w:szCs w:val="18"/>
              </w:rPr>
              <w:t xml:space="preserve"> </w:t>
            </w:r>
            <w:bookmarkStart w:id="31" w:name="lt_pId111"/>
            <w:r w:rsidRPr="008E2646">
              <w:rPr>
                <w:rFonts w:ascii="Calibri" w:eastAsia="Times New Roman" w:hAnsi="Calibri" w:cs="Times New Roman"/>
                <w:sz w:val="18"/>
                <w:szCs w:val="18"/>
              </w:rPr>
              <w:t>This participation should be supported by:</w:t>
            </w:r>
            <w:bookmarkEnd w:id="31"/>
          </w:p>
          <w:p w14:paraId="12201DB5"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bCs/>
                <w:sz w:val="18"/>
                <w:szCs w:val="18"/>
              </w:rPr>
            </w:pPr>
            <w:bookmarkStart w:id="32" w:name="lt_pId112"/>
            <w:r w:rsidRPr="008E2646">
              <w:rPr>
                <w:rFonts w:ascii="Calibri" w:eastAsia="Times New Roman" w:hAnsi="Calibri" w:cs="Times New Roman"/>
                <w:bCs/>
                <w:sz w:val="18"/>
                <w:szCs w:val="18"/>
              </w:rPr>
              <w:t>Translation/interpretation to English.</w:t>
            </w:r>
            <w:bookmarkEnd w:id="32"/>
          </w:p>
          <w:p w14:paraId="752072C8"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bCs/>
                <w:sz w:val="18"/>
                <w:szCs w:val="18"/>
              </w:rPr>
            </w:pPr>
            <w:bookmarkStart w:id="33" w:name="lt_pId113"/>
            <w:r w:rsidRPr="008E2646">
              <w:rPr>
                <w:rFonts w:ascii="Calibri" w:eastAsia="Times New Roman" w:hAnsi="Calibri" w:cs="Times New Roman"/>
                <w:bCs/>
                <w:sz w:val="18"/>
                <w:szCs w:val="18"/>
              </w:rPr>
              <w:t>Invitations containing means to access online the documents, defined by the RTO for interregional consideration</w:t>
            </w:r>
            <w:bookmarkEnd w:id="33"/>
          </w:p>
          <w:p w14:paraId="78E04E2D"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sz w:val="18"/>
                <w:szCs w:val="18"/>
              </w:rPr>
            </w:pPr>
            <w:bookmarkStart w:id="34" w:name="lt_pId114"/>
            <w:r w:rsidRPr="008E2646">
              <w:rPr>
                <w:rFonts w:ascii="Calibri" w:eastAsia="Times New Roman" w:hAnsi="Calibri" w:cs="Times New Roman"/>
                <w:sz w:val="18"/>
                <w:szCs w:val="18"/>
              </w:rPr>
              <w:t>Agenda containing items related to the input documents of other regional organizations on their preparatory activity.</w:t>
            </w:r>
            <w:bookmarkEnd w:id="34"/>
          </w:p>
        </w:tc>
        <w:tc>
          <w:tcPr>
            <w:tcW w:w="2413" w:type="dxa"/>
            <w:shd w:val="clear" w:color="auto" w:fill="FFF2CC"/>
          </w:tcPr>
          <w:p w14:paraId="5024075D"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lastRenderedPageBreak/>
              <w:t>1.</w:t>
            </w:r>
            <w:r w:rsidRPr="008E2646">
              <w:rPr>
                <w:rFonts w:ascii="Calibri" w:eastAsia="Times New Roman" w:hAnsi="Calibri" w:cs="Times New Roman"/>
                <w:sz w:val="18"/>
                <w:szCs w:val="18"/>
              </w:rPr>
              <w:t xml:space="preserve"> </w:t>
            </w:r>
          </w:p>
          <w:p w14:paraId="113B4DBC" w14:textId="77777777" w:rsidR="008E2646" w:rsidRPr="008E2646" w:rsidRDefault="008E2646" w:rsidP="008E2646">
            <w:pPr>
              <w:numPr>
                <w:ilvl w:val="0"/>
                <w:numId w:val="15"/>
              </w:numPr>
              <w:tabs>
                <w:tab w:val="clear" w:pos="794"/>
              </w:tabs>
              <w:bidi w:val="0"/>
              <w:spacing w:before="40" w:after="40" w:line="240" w:lineRule="auto"/>
              <w:contextualSpacing/>
              <w:jc w:val="left"/>
              <w:rPr>
                <w:rFonts w:ascii="Calibri" w:eastAsia="Times New Roman" w:hAnsi="Calibri" w:cs="Times New Roman"/>
                <w:sz w:val="18"/>
                <w:szCs w:val="18"/>
                <w:lang w:val="id-ID"/>
              </w:rPr>
            </w:pPr>
            <w:bookmarkStart w:id="35" w:name="lt_pId116"/>
            <w:r w:rsidRPr="008E2646">
              <w:rPr>
                <w:rFonts w:ascii="Calibri" w:eastAsia="Times New Roman" w:hAnsi="Calibri" w:cs="Times New Roman"/>
                <w:sz w:val="18"/>
                <w:szCs w:val="18"/>
              </w:rPr>
              <w:t>One fully virtual/hybrid IRM prior to WTDC-21 to allow participation by all countries (including those still affected by COVID-19):</w:t>
            </w:r>
            <w:bookmarkEnd w:id="35"/>
            <w:r w:rsidRPr="008E2646">
              <w:rPr>
                <w:rFonts w:ascii="Calibri" w:eastAsia="Times New Roman" w:hAnsi="Calibri" w:cs="Times New Roman"/>
                <w:sz w:val="18"/>
                <w:szCs w:val="18"/>
              </w:rPr>
              <w:t xml:space="preserve"> </w:t>
            </w:r>
            <w:bookmarkStart w:id="36" w:name="lt_pId117"/>
            <w:r w:rsidRPr="008E2646">
              <w:rPr>
                <w:rFonts w:ascii="Calibri" w:eastAsia="Times New Roman" w:hAnsi="Calibri" w:cs="Times New Roman"/>
                <w:sz w:val="18"/>
                <w:szCs w:val="18"/>
              </w:rPr>
              <w:t>aim to minimize deadlock and potential unresolved contentious issues during WTDC-21, and to leverage IRM as a “mini-WTDC” to fully discuss ideas prior to WTDC.</w:t>
            </w:r>
            <w:bookmarkEnd w:id="36"/>
          </w:p>
          <w:p w14:paraId="2B21DBB2" w14:textId="77777777" w:rsidR="008E2646" w:rsidRPr="008E2646" w:rsidRDefault="008E2646" w:rsidP="008E2646">
            <w:pPr>
              <w:numPr>
                <w:ilvl w:val="0"/>
                <w:numId w:val="15"/>
              </w:numPr>
              <w:tabs>
                <w:tab w:val="clear" w:pos="794"/>
              </w:tabs>
              <w:bidi w:val="0"/>
              <w:spacing w:before="40" w:after="40" w:line="240" w:lineRule="auto"/>
              <w:contextualSpacing/>
              <w:jc w:val="left"/>
              <w:rPr>
                <w:rFonts w:ascii="Calibri" w:eastAsia="Times New Roman" w:hAnsi="Calibri" w:cs="Times New Roman"/>
                <w:sz w:val="18"/>
                <w:szCs w:val="18"/>
              </w:rPr>
            </w:pPr>
            <w:bookmarkStart w:id="37" w:name="lt_pId118"/>
            <w:r w:rsidRPr="008E2646">
              <w:rPr>
                <w:rFonts w:ascii="Calibri" w:eastAsia="Times New Roman" w:hAnsi="Calibri" w:cs="Times New Roman"/>
                <w:sz w:val="18"/>
                <w:szCs w:val="18"/>
              </w:rPr>
              <w:t xml:space="preserve">One </w:t>
            </w:r>
            <w:r w:rsidRPr="008E2646">
              <w:rPr>
                <w:rFonts w:ascii="Calibri" w:eastAsia="Times New Roman" w:hAnsi="Calibri" w:cs="Times New Roman"/>
                <w:sz w:val="18"/>
                <w:szCs w:val="18"/>
                <w:lang w:val="id-ID"/>
              </w:rPr>
              <w:t xml:space="preserve">IRM </w:t>
            </w:r>
            <w:r w:rsidRPr="008E2646">
              <w:rPr>
                <w:rFonts w:ascii="Calibri" w:eastAsia="Times New Roman" w:hAnsi="Calibri" w:cs="Times New Roman"/>
                <w:sz w:val="18"/>
                <w:szCs w:val="18"/>
              </w:rPr>
              <w:t xml:space="preserve">during 3Q </w:t>
            </w:r>
            <w:r w:rsidRPr="008E2646">
              <w:rPr>
                <w:rFonts w:ascii="Calibri" w:eastAsia="Times New Roman" w:hAnsi="Calibri" w:cs="Times New Roman"/>
                <w:sz w:val="18"/>
                <w:szCs w:val="18"/>
                <w:lang w:val="id-ID"/>
              </w:rPr>
              <w:t>of 2021</w:t>
            </w:r>
            <w:r w:rsidRPr="008E2646">
              <w:rPr>
                <w:rFonts w:ascii="Calibri" w:eastAsia="Times New Roman" w:hAnsi="Calibri" w:cs="Times New Roman"/>
                <w:sz w:val="18"/>
                <w:szCs w:val="18"/>
              </w:rPr>
              <w:t xml:space="preserve"> - allowing time for RTOs and MS to formulate (Preliminary) Regional Common Proposals for WTDC-21, and individual country proposals/amendments to existing texts.</w:t>
            </w:r>
            <w:bookmarkEnd w:id="37"/>
            <w:r w:rsidRPr="008E2646">
              <w:rPr>
                <w:rFonts w:ascii="Calibri" w:eastAsia="Times New Roman" w:hAnsi="Calibri" w:cs="Times New Roman"/>
                <w:sz w:val="18"/>
                <w:szCs w:val="18"/>
              </w:rPr>
              <w:t xml:space="preserve"> </w:t>
            </w:r>
            <w:bookmarkStart w:id="38" w:name="lt_pId119"/>
            <w:r w:rsidRPr="008E2646">
              <w:rPr>
                <w:rFonts w:ascii="Calibri" w:eastAsia="Times New Roman" w:hAnsi="Calibri" w:cs="Times New Roman"/>
                <w:sz w:val="18"/>
                <w:szCs w:val="18"/>
              </w:rPr>
              <w:t>Also allows delegates of MS to attend WTSA-20 (23 Feb.-5 March 2021) (1Q 2021).</w:t>
            </w:r>
            <w:bookmarkEnd w:id="38"/>
          </w:p>
          <w:p w14:paraId="4CF6108F" w14:textId="77777777" w:rsidR="008E2646" w:rsidRPr="008E2646" w:rsidRDefault="008E2646" w:rsidP="008E2646">
            <w:pPr>
              <w:numPr>
                <w:ilvl w:val="0"/>
                <w:numId w:val="15"/>
              </w:numPr>
              <w:tabs>
                <w:tab w:val="clear" w:pos="794"/>
              </w:tabs>
              <w:bidi w:val="0"/>
              <w:spacing w:before="40" w:after="40" w:line="240" w:lineRule="auto"/>
              <w:contextualSpacing/>
              <w:jc w:val="left"/>
              <w:rPr>
                <w:rFonts w:ascii="Calibri" w:eastAsia="Times New Roman" w:hAnsi="Calibri" w:cs="Times New Roman"/>
                <w:sz w:val="18"/>
                <w:szCs w:val="18"/>
                <w:lang w:val="id-ID"/>
              </w:rPr>
            </w:pPr>
            <w:bookmarkStart w:id="39" w:name="lt_pId120"/>
            <w:r w:rsidRPr="008E2646">
              <w:rPr>
                <w:rFonts w:ascii="Calibri" w:eastAsia="Times New Roman" w:hAnsi="Calibri" w:cs="Times New Roman"/>
                <w:sz w:val="18"/>
                <w:szCs w:val="18"/>
              </w:rPr>
              <w:t xml:space="preserve">IRMs </w:t>
            </w:r>
            <w:r w:rsidRPr="008E2646">
              <w:rPr>
                <w:rFonts w:ascii="Calibri" w:eastAsia="Times New Roman" w:hAnsi="Calibri" w:cs="Times New Roman"/>
                <w:sz w:val="18"/>
                <w:szCs w:val="18"/>
                <w:lang w:val="id-ID"/>
              </w:rPr>
              <w:t>should</w:t>
            </w:r>
            <w:r w:rsidRPr="008E2646">
              <w:rPr>
                <w:rFonts w:ascii="Calibri" w:eastAsia="Times New Roman" w:hAnsi="Calibri" w:cs="Times New Roman"/>
                <w:sz w:val="18"/>
                <w:szCs w:val="18"/>
              </w:rPr>
              <w:t xml:space="preserve"> </w:t>
            </w:r>
            <w:r w:rsidRPr="008E2646">
              <w:rPr>
                <w:rFonts w:ascii="Calibri" w:eastAsia="Times New Roman" w:hAnsi="Calibri" w:cs="Times New Roman"/>
                <w:sz w:val="18"/>
                <w:szCs w:val="18"/>
                <w:lang w:val="id-ID"/>
              </w:rPr>
              <w:t>not coincide</w:t>
            </w:r>
            <w:r w:rsidRPr="008E2646">
              <w:rPr>
                <w:rFonts w:ascii="Calibri" w:eastAsia="Times New Roman" w:hAnsi="Calibri" w:cs="Times New Roman"/>
                <w:sz w:val="18"/>
                <w:szCs w:val="18"/>
              </w:rPr>
              <w:t xml:space="preserve"> </w:t>
            </w:r>
            <w:r w:rsidRPr="008E2646">
              <w:rPr>
                <w:rFonts w:ascii="Calibri" w:eastAsia="Times New Roman" w:hAnsi="Calibri" w:cs="Times New Roman"/>
                <w:sz w:val="18"/>
                <w:szCs w:val="18"/>
                <w:lang w:val="id-ID"/>
              </w:rPr>
              <w:t xml:space="preserve">with RPM and RTO </w:t>
            </w:r>
            <w:r w:rsidRPr="008E2646">
              <w:rPr>
                <w:rFonts w:ascii="Calibri" w:eastAsia="Times New Roman" w:hAnsi="Calibri" w:cs="Times New Roman"/>
                <w:sz w:val="18"/>
                <w:szCs w:val="18"/>
              </w:rPr>
              <w:t xml:space="preserve">Preparatory </w:t>
            </w:r>
            <w:r w:rsidRPr="008E2646">
              <w:rPr>
                <w:rFonts w:ascii="Calibri" w:eastAsia="Times New Roman" w:hAnsi="Calibri" w:cs="Times New Roman"/>
                <w:sz w:val="18"/>
                <w:szCs w:val="18"/>
                <w:lang w:val="id-ID"/>
              </w:rPr>
              <w:t>Meeting</w:t>
            </w:r>
            <w:r w:rsidRPr="008E2646">
              <w:rPr>
                <w:rFonts w:ascii="Calibri" w:eastAsia="Times New Roman" w:hAnsi="Calibri" w:cs="Times New Roman"/>
                <w:sz w:val="18"/>
                <w:szCs w:val="18"/>
              </w:rPr>
              <w:t>s</w:t>
            </w:r>
            <w:r w:rsidRPr="008E2646">
              <w:rPr>
                <w:rFonts w:ascii="Calibri" w:eastAsia="Times New Roman" w:hAnsi="Calibri" w:cs="Times New Roman"/>
                <w:sz w:val="18"/>
                <w:szCs w:val="18"/>
                <w:lang w:val="id-ID"/>
              </w:rPr>
              <w:t>.</w:t>
            </w:r>
            <w:bookmarkEnd w:id="39"/>
            <w:r w:rsidRPr="008E2646">
              <w:rPr>
                <w:rFonts w:ascii="Calibri" w:eastAsia="Times New Roman" w:hAnsi="Calibri" w:cs="Times New Roman"/>
                <w:sz w:val="18"/>
                <w:szCs w:val="18"/>
              </w:rPr>
              <w:t xml:space="preserve"> </w:t>
            </w:r>
            <w:bookmarkStart w:id="40" w:name="lt_pId121"/>
            <w:r w:rsidRPr="008E2646">
              <w:rPr>
                <w:rFonts w:ascii="Calibri" w:eastAsia="Times New Roman" w:hAnsi="Calibri" w:cs="Times New Roman"/>
                <w:sz w:val="18"/>
                <w:szCs w:val="18"/>
              </w:rPr>
              <w:t>Consultation BDT-RTOs necessary.</w:t>
            </w:r>
            <w:bookmarkEnd w:id="40"/>
            <w:r w:rsidRPr="008E2646">
              <w:rPr>
                <w:rFonts w:ascii="Calibri" w:eastAsia="Times New Roman" w:hAnsi="Calibri" w:cs="Times New Roman"/>
                <w:sz w:val="18"/>
                <w:szCs w:val="18"/>
                <w:lang w:val="id-ID"/>
              </w:rPr>
              <w:t xml:space="preserve"> </w:t>
            </w:r>
            <w:bookmarkStart w:id="41" w:name="lt_pId122"/>
            <w:r w:rsidRPr="008E2646">
              <w:rPr>
                <w:rFonts w:ascii="Calibri" w:eastAsia="Times New Roman" w:hAnsi="Calibri" w:cs="Times New Roman"/>
                <w:sz w:val="18"/>
                <w:szCs w:val="18"/>
              </w:rPr>
              <w:lastRenderedPageBreak/>
              <w:t>Proposed schedule for ASP</w:t>
            </w:r>
            <w:r w:rsidRPr="008E2646">
              <w:rPr>
                <w:rFonts w:ascii="Calibri" w:eastAsia="Times New Roman" w:hAnsi="Calibri" w:cs="Times New Roman"/>
                <w:sz w:val="18"/>
                <w:szCs w:val="18"/>
                <w:lang w:val="id-ID"/>
              </w:rPr>
              <w:t xml:space="preserve"> in Annex</w:t>
            </w:r>
            <w:r w:rsidRPr="008E2646">
              <w:rPr>
                <w:rFonts w:ascii="Calibri" w:eastAsia="Times New Roman" w:hAnsi="Calibri" w:cs="Times New Roman"/>
                <w:sz w:val="18"/>
                <w:szCs w:val="18"/>
              </w:rPr>
              <w:t> </w:t>
            </w:r>
            <w:r w:rsidRPr="008E2646">
              <w:rPr>
                <w:rFonts w:ascii="Calibri" w:eastAsia="Times New Roman" w:hAnsi="Calibri" w:cs="Times New Roman"/>
                <w:sz w:val="18"/>
                <w:szCs w:val="18"/>
                <w:lang w:val="id-ID"/>
              </w:rPr>
              <w:t>1.</w:t>
            </w:r>
            <w:bookmarkEnd w:id="41"/>
          </w:p>
          <w:p w14:paraId="16E61013"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t>2.</w:t>
            </w:r>
            <w:r w:rsidRPr="008E2646">
              <w:rPr>
                <w:rFonts w:ascii="Calibri" w:eastAsia="Times New Roman" w:hAnsi="Calibri" w:cs="Times New Roman"/>
                <w:sz w:val="18"/>
                <w:szCs w:val="18"/>
              </w:rPr>
              <w:t xml:space="preserve"> </w:t>
            </w:r>
            <w:bookmarkStart w:id="42" w:name="lt_pId124"/>
            <w:r w:rsidRPr="008E2646">
              <w:rPr>
                <w:rFonts w:ascii="Calibri" w:eastAsia="Times New Roman" w:hAnsi="Calibri" w:cs="Times New Roman"/>
                <w:sz w:val="18"/>
                <w:szCs w:val="18"/>
              </w:rPr>
              <w:t xml:space="preserve">Attendance fully open to MS so IRM become a platform where RTOs and MS can discuss and debate their views regarding proposals for streamlining of WTDC texts, prior to WTDC (refer to </w:t>
            </w:r>
            <w:r w:rsidRPr="008E2646">
              <w:rPr>
                <w:rFonts w:ascii="Calibri" w:eastAsia="Times New Roman" w:hAnsi="Calibri" w:cs="Times New Roman"/>
                <w:sz w:val="18"/>
                <w:szCs w:val="18"/>
                <w:lang w:val="id-ID"/>
              </w:rPr>
              <w:t>CPM</w:t>
            </w:r>
            <w:r w:rsidRPr="008E2646">
              <w:rPr>
                <w:rFonts w:ascii="Calibri" w:eastAsia="Times New Roman" w:hAnsi="Calibri" w:cs="Times New Roman"/>
                <w:sz w:val="18"/>
                <w:szCs w:val="18"/>
              </w:rPr>
              <w:t xml:space="preserve"> for </w:t>
            </w:r>
            <w:r w:rsidRPr="008E2646">
              <w:rPr>
                <w:rFonts w:ascii="Calibri" w:eastAsia="Times New Roman" w:hAnsi="Calibri" w:cs="Times New Roman"/>
                <w:sz w:val="18"/>
                <w:szCs w:val="18"/>
                <w:lang w:val="id-ID"/>
              </w:rPr>
              <w:t>WRC-19 and Interregional Meeting for WTSA-20.</w:t>
            </w:r>
            <w:bookmarkEnd w:id="42"/>
          </w:p>
          <w:p w14:paraId="13035F61"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t xml:space="preserve">3. </w:t>
            </w:r>
            <w:bookmarkStart w:id="43" w:name="lt_pId126"/>
            <w:r w:rsidRPr="008E2646">
              <w:rPr>
                <w:rFonts w:ascii="Calibri" w:eastAsia="Times New Roman" w:hAnsi="Calibri" w:cs="Times New Roman"/>
                <w:sz w:val="18"/>
                <w:szCs w:val="18"/>
              </w:rPr>
              <w:t>The IRM Agenda should comprise of the following items, but not limited to:</w:t>
            </w:r>
            <w:bookmarkEnd w:id="43"/>
            <w:r w:rsidRPr="008E2646">
              <w:rPr>
                <w:rFonts w:ascii="Calibri" w:eastAsia="Times New Roman" w:hAnsi="Calibri" w:cs="Times New Roman"/>
                <w:sz w:val="18"/>
                <w:szCs w:val="18"/>
              </w:rPr>
              <w:t xml:space="preserve"> </w:t>
            </w:r>
          </w:p>
          <w:p w14:paraId="036EC1BE"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bCs/>
                <w:sz w:val="18"/>
                <w:szCs w:val="18"/>
              </w:rPr>
            </w:pPr>
            <w:bookmarkStart w:id="44" w:name="lt_pId127"/>
            <w:r w:rsidRPr="008E2646">
              <w:rPr>
                <w:rFonts w:ascii="Calibri" w:eastAsia="Times New Roman" w:hAnsi="Calibri" w:cs="Times New Roman"/>
                <w:bCs/>
                <w:sz w:val="18"/>
                <w:szCs w:val="18"/>
              </w:rPr>
              <w:t>Suppression, modification, or streamlining of WTDC resolutions</w:t>
            </w:r>
            <w:bookmarkEnd w:id="44"/>
          </w:p>
          <w:p w14:paraId="4B0B3DA9"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bCs/>
                <w:sz w:val="18"/>
                <w:szCs w:val="18"/>
              </w:rPr>
            </w:pPr>
            <w:bookmarkStart w:id="45" w:name="lt_pId128"/>
            <w:r w:rsidRPr="008E2646">
              <w:rPr>
                <w:rFonts w:ascii="Calibri" w:eastAsia="Times New Roman" w:hAnsi="Calibri" w:cs="Times New Roman"/>
                <w:bCs/>
                <w:sz w:val="18"/>
                <w:szCs w:val="18"/>
              </w:rPr>
              <w:t>Structure and agenda of WTDC-21 (ideas on how the high-level track and side events would be arranged to maximize their impact for future ITU-D projects)</w:t>
            </w:r>
            <w:bookmarkEnd w:id="45"/>
          </w:p>
          <w:p w14:paraId="0949599C"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b/>
                <w:bCs/>
                <w:sz w:val="18"/>
                <w:szCs w:val="18"/>
              </w:rPr>
            </w:pPr>
            <w:bookmarkStart w:id="46" w:name="lt_pId129"/>
            <w:r w:rsidRPr="008E2646">
              <w:rPr>
                <w:rFonts w:ascii="Calibri" w:eastAsia="Times New Roman" w:hAnsi="Calibri" w:cs="Times New Roman"/>
                <w:sz w:val="18"/>
                <w:szCs w:val="18"/>
              </w:rPr>
              <w:t>Target invitations (ITU-D member countries, sector members, academia, funding entities, etc.)</w:t>
            </w:r>
            <w:bookmarkEnd w:id="46"/>
          </w:p>
          <w:p w14:paraId="5DFF67A6"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lang w:val="id-ID"/>
              </w:rPr>
            </w:pPr>
            <w:r w:rsidRPr="008E2646">
              <w:rPr>
                <w:rFonts w:ascii="Calibri" w:eastAsia="Times New Roman" w:hAnsi="Calibri" w:cs="Times New Roman"/>
                <w:b/>
                <w:bCs/>
                <w:sz w:val="18"/>
                <w:szCs w:val="18"/>
              </w:rPr>
              <w:t xml:space="preserve">4. </w:t>
            </w:r>
            <w:bookmarkStart w:id="47" w:name="lt_pId131"/>
            <w:r w:rsidRPr="008E2646">
              <w:rPr>
                <w:rFonts w:ascii="Calibri" w:eastAsia="Times New Roman" w:hAnsi="Calibri" w:cs="Times New Roman"/>
                <w:sz w:val="18"/>
                <w:szCs w:val="18"/>
              </w:rPr>
              <w:t xml:space="preserve">Attendance fully open to MS so IRM become a platform where RTOs and MS can discuss and debate their views regarding proposals for streamlining of WTDC texts, prior to WTDC (refer to </w:t>
            </w:r>
            <w:r w:rsidRPr="008E2646">
              <w:rPr>
                <w:rFonts w:ascii="Calibri" w:eastAsia="Times New Roman" w:hAnsi="Calibri" w:cs="Times New Roman"/>
                <w:sz w:val="18"/>
                <w:szCs w:val="18"/>
                <w:lang w:val="id-ID"/>
              </w:rPr>
              <w:t>CPM</w:t>
            </w:r>
            <w:r w:rsidRPr="008E2646">
              <w:rPr>
                <w:rFonts w:ascii="Calibri" w:eastAsia="Times New Roman" w:hAnsi="Calibri" w:cs="Times New Roman"/>
                <w:sz w:val="18"/>
                <w:szCs w:val="18"/>
              </w:rPr>
              <w:t xml:space="preserve"> for </w:t>
            </w:r>
            <w:r w:rsidRPr="008E2646">
              <w:rPr>
                <w:rFonts w:ascii="Calibri" w:eastAsia="Times New Roman" w:hAnsi="Calibri" w:cs="Times New Roman"/>
                <w:sz w:val="18"/>
                <w:szCs w:val="18"/>
                <w:lang w:val="id-ID"/>
              </w:rPr>
              <w:t>WRC-19 and Interregional Meeting for WTSA-20.</w:t>
            </w:r>
            <w:bookmarkEnd w:id="47"/>
          </w:p>
          <w:p w14:paraId="2A382B11"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b/>
                <w:bCs/>
                <w:sz w:val="18"/>
                <w:szCs w:val="18"/>
              </w:rPr>
            </w:pPr>
            <w:r w:rsidRPr="008E2646">
              <w:rPr>
                <w:rFonts w:ascii="Calibri" w:eastAsia="Times New Roman" w:hAnsi="Calibri" w:cs="Times New Roman"/>
                <w:b/>
                <w:bCs/>
                <w:sz w:val="18"/>
                <w:szCs w:val="18"/>
              </w:rPr>
              <w:lastRenderedPageBreak/>
              <w:t xml:space="preserve">5. </w:t>
            </w:r>
            <w:bookmarkStart w:id="48" w:name="lt_pId133"/>
            <w:r w:rsidRPr="008E2646">
              <w:rPr>
                <w:rFonts w:ascii="Calibri" w:eastAsia="Times New Roman" w:hAnsi="Calibri" w:cs="Times New Roman"/>
                <w:sz w:val="18"/>
                <w:szCs w:val="18"/>
                <w:lang w:val="id-ID"/>
              </w:rPr>
              <w:t xml:space="preserve">The chairmanship </w:t>
            </w:r>
            <w:r w:rsidRPr="008E2646">
              <w:rPr>
                <w:rFonts w:ascii="Calibri" w:eastAsia="Times New Roman" w:hAnsi="Calibri" w:cs="Times New Roman"/>
                <w:sz w:val="18"/>
                <w:szCs w:val="18"/>
              </w:rPr>
              <w:t xml:space="preserve">and office bearers </w:t>
            </w:r>
            <w:r w:rsidRPr="008E2646">
              <w:rPr>
                <w:rFonts w:ascii="Calibri" w:eastAsia="Times New Roman" w:hAnsi="Calibri" w:cs="Times New Roman"/>
                <w:sz w:val="18"/>
                <w:szCs w:val="18"/>
                <w:lang w:val="id-ID"/>
              </w:rPr>
              <w:t xml:space="preserve">of </w:t>
            </w:r>
            <w:r w:rsidRPr="008E2646">
              <w:rPr>
                <w:rFonts w:ascii="Calibri" w:eastAsia="Times New Roman" w:hAnsi="Calibri" w:cs="Times New Roman"/>
                <w:sz w:val="18"/>
                <w:szCs w:val="18"/>
              </w:rPr>
              <w:t xml:space="preserve">the </w:t>
            </w:r>
            <w:r w:rsidRPr="008E2646">
              <w:rPr>
                <w:rFonts w:ascii="Calibri" w:eastAsia="Times New Roman" w:hAnsi="Calibri" w:cs="Times New Roman"/>
                <w:sz w:val="18"/>
                <w:szCs w:val="18"/>
                <w:lang w:val="id-ID"/>
              </w:rPr>
              <w:t xml:space="preserve">IRM should be decided </w:t>
            </w:r>
            <w:r w:rsidRPr="008E2646">
              <w:rPr>
                <w:rFonts w:ascii="Calibri" w:eastAsia="Times New Roman" w:hAnsi="Calibri" w:cs="Times New Roman"/>
                <w:sz w:val="18"/>
                <w:szCs w:val="18"/>
              </w:rPr>
              <w:t xml:space="preserve">during </w:t>
            </w:r>
            <w:r w:rsidRPr="008E2646">
              <w:rPr>
                <w:rFonts w:ascii="Calibri" w:eastAsia="Times New Roman" w:hAnsi="Calibri" w:cs="Times New Roman"/>
                <w:sz w:val="18"/>
                <w:szCs w:val="18"/>
                <w:lang w:val="id-ID"/>
              </w:rPr>
              <w:t>TDAG-20</w:t>
            </w:r>
            <w:r w:rsidRPr="008E2646">
              <w:rPr>
                <w:rFonts w:ascii="Calibri" w:eastAsia="Times New Roman" w:hAnsi="Calibri" w:cs="Times New Roman"/>
                <w:sz w:val="18"/>
                <w:szCs w:val="18"/>
              </w:rPr>
              <w:t>/</w:t>
            </w:r>
            <w:r w:rsidRPr="008E2646">
              <w:rPr>
                <w:rFonts w:ascii="Calibri" w:eastAsia="Times New Roman" w:hAnsi="Calibri" w:cs="Times New Roman"/>
                <w:sz w:val="18"/>
                <w:szCs w:val="18"/>
                <w:lang w:val="id-ID"/>
              </w:rPr>
              <w:t>3</w:t>
            </w:r>
            <w:r w:rsidRPr="008E2646">
              <w:rPr>
                <w:rFonts w:ascii="Calibri" w:eastAsia="Times New Roman" w:hAnsi="Calibri" w:cs="Times New Roman"/>
                <w:sz w:val="18"/>
                <w:szCs w:val="18"/>
              </w:rPr>
              <w:t>, on</w:t>
            </w:r>
            <w:r w:rsidRPr="008E2646">
              <w:rPr>
                <w:rFonts w:ascii="Calibri" w:eastAsia="Times New Roman" w:hAnsi="Calibri" w:cs="Times New Roman"/>
                <w:sz w:val="18"/>
                <w:szCs w:val="18"/>
                <w:lang w:val="id-ID"/>
              </w:rPr>
              <w:t xml:space="preserve"> 23 November 2020</w:t>
            </w:r>
            <w:r w:rsidRPr="008E2646">
              <w:rPr>
                <w:rFonts w:ascii="Calibri" w:eastAsia="Times New Roman" w:hAnsi="Calibri" w:cs="Times New Roman"/>
                <w:sz w:val="18"/>
                <w:szCs w:val="18"/>
              </w:rPr>
              <w:t>.</w:t>
            </w:r>
            <w:bookmarkEnd w:id="48"/>
          </w:p>
        </w:tc>
        <w:tc>
          <w:tcPr>
            <w:tcW w:w="2819" w:type="dxa"/>
            <w:shd w:val="clear" w:color="auto" w:fill="FFF2CC"/>
          </w:tcPr>
          <w:p w14:paraId="47D8E3E5"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sz w:val="18"/>
                <w:szCs w:val="18"/>
              </w:rPr>
              <w:lastRenderedPageBreak/>
              <w:t>--</w:t>
            </w:r>
          </w:p>
        </w:tc>
        <w:tc>
          <w:tcPr>
            <w:tcW w:w="1841" w:type="dxa"/>
            <w:shd w:val="clear" w:color="auto" w:fill="FFF2CC"/>
          </w:tcPr>
          <w:p w14:paraId="66ABB549"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t>1.</w:t>
            </w:r>
            <w:r w:rsidRPr="008E2646">
              <w:rPr>
                <w:rFonts w:ascii="Calibri" w:eastAsia="Times New Roman" w:hAnsi="Calibri" w:cs="Times New Roman"/>
                <w:sz w:val="18"/>
                <w:szCs w:val="18"/>
              </w:rPr>
              <w:t xml:space="preserve"> </w:t>
            </w:r>
            <w:bookmarkStart w:id="49" w:name="lt_pId136"/>
            <w:r w:rsidRPr="008E2646">
              <w:rPr>
                <w:rFonts w:ascii="Calibri" w:eastAsia="Times New Roman" w:hAnsi="Calibri" w:cs="Times New Roman"/>
                <w:sz w:val="18"/>
                <w:szCs w:val="18"/>
              </w:rPr>
              <w:t xml:space="preserve">IRMs to be held after every two RPMs (after 2, 4, 6 RPMs), </w:t>
            </w:r>
            <w:r w:rsidRPr="008E2646">
              <w:rPr>
                <w:rFonts w:ascii="Calibri" w:eastAsia="Times New Roman" w:hAnsi="Calibri" w:cs="Times New Roman"/>
                <w:i/>
                <w:iCs/>
                <w:sz w:val="18"/>
                <w:szCs w:val="18"/>
              </w:rPr>
              <w:t>i.e.</w:t>
            </w:r>
            <w:r w:rsidRPr="008E2646">
              <w:rPr>
                <w:rFonts w:ascii="Calibri" w:eastAsia="Times New Roman" w:hAnsi="Calibri" w:cs="Times New Roman"/>
                <w:sz w:val="18"/>
                <w:szCs w:val="18"/>
              </w:rPr>
              <w:t xml:space="preserve"> three in 2021, with possibility to hold additional IRMs if needed.</w:t>
            </w:r>
            <w:bookmarkEnd w:id="49"/>
            <w:r w:rsidRPr="008E2646">
              <w:rPr>
                <w:rFonts w:ascii="Calibri" w:eastAsia="Times New Roman" w:hAnsi="Calibri" w:cs="Times New Roman"/>
                <w:sz w:val="18"/>
                <w:szCs w:val="18"/>
              </w:rPr>
              <w:t xml:space="preserve"> </w:t>
            </w:r>
            <w:bookmarkStart w:id="50" w:name="lt_pId137"/>
            <w:r w:rsidRPr="008E2646">
              <w:rPr>
                <w:rFonts w:ascii="Calibri" w:eastAsia="Times New Roman" w:hAnsi="Calibri" w:cs="Times New Roman"/>
                <w:sz w:val="18"/>
                <w:szCs w:val="18"/>
              </w:rPr>
              <w:t>Need reasonable time after RPMs (</w:t>
            </w:r>
            <w:r w:rsidRPr="008E2646">
              <w:rPr>
                <w:rFonts w:ascii="Calibri" w:eastAsia="Times New Roman" w:hAnsi="Calibri" w:cs="Times New Roman"/>
                <w:i/>
                <w:iCs/>
                <w:sz w:val="18"/>
                <w:szCs w:val="18"/>
              </w:rPr>
              <w:t>e. g.</w:t>
            </w:r>
            <w:r w:rsidRPr="008E2646">
              <w:rPr>
                <w:rFonts w:ascii="Calibri" w:eastAsia="Times New Roman" w:hAnsi="Calibri" w:cs="Times New Roman"/>
                <w:sz w:val="18"/>
                <w:szCs w:val="18"/>
              </w:rPr>
              <w:t xml:space="preserve"> a week) till successive IRM to share the outcomes of regional meetings with the representatives of other regions and give them sufficient time to prepare for IRM.</w:t>
            </w:r>
            <w:bookmarkEnd w:id="50"/>
          </w:p>
          <w:p w14:paraId="64569D57"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t>2.</w:t>
            </w:r>
            <w:r w:rsidRPr="008E2646">
              <w:rPr>
                <w:rFonts w:ascii="Calibri" w:eastAsia="Times New Roman" w:hAnsi="Calibri" w:cs="Times New Roman"/>
                <w:sz w:val="18"/>
                <w:szCs w:val="18"/>
              </w:rPr>
              <w:t xml:space="preserve"> </w:t>
            </w:r>
            <w:bookmarkStart w:id="51" w:name="lt_pId139"/>
            <w:r w:rsidRPr="008E2646">
              <w:rPr>
                <w:rFonts w:ascii="Calibri" w:eastAsia="Times New Roman" w:hAnsi="Calibri" w:cs="Times New Roman"/>
                <w:sz w:val="18"/>
                <w:szCs w:val="18"/>
              </w:rPr>
              <w:t>Agenda for IRMs may be organized mainly basing on the proposals from BDT, RPMs and RTOs and cover the topics that need coordination between different regions.</w:t>
            </w:r>
            <w:bookmarkEnd w:id="51"/>
            <w:r w:rsidRPr="008E2646">
              <w:rPr>
                <w:rFonts w:ascii="Calibri" w:eastAsia="Times New Roman" w:hAnsi="Calibri" w:cs="Times New Roman"/>
                <w:sz w:val="18"/>
                <w:szCs w:val="18"/>
              </w:rPr>
              <w:t xml:space="preserve"> </w:t>
            </w:r>
            <w:bookmarkStart w:id="52" w:name="lt_pId140"/>
            <w:r w:rsidRPr="008E2646">
              <w:rPr>
                <w:rFonts w:ascii="Calibri" w:eastAsia="Times New Roman" w:hAnsi="Calibri" w:cs="Times New Roman"/>
                <w:sz w:val="18"/>
                <w:szCs w:val="18"/>
              </w:rPr>
              <w:t>IRMs shall also be used for sharing the relevant information (presenting the reports from regional activities).</w:t>
            </w:r>
            <w:bookmarkEnd w:id="52"/>
          </w:p>
          <w:p w14:paraId="69DEFB0E"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lastRenderedPageBreak/>
              <w:t>3.</w:t>
            </w:r>
            <w:r w:rsidRPr="008E2646">
              <w:rPr>
                <w:rFonts w:ascii="Calibri" w:eastAsia="Times New Roman" w:hAnsi="Calibri" w:cs="Times New Roman"/>
                <w:sz w:val="18"/>
                <w:szCs w:val="18"/>
              </w:rPr>
              <w:t xml:space="preserve"> </w:t>
            </w:r>
            <w:bookmarkStart w:id="53" w:name="lt_pId142"/>
            <w:r w:rsidRPr="008E2646">
              <w:rPr>
                <w:rFonts w:ascii="Calibri" w:eastAsia="Times New Roman" w:hAnsi="Calibri" w:cs="Times New Roman"/>
                <w:sz w:val="18"/>
                <w:szCs w:val="18"/>
              </w:rPr>
              <w:t>RTOs shall decide who will represent a region at IRMs, up to 5 representatives max. per region.</w:t>
            </w:r>
            <w:bookmarkEnd w:id="53"/>
            <w:r w:rsidRPr="008E2646">
              <w:rPr>
                <w:rFonts w:ascii="Calibri" w:eastAsia="Times New Roman" w:hAnsi="Calibri" w:cs="Times New Roman"/>
                <w:sz w:val="18"/>
                <w:szCs w:val="18"/>
              </w:rPr>
              <w:t xml:space="preserve"> </w:t>
            </w:r>
            <w:bookmarkStart w:id="54" w:name="lt_pId143"/>
            <w:r w:rsidRPr="008E2646">
              <w:rPr>
                <w:rFonts w:ascii="Calibri" w:eastAsia="Times New Roman" w:hAnsi="Calibri" w:cs="Times New Roman"/>
                <w:sz w:val="18"/>
                <w:szCs w:val="18"/>
              </w:rPr>
              <w:t>Representatives from other stakeholders involved in preparation of WTDC-21 may also attend.</w:t>
            </w:r>
            <w:bookmarkEnd w:id="54"/>
          </w:p>
          <w:p w14:paraId="2A5229DE"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t>4.</w:t>
            </w:r>
            <w:r w:rsidRPr="008E2646">
              <w:rPr>
                <w:rFonts w:ascii="Calibri" w:eastAsia="Times New Roman" w:hAnsi="Calibri" w:cs="Times New Roman"/>
                <w:sz w:val="18"/>
                <w:szCs w:val="18"/>
              </w:rPr>
              <w:t xml:space="preserve"> </w:t>
            </w:r>
            <w:bookmarkStart w:id="55" w:name="lt_pId145"/>
            <w:r w:rsidRPr="008E2646">
              <w:rPr>
                <w:rFonts w:ascii="Calibri" w:eastAsia="Times New Roman" w:hAnsi="Calibri" w:cs="Times New Roman"/>
                <w:sz w:val="18"/>
                <w:szCs w:val="18"/>
              </w:rPr>
              <w:t>The best practice of preparation for other ITU conferences shall be incorporated in planning and work of IRMs.</w:t>
            </w:r>
            <w:bookmarkEnd w:id="55"/>
          </w:p>
        </w:tc>
        <w:tc>
          <w:tcPr>
            <w:tcW w:w="2139" w:type="dxa"/>
            <w:shd w:val="clear" w:color="auto" w:fill="FFF2CC"/>
          </w:tcPr>
          <w:p w14:paraId="2D1D0510"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lang w:val="en-ZW"/>
              </w:rPr>
            </w:pPr>
            <w:r w:rsidRPr="008E2646">
              <w:rPr>
                <w:rFonts w:ascii="Calibri" w:eastAsia="Times New Roman" w:hAnsi="Calibri" w:cs="Times New Roman"/>
                <w:b/>
                <w:bCs/>
                <w:sz w:val="18"/>
                <w:szCs w:val="18"/>
              </w:rPr>
              <w:lastRenderedPageBreak/>
              <w:t>1-2-3.</w:t>
            </w:r>
            <w:r w:rsidRPr="008E2646">
              <w:rPr>
                <w:rFonts w:ascii="Calibri" w:eastAsia="Times New Roman" w:hAnsi="Calibri" w:cs="Times New Roman"/>
                <w:sz w:val="18"/>
                <w:szCs w:val="18"/>
              </w:rPr>
              <w:t xml:space="preserve"> </w:t>
            </w:r>
            <w:bookmarkStart w:id="56" w:name="lt_pId147"/>
            <w:r w:rsidRPr="008E2646">
              <w:rPr>
                <w:rFonts w:ascii="Calibri" w:eastAsia="Times New Roman" w:hAnsi="Calibri" w:cs="Times New Roman"/>
                <w:sz w:val="18"/>
                <w:szCs w:val="18"/>
                <w:lang w:val="en-ZW"/>
              </w:rPr>
              <w:t>The ideal:</w:t>
            </w:r>
            <w:bookmarkEnd w:id="56"/>
            <w:r w:rsidRPr="008E2646">
              <w:rPr>
                <w:rFonts w:ascii="Calibri" w:eastAsia="Times New Roman" w:hAnsi="Calibri" w:cs="Times New Roman"/>
                <w:sz w:val="18"/>
                <w:szCs w:val="18"/>
                <w:lang w:val="en-ZW"/>
              </w:rPr>
              <w:t xml:space="preserve"> </w:t>
            </w:r>
            <w:bookmarkStart w:id="57" w:name="lt_pId148"/>
            <w:r w:rsidRPr="008E2646">
              <w:rPr>
                <w:rFonts w:ascii="Calibri" w:eastAsia="Times New Roman" w:hAnsi="Calibri" w:cs="Times New Roman"/>
                <w:sz w:val="18"/>
                <w:szCs w:val="18"/>
                <w:lang w:val="en-ZW"/>
              </w:rPr>
              <w:t>one after every RPM.</w:t>
            </w:r>
            <w:bookmarkEnd w:id="57"/>
            <w:r w:rsidRPr="008E2646">
              <w:rPr>
                <w:rFonts w:ascii="Calibri" w:eastAsia="Times New Roman" w:hAnsi="Calibri" w:cs="Times New Roman"/>
                <w:sz w:val="18"/>
                <w:szCs w:val="18"/>
                <w:lang w:val="en-ZW"/>
              </w:rPr>
              <w:t xml:space="preserve"> </w:t>
            </w:r>
            <w:bookmarkStart w:id="58" w:name="lt_pId149"/>
            <w:r w:rsidRPr="008E2646">
              <w:rPr>
                <w:rFonts w:ascii="Calibri" w:eastAsia="Times New Roman" w:hAnsi="Calibri" w:cs="Times New Roman"/>
                <w:sz w:val="18"/>
                <w:szCs w:val="18"/>
                <w:lang w:val="en-ZW"/>
              </w:rPr>
              <w:t>Practically and due to cost issues, it is proposed to hold four IRMs as follows:</w:t>
            </w:r>
            <w:bookmarkEnd w:id="58"/>
          </w:p>
          <w:p w14:paraId="4D58015E"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sz w:val="18"/>
                <w:szCs w:val="18"/>
              </w:rPr>
            </w:pPr>
            <w:bookmarkStart w:id="59" w:name="lt_pId150"/>
            <w:r w:rsidRPr="008E2646">
              <w:rPr>
                <w:rFonts w:ascii="Calibri" w:eastAsia="Times New Roman" w:hAnsi="Calibri" w:cs="Times New Roman"/>
                <w:sz w:val="18"/>
                <w:szCs w:val="18"/>
              </w:rPr>
              <w:t>IRM after every two RPMs.</w:t>
            </w:r>
            <w:bookmarkEnd w:id="59"/>
            <w:r w:rsidRPr="008E2646">
              <w:rPr>
                <w:rFonts w:ascii="Calibri" w:eastAsia="Times New Roman" w:hAnsi="Calibri" w:cs="Times New Roman"/>
                <w:sz w:val="18"/>
                <w:szCs w:val="18"/>
              </w:rPr>
              <w:t xml:space="preserve">  </w:t>
            </w:r>
            <w:bookmarkStart w:id="60" w:name="lt_pId151"/>
            <w:r w:rsidRPr="008E2646">
              <w:rPr>
                <w:rFonts w:ascii="Calibri" w:eastAsia="Times New Roman" w:hAnsi="Calibri" w:cs="Times New Roman"/>
                <w:sz w:val="18"/>
                <w:szCs w:val="18"/>
              </w:rPr>
              <w:t>For example, after the AFR and ARB Regions RPMs that adopt the proposals for each region, an IRM attended by representatives from all regions, is held.</w:t>
            </w:r>
            <w:bookmarkEnd w:id="60"/>
            <w:r w:rsidRPr="008E2646">
              <w:rPr>
                <w:rFonts w:ascii="Calibri" w:eastAsia="Times New Roman" w:hAnsi="Calibri" w:cs="Times New Roman"/>
                <w:sz w:val="18"/>
                <w:szCs w:val="18"/>
              </w:rPr>
              <w:t xml:space="preserve"> </w:t>
            </w:r>
            <w:bookmarkStart w:id="61" w:name="lt_pId152"/>
            <w:r w:rsidRPr="008E2646">
              <w:rPr>
                <w:rFonts w:ascii="Calibri" w:eastAsia="Times New Roman" w:hAnsi="Calibri" w:cs="Times New Roman"/>
                <w:sz w:val="18"/>
                <w:szCs w:val="18"/>
              </w:rPr>
              <w:t>This would apply to rest of six regions.</w:t>
            </w:r>
            <w:bookmarkEnd w:id="61"/>
            <w:r w:rsidRPr="008E2646">
              <w:rPr>
                <w:rFonts w:ascii="Calibri" w:eastAsia="Times New Roman" w:hAnsi="Calibri" w:cs="Times New Roman"/>
                <w:sz w:val="18"/>
                <w:szCs w:val="18"/>
              </w:rPr>
              <w:t xml:space="preserve"> </w:t>
            </w:r>
            <w:bookmarkStart w:id="62" w:name="lt_pId153"/>
            <w:r w:rsidRPr="008E2646">
              <w:rPr>
                <w:rFonts w:ascii="Calibri" w:eastAsia="Times New Roman" w:hAnsi="Calibri" w:cs="Times New Roman"/>
                <w:sz w:val="18"/>
                <w:szCs w:val="18"/>
              </w:rPr>
              <w:t>At the end of all RPMs, three IRMs, would have been held.</w:t>
            </w:r>
            <w:bookmarkEnd w:id="62"/>
            <w:r w:rsidRPr="008E2646">
              <w:rPr>
                <w:rFonts w:ascii="Calibri" w:eastAsia="Times New Roman" w:hAnsi="Calibri" w:cs="Times New Roman"/>
                <w:sz w:val="18"/>
                <w:szCs w:val="18"/>
              </w:rPr>
              <w:t xml:space="preserve"> </w:t>
            </w:r>
          </w:p>
          <w:p w14:paraId="443942B9"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sz w:val="18"/>
                <w:szCs w:val="18"/>
              </w:rPr>
            </w:pPr>
            <w:bookmarkStart w:id="63" w:name="lt_pId154"/>
            <w:r w:rsidRPr="008E2646">
              <w:rPr>
                <w:rFonts w:ascii="Calibri" w:eastAsia="Times New Roman" w:hAnsi="Calibri" w:cs="Times New Roman"/>
                <w:sz w:val="18"/>
                <w:szCs w:val="18"/>
              </w:rPr>
              <w:t xml:space="preserve">Agendas of IRMs would be to discuss any issues of common interest arising from the relevant two RPMs, issues which the regions whose meetings preceded the IRM require support, as well as issues relating formulation of SG questions, streamlining of </w:t>
            </w:r>
            <w:r w:rsidRPr="008E2646">
              <w:rPr>
                <w:rFonts w:ascii="Calibri" w:eastAsia="Times New Roman" w:hAnsi="Calibri" w:cs="Times New Roman"/>
                <w:sz w:val="18"/>
                <w:szCs w:val="18"/>
              </w:rPr>
              <w:lastRenderedPageBreak/>
              <w:t>resolutions and regional priorities.</w:t>
            </w:r>
            <w:bookmarkEnd w:id="63"/>
          </w:p>
          <w:p w14:paraId="63C1894C"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sz w:val="18"/>
                <w:szCs w:val="18"/>
              </w:rPr>
            </w:pPr>
            <w:bookmarkStart w:id="64" w:name="lt_pId155"/>
            <w:r w:rsidRPr="008E2646">
              <w:rPr>
                <w:rFonts w:ascii="Calibri" w:eastAsia="Times New Roman" w:hAnsi="Calibri" w:cs="Times New Roman"/>
                <w:sz w:val="18"/>
                <w:szCs w:val="18"/>
              </w:rPr>
              <w:t xml:space="preserve">Final IRM at least two months before WTDC to review consolidated outcomes of the three IRMs and work at reaching consensus on Regional priorities/initiatives, new and or revised </w:t>
            </w:r>
            <w:proofErr w:type="spellStart"/>
            <w:r w:rsidRPr="008E2646">
              <w:rPr>
                <w:rFonts w:ascii="Calibri" w:eastAsia="Times New Roman" w:hAnsi="Calibri" w:cs="Times New Roman"/>
                <w:sz w:val="18"/>
                <w:szCs w:val="18"/>
              </w:rPr>
              <w:t>resolu</w:t>
            </w:r>
            <w:r w:rsidRPr="008E2646">
              <w:rPr>
                <w:rFonts w:ascii="Calibri" w:eastAsia="Times New Roman" w:hAnsi="Calibri" w:cs="Times New Roman"/>
                <w:sz w:val="18"/>
                <w:szCs w:val="18"/>
                <w:lang w:val="en-ZW"/>
              </w:rPr>
              <w:t>tions</w:t>
            </w:r>
            <w:proofErr w:type="spellEnd"/>
            <w:r w:rsidRPr="008E2646">
              <w:rPr>
                <w:rFonts w:ascii="Calibri" w:eastAsia="Times New Roman" w:hAnsi="Calibri" w:cs="Times New Roman"/>
                <w:sz w:val="18"/>
                <w:szCs w:val="18"/>
                <w:lang w:val="en-ZW"/>
              </w:rPr>
              <w:t>, strategic plan and budget, draft SG questions, Declaration and discuss strategic partnerships.</w:t>
            </w:r>
            <w:bookmarkEnd w:id="64"/>
          </w:p>
          <w:p w14:paraId="12BD1D80"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lang w:val="en-ZW"/>
              </w:rPr>
            </w:pPr>
            <w:r w:rsidRPr="008E2646">
              <w:rPr>
                <w:rFonts w:ascii="Calibri" w:eastAsia="Times New Roman" w:hAnsi="Calibri" w:cs="Times New Roman"/>
                <w:b/>
                <w:bCs/>
                <w:sz w:val="18"/>
                <w:szCs w:val="18"/>
              </w:rPr>
              <w:t>4-5.</w:t>
            </w:r>
            <w:r w:rsidRPr="008E2646">
              <w:rPr>
                <w:rFonts w:ascii="Calibri" w:eastAsia="Times New Roman" w:hAnsi="Calibri" w:cs="Times New Roman"/>
                <w:sz w:val="18"/>
                <w:szCs w:val="18"/>
              </w:rPr>
              <w:t xml:space="preserve"> </w:t>
            </w:r>
            <w:bookmarkStart w:id="65" w:name="lt_pId157"/>
            <w:r w:rsidRPr="008E2646">
              <w:rPr>
                <w:rFonts w:ascii="Calibri" w:eastAsia="Times New Roman" w:hAnsi="Calibri" w:cs="Times New Roman"/>
                <w:sz w:val="18"/>
                <w:szCs w:val="18"/>
                <w:lang w:val="en-ZW"/>
              </w:rPr>
              <w:t>Participation limited to a maximum of ten representatives per region (cut costs and keep meetings manageable).</w:t>
            </w:r>
            <w:bookmarkEnd w:id="65"/>
            <w:r w:rsidRPr="008E2646">
              <w:rPr>
                <w:rFonts w:ascii="Calibri" w:eastAsia="Times New Roman" w:hAnsi="Calibri" w:cs="Times New Roman"/>
                <w:sz w:val="18"/>
                <w:szCs w:val="18"/>
                <w:lang w:val="en-ZW"/>
              </w:rPr>
              <w:t xml:space="preserve"> </w:t>
            </w:r>
          </w:p>
          <w:p w14:paraId="7C2178C2"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lang w:val="en-ZW"/>
              </w:rPr>
            </w:pPr>
            <w:bookmarkStart w:id="66" w:name="lt_pId158"/>
            <w:r w:rsidRPr="008E2646">
              <w:rPr>
                <w:rFonts w:ascii="Calibri" w:eastAsia="Times New Roman" w:hAnsi="Calibri" w:cs="Times New Roman"/>
                <w:sz w:val="18"/>
                <w:szCs w:val="18"/>
                <w:lang w:val="en-ZW"/>
              </w:rPr>
              <w:t>Regions to use sub regions or geographical representation as a determining factor and have representatives that speak to underserved communities, when appointing representatives.</w:t>
            </w:r>
            <w:bookmarkEnd w:id="66"/>
            <w:r w:rsidRPr="008E2646">
              <w:rPr>
                <w:rFonts w:ascii="Calibri" w:eastAsia="Times New Roman" w:hAnsi="Calibri" w:cs="Times New Roman"/>
                <w:sz w:val="18"/>
                <w:szCs w:val="18"/>
                <w:lang w:val="en-ZW"/>
              </w:rPr>
              <w:t xml:space="preserve"> </w:t>
            </w:r>
            <w:bookmarkStart w:id="67" w:name="lt_pId159"/>
            <w:r w:rsidRPr="008E2646">
              <w:rPr>
                <w:rFonts w:ascii="Calibri" w:eastAsia="Times New Roman" w:hAnsi="Calibri" w:cs="Times New Roman"/>
                <w:sz w:val="18"/>
                <w:szCs w:val="18"/>
                <w:lang w:val="en-ZW"/>
              </w:rPr>
              <w:t xml:space="preserve">For </w:t>
            </w:r>
            <w:proofErr w:type="gramStart"/>
            <w:r w:rsidRPr="008E2646">
              <w:rPr>
                <w:rFonts w:ascii="Calibri" w:eastAsia="Times New Roman" w:hAnsi="Calibri" w:cs="Times New Roman"/>
                <w:sz w:val="18"/>
                <w:szCs w:val="18"/>
                <w:lang w:val="en-ZW"/>
              </w:rPr>
              <w:t>example</w:t>
            </w:r>
            <w:proofErr w:type="gramEnd"/>
            <w:r w:rsidRPr="008E2646">
              <w:rPr>
                <w:rFonts w:ascii="Calibri" w:eastAsia="Times New Roman" w:hAnsi="Calibri" w:cs="Times New Roman"/>
                <w:sz w:val="18"/>
                <w:szCs w:val="18"/>
                <w:lang w:val="en-ZW"/>
              </w:rPr>
              <w:t xml:space="preserve"> for Africa:</w:t>
            </w:r>
            <w:bookmarkEnd w:id="67"/>
            <w:r w:rsidRPr="008E2646">
              <w:rPr>
                <w:rFonts w:ascii="Calibri" w:eastAsia="Times New Roman" w:hAnsi="Calibri" w:cs="Times New Roman"/>
                <w:sz w:val="18"/>
                <w:szCs w:val="18"/>
                <w:lang w:val="en-ZW"/>
              </w:rPr>
              <w:t xml:space="preserve"> </w:t>
            </w:r>
            <w:bookmarkStart w:id="68" w:name="lt_pId160"/>
            <w:r w:rsidRPr="008E2646">
              <w:rPr>
                <w:rFonts w:ascii="Calibri" w:eastAsia="Times New Roman" w:hAnsi="Calibri" w:cs="Times New Roman"/>
                <w:sz w:val="18"/>
                <w:szCs w:val="18"/>
                <w:lang w:val="en-ZW"/>
              </w:rPr>
              <w:t>North Africa, Southern Africa, East Africa West Africa and central Africa.</w:t>
            </w:r>
            <w:bookmarkEnd w:id="68"/>
            <w:r w:rsidRPr="008E2646">
              <w:rPr>
                <w:rFonts w:ascii="Calibri" w:eastAsia="Times New Roman" w:hAnsi="Calibri" w:cs="Times New Roman"/>
                <w:sz w:val="18"/>
                <w:szCs w:val="18"/>
                <w:lang w:val="en-ZW"/>
              </w:rPr>
              <w:t xml:space="preserve"> </w:t>
            </w:r>
            <w:bookmarkStart w:id="69" w:name="lt_pId161"/>
            <w:r w:rsidRPr="008E2646">
              <w:rPr>
                <w:rFonts w:ascii="Calibri" w:eastAsia="Times New Roman" w:hAnsi="Calibri" w:cs="Times New Roman"/>
                <w:sz w:val="18"/>
                <w:szCs w:val="18"/>
                <w:lang w:val="en-ZW"/>
              </w:rPr>
              <w:t xml:space="preserve">Other representatives could cover, investors including financial institutions, </w:t>
            </w:r>
            <w:r w:rsidRPr="008E2646">
              <w:rPr>
                <w:rFonts w:ascii="Calibri" w:eastAsia="Times New Roman" w:hAnsi="Calibri" w:cs="Times New Roman"/>
                <w:sz w:val="18"/>
                <w:szCs w:val="18"/>
                <w:lang w:val="en-ZW"/>
              </w:rPr>
              <w:lastRenderedPageBreak/>
              <w:t xml:space="preserve">operators, the </w:t>
            </w:r>
            <w:proofErr w:type="gramStart"/>
            <w:r w:rsidRPr="008E2646">
              <w:rPr>
                <w:rFonts w:ascii="Calibri" w:eastAsia="Times New Roman" w:hAnsi="Calibri" w:cs="Times New Roman"/>
                <w:sz w:val="18"/>
                <w:szCs w:val="18"/>
                <w:lang w:val="en-ZW"/>
              </w:rPr>
              <w:t>youth</w:t>
            </w:r>
            <w:proofErr w:type="gramEnd"/>
            <w:r w:rsidRPr="008E2646">
              <w:rPr>
                <w:rFonts w:ascii="Calibri" w:eastAsia="Times New Roman" w:hAnsi="Calibri" w:cs="Times New Roman"/>
                <w:sz w:val="18"/>
                <w:szCs w:val="18"/>
                <w:lang w:val="en-ZW"/>
              </w:rPr>
              <w:t xml:space="preserve"> and donor organisations.</w:t>
            </w:r>
            <w:bookmarkEnd w:id="69"/>
          </w:p>
          <w:p w14:paraId="2B22B2B3"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lang w:val="en-ZW"/>
              </w:rPr>
            </w:pPr>
            <w:bookmarkStart w:id="70" w:name="lt_pId162"/>
            <w:r w:rsidRPr="008E2646">
              <w:rPr>
                <w:rFonts w:ascii="Calibri" w:eastAsia="Times New Roman" w:hAnsi="Calibri" w:cs="Times New Roman"/>
                <w:sz w:val="18"/>
                <w:szCs w:val="18"/>
                <w:lang w:val="en-ZW"/>
              </w:rPr>
              <w:t>Given the link between the first three IRMs with specific regions, concerned regions to appoint the Chair of the IRM related to their regions, with vice chairs coming from all regions.</w:t>
            </w:r>
            <w:bookmarkEnd w:id="70"/>
          </w:p>
          <w:p w14:paraId="6D2E3931"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lang w:val="en-ZW"/>
              </w:rPr>
              <w:t>6.</w:t>
            </w:r>
            <w:r w:rsidRPr="008E2646">
              <w:rPr>
                <w:rFonts w:ascii="Calibri" w:eastAsia="Times New Roman" w:hAnsi="Calibri" w:cs="Times New Roman"/>
                <w:sz w:val="18"/>
                <w:szCs w:val="18"/>
                <w:lang w:val="en-ZW"/>
              </w:rPr>
              <w:t xml:space="preserve"> </w:t>
            </w:r>
            <w:bookmarkStart w:id="71" w:name="lt_pId164"/>
            <w:proofErr w:type="gramStart"/>
            <w:r w:rsidRPr="008E2646">
              <w:rPr>
                <w:rFonts w:ascii="Calibri" w:eastAsia="Times New Roman" w:hAnsi="Calibri" w:cs="Times New Roman"/>
                <w:sz w:val="18"/>
                <w:szCs w:val="18"/>
                <w:lang w:val="en-ZW"/>
              </w:rPr>
              <w:t>With regard to</w:t>
            </w:r>
            <w:proofErr w:type="gramEnd"/>
            <w:r w:rsidRPr="008E2646">
              <w:rPr>
                <w:rFonts w:ascii="Calibri" w:eastAsia="Times New Roman" w:hAnsi="Calibri" w:cs="Times New Roman"/>
                <w:sz w:val="18"/>
                <w:szCs w:val="18"/>
                <w:lang w:val="en-ZW"/>
              </w:rPr>
              <w:t xml:space="preserve"> coordinators between RPMs and IRMs and RTOs:</w:t>
            </w:r>
            <w:bookmarkEnd w:id="71"/>
            <w:r w:rsidRPr="008E2646">
              <w:rPr>
                <w:rFonts w:ascii="Calibri" w:eastAsia="Times New Roman" w:hAnsi="Calibri" w:cs="Times New Roman"/>
                <w:sz w:val="18"/>
                <w:szCs w:val="18"/>
                <w:lang w:val="en-ZW"/>
              </w:rPr>
              <w:t xml:space="preserve"> </w:t>
            </w:r>
            <w:bookmarkStart w:id="72" w:name="lt_pId165"/>
            <w:r w:rsidRPr="008E2646">
              <w:rPr>
                <w:rFonts w:ascii="Calibri" w:eastAsia="Times New Roman" w:hAnsi="Calibri" w:cs="Times New Roman"/>
                <w:sz w:val="18"/>
                <w:szCs w:val="18"/>
                <w:lang w:val="en-ZW"/>
              </w:rPr>
              <w:t>each region to appoint coordinators for the region, while the secretariat of the RTOs are allowed to play an overall coordinating role.</w:t>
            </w:r>
            <w:bookmarkEnd w:id="72"/>
          </w:p>
        </w:tc>
      </w:tr>
      <w:tr w:rsidR="008E2646" w:rsidRPr="008E2646" w14:paraId="61C3ADFC" w14:textId="77777777" w:rsidTr="008E2646">
        <w:tc>
          <w:tcPr>
            <w:tcW w:w="1907" w:type="dxa"/>
            <w:shd w:val="clear" w:color="auto" w:fill="FBE4D5"/>
          </w:tcPr>
          <w:p w14:paraId="560EDAA0"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bCs/>
                <w:sz w:val="18"/>
                <w:szCs w:val="18"/>
                <w:u w:val="single"/>
              </w:rPr>
            </w:pPr>
            <w:bookmarkStart w:id="73" w:name="lt_pId166"/>
            <w:r w:rsidRPr="008E2646">
              <w:rPr>
                <w:rFonts w:ascii="Calibri" w:eastAsia="Times New Roman" w:hAnsi="Calibri" w:cs="Times New Roman"/>
                <w:bCs/>
                <w:sz w:val="18"/>
                <w:szCs w:val="18"/>
                <w:u w:val="single"/>
              </w:rPr>
              <w:lastRenderedPageBreak/>
              <w:t>Promoting Wider Participation in WTDC</w:t>
            </w:r>
            <w:bookmarkEnd w:id="73"/>
          </w:p>
          <w:p w14:paraId="12E60D63" w14:textId="77777777" w:rsidR="008E2646" w:rsidRPr="008E2646" w:rsidRDefault="008E2646" w:rsidP="008E2646">
            <w:pPr>
              <w:numPr>
                <w:ilvl w:val="0"/>
                <w:numId w:val="12"/>
              </w:numPr>
              <w:tabs>
                <w:tab w:val="clear" w:pos="794"/>
              </w:tabs>
              <w:bidi w:val="0"/>
              <w:spacing w:before="40" w:after="40" w:line="240" w:lineRule="auto"/>
              <w:ind w:left="227" w:hanging="227"/>
              <w:jc w:val="left"/>
              <w:rPr>
                <w:rFonts w:ascii="Calibri" w:eastAsia="Times New Roman" w:hAnsi="Calibri" w:cs="Times New Roman"/>
                <w:bCs/>
                <w:sz w:val="18"/>
                <w:szCs w:val="18"/>
              </w:rPr>
            </w:pPr>
            <w:bookmarkStart w:id="74" w:name="lt_pId167"/>
            <w:r w:rsidRPr="008E2646">
              <w:rPr>
                <w:rFonts w:ascii="Calibri" w:eastAsia="Times New Roman" w:hAnsi="Calibri" w:cs="Times New Roman"/>
                <w:bCs/>
                <w:sz w:val="18"/>
                <w:szCs w:val="18"/>
              </w:rPr>
              <w:t>What constituent groups should be targeted for WTDC-21?</w:t>
            </w:r>
            <w:bookmarkEnd w:id="74"/>
          </w:p>
          <w:p w14:paraId="1E9C399A" w14:textId="77777777" w:rsidR="008E2646" w:rsidRPr="008E2646" w:rsidRDefault="008E2646" w:rsidP="008E2646">
            <w:pPr>
              <w:numPr>
                <w:ilvl w:val="0"/>
                <w:numId w:val="12"/>
              </w:numPr>
              <w:tabs>
                <w:tab w:val="clear" w:pos="794"/>
              </w:tabs>
              <w:bidi w:val="0"/>
              <w:spacing w:before="40" w:after="40" w:line="240" w:lineRule="auto"/>
              <w:ind w:left="227" w:hanging="227"/>
              <w:jc w:val="left"/>
              <w:rPr>
                <w:rFonts w:ascii="Calibri" w:eastAsia="Times New Roman" w:hAnsi="Calibri" w:cs="Times New Roman"/>
                <w:bCs/>
                <w:sz w:val="18"/>
                <w:szCs w:val="18"/>
              </w:rPr>
            </w:pPr>
            <w:bookmarkStart w:id="75" w:name="lt_pId168"/>
            <w:r w:rsidRPr="008E2646">
              <w:rPr>
                <w:rFonts w:ascii="Calibri" w:eastAsia="Times New Roman" w:hAnsi="Calibri" w:cs="Times New Roman"/>
                <w:bCs/>
                <w:sz w:val="18"/>
                <w:szCs w:val="18"/>
              </w:rPr>
              <w:t>How should WTDC-21 be promoted?</w:t>
            </w:r>
            <w:bookmarkEnd w:id="75"/>
          </w:p>
          <w:p w14:paraId="6A5A89FB" w14:textId="77777777" w:rsidR="008E2646" w:rsidRPr="008E2646" w:rsidRDefault="008E2646" w:rsidP="008E2646">
            <w:pPr>
              <w:numPr>
                <w:ilvl w:val="0"/>
                <w:numId w:val="12"/>
              </w:numPr>
              <w:tabs>
                <w:tab w:val="clear" w:pos="794"/>
              </w:tabs>
              <w:bidi w:val="0"/>
              <w:spacing w:before="40" w:after="40" w:line="240" w:lineRule="auto"/>
              <w:ind w:left="227" w:hanging="227"/>
              <w:jc w:val="left"/>
              <w:rPr>
                <w:rFonts w:ascii="Calibri" w:eastAsia="Times New Roman" w:hAnsi="Calibri" w:cs="Times New Roman"/>
                <w:sz w:val="18"/>
                <w:szCs w:val="18"/>
              </w:rPr>
            </w:pPr>
            <w:bookmarkStart w:id="76" w:name="lt_pId169"/>
            <w:r w:rsidRPr="008E2646">
              <w:rPr>
                <w:rFonts w:ascii="Calibri" w:eastAsia="Times New Roman" w:hAnsi="Calibri" w:cs="Times New Roman"/>
                <w:bCs/>
                <w:sz w:val="18"/>
                <w:szCs w:val="18"/>
              </w:rPr>
              <w:t>Which other high-profile forums can be used to raise awareness and interest on WTDC, and how should ITU go about doing this?</w:t>
            </w:r>
            <w:bookmarkEnd w:id="76"/>
          </w:p>
        </w:tc>
        <w:tc>
          <w:tcPr>
            <w:tcW w:w="2443" w:type="dxa"/>
            <w:shd w:val="clear" w:color="auto" w:fill="FBE4D5"/>
          </w:tcPr>
          <w:p w14:paraId="2E6C5580"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t xml:space="preserve">1. </w:t>
            </w:r>
            <w:bookmarkStart w:id="77" w:name="lt_pId171"/>
            <w:r w:rsidRPr="008E2646">
              <w:rPr>
                <w:rFonts w:ascii="Calibri" w:eastAsia="Times New Roman" w:hAnsi="Calibri" w:cs="Times New Roman"/>
                <w:sz w:val="18"/>
                <w:szCs w:val="18"/>
              </w:rPr>
              <w:t>Strengthen the participation of international finance institutions (World Bank, regional development banks, including recent newcomers) and OECD Development assistance committee, especially on relevant discussions of financing ICT development, statistics and ITU outreach.</w:t>
            </w:r>
            <w:bookmarkEnd w:id="77"/>
            <w:r w:rsidRPr="008E2646">
              <w:rPr>
                <w:rFonts w:ascii="Calibri" w:eastAsia="Times New Roman" w:hAnsi="Calibri" w:cs="Times New Roman"/>
                <w:sz w:val="18"/>
                <w:szCs w:val="18"/>
              </w:rPr>
              <w:t xml:space="preserve"> </w:t>
            </w:r>
            <w:bookmarkStart w:id="78" w:name="lt_pId172"/>
            <w:r w:rsidRPr="008E2646">
              <w:rPr>
                <w:rFonts w:ascii="Calibri" w:eastAsia="Times New Roman" w:hAnsi="Calibri" w:cs="Times New Roman"/>
                <w:sz w:val="18"/>
                <w:szCs w:val="18"/>
              </w:rPr>
              <w:t>In this regard, participation of UNCTAD, and the contributors to 2018 Survey on Donor Support to the Digital Economy in Developing Countries might also be desirable.</w:t>
            </w:r>
            <w:bookmarkEnd w:id="78"/>
          </w:p>
          <w:p w14:paraId="0D18D7E2"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t xml:space="preserve">2. </w:t>
            </w:r>
            <w:bookmarkStart w:id="79" w:name="lt_pId174"/>
            <w:r w:rsidRPr="008E2646">
              <w:rPr>
                <w:rFonts w:ascii="Calibri" w:eastAsia="Times New Roman" w:hAnsi="Calibri" w:cs="Times New Roman"/>
                <w:sz w:val="18"/>
                <w:szCs w:val="18"/>
              </w:rPr>
              <w:t xml:space="preserve">Attractiveness of WTDC depends on importance, </w:t>
            </w:r>
            <w:r w:rsidRPr="008E2646">
              <w:rPr>
                <w:rFonts w:ascii="Calibri" w:eastAsia="Times New Roman" w:hAnsi="Calibri" w:cs="Times New Roman"/>
                <w:sz w:val="18"/>
                <w:szCs w:val="18"/>
              </w:rPr>
              <w:lastRenderedPageBreak/>
              <w:t>relevance and timeliness of the issues addressed.</w:t>
            </w:r>
            <w:bookmarkEnd w:id="79"/>
            <w:r w:rsidRPr="008E2646">
              <w:rPr>
                <w:rFonts w:ascii="Calibri" w:eastAsia="Times New Roman" w:hAnsi="Calibri" w:cs="Times New Roman"/>
                <w:sz w:val="18"/>
                <w:szCs w:val="18"/>
              </w:rPr>
              <w:t xml:space="preserve"> </w:t>
            </w:r>
            <w:bookmarkStart w:id="80" w:name="lt_pId175"/>
            <w:r w:rsidRPr="008E2646">
              <w:rPr>
                <w:rFonts w:ascii="Calibri" w:eastAsia="Times New Roman" w:hAnsi="Calibri" w:cs="Times New Roman"/>
                <w:sz w:val="18"/>
                <w:szCs w:val="18"/>
              </w:rPr>
              <w:t>The high-level decision makers and global leaders could be interested if ITU proposes programs, initiatives and actions that answer the current situation challenges at the global level in conjunction with UNGA decisions, for example, on the 2030 Agenda, health, food, climate, cyber security etc.</w:t>
            </w:r>
            <w:bookmarkEnd w:id="80"/>
            <w:r w:rsidRPr="008E2646">
              <w:rPr>
                <w:rFonts w:ascii="Calibri" w:eastAsia="Times New Roman" w:hAnsi="Calibri" w:cs="Times New Roman"/>
                <w:sz w:val="18"/>
                <w:szCs w:val="18"/>
              </w:rPr>
              <w:t xml:space="preserve"> </w:t>
            </w:r>
          </w:p>
          <w:p w14:paraId="0D1EBE6A"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81" w:name="lt_pId176"/>
            <w:r w:rsidRPr="008E2646">
              <w:rPr>
                <w:rFonts w:ascii="Calibri" w:eastAsia="Times New Roman" w:hAnsi="Calibri" w:cs="Times New Roman"/>
                <w:sz w:val="18"/>
                <w:szCs w:val="18"/>
              </w:rPr>
              <w:t>It has been noted that important development challenges are not sufficiently addressed at WTDC and that the conference agenda could be made more attractive to high-level decision makers and global leaders.</w:t>
            </w:r>
            <w:bookmarkEnd w:id="81"/>
          </w:p>
          <w:p w14:paraId="6F7B9CA8"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t xml:space="preserve">3. </w:t>
            </w:r>
            <w:bookmarkStart w:id="82" w:name="lt_pId178"/>
            <w:r w:rsidRPr="008E2646">
              <w:rPr>
                <w:rFonts w:ascii="Calibri" w:eastAsia="Times New Roman" w:hAnsi="Calibri" w:cs="Times New Roman"/>
                <w:sz w:val="18"/>
                <w:szCs w:val="18"/>
              </w:rPr>
              <w:t>Regional forums like Asian-Pacific economic cooperation – APEC (particularly WG on Telecommunications and Information, Steering Committee on Economic and Technical Cooperation) can be utilized to raise awareness about WTDC and the relevant work done on the actual lines of work, e.g. reports on Study questions.</w:t>
            </w:r>
            <w:bookmarkEnd w:id="82"/>
          </w:p>
        </w:tc>
        <w:tc>
          <w:tcPr>
            <w:tcW w:w="2413" w:type="dxa"/>
            <w:shd w:val="clear" w:color="auto" w:fill="FBE4D5"/>
          </w:tcPr>
          <w:p w14:paraId="7435C30D"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lastRenderedPageBreak/>
              <w:t xml:space="preserve">2. </w:t>
            </w:r>
            <w:bookmarkStart w:id="83" w:name="lt_pId180"/>
            <w:r w:rsidRPr="008E2646">
              <w:rPr>
                <w:rFonts w:ascii="Calibri" w:eastAsia="Times New Roman" w:hAnsi="Calibri" w:cs="Times New Roman"/>
                <w:sz w:val="18"/>
                <w:szCs w:val="18"/>
              </w:rPr>
              <w:t>ITU-D</w:t>
            </w:r>
            <w:r w:rsidRPr="008E2646">
              <w:rPr>
                <w:rFonts w:ascii="Calibri" w:eastAsia="Times New Roman" w:hAnsi="Calibri" w:cs="Times New Roman"/>
                <w:sz w:val="18"/>
                <w:szCs w:val="18"/>
                <w:lang w:val="id-ID"/>
              </w:rPr>
              <w:t xml:space="preserve"> should promote WTDC-21 </w:t>
            </w:r>
            <w:r w:rsidRPr="008E2646">
              <w:rPr>
                <w:rFonts w:ascii="Calibri" w:eastAsia="Times New Roman" w:hAnsi="Calibri" w:cs="Times New Roman"/>
                <w:sz w:val="18"/>
                <w:szCs w:val="18"/>
              </w:rPr>
              <w:t xml:space="preserve">during </w:t>
            </w:r>
            <w:r w:rsidRPr="008E2646">
              <w:rPr>
                <w:rFonts w:ascii="Calibri" w:eastAsia="Times New Roman" w:hAnsi="Calibri" w:cs="Times New Roman"/>
                <w:sz w:val="18"/>
                <w:szCs w:val="18"/>
                <w:lang w:val="id-ID"/>
              </w:rPr>
              <w:t>high-profile forum</w:t>
            </w:r>
            <w:r w:rsidRPr="008E2646">
              <w:rPr>
                <w:rFonts w:ascii="Calibri" w:eastAsia="Times New Roman" w:hAnsi="Calibri" w:cs="Times New Roman"/>
                <w:sz w:val="18"/>
                <w:szCs w:val="18"/>
              </w:rPr>
              <w:t xml:space="preserve">s held prior to </w:t>
            </w:r>
            <w:r w:rsidRPr="008E2646">
              <w:rPr>
                <w:rFonts w:ascii="Calibri" w:eastAsia="Times New Roman" w:hAnsi="Calibri" w:cs="Times New Roman"/>
                <w:sz w:val="18"/>
                <w:szCs w:val="18"/>
                <w:lang w:val="id-ID"/>
              </w:rPr>
              <w:t>WTDC-21</w:t>
            </w:r>
            <w:r w:rsidRPr="008E2646">
              <w:rPr>
                <w:rFonts w:ascii="Calibri" w:eastAsia="Times New Roman" w:hAnsi="Calibri" w:cs="Times New Roman"/>
                <w:sz w:val="18"/>
                <w:szCs w:val="18"/>
              </w:rPr>
              <w:t xml:space="preserve">, such as </w:t>
            </w:r>
            <w:r w:rsidRPr="008E2646">
              <w:rPr>
                <w:rFonts w:ascii="Calibri" w:eastAsia="Times New Roman" w:hAnsi="Calibri" w:cs="Times New Roman"/>
                <w:sz w:val="18"/>
                <w:szCs w:val="18"/>
                <w:lang w:val="id-ID"/>
              </w:rPr>
              <w:t>World Economic Forum 2021, Mobile World Congress 2021, and other Ministerial Level/Senior Official Level meetings.</w:t>
            </w:r>
            <w:bookmarkEnd w:id="83"/>
          </w:p>
        </w:tc>
        <w:tc>
          <w:tcPr>
            <w:tcW w:w="2819" w:type="dxa"/>
            <w:shd w:val="clear" w:color="auto" w:fill="FBE4D5"/>
          </w:tcPr>
          <w:p w14:paraId="4D88CAD3"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t>1.</w:t>
            </w:r>
            <w:r w:rsidRPr="008E2646">
              <w:rPr>
                <w:rFonts w:ascii="Calibri" w:eastAsia="Times New Roman" w:hAnsi="Calibri" w:cs="Times New Roman"/>
                <w:sz w:val="18"/>
                <w:szCs w:val="18"/>
              </w:rPr>
              <w:t xml:space="preserve"> </w:t>
            </w:r>
            <w:bookmarkStart w:id="84" w:name="lt_pId182"/>
            <w:r w:rsidRPr="008E2646">
              <w:rPr>
                <w:rFonts w:ascii="Calibri" w:eastAsia="Times New Roman" w:hAnsi="Calibri" w:cs="Times New Roman"/>
                <w:sz w:val="18"/>
                <w:szCs w:val="18"/>
              </w:rPr>
              <w:t>ITU to be mindful to ensure that engagement with private sector stakeholders is balanced across major relevant industry sectors and not perceived as an endorsement of any one industry sector/D-member:</w:t>
            </w:r>
            <w:bookmarkEnd w:id="84"/>
            <w:r w:rsidRPr="008E2646">
              <w:rPr>
                <w:rFonts w:ascii="Calibri" w:eastAsia="Times New Roman" w:hAnsi="Calibri" w:cs="Times New Roman"/>
                <w:sz w:val="18"/>
                <w:szCs w:val="18"/>
              </w:rPr>
              <w:t xml:space="preserve"> </w:t>
            </w:r>
            <w:bookmarkStart w:id="85" w:name="lt_pId183"/>
            <w:r w:rsidRPr="008E2646">
              <w:rPr>
                <w:rFonts w:ascii="Calibri" w:eastAsia="Times New Roman" w:hAnsi="Calibri" w:cs="Times New Roman"/>
                <w:sz w:val="18"/>
                <w:szCs w:val="18"/>
              </w:rPr>
              <w:t>any session or activity organised during a private sector event should be considered as a platform for the ICT sector as a whole in line with the overarching objective of promoting connectivity for all - ITU ensure multi-sector representation and involvement in any sessions/activities/communications arising from the initiative.</w:t>
            </w:r>
            <w:bookmarkEnd w:id="85"/>
          </w:p>
          <w:p w14:paraId="13D9D94C"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t>3.</w:t>
            </w:r>
            <w:r w:rsidRPr="008E2646">
              <w:rPr>
                <w:rFonts w:ascii="Calibri" w:eastAsia="Times New Roman" w:hAnsi="Calibri" w:cs="Times New Roman"/>
                <w:sz w:val="18"/>
                <w:szCs w:val="18"/>
              </w:rPr>
              <w:t xml:space="preserve"> </w:t>
            </w:r>
            <w:bookmarkStart w:id="86" w:name="lt_pId185"/>
            <w:r w:rsidRPr="008E2646">
              <w:rPr>
                <w:rFonts w:ascii="Calibri" w:eastAsia="Times New Roman" w:hAnsi="Calibri" w:cs="Times New Roman"/>
                <w:sz w:val="18"/>
                <w:szCs w:val="18"/>
              </w:rPr>
              <w:t>Promote WTDC at events organised by other institutions such as:</w:t>
            </w:r>
            <w:bookmarkEnd w:id="86"/>
            <w:r w:rsidRPr="008E2646">
              <w:rPr>
                <w:rFonts w:ascii="Calibri" w:eastAsia="Times New Roman" w:hAnsi="Calibri" w:cs="Times New Roman"/>
                <w:sz w:val="18"/>
                <w:szCs w:val="18"/>
              </w:rPr>
              <w:t xml:space="preserve"> </w:t>
            </w:r>
            <w:bookmarkStart w:id="87" w:name="lt_pId186"/>
            <w:r w:rsidRPr="008E2646">
              <w:rPr>
                <w:rFonts w:ascii="Calibri" w:eastAsia="Times New Roman" w:hAnsi="Calibri" w:cs="Times New Roman"/>
                <w:sz w:val="18"/>
                <w:szCs w:val="18"/>
              </w:rPr>
              <w:t xml:space="preserve">OCHA, UNICEF, WEF, FAO, </w:t>
            </w:r>
            <w:r w:rsidRPr="008E2646">
              <w:rPr>
                <w:rFonts w:ascii="Calibri" w:eastAsia="Times New Roman" w:hAnsi="Calibri" w:cs="Times New Roman"/>
                <w:sz w:val="18"/>
                <w:szCs w:val="18"/>
              </w:rPr>
              <w:lastRenderedPageBreak/>
              <w:t>the Broadband Commission, European Commission, etc.</w:t>
            </w:r>
            <w:bookmarkEnd w:id="87"/>
          </w:p>
          <w:p w14:paraId="2771E784"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t xml:space="preserve">2-3. </w:t>
            </w:r>
            <w:bookmarkStart w:id="88" w:name="lt_pId188"/>
            <w:r w:rsidRPr="008E2646">
              <w:rPr>
                <w:rFonts w:ascii="Calibri" w:eastAsia="Times New Roman" w:hAnsi="Calibri" w:cs="Times New Roman"/>
                <w:sz w:val="18"/>
                <w:szCs w:val="18"/>
              </w:rPr>
              <w:t>Consider this text instead:</w:t>
            </w:r>
            <w:bookmarkEnd w:id="88"/>
            <w:r w:rsidRPr="008E2646">
              <w:rPr>
                <w:rFonts w:ascii="Calibri" w:eastAsia="Times New Roman" w:hAnsi="Calibri" w:cs="Times New Roman"/>
                <w:sz w:val="18"/>
                <w:szCs w:val="18"/>
              </w:rPr>
              <w:t xml:space="preserve"> </w:t>
            </w:r>
            <w:bookmarkStart w:id="89" w:name="lt_pId189"/>
            <w:r w:rsidRPr="008E2646">
              <w:rPr>
                <w:rFonts w:ascii="Calibri" w:eastAsia="Times New Roman" w:hAnsi="Calibri" w:cs="Times New Roman"/>
                <w:sz w:val="18"/>
                <w:szCs w:val="18"/>
              </w:rPr>
              <w:t>“The ITU should make best efforts to bring all relevant stakeholders together e.g. with a session dedicated to WTDC, at events organised by the most relevant private sector stakeholders (mobile, satellite, OTTs, etc.) to profile the event in front of high-level industry executives, call for greater cross-sector collaboration and drive greater engagement in WTDC.”</w:t>
            </w:r>
            <w:bookmarkEnd w:id="89"/>
          </w:p>
          <w:p w14:paraId="57CB818D"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90" w:name="lt_pId190"/>
            <w:r w:rsidRPr="008E2646">
              <w:rPr>
                <w:rFonts w:ascii="Calibri" w:eastAsia="Times New Roman" w:hAnsi="Calibri" w:cs="Times New Roman"/>
                <w:sz w:val="18"/>
                <w:szCs w:val="18"/>
              </w:rPr>
              <w:t>Encourage a multi-technology approach to achieve its objectives:</w:t>
            </w:r>
            <w:bookmarkEnd w:id="90"/>
            <w:r w:rsidRPr="008E2646">
              <w:rPr>
                <w:rFonts w:ascii="Calibri" w:eastAsia="Times New Roman" w:hAnsi="Calibri" w:cs="Times New Roman"/>
                <w:sz w:val="18"/>
                <w:szCs w:val="18"/>
              </w:rPr>
              <w:t xml:space="preserve"> </w:t>
            </w:r>
            <w:bookmarkStart w:id="91" w:name="lt_pId191"/>
            <w:r w:rsidRPr="008E2646">
              <w:rPr>
                <w:rFonts w:ascii="Calibri" w:eastAsia="Times New Roman" w:hAnsi="Calibri" w:cs="Times New Roman"/>
                <w:sz w:val="18"/>
                <w:szCs w:val="18"/>
              </w:rPr>
              <w:t>BDT as the unique umbrella body actively fostering an inclusive approach amongst technologies and helping to break down silos between sectors in order to connect everyone and deliver on the SDGs.</w:t>
            </w:r>
            <w:bookmarkEnd w:id="91"/>
          </w:p>
        </w:tc>
        <w:tc>
          <w:tcPr>
            <w:tcW w:w="1841" w:type="dxa"/>
            <w:shd w:val="clear" w:color="auto" w:fill="FBE4D5"/>
          </w:tcPr>
          <w:p w14:paraId="3535ECD1"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lastRenderedPageBreak/>
              <w:t>1.</w:t>
            </w:r>
            <w:r w:rsidRPr="008E2646">
              <w:rPr>
                <w:rFonts w:ascii="Calibri" w:eastAsia="Times New Roman" w:hAnsi="Calibri" w:cs="Times New Roman"/>
                <w:sz w:val="18"/>
                <w:szCs w:val="18"/>
              </w:rPr>
              <w:t xml:space="preserve"> </w:t>
            </w:r>
            <w:bookmarkStart w:id="92" w:name="lt_pId193"/>
            <w:r w:rsidRPr="008E2646">
              <w:rPr>
                <w:rFonts w:ascii="Calibri" w:eastAsia="Times New Roman" w:hAnsi="Calibri" w:cs="Times New Roman"/>
                <w:sz w:val="18"/>
                <w:szCs w:val="18"/>
              </w:rPr>
              <w:t>Visibility and awareness promotion strategy shall be elaborated by ITU with proposals and implementation support from the membership.</w:t>
            </w:r>
            <w:bookmarkEnd w:id="92"/>
          </w:p>
          <w:p w14:paraId="70CAEBA9"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t>2.</w:t>
            </w:r>
            <w:r w:rsidRPr="008E2646">
              <w:rPr>
                <w:rFonts w:ascii="Calibri" w:eastAsia="Times New Roman" w:hAnsi="Calibri" w:cs="Times New Roman"/>
                <w:sz w:val="18"/>
                <w:szCs w:val="18"/>
              </w:rPr>
              <w:t xml:space="preserve"> </w:t>
            </w:r>
            <w:bookmarkStart w:id="93" w:name="lt_pId195"/>
            <w:r w:rsidRPr="008E2646">
              <w:rPr>
                <w:rFonts w:ascii="Calibri" w:eastAsia="Times New Roman" w:hAnsi="Calibri" w:cs="Times New Roman"/>
                <w:sz w:val="18"/>
                <w:szCs w:val="18"/>
              </w:rPr>
              <w:t>The main objectives of WTDC-21, the value of participation in the conference and possible ways of contributing shall be clearly and loudly communicated to the public.</w:t>
            </w:r>
            <w:bookmarkEnd w:id="93"/>
            <w:r w:rsidRPr="008E2646">
              <w:rPr>
                <w:rFonts w:ascii="Calibri" w:eastAsia="Times New Roman" w:hAnsi="Calibri" w:cs="Times New Roman"/>
                <w:sz w:val="18"/>
                <w:szCs w:val="18"/>
              </w:rPr>
              <w:t xml:space="preserve"> </w:t>
            </w:r>
          </w:p>
          <w:p w14:paraId="33BF9527"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94" w:name="lt_pId196"/>
            <w:r w:rsidRPr="008E2646">
              <w:rPr>
                <w:rFonts w:ascii="Calibri" w:eastAsia="Times New Roman" w:hAnsi="Calibri" w:cs="Times New Roman"/>
                <w:sz w:val="18"/>
                <w:szCs w:val="18"/>
              </w:rPr>
              <w:lastRenderedPageBreak/>
              <w:t>Specific measures shall be developed for promotion of WTDC-21 in every region to attract the best regional representation at this conference.</w:t>
            </w:r>
            <w:bookmarkEnd w:id="94"/>
          </w:p>
          <w:p w14:paraId="57C9BC3A"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b/>
                <w:bCs/>
                <w:sz w:val="18"/>
                <w:szCs w:val="18"/>
              </w:rPr>
              <w:t>3.</w:t>
            </w:r>
            <w:r w:rsidRPr="008E2646">
              <w:rPr>
                <w:rFonts w:ascii="Calibri" w:eastAsia="Times New Roman" w:hAnsi="Calibri" w:cs="Times New Roman"/>
                <w:sz w:val="18"/>
                <w:szCs w:val="18"/>
              </w:rPr>
              <w:t xml:space="preserve"> </w:t>
            </w:r>
            <w:bookmarkStart w:id="95" w:name="lt_pId198"/>
            <w:r w:rsidRPr="008E2646">
              <w:rPr>
                <w:rFonts w:ascii="Calibri" w:eastAsia="Times New Roman" w:hAnsi="Calibri" w:cs="Times New Roman"/>
                <w:sz w:val="18"/>
                <w:szCs w:val="18"/>
              </w:rPr>
              <w:t>MS invited to put efforts in promoting the WTDC-21 on national level, especially addressing groups that may benefit the most from outcomes of WTDC-21 (</w:t>
            </w:r>
            <w:r w:rsidRPr="008E2646">
              <w:rPr>
                <w:rFonts w:ascii="Calibri" w:eastAsia="Times New Roman" w:hAnsi="Calibri" w:cs="Times New Roman"/>
                <w:i/>
                <w:iCs/>
                <w:sz w:val="18"/>
                <w:szCs w:val="18"/>
              </w:rPr>
              <w:t>e. g.</w:t>
            </w:r>
            <w:r w:rsidRPr="008E2646">
              <w:rPr>
                <w:rFonts w:ascii="Calibri" w:eastAsia="Times New Roman" w:hAnsi="Calibri" w:cs="Times New Roman"/>
                <w:sz w:val="18"/>
                <w:szCs w:val="18"/>
              </w:rPr>
              <w:t xml:space="preserve"> the youth organizations, girls and women, organizations of people with disabilities, etc.) inviting them to contribute.</w:t>
            </w:r>
            <w:bookmarkEnd w:id="95"/>
          </w:p>
        </w:tc>
        <w:tc>
          <w:tcPr>
            <w:tcW w:w="2139" w:type="dxa"/>
            <w:shd w:val="clear" w:color="auto" w:fill="FBE4D5"/>
          </w:tcPr>
          <w:p w14:paraId="7146ECB6"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lang w:val="en-ZW"/>
              </w:rPr>
            </w:pPr>
            <w:r w:rsidRPr="008E2646">
              <w:rPr>
                <w:rFonts w:ascii="Calibri" w:eastAsia="Times New Roman" w:hAnsi="Calibri" w:cs="Times New Roman"/>
                <w:b/>
                <w:bCs/>
                <w:sz w:val="18"/>
                <w:szCs w:val="18"/>
              </w:rPr>
              <w:lastRenderedPageBreak/>
              <w:t>1.</w:t>
            </w:r>
            <w:r w:rsidRPr="008E2646">
              <w:rPr>
                <w:rFonts w:ascii="Calibri" w:eastAsia="Times New Roman" w:hAnsi="Calibri" w:cs="Times New Roman"/>
                <w:sz w:val="18"/>
                <w:szCs w:val="18"/>
              </w:rPr>
              <w:t xml:space="preserve"> </w:t>
            </w:r>
            <w:bookmarkStart w:id="96" w:name="lt_pId200"/>
            <w:r w:rsidRPr="008E2646">
              <w:rPr>
                <w:rFonts w:ascii="Calibri" w:eastAsia="Times New Roman" w:hAnsi="Calibri" w:cs="Times New Roman"/>
                <w:sz w:val="18"/>
                <w:szCs w:val="18"/>
                <w:lang w:val="en-ZW"/>
              </w:rPr>
              <w:t>Groups to be targeted for participation in WTDC, in addition to Policy makers and Regulatory Authorities:</w:t>
            </w:r>
            <w:bookmarkEnd w:id="96"/>
          </w:p>
          <w:p w14:paraId="48F3F4AF"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sz w:val="18"/>
                <w:szCs w:val="18"/>
                <w:lang w:val="en-ZW"/>
              </w:rPr>
            </w:pPr>
            <w:bookmarkStart w:id="97" w:name="lt_pId201"/>
            <w:r w:rsidRPr="008E2646">
              <w:rPr>
                <w:rFonts w:ascii="Calibri" w:eastAsia="Times New Roman" w:hAnsi="Calibri" w:cs="Times New Roman"/>
                <w:sz w:val="18"/>
                <w:szCs w:val="18"/>
                <w:lang w:val="en-ZW"/>
              </w:rPr>
              <w:t>Financial institutions (they play a big role in funding projects and implementation of financial inclusion.</w:t>
            </w:r>
            <w:bookmarkEnd w:id="97"/>
            <w:r w:rsidRPr="008E2646">
              <w:rPr>
                <w:rFonts w:ascii="Calibri" w:eastAsia="Times New Roman" w:hAnsi="Calibri" w:cs="Times New Roman"/>
                <w:sz w:val="18"/>
                <w:szCs w:val="18"/>
                <w:lang w:val="en-ZW"/>
              </w:rPr>
              <w:t xml:space="preserve"> </w:t>
            </w:r>
            <w:bookmarkStart w:id="98" w:name="lt_pId202"/>
            <w:r w:rsidRPr="008E2646">
              <w:rPr>
                <w:rFonts w:ascii="Calibri" w:eastAsia="Times New Roman" w:hAnsi="Calibri" w:cs="Times New Roman"/>
                <w:sz w:val="18"/>
                <w:szCs w:val="18"/>
                <w:lang w:val="en-ZW"/>
              </w:rPr>
              <w:t>Care should be taken however to ensure that they do dominate and dictate what should be done.</w:t>
            </w:r>
            <w:bookmarkEnd w:id="98"/>
            <w:r w:rsidRPr="008E2646">
              <w:rPr>
                <w:rFonts w:ascii="Calibri" w:eastAsia="Times New Roman" w:hAnsi="Calibri" w:cs="Times New Roman"/>
                <w:sz w:val="18"/>
                <w:szCs w:val="18"/>
                <w:lang w:val="en-ZW"/>
              </w:rPr>
              <w:t xml:space="preserve"> </w:t>
            </w:r>
            <w:bookmarkStart w:id="99" w:name="lt_pId203"/>
            <w:r w:rsidRPr="008E2646">
              <w:rPr>
                <w:rFonts w:ascii="Calibri" w:eastAsia="Times New Roman" w:hAnsi="Calibri" w:cs="Times New Roman"/>
                <w:sz w:val="18"/>
                <w:szCs w:val="18"/>
                <w:lang w:val="en-ZW"/>
              </w:rPr>
              <w:t xml:space="preserve">In this regard, they should be part of the delegation of the Member State </w:t>
            </w:r>
            <w:r w:rsidRPr="008E2646">
              <w:rPr>
                <w:rFonts w:ascii="Calibri" w:eastAsia="Times New Roman" w:hAnsi="Calibri" w:cs="Times New Roman"/>
                <w:sz w:val="18"/>
                <w:szCs w:val="18"/>
                <w:lang w:val="en-ZW"/>
              </w:rPr>
              <w:lastRenderedPageBreak/>
              <w:t>from which they come from).</w:t>
            </w:r>
            <w:bookmarkEnd w:id="99"/>
          </w:p>
          <w:p w14:paraId="51FEAD13"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sz w:val="18"/>
                <w:szCs w:val="18"/>
                <w:lang w:val="en-ZW"/>
              </w:rPr>
            </w:pPr>
            <w:bookmarkStart w:id="100" w:name="lt_pId204"/>
            <w:r w:rsidRPr="008E2646">
              <w:rPr>
                <w:rFonts w:ascii="Calibri" w:eastAsia="Times New Roman" w:hAnsi="Calibri" w:cs="Times New Roman"/>
                <w:sz w:val="18"/>
                <w:szCs w:val="18"/>
                <w:lang w:val="en-ZW"/>
              </w:rPr>
              <w:t xml:space="preserve">Development and Donor organisations (will assist with assessing the areas that require </w:t>
            </w:r>
            <w:r w:rsidRPr="008E2646">
              <w:rPr>
                <w:rFonts w:ascii="Calibri" w:eastAsia="Times New Roman" w:hAnsi="Calibri" w:cs="Times New Roman"/>
                <w:bCs/>
                <w:sz w:val="18"/>
                <w:szCs w:val="18"/>
              </w:rPr>
              <w:t>intervention</w:t>
            </w:r>
            <w:r w:rsidRPr="008E2646">
              <w:rPr>
                <w:rFonts w:ascii="Calibri" w:eastAsia="Times New Roman" w:hAnsi="Calibri" w:cs="Times New Roman"/>
                <w:sz w:val="18"/>
                <w:szCs w:val="18"/>
                <w:lang w:val="en-ZW"/>
              </w:rPr>
              <w:t xml:space="preserve"> </w:t>
            </w:r>
            <w:proofErr w:type="gramStart"/>
            <w:r w:rsidRPr="008E2646">
              <w:rPr>
                <w:rFonts w:ascii="Calibri" w:eastAsia="Times New Roman" w:hAnsi="Calibri" w:cs="Times New Roman"/>
                <w:sz w:val="18"/>
                <w:szCs w:val="18"/>
                <w:lang w:val="en-ZW"/>
              </w:rPr>
              <w:t>with regard to</w:t>
            </w:r>
            <w:proofErr w:type="gramEnd"/>
            <w:r w:rsidRPr="008E2646">
              <w:rPr>
                <w:rFonts w:ascii="Calibri" w:eastAsia="Times New Roman" w:hAnsi="Calibri" w:cs="Times New Roman"/>
                <w:sz w:val="18"/>
                <w:szCs w:val="18"/>
                <w:lang w:val="en-ZW"/>
              </w:rPr>
              <w:t xml:space="preserve"> connectivity and development issues)</w:t>
            </w:r>
            <w:bookmarkEnd w:id="100"/>
          </w:p>
          <w:p w14:paraId="32428107"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sz w:val="18"/>
                <w:szCs w:val="18"/>
                <w:lang w:val="en-ZW"/>
              </w:rPr>
            </w:pPr>
            <w:bookmarkStart w:id="101" w:name="lt_pId205"/>
            <w:r w:rsidRPr="008E2646">
              <w:rPr>
                <w:rFonts w:ascii="Calibri" w:eastAsia="Times New Roman" w:hAnsi="Calibri" w:cs="Times New Roman"/>
                <w:sz w:val="18"/>
                <w:szCs w:val="18"/>
                <w:lang w:val="en-ZW"/>
              </w:rPr>
              <w:t xml:space="preserve">Gender groups and youth (can </w:t>
            </w:r>
            <w:r w:rsidRPr="008E2646">
              <w:rPr>
                <w:rFonts w:ascii="Calibri" w:eastAsia="Times New Roman" w:hAnsi="Calibri" w:cs="Times New Roman"/>
                <w:bCs/>
                <w:sz w:val="18"/>
                <w:szCs w:val="18"/>
              </w:rPr>
              <w:t>highlight</w:t>
            </w:r>
            <w:r w:rsidRPr="008E2646">
              <w:rPr>
                <w:rFonts w:ascii="Calibri" w:eastAsia="Times New Roman" w:hAnsi="Calibri" w:cs="Times New Roman"/>
                <w:sz w:val="18"/>
                <w:szCs w:val="18"/>
                <w:lang w:val="en-ZW"/>
              </w:rPr>
              <w:t xml:space="preserve"> the challenges faced by their constituencies and propose innovations that can provide solutions for the development of ICTs).</w:t>
            </w:r>
            <w:bookmarkEnd w:id="101"/>
          </w:p>
          <w:p w14:paraId="3C5CBC30"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sz w:val="18"/>
                <w:szCs w:val="18"/>
                <w:lang w:val="en-ZW"/>
              </w:rPr>
            </w:pPr>
            <w:bookmarkStart w:id="102" w:name="lt_pId206"/>
            <w:r w:rsidRPr="008E2646">
              <w:rPr>
                <w:rFonts w:ascii="Calibri" w:eastAsia="Times New Roman" w:hAnsi="Calibri" w:cs="Times New Roman"/>
                <w:sz w:val="18"/>
                <w:szCs w:val="18"/>
                <w:lang w:val="en-ZW"/>
              </w:rPr>
              <w:t>Manufacturers of ICT equipment and gadgets (so they have a clear understanding of what products they need to produce to support ICT development.</w:t>
            </w:r>
            <w:bookmarkEnd w:id="102"/>
            <w:r w:rsidRPr="008E2646">
              <w:rPr>
                <w:rFonts w:ascii="Calibri" w:eastAsia="Times New Roman" w:hAnsi="Calibri" w:cs="Times New Roman"/>
                <w:sz w:val="18"/>
                <w:szCs w:val="18"/>
                <w:lang w:val="en-ZW"/>
              </w:rPr>
              <w:t xml:space="preserve"> </w:t>
            </w:r>
            <w:bookmarkStart w:id="103" w:name="lt_pId207"/>
            <w:r w:rsidRPr="008E2646">
              <w:rPr>
                <w:rFonts w:ascii="Calibri" w:eastAsia="Times New Roman" w:hAnsi="Calibri" w:cs="Times New Roman"/>
                <w:sz w:val="18"/>
                <w:szCs w:val="18"/>
                <w:lang w:val="en-ZW"/>
              </w:rPr>
              <w:t>Need to ensure that creation of business for these entities does not hijack the development programme for WTDC:</w:t>
            </w:r>
            <w:bookmarkEnd w:id="103"/>
            <w:r w:rsidRPr="008E2646">
              <w:rPr>
                <w:rFonts w:ascii="Calibri" w:eastAsia="Times New Roman" w:hAnsi="Calibri" w:cs="Times New Roman"/>
                <w:sz w:val="18"/>
                <w:szCs w:val="18"/>
                <w:lang w:val="en-ZW"/>
              </w:rPr>
              <w:t xml:space="preserve"> </w:t>
            </w:r>
            <w:bookmarkStart w:id="104" w:name="lt_pId208"/>
            <w:r w:rsidRPr="008E2646">
              <w:rPr>
                <w:rFonts w:ascii="Calibri" w:eastAsia="Times New Roman" w:hAnsi="Calibri" w:cs="Times New Roman"/>
                <w:sz w:val="18"/>
                <w:szCs w:val="18"/>
                <w:lang w:val="en-ZW"/>
              </w:rPr>
              <w:t>these entities to participate under the banner of their MS).</w:t>
            </w:r>
            <w:bookmarkEnd w:id="104"/>
          </w:p>
          <w:p w14:paraId="4CAC64B0"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sz w:val="18"/>
                <w:szCs w:val="18"/>
                <w:lang w:val="en-ZW"/>
              </w:rPr>
            </w:pPr>
            <w:bookmarkStart w:id="105" w:name="lt_pId209"/>
            <w:r w:rsidRPr="008E2646">
              <w:rPr>
                <w:rFonts w:ascii="Calibri" w:eastAsia="Times New Roman" w:hAnsi="Calibri" w:cs="Times New Roman"/>
                <w:sz w:val="18"/>
                <w:szCs w:val="18"/>
                <w:lang w:val="en-ZW"/>
              </w:rPr>
              <w:t xml:space="preserve">Academia (ICT skills education </w:t>
            </w:r>
            <w:r w:rsidRPr="008E2646">
              <w:rPr>
                <w:rFonts w:ascii="Calibri" w:eastAsia="Times New Roman" w:hAnsi="Calibri" w:cs="Times New Roman"/>
                <w:sz w:val="18"/>
                <w:szCs w:val="18"/>
                <w:lang w:val="en-ZW"/>
              </w:rPr>
              <w:lastRenderedPageBreak/>
              <w:t>requirements are also catered for).</w:t>
            </w:r>
            <w:bookmarkEnd w:id="105"/>
          </w:p>
          <w:p w14:paraId="0C9F9952"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lang w:val="en-ZW"/>
              </w:rPr>
            </w:pPr>
            <w:r w:rsidRPr="008E2646">
              <w:rPr>
                <w:rFonts w:ascii="Calibri" w:eastAsia="Times New Roman" w:hAnsi="Calibri" w:cs="Times New Roman"/>
                <w:b/>
                <w:bCs/>
                <w:sz w:val="18"/>
                <w:szCs w:val="18"/>
                <w:lang w:val="en-ZW"/>
              </w:rPr>
              <w:t>2 &amp; 3.</w:t>
            </w:r>
            <w:r w:rsidRPr="008E2646">
              <w:rPr>
                <w:rFonts w:ascii="Calibri" w:eastAsia="Times New Roman" w:hAnsi="Calibri" w:cs="Times New Roman"/>
                <w:sz w:val="18"/>
                <w:szCs w:val="18"/>
                <w:lang w:val="en-ZW"/>
              </w:rPr>
              <w:t xml:space="preserve"> </w:t>
            </w:r>
            <w:bookmarkStart w:id="106" w:name="lt_pId211"/>
            <w:r w:rsidRPr="008E2646">
              <w:rPr>
                <w:rFonts w:ascii="Calibri" w:eastAsia="Times New Roman" w:hAnsi="Calibri" w:cs="Times New Roman"/>
                <w:sz w:val="18"/>
                <w:szCs w:val="18"/>
                <w:lang w:val="en-ZW"/>
              </w:rPr>
              <w:t>Promotion of WTDC to stakeholder groups:</w:t>
            </w:r>
            <w:bookmarkEnd w:id="106"/>
          </w:p>
          <w:p w14:paraId="61C9890C"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sz w:val="18"/>
                <w:szCs w:val="18"/>
                <w:lang w:val="en-ZW"/>
              </w:rPr>
            </w:pPr>
            <w:bookmarkStart w:id="107" w:name="lt_pId212"/>
            <w:r w:rsidRPr="008E2646">
              <w:rPr>
                <w:rFonts w:ascii="Calibri" w:eastAsia="Times New Roman" w:hAnsi="Calibri" w:cs="Times New Roman"/>
                <w:sz w:val="18"/>
                <w:szCs w:val="18"/>
                <w:lang w:val="en-ZW"/>
              </w:rPr>
              <w:t xml:space="preserve">Nationally, regulators could dedicate of any speeches delivered during key ICT events to the role of WTDC and encouraging industry, </w:t>
            </w:r>
            <w:proofErr w:type="gramStart"/>
            <w:r w:rsidRPr="008E2646">
              <w:rPr>
                <w:rFonts w:ascii="Calibri" w:eastAsia="Times New Roman" w:hAnsi="Calibri" w:cs="Times New Roman"/>
                <w:sz w:val="18"/>
                <w:szCs w:val="18"/>
                <w:lang w:val="en-ZW"/>
              </w:rPr>
              <w:t>academia</w:t>
            </w:r>
            <w:proofErr w:type="gramEnd"/>
            <w:r w:rsidRPr="008E2646">
              <w:rPr>
                <w:rFonts w:ascii="Calibri" w:eastAsia="Times New Roman" w:hAnsi="Calibri" w:cs="Times New Roman"/>
                <w:sz w:val="18"/>
                <w:szCs w:val="18"/>
                <w:lang w:val="en-ZW"/>
              </w:rPr>
              <w:t xml:space="preserve"> and various stake holders to participate in the preparations and take up the responsibility to take awareness to their constituencies</w:t>
            </w:r>
            <w:bookmarkEnd w:id="107"/>
          </w:p>
          <w:p w14:paraId="0B9B7C49"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sz w:val="18"/>
                <w:szCs w:val="18"/>
                <w:lang w:val="en-ZW"/>
              </w:rPr>
            </w:pPr>
            <w:bookmarkStart w:id="108" w:name="lt_pId213"/>
            <w:r w:rsidRPr="008E2646">
              <w:rPr>
                <w:rFonts w:ascii="Calibri" w:eastAsia="Times New Roman" w:hAnsi="Calibri" w:cs="Times New Roman"/>
                <w:sz w:val="18"/>
                <w:szCs w:val="18"/>
                <w:lang w:val="en-ZW"/>
              </w:rPr>
              <w:t>Regionally, all regional meetings and conferences to incorporate a segment with discussion on the importance of participating in WTDC and its role in development.</w:t>
            </w:r>
            <w:bookmarkEnd w:id="108"/>
          </w:p>
          <w:p w14:paraId="66FBB7B6" w14:textId="77777777" w:rsidR="008E2646" w:rsidRPr="008E2646" w:rsidRDefault="008E2646" w:rsidP="008E2646">
            <w:pPr>
              <w:numPr>
                <w:ilvl w:val="0"/>
                <w:numId w:val="13"/>
              </w:numPr>
              <w:tabs>
                <w:tab w:val="clear" w:pos="794"/>
              </w:tabs>
              <w:bidi w:val="0"/>
              <w:spacing w:before="40" w:after="40" w:line="240" w:lineRule="auto"/>
              <w:ind w:left="227" w:hanging="227"/>
              <w:jc w:val="left"/>
              <w:rPr>
                <w:rFonts w:ascii="Calibri" w:eastAsia="Times New Roman" w:hAnsi="Calibri" w:cs="Times New Roman"/>
                <w:sz w:val="18"/>
                <w:szCs w:val="18"/>
                <w:lang w:val="en-ZW"/>
              </w:rPr>
            </w:pPr>
            <w:bookmarkStart w:id="109" w:name="lt_pId214"/>
            <w:r w:rsidRPr="008E2646">
              <w:rPr>
                <w:rFonts w:ascii="Calibri" w:eastAsia="Times New Roman" w:hAnsi="Calibri" w:cs="Times New Roman"/>
                <w:sz w:val="18"/>
                <w:szCs w:val="18"/>
                <w:lang w:val="en-ZW"/>
              </w:rPr>
              <w:t>Internationally, major UN relating conferences to promote WTDC:</w:t>
            </w:r>
            <w:bookmarkEnd w:id="109"/>
            <w:r w:rsidRPr="008E2646">
              <w:rPr>
                <w:rFonts w:ascii="Calibri" w:eastAsia="Times New Roman" w:hAnsi="Calibri" w:cs="Times New Roman"/>
                <w:sz w:val="18"/>
                <w:szCs w:val="18"/>
                <w:lang w:val="en-ZW"/>
              </w:rPr>
              <w:t xml:space="preserve"> </w:t>
            </w:r>
            <w:bookmarkStart w:id="110" w:name="lt_pId215"/>
            <w:r w:rsidRPr="008E2646">
              <w:rPr>
                <w:rFonts w:ascii="Calibri" w:eastAsia="Times New Roman" w:hAnsi="Calibri" w:cs="Times New Roman"/>
                <w:sz w:val="18"/>
                <w:szCs w:val="18"/>
                <w:lang w:val="en-ZW"/>
              </w:rPr>
              <w:t xml:space="preserve">Global sustainable transport Summits, The Conference on Sustainable Development and Summits, The International </w:t>
            </w:r>
            <w:r w:rsidRPr="008E2646">
              <w:rPr>
                <w:rFonts w:ascii="Calibri" w:eastAsia="Times New Roman" w:hAnsi="Calibri" w:cs="Times New Roman"/>
                <w:sz w:val="18"/>
                <w:szCs w:val="18"/>
                <w:lang w:val="en-ZW"/>
              </w:rPr>
              <w:lastRenderedPageBreak/>
              <w:t>Conference on financing for development, the world education forum and world Summits on social Development, etc.</w:t>
            </w:r>
            <w:bookmarkEnd w:id="110"/>
            <w:r w:rsidRPr="008E2646">
              <w:rPr>
                <w:rFonts w:ascii="Calibri" w:eastAsia="Times New Roman" w:hAnsi="Calibri" w:cs="Times New Roman"/>
                <w:sz w:val="18"/>
                <w:szCs w:val="18"/>
                <w:lang w:val="en-ZW"/>
              </w:rPr>
              <w:t xml:space="preserve"> </w:t>
            </w:r>
          </w:p>
        </w:tc>
      </w:tr>
      <w:tr w:rsidR="008E2646" w:rsidRPr="008E2646" w14:paraId="6CDB10F8" w14:textId="77777777" w:rsidTr="008E2646">
        <w:tc>
          <w:tcPr>
            <w:tcW w:w="1907" w:type="dxa"/>
            <w:shd w:val="clear" w:color="auto" w:fill="A8D08D"/>
          </w:tcPr>
          <w:p w14:paraId="2AF699D4"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111" w:name="lt_pId216"/>
            <w:r w:rsidRPr="008E2646">
              <w:rPr>
                <w:rFonts w:ascii="Calibri" w:eastAsia="Times New Roman" w:hAnsi="Calibri" w:cs="Times New Roman"/>
                <w:b/>
                <w:bCs/>
                <w:sz w:val="18"/>
                <w:szCs w:val="18"/>
              </w:rPr>
              <w:lastRenderedPageBreak/>
              <w:t>During the conference</w:t>
            </w:r>
            <w:bookmarkEnd w:id="111"/>
          </w:p>
        </w:tc>
        <w:tc>
          <w:tcPr>
            <w:tcW w:w="2443" w:type="dxa"/>
            <w:shd w:val="clear" w:color="auto" w:fill="A8D08D"/>
          </w:tcPr>
          <w:p w14:paraId="51782877"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p>
        </w:tc>
        <w:tc>
          <w:tcPr>
            <w:tcW w:w="2413" w:type="dxa"/>
            <w:shd w:val="clear" w:color="auto" w:fill="A8D08D"/>
          </w:tcPr>
          <w:p w14:paraId="09B53DE4"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p>
        </w:tc>
        <w:tc>
          <w:tcPr>
            <w:tcW w:w="2819" w:type="dxa"/>
            <w:shd w:val="clear" w:color="auto" w:fill="A8D08D"/>
          </w:tcPr>
          <w:p w14:paraId="09141372"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p>
        </w:tc>
        <w:tc>
          <w:tcPr>
            <w:tcW w:w="1841" w:type="dxa"/>
            <w:shd w:val="clear" w:color="auto" w:fill="A8D08D"/>
          </w:tcPr>
          <w:p w14:paraId="623AB80E"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p>
        </w:tc>
        <w:tc>
          <w:tcPr>
            <w:tcW w:w="2139" w:type="dxa"/>
            <w:shd w:val="clear" w:color="auto" w:fill="A8D08D"/>
          </w:tcPr>
          <w:p w14:paraId="01B3E168"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p>
        </w:tc>
      </w:tr>
      <w:tr w:rsidR="008E2646" w:rsidRPr="008E2646" w14:paraId="14B12A48" w14:textId="77777777" w:rsidTr="006F63B4">
        <w:tc>
          <w:tcPr>
            <w:tcW w:w="1907" w:type="dxa"/>
          </w:tcPr>
          <w:p w14:paraId="2B26F129"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112" w:name="lt_pId217"/>
            <w:r w:rsidRPr="008E2646">
              <w:rPr>
                <w:rFonts w:ascii="Calibri" w:eastAsia="Times New Roman" w:hAnsi="Calibri" w:cs="Times New Roman"/>
                <w:bCs/>
                <w:sz w:val="18"/>
                <w:szCs w:val="18"/>
              </w:rPr>
              <w:t>Should the High-Level Segment be changed, and if so, what form should it take?</w:t>
            </w:r>
            <w:bookmarkEnd w:id="112"/>
          </w:p>
        </w:tc>
        <w:tc>
          <w:tcPr>
            <w:tcW w:w="2443" w:type="dxa"/>
          </w:tcPr>
          <w:p w14:paraId="0FFE6E11"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113" w:name="lt_pId218"/>
            <w:r w:rsidRPr="008E2646">
              <w:rPr>
                <w:rFonts w:ascii="Calibri" w:eastAsia="Times New Roman" w:hAnsi="Calibri" w:cs="Times New Roman"/>
                <w:sz w:val="18"/>
                <w:szCs w:val="18"/>
              </w:rPr>
              <w:t>Any High-Level Segments should not take time from the work of WTDC Plenary and Committees and their related groups.</w:t>
            </w:r>
            <w:bookmarkEnd w:id="113"/>
          </w:p>
        </w:tc>
        <w:tc>
          <w:tcPr>
            <w:tcW w:w="2413" w:type="dxa"/>
          </w:tcPr>
          <w:p w14:paraId="2ED1302F"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114" w:name="lt_pId219"/>
            <w:r w:rsidRPr="008E2646">
              <w:rPr>
                <w:rFonts w:ascii="Calibri" w:eastAsia="Times New Roman" w:hAnsi="Calibri" w:cs="Times New Roman"/>
                <w:sz w:val="18"/>
                <w:szCs w:val="18"/>
                <w:lang w:val="id-ID"/>
              </w:rPr>
              <w:t>Minimize side events</w:t>
            </w:r>
            <w:r w:rsidRPr="008E2646">
              <w:rPr>
                <w:rFonts w:ascii="Calibri" w:eastAsia="Times New Roman" w:hAnsi="Calibri" w:cs="Times New Roman"/>
                <w:sz w:val="18"/>
                <w:szCs w:val="18"/>
              </w:rPr>
              <w:t xml:space="preserve"> or </w:t>
            </w:r>
            <w:r w:rsidRPr="008E2646">
              <w:rPr>
                <w:rFonts w:ascii="Calibri" w:eastAsia="Times New Roman" w:hAnsi="Calibri" w:cs="Times New Roman"/>
                <w:sz w:val="18"/>
                <w:szCs w:val="18"/>
                <w:lang w:val="id-ID"/>
              </w:rPr>
              <w:t xml:space="preserve">merge High-Level segment </w:t>
            </w:r>
            <w:r w:rsidRPr="008E2646">
              <w:rPr>
                <w:rFonts w:ascii="Calibri" w:eastAsia="Times New Roman" w:hAnsi="Calibri" w:cs="Times New Roman"/>
                <w:sz w:val="18"/>
                <w:szCs w:val="18"/>
              </w:rPr>
              <w:t xml:space="preserve">with </w:t>
            </w:r>
            <w:r w:rsidRPr="008E2646">
              <w:rPr>
                <w:rFonts w:ascii="Calibri" w:eastAsia="Times New Roman" w:hAnsi="Calibri" w:cs="Times New Roman"/>
                <w:sz w:val="18"/>
                <w:szCs w:val="18"/>
                <w:lang w:val="id-ID"/>
              </w:rPr>
              <w:t>side events</w:t>
            </w:r>
            <w:r w:rsidRPr="008E2646">
              <w:rPr>
                <w:rFonts w:ascii="Calibri" w:eastAsia="Times New Roman" w:hAnsi="Calibri" w:cs="Times New Roman"/>
                <w:sz w:val="18"/>
                <w:szCs w:val="18"/>
              </w:rPr>
              <w:t>,</w:t>
            </w:r>
            <w:r w:rsidRPr="008E2646">
              <w:rPr>
                <w:rFonts w:ascii="Calibri" w:eastAsia="Times New Roman" w:hAnsi="Calibri" w:cs="Times New Roman"/>
                <w:sz w:val="18"/>
                <w:szCs w:val="18"/>
                <w:lang w:val="id-ID"/>
              </w:rPr>
              <w:t xml:space="preserve"> in order to make WTDC-21 more efficient, effective, and focus</w:t>
            </w:r>
            <w:r w:rsidRPr="008E2646">
              <w:rPr>
                <w:rFonts w:ascii="Calibri" w:eastAsia="Times New Roman" w:hAnsi="Calibri" w:cs="Times New Roman"/>
                <w:sz w:val="18"/>
                <w:szCs w:val="18"/>
              </w:rPr>
              <w:t>ed</w:t>
            </w:r>
            <w:r w:rsidRPr="008E2646">
              <w:rPr>
                <w:rFonts w:ascii="Calibri" w:eastAsia="Times New Roman" w:hAnsi="Calibri" w:cs="Times New Roman"/>
                <w:sz w:val="18"/>
                <w:szCs w:val="18"/>
                <w:lang w:val="id-ID"/>
              </w:rPr>
              <w:t xml:space="preserve"> on development </w:t>
            </w:r>
            <w:r w:rsidRPr="008E2646">
              <w:rPr>
                <w:rFonts w:ascii="Calibri" w:eastAsia="Times New Roman" w:hAnsi="Calibri" w:cs="Times New Roman"/>
                <w:sz w:val="18"/>
                <w:szCs w:val="18"/>
              </w:rPr>
              <w:t xml:space="preserve">issues </w:t>
            </w:r>
            <w:r w:rsidRPr="008E2646">
              <w:rPr>
                <w:rFonts w:ascii="Calibri" w:eastAsia="Times New Roman" w:hAnsi="Calibri" w:cs="Times New Roman"/>
                <w:sz w:val="18"/>
                <w:szCs w:val="18"/>
                <w:lang w:val="id-ID"/>
              </w:rPr>
              <w:t>of telecommunications/ICTs.</w:t>
            </w:r>
            <w:bookmarkEnd w:id="114"/>
          </w:p>
        </w:tc>
        <w:tc>
          <w:tcPr>
            <w:tcW w:w="2819" w:type="dxa"/>
          </w:tcPr>
          <w:p w14:paraId="2A3242C8"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sz w:val="18"/>
                <w:szCs w:val="18"/>
              </w:rPr>
              <w:t>--</w:t>
            </w:r>
          </w:p>
        </w:tc>
        <w:tc>
          <w:tcPr>
            <w:tcW w:w="1841" w:type="dxa"/>
          </w:tcPr>
          <w:p w14:paraId="6538C5F9"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sz w:val="18"/>
                <w:szCs w:val="18"/>
              </w:rPr>
              <w:t>--</w:t>
            </w:r>
          </w:p>
        </w:tc>
        <w:tc>
          <w:tcPr>
            <w:tcW w:w="2139" w:type="dxa"/>
          </w:tcPr>
          <w:p w14:paraId="4E0FE10F"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lang w:val="en-ZW"/>
              </w:rPr>
            </w:pPr>
            <w:bookmarkStart w:id="115" w:name="lt_pId222"/>
            <w:r w:rsidRPr="008E2646">
              <w:rPr>
                <w:rFonts w:ascii="Calibri" w:eastAsia="Times New Roman" w:hAnsi="Calibri" w:cs="Times New Roman"/>
                <w:sz w:val="18"/>
                <w:szCs w:val="18"/>
                <w:lang w:val="en-ZW"/>
              </w:rPr>
              <w:t>During the TDAG web dialogues held earlier during the year, there were proposals to merge the high-level segment and the side events.</w:t>
            </w:r>
            <w:bookmarkEnd w:id="115"/>
            <w:r w:rsidRPr="008E2646">
              <w:rPr>
                <w:rFonts w:ascii="Calibri" w:eastAsia="Times New Roman" w:hAnsi="Calibri" w:cs="Times New Roman"/>
                <w:sz w:val="18"/>
                <w:szCs w:val="18"/>
                <w:lang w:val="en-ZW"/>
              </w:rPr>
              <w:t xml:space="preserve"> </w:t>
            </w:r>
            <w:bookmarkStart w:id="116" w:name="lt_pId223"/>
            <w:r w:rsidRPr="008E2646">
              <w:rPr>
                <w:rFonts w:ascii="Calibri" w:eastAsia="Times New Roman" w:hAnsi="Calibri" w:cs="Times New Roman"/>
                <w:sz w:val="18"/>
                <w:szCs w:val="18"/>
                <w:lang w:val="en-ZW"/>
              </w:rPr>
              <w:t>A challenge was also posed on whether the format of policy statements should be changed.</w:t>
            </w:r>
            <w:bookmarkEnd w:id="116"/>
            <w:r w:rsidRPr="008E2646">
              <w:rPr>
                <w:rFonts w:ascii="Calibri" w:eastAsia="Times New Roman" w:hAnsi="Calibri" w:cs="Times New Roman"/>
                <w:sz w:val="18"/>
                <w:szCs w:val="18"/>
                <w:lang w:val="en-ZW"/>
              </w:rPr>
              <w:t xml:space="preserve">  </w:t>
            </w:r>
          </w:p>
          <w:p w14:paraId="5239E31A"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lang w:val="en-ZW"/>
              </w:rPr>
            </w:pPr>
            <w:bookmarkStart w:id="117" w:name="lt_pId224"/>
            <w:r w:rsidRPr="008E2646">
              <w:rPr>
                <w:rFonts w:ascii="Calibri" w:eastAsia="Times New Roman" w:hAnsi="Calibri" w:cs="Times New Roman"/>
                <w:sz w:val="18"/>
                <w:szCs w:val="18"/>
                <w:lang w:val="en-ZW"/>
              </w:rPr>
              <w:t>In current WTDC set up, side events held during the tea breaks, lunch breaks and after conference hours, are not well attended (participants attending various ad-hoc and drafting groups).</w:t>
            </w:r>
            <w:bookmarkEnd w:id="117"/>
            <w:r w:rsidRPr="008E2646">
              <w:rPr>
                <w:rFonts w:ascii="Calibri" w:eastAsia="Times New Roman" w:hAnsi="Calibri" w:cs="Times New Roman"/>
                <w:sz w:val="18"/>
                <w:szCs w:val="18"/>
                <w:lang w:val="en-ZW"/>
              </w:rPr>
              <w:t xml:space="preserve"> </w:t>
            </w:r>
            <w:bookmarkStart w:id="118" w:name="lt_pId225"/>
            <w:r w:rsidRPr="008E2646">
              <w:rPr>
                <w:rFonts w:ascii="Calibri" w:eastAsia="Times New Roman" w:hAnsi="Calibri" w:cs="Times New Roman"/>
                <w:sz w:val="18"/>
                <w:szCs w:val="18"/>
                <w:lang w:val="en-ZW"/>
              </w:rPr>
              <w:t>Time allocated may not be sufficient for speakers to articulate issues and take questions from the floor.</w:t>
            </w:r>
            <w:bookmarkEnd w:id="118"/>
            <w:r w:rsidRPr="008E2646">
              <w:rPr>
                <w:rFonts w:ascii="Calibri" w:eastAsia="Times New Roman" w:hAnsi="Calibri" w:cs="Times New Roman"/>
                <w:sz w:val="18"/>
                <w:szCs w:val="18"/>
                <w:lang w:val="en-ZW"/>
              </w:rPr>
              <w:t xml:space="preserve"> </w:t>
            </w:r>
            <w:bookmarkStart w:id="119" w:name="lt_pId226"/>
            <w:r w:rsidRPr="008E2646">
              <w:rPr>
                <w:rFonts w:ascii="Calibri" w:eastAsia="Times New Roman" w:hAnsi="Calibri" w:cs="Times New Roman"/>
                <w:sz w:val="18"/>
                <w:szCs w:val="18"/>
                <w:lang w:val="en-ZW"/>
              </w:rPr>
              <w:t>For high-level invited participants there may appear to be no value to them in these ill-attended side events and are discouraged from participating in WTDC.</w:t>
            </w:r>
            <w:bookmarkEnd w:id="119"/>
          </w:p>
          <w:p w14:paraId="11CA3071"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120" w:name="lt_pId227"/>
            <w:r w:rsidRPr="008E2646">
              <w:rPr>
                <w:rFonts w:ascii="Calibri" w:eastAsia="Times New Roman" w:hAnsi="Calibri" w:cs="Times New Roman"/>
                <w:sz w:val="18"/>
                <w:szCs w:val="18"/>
                <w:lang w:val="en-ZW"/>
              </w:rPr>
              <w:lastRenderedPageBreak/>
              <w:t>BDT and MS to come up with a list of critical topics that can have an impact on development, for which panel discussions can be held during normal conference times.</w:t>
            </w:r>
            <w:bookmarkEnd w:id="120"/>
            <w:r w:rsidRPr="008E2646">
              <w:rPr>
                <w:rFonts w:ascii="Calibri" w:eastAsia="Times New Roman" w:hAnsi="Calibri" w:cs="Times New Roman"/>
                <w:sz w:val="18"/>
                <w:szCs w:val="18"/>
                <w:lang w:val="en-ZW"/>
              </w:rPr>
              <w:t xml:space="preserve"> </w:t>
            </w:r>
            <w:bookmarkStart w:id="121" w:name="lt_pId228"/>
            <w:r w:rsidRPr="008E2646">
              <w:rPr>
                <w:rFonts w:ascii="Calibri" w:eastAsia="Times New Roman" w:hAnsi="Calibri" w:cs="Times New Roman"/>
                <w:sz w:val="18"/>
                <w:szCs w:val="18"/>
                <w:lang w:val="en-ZW"/>
              </w:rPr>
              <w:t>Speakers to include industry experts, consumers, different community representatives, as well policy makers.</w:t>
            </w:r>
            <w:bookmarkEnd w:id="121"/>
            <w:r w:rsidRPr="008E2646">
              <w:rPr>
                <w:rFonts w:ascii="Calibri" w:eastAsia="Times New Roman" w:hAnsi="Calibri" w:cs="Times New Roman"/>
                <w:sz w:val="18"/>
                <w:szCs w:val="18"/>
                <w:lang w:val="en-ZW"/>
              </w:rPr>
              <w:t xml:space="preserve"> </w:t>
            </w:r>
            <w:bookmarkStart w:id="122" w:name="lt_pId229"/>
            <w:r w:rsidRPr="008E2646">
              <w:rPr>
                <w:rFonts w:ascii="Calibri" w:eastAsia="Times New Roman" w:hAnsi="Calibri" w:cs="Times New Roman"/>
                <w:sz w:val="18"/>
                <w:szCs w:val="18"/>
                <w:lang w:val="en-ZW"/>
              </w:rPr>
              <w:t>Participation of policy makers will obviate the need for a monotonous delivery of policy Statements.</w:t>
            </w:r>
            <w:bookmarkEnd w:id="122"/>
            <w:r w:rsidRPr="008E2646">
              <w:rPr>
                <w:rFonts w:ascii="Calibri" w:eastAsia="Times New Roman" w:hAnsi="Calibri" w:cs="Times New Roman"/>
                <w:sz w:val="18"/>
                <w:szCs w:val="18"/>
                <w:lang w:val="en-ZW"/>
              </w:rPr>
              <w:t xml:space="preserve"> </w:t>
            </w:r>
            <w:bookmarkStart w:id="123" w:name="lt_pId230"/>
            <w:r w:rsidRPr="008E2646">
              <w:rPr>
                <w:rFonts w:ascii="Calibri" w:eastAsia="Times New Roman" w:hAnsi="Calibri" w:cs="Times New Roman"/>
                <w:sz w:val="18"/>
                <w:szCs w:val="18"/>
                <w:lang w:val="en-ZW"/>
              </w:rPr>
              <w:t>MS and SM can still submit written policy statements, which are then posted on dedicated page on the WTDC website.</w:t>
            </w:r>
            <w:bookmarkEnd w:id="123"/>
          </w:p>
        </w:tc>
      </w:tr>
      <w:tr w:rsidR="008E2646" w:rsidRPr="008E2646" w14:paraId="6B3ED308" w14:textId="77777777" w:rsidTr="008E2646">
        <w:tc>
          <w:tcPr>
            <w:tcW w:w="1907" w:type="dxa"/>
            <w:shd w:val="clear" w:color="auto" w:fill="E2EFD9"/>
          </w:tcPr>
          <w:p w14:paraId="6BAFCDB7"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124" w:name="lt_pId231"/>
            <w:r w:rsidRPr="008E2646">
              <w:rPr>
                <w:rFonts w:ascii="Calibri" w:eastAsia="Times New Roman" w:hAnsi="Calibri" w:cs="Times New Roman"/>
                <w:bCs/>
                <w:sz w:val="18"/>
                <w:szCs w:val="18"/>
              </w:rPr>
              <w:lastRenderedPageBreak/>
              <w:t>What theme or themes (connected to development challenges and membership priorities) should be established for WTDC-21, and how should the theme(s) be connected to the content and structure of the conference?</w:t>
            </w:r>
            <w:bookmarkEnd w:id="124"/>
          </w:p>
        </w:tc>
        <w:tc>
          <w:tcPr>
            <w:tcW w:w="2443" w:type="dxa"/>
            <w:shd w:val="clear" w:color="auto" w:fill="E2EFD9"/>
          </w:tcPr>
          <w:p w14:paraId="5273E336"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125" w:name="lt_pId232"/>
            <w:r w:rsidRPr="008E2646">
              <w:rPr>
                <w:rFonts w:ascii="Calibri" w:eastAsia="Times New Roman" w:hAnsi="Calibri" w:cs="Times New Roman"/>
                <w:sz w:val="18"/>
                <w:szCs w:val="18"/>
              </w:rPr>
              <w:t>Minimize side-events and move those discussions to sessions discussing related Resolutions to save time.</w:t>
            </w:r>
            <w:bookmarkEnd w:id="125"/>
          </w:p>
          <w:p w14:paraId="42E060AA"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126" w:name="lt_pId233"/>
            <w:r w:rsidRPr="008E2646">
              <w:rPr>
                <w:rFonts w:ascii="Calibri" w:eastAsia="Times New Roman" w:hAnsi="Calibri" w:cs="Times New Roman"/>
                <w:sz w:val="18"/>
                <w:szCs w:val="18"/>
              </w:rPr>
              <w:t>Agenda of side events should have strong connection with the Study Group Questions, ITU index and BDT activities.</w:t>
            </w:r>
            <w:bookmarkEnd w:id="126"/>
            <w:r w:rsidRPr="008E2646">
              <w:rPr>
                <w:rFonts w:ascii="Calibri" w:eastAsia="Times New Roman" w:hAnsi="Calibri" w:cs="Times New Roman"/>
                <w:sz w:val="18"/>
                <w:szCs w:val="18"/>
              </w:rPr>
              <w:t xml:space="preserve"> </w:t>
            </w:r>
            <w:bookmarkStart w:id="127" w:name="lt_pId234"/>
            <w:r w:rsidRPr="008E2646">
              <w:rPr>
                <w:rFonts w:ascii="Calibri" w:eastAsia="Times New Roman" w:hAnsi="Calibri" w:cs="Times New Roman"/>
                <w:sz w:val="18"/>
                <w:szCs w:val="18"/>
              </w:rPr>
              <w:t xml:space="preserve">Explain clearly how every event contributes to the Study Group Questions, ITU index and/or BDT activities, preferably with outputs which can be transposed to the concrete benefit or inputs to the WTDC Resolutions and </w:t>
            </w:r>
            <w:r w:rsidRPr="008E2646">
              <w:rPr>
                <w:rFonts w:ascii="Calibri" w:eastAsia="Times New Roman" w:hAnsi="Calibri" w:cs="Times New Roman"/>
                <w:sz w:val="18"/>
                <w:szCs w:val="18"/>
              </w:rPr>
              <w:lastRenderedPageBreak/>
              <w:t>mandates of Study Group Questions.</w:t>
            </w:r>
            <w:bookmarkEnd w:id="127"/>
          </w:p>
          <w:p w14:paraId="34E92FA0"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128" w:name="lt_pId235"/>
            <w:r w:rsidRPr="008E2646">
              <w:rPr>
                <w:rFonts w:ascii="Calibri" w:eastAsia="Times New Roman" w:hAnsi="Calibri" w:cs="Times New Roman"/>
                <w:sz w:val="18"/>
                <w:szCs w:val="18"/>
              </w:rPr>
              <w:t>Additional side-event held with the aim to strengthen the capacity of ITU members to express their opinions and transform them into contributions to the next ITU-D Study period.</w:t>
            </w:r>
            <w:bookmarkEnd w:id="128"/>
          </w:p>
        </w:tc>
        <w:tc>
          <w:tcPr>
            <w:tcW w:w="2413" w:type="dxa"/>
            <w:shd w:val="clear" w:color="auto" w:fill="E2EFD9"/>
          </w:tcPr>
          <w:p w14:paraId="70D4ED1B"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lang w:val="id-ID"/>
              </w:rPr>
            </w:pPr>
            <w:bookmarkStart w:id="129" w:name="lt_pId236"/>
            <w:r w:rsidRPr="008E2646">
              <w:rPr>
                <w:rFonts w:ascii="Calibri" w:eastAsia="Times New Roman" w:hAnsi="Calibri" w:cs="Times New Roman"/>
                <w:sz w:val="18"/>
                <w:szCs w:val="18"/>
                <w:lang w:val="id-ID"/>
              </w:rPr>
              <w:lastRenderedPageBreak/>
              <w:t xml:space="preserve">The themes for WTDC-21 should </w:t>
            </w:r>
            <w:r w:rsidRPr="008E2646">
              <w:rPr>
                <w:rFonts w:ascii="Calibri" w:eastAsia="Times New Roman" w:hAnsi="Calibri" w:cs="Times New Roman"/>
                <w:sz w:val="18"/>
                <w:szCs w:val="18"/>
              </w:rPr>
              <w:t xml:space="preserve">be holistic enough to encompass the </w:t>
            </w:r>
            <w:r w:rsidRPr="008E2646">
              <w:rPr>
                <w:rFonts w:ascii="Calibri" w:eastAsia="Times New Roman" w:hAnsi="Calibri" w:cs="Times New Roman"/>
                <w:sz w:val="18"/>
                <w:szCs w:val="18"/>
                <w:lang w:val="id-ID"/>
              </w:rPr>
              <w:t xml:space="preserve">focus </w:t>
            </w:r>
            <w:r w:rsidRPr="008E2646">
              <w:rPr>
                <w:rFonts w:ascii="Calibri" w:eastAsia="Times New Roman" w:hAnsi="Calibri" w:cs="Times New Roman"/>
                <w:sz w:val="18"/>
                <w:szCs w:val="18"/>
              </w:rPr>
              <w:t xml:space="preserve">of telecommunication development issues arising from all </w:t>
            </w:r>
            <w:r w:rsidRPr="008E2646">
              <w:rPr>
                <w:rFonts w:ascii="Calibri" w:eastAsia="Times New Roman" w:hAnsi="Calibri" w:cs="Times New Roman"/>
                <w:sz w:val="18"/>
                <w:szCs w:val="18"/>
                <w:lang w:val="id-ID"/>
              </w:rPr>
              <w:t>regional level</w:t>
            </w:r>
            <w:r w:rsidRPr="008E2646">
              <w:rPr>
                <w:rFonts w:ascii="Calibri" w:eastAsia="Times New Roman" w:hAnsi="Calibri" w:cs="Times New Roman"/>
                <w:sz w:val="18"/>
                <w:szCs w:val="18"/>
              </w:rPr>
              <w:t>s</w:t>
            </w:r>
            <w:r w:rsidRPr="008E2646">
              <w:rPr>
                <w:rFonts w:ascii="Calibri" w:eastAsia="Times New Roman" w:hAnsi="Calibri" w:cs="Times New Roman"/>
                <w:sz w:val="18"/>
                <w:szCs w:val="18"/>
                <w:lang w:val="id-ID"/>
              </w:rPr>
              <w:t>.</w:t>
            </w:r>
            <w:bookmarkEnd w:id="129"/>
            <w:r w:rsidRPr="008E2646">
              <w:rPr>
                <w:rFonts w:ascii="Calibri" w:eastAsia="Times New Roman" w:hAnsi="Calibri" w:cs="Times New Roman"/>
                <w:sz w:val="18"/>
                <w:szCs w:val="18"/>
              </w:rPr>
              <w:t xml:space="preserve"> </w:t>
            </w:r>
            <w:bookmarkStart w:id="130" w:name="lt_pId237"/>
            <w:r w:rsidRPr="008E2646">
              <w:rPr>
                <w:rFonts w:ascii="Calibri" w:eastAsia="Times New Roman" w:hAnsi="Calibri" w:cs="Times New Roman"/>
                <w:sz w:val="18"/>
                <w:szCs w:val="18"/>
              </w:rPr>
              <w:t>Further, bearing in mind the current global health crisis, we propose the following themes for WTDC-21:</w:t>
            </w:r>
            <w:bookmarkEnd w:id="130"/>
          </w:p>
          <w:p w14:paraId="339918CC"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lang w:val="id-ID"/>
              </w:rPr>
            </w:pPr>
            <w:bookmarkStart w:id="131" w:name="lt_pId238"/>
            <w:r w:rsidRPr="008E2646">
              <w:rPr>
                <w:rFonts w:ascii="Calibri" w:eastAsia="Times New Roman" w:hAnsi="Calibri" w:cs="Times New Roman"/>
                <w:sz w:val="18"/>
                <w:szCs w:val="18"/>
                <w:u w:val="single"/>
                <w:lang w:val="id-ID"/>
              </w:rPr>
              <w:t>Alternative 1:</w:t>
            </w:r>
            <w:bookmarkEnd w:id="131"/>
            <w:r w:rsidRPr="008E2646">
              <w:rPr>
                <w:rFonts w:ascii="Calibri" w:eastAsia="Times New Roman" w:hAnsi="Calibri" w:cs="Times New Roman"/>
                <w:sz w:val="18"/>
                <w:szCs w:val="18"/>
                <w:lang w:val="id-ID"/>
              </w:rPr>
              <w:t xml:space="preserve"> </w:t>
            </w:r>
            <w:bookmarkStart w:id="132" w:name="lt_pId239"/>
            <w:r w:rsidRPr="008E2646">
              <w:rPr>
                <w:rFonts w:ascii="Calibri" w:eastAsia="Times New Roman" w:hAnsi="Calibri" w:cs="Times New Roman"/>
                <w:sz w:val="18"/>
                <w:szCs w:val="18"/>
              </w:rPr>
              <w:t>Creating a resilient global digital economy to withstand global pandemics/crises/disasters.</w:t>
            </w:r>
            <w:bookmarkEnd w:id="132"/>
          </w:p>
          <w:p w14:paraId="13592AD8"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133" w:name="lt_pId240"/>
            <w:r w:rsidRPr="008E2646">
              <w:rPr>
                <w:rFonts w:ascii="Calibri" w:eastAsia="Times New Roman" w:hAnsi="Calibri" w:cs="Times New Roman"/>
                <w:sz w:val="18"/>
                <w:szCs w:val="18"/>
                <w:u w:val="single"/>
                <w:lang w:val="id-ID"/>
              </w:rPr>
              <w:t>Alternative 2:</w:t>
            </w:r>
            <w:bookmarkEnd w:id="133"/>
            <w:r w:rsidRPr="008E2646">
              <w:rPr>
                <w:rFonts w:ascii="Calibri" w:eastAsia="Times New Roman" w:hAnsi="Calibri" w:cs="Times New Roman"/>
                <w:sz w:val="18"/>
                <w:szCs w:val="18"/>
                <w:lang w:val="id-ID"/>
              </w:rPr>
              <w:t xml:space="preserve"> </w:t>
            </w:r>
            <w:bookmarkStart w:id="134" w:name="lt_pId241"/>
            <w:r w:rsidRPr="008E2646">
              <w:rPr>
                <w:rFonts w:ascii="Calibri" w:eastAsia="Times New Roman" w:hAnsi="Calibri" w:cs="Times New Roman"/>
                <w:sz w:val="18"/>
                <w:szCs w:val="18"/>
                <w:lang w:val="id-ID"/>
              </w:rPr>
              <w:t xml:space="preserve">Recovery of Global Digital Economy and </w:t>
            </w:r>
            <w:r w:rsidRPr="008E2646">
              <w:rPr>
                <w:rFonts w:ascii="Calibri" w:eastAsia="Times New Roman" w:hAnsi="Calibri" w:cs="Times New Roman"/>
                <w:sz w:val="18"/>
                <w:szCs w:val="18"/>
                <w:lang w:val="id-ID"/>
              </w:rPr>
              <w:lastRenderedPageBreak/>
              <w:t>Connectivity to Build Back Better.</w:t>
            </w:r>
            <w:bookmarkEnd w:id="134"/>
          </w:p>
        </w:tc>
        <w:tc>
          <w:tcPr>
            <w:tcW w:w="2819" w:type="dxa"/>
            <w:shd w:val="clear" w:color="auto" w:fill="E2EFD9"/>
          </w:tcPr>
          <w:p w14:paraId="5ECD670D"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sz w:val="18"/>
                <w:szCs w:val="18"/>
              </w:rPr>
              <w:lastRenderedPageBreak/>
              <w:t>--</w:t>
            </w:r>
          </w:p>
        </w:tc>
        <w:tc>
          <w:tcPr>
            <w:tcW w:w="1841" w:type="dxa"/>
            <w:shd w:val="clear" w:color="auto" w:fill="E2EFD9"/>
          </w:tcPr>
          <w:p w14:paraId="08F73B9D"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sz w:val="18"/>
                <w:szCs w:val="18"/>
              </w:rPr>
              <w:t>--</w:t>
            </w:r>
          </w:p>
        </w:tc>
        <w:tc>
          <w:tcPr>
            <w:tcW w:w="2139" w:type="dxa"/>
            <w:shd w:val="clear" w:color="auto" w:fill="E2EFD9"/>
          </w:tcPr>
          <w:p w14:paraId="0FB69A01"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135" w:name="lt_pId244"/>
            <w:r w:rsidRPr="008E2646">
              <w:rPr>
                <w:rFonts w:ascii="Calibri" w:eastAsia="Times New Roman" w:hAnsi="Calibri" w:cs="Times New Roman"/>
                <w:sz w:val="18"/>
                <w:szCs w:val="18"/>
                <w:lang w:val="en-ZW"/>
              </w:rPr>
              <w:t>Proposed themes for WTDC, which can be utilised for thematic tracks, include innovation that assist in achieving the Sustainable Development Goals, demand stimulation initiatives, ICT capacity building for disadvantaged communities, Implementation of ICT technical skill resource training and investment in ICT infrastructure.</w:t>
            </w:r>
            <w:bookmarkEnd w:id="135"/>
            <w:r w:rsidRPr="008E2646">
              <w:rPr>
                <w:rFonts w:ascii="Calibri" w:eastAsia="Times New Roman" w:hAnsi="Calibri" w:cs="Times New Roman"/>
                <w:sz w:val="18"/>
                <w:szCs w:val="18"/>
                <w:lang w:val="en-ZW"/>
              </w:rPr>
              <w:t xml:space="preserve"> </w:t>
            </w:r>
          </w:p>
        </w:tc>
      </w:tr>
      <w:tr w:rsidR="008E2646" w:rsidRPr="008E2646" w14:paraId="182B9D7A" w14:textId="77777777" w:rsidTr="006F63B4">
        <w:tc>
          <w:tcPr>
            <w:tcW w:w="1907" w:type="dxa"/>
          </w:tcPr>
          <w:p w14:paraId="6432BC5C"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136" w:name="lt_pId245"/>
            <w:r w:rsidRPr="008E2646">
              <w:rPr>
                <w:rFonts w:ascii="Calibri" w:eastAsia="Times New Roman" w:hAnsi="Calibri" w:cs="Times New Roman"/>
                <w:bCs/>
                <w:sz w:val="18"/>
                <w:szCs w:val="18"/>
              </w:rPr>
              <w:t>What high-level participants should be invited to chair and/or deliver keynote speeches on the theme(s) selected?</w:t>
            </w:r>
            <w:bookmarkEnd w:id="136"/>
          </w:p>
        </w:tc>
        <w:tc>
          <w:tcPr>
            <w:tcW w:w="2443" w:type="dxa"/>
          </w:tcPr>
          <w:p w14:paraId="09710957"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sz w:val="18"/>
                <w:szCs w:val="18"/>
              </w:rPr>
              <w:t>--</w:t>
            </w:r>
          </w:p>
        </w:tc>
        <w:tc>
          <w:tcPr>
            <w:tcW w:w="2413" w:type="dxa"/>
          </w:tcPr>
          <w:p w14:paraId="50800201"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137" w:name="lt_pId247"/>
            <w:r w:rsidRPr="008E2646">
              <w:rPr>
                <w:rFonts w:ascii="Calibri" w:eastAsia="Times New Roman" w:hAnsi="Calibri" w:cs="Times New Roman"/>
                <w:sz w:val="18"/>
                <w:szCs w:val="18"/>
                <w:lang w:val="id-ID"/>
              </w:rPr>
              <w:t xml:space="preserve">High-level participants </w:t>
            </w:r>
            <w:r w:rsidRPr="008E2646">
              <w:rPr>
                <w:rFonts w:ascii="Calibri" w:eastAsia="Times New Roman" w:hAnsi="Calibri" w:cs="Times New Roman"/>
                <w:sz w:val="18"/>
                <w:szCs w:val="18"/>
              </w:rPr>
              <w:t>to WTDC-21 are by invitation only, arising from MS</w:t>
            </w:r>
            <w:r w:rsidRPr="008E2646">
              <w:rPr>
                <w:rFonts w:ascii="Calibri" w:eastAsia="Times New Roman" w:hAnsi="Calibri" w:cs="Times New Roman"/>
                <w:sz w:val="18"/>
                <w:szCs w:val="18"/>
                <w:lang w:val="id-ID"/>
              </w:rPr>
              <w:t xml:space="preserve">, </w:t>
            </w:r>
            <w:r w:rsidRPr="008E2646">
              <w:rPr>
                <w:rFonts w:ascii="Calibri" w:eastAsia="Times New Roman" w:hAnsi="Calibri" w:cs="Times New Roman"/>
                <w:sz w:val="18"/>
                <w:szCs w:val="18"/>
              </w:rPr>
              <w:t>SM</w:t>
            </w:r>
            <w:r w:rsidRPr="008E2646">
              <w:rPr>
                <w:rFonts w:ascii="Calibri" w:eastAsia="Times New Roman" w:hAnsi="Calibri" w:cs="Times New Roman"/>
                <w:sz w:val="18"/>
                <w:szCs w:val="18"/>
                <w:lang w:val="id-ID"/>
              </w:rPr>
              <w:t>, academia</w:t>
            </w:r>
            <w:r w:rsidRPr="008E2646">
              <w:rPr>
                <w:rFonts w:ascii="Calibri" w:eastAsia="Times New Roman" w:hAnsi="Calibri" w:cs="Times New Roman"/>
                <w:sz w:val="18"/>
                <w:szCs w:val="18"/>
              </w:rPr>
              <w:t>, and international/regional financial/funding organizations.</w:t>
            </w:r>
            <w:bookmarkEnd w:id="137"/>
          </w:p>
        </w:tc>
        <w:tc>
          <w:tcPr>
            <w:tcW w:w="2819" w:type="dxa"/>
          </w:tcPr>
          <w:p w14:paraId="59D9D16E"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sz w:val="18"/>
                <w:szCs w:val="18"/>
              </w:rPr>
              <w:t>--</w:t>
            </w:r>
          </w:p>
        </w:tc>
        <w:tc>
          <w:tcPr>
            <w:tcW w:w="1841" w:type="dxa"/>
          </w:tcPr>
          <w:p w14:paraId="14444679"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sz w:val="18"/>
                <w:szCs w:val="18"/>
              </w:rPr>
              <w:t>--</w:t>
            </w:r>
          </w:p>
        </w:tc>
        <w:tc>
          <w:tcPr>
            <w:tcW w:w="2139" w:type="dxa"/>
          </w:tcPr>
          <w:p w14:paraId="1A505DCF"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sz w:val="18"/>
                <w:szCs w:val="18"/>
              </w:rPr>
              <w:t>--</w:t>
            </w:r>
          </w:p>
        </w:tc>
      </w:tr>
      <w:tr w:rsidR="008E2646" w:rsidRPr="008E2646" w14:paraId="15BDCE12" w14:textId="77777777" w:rsidTr="008E2646">
        <w:tc>
          <w:tcPr>
            <w:tcW w:w="1907" w:type="dxa"/>
            <w:shd w:val="clear" w:color="auto" w:fill="E2EFD9"/>
          </w:tcPr>
          <w:p w14:paraId="5C450B8A"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138" w:name="lt_pId251"/>
            <w:r w:rsidRPr="008E2646">
              <w:rPr>
                <w:rFonts w:ascii="Calibri" w:eastAsia="Times New Roman" w:hAnsi="Calibri" w:cs="Times New Roman"/>
                <w:bCs/>
                <w:sz w:val="18"/>
                <w:szCs w:val="18"/>
              </w:rPr>
              <w:t>Submit proposals for thematic tracks that can be incorporated into the conference.”</w:t>
            </w:r>
            <w:bookmarkEnd w:id="138"/>
          </w:p>
        </w:tc>
        <w:tc>
          <w:tcPr>
            <w:tcW w:w="2443" w:type="dxa"/>
            <w:shd w:val="clear" w:color="auto" w:fill="E2EFD9"/>
          </w:tcPr>
          <w:p w14:paraId="5FD88C24"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139" w:name="lt_pId252"/>
            <w:r w:rsidRPr="008E2646">
              <w:rPr>
                <w:rFonts w:ascii="Calibri" w:eastAsia="Times New Roman" w:hAnsi="Calibri" w:cs="Times New Roman"/>
                <w:sz w:val="18"/>
                <w:szCs w:val="18"/>
              </w:rPr>
              <w:t>Explanation on the linkages between thematic priorities, ITU-D Action plan, WTDC Resolutions, BDT programs and ITU-D study Questions.</w:t>
            </w:r>
            <w:bookmarkEnd w:id="139"/>
          </w:p>
        </w:tc>
        <w:tc>
          <w:tcPr>
            <w:tcW w:w="2413" w:type="dxa"/>
            <w:shd w:val="clear" w:color="auto" w:fill="E2EFD9"/>
          </w:tcPr>
          <w:p w14:paraId="11852735"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sz w:val="18"/>
                <w:szCs w:val="18"/>
              </w:rPr>
              <w:t>--</w:t>
            </w:r>
          </w:p>
        </w:tc>
        <w:tc>
          <w:tcPr>
            <w:tcW w:w="2819" w:type="dxa"/>
            <w:shd w:val="clear" w:color="auto" w:fill="E2EFD9"/>
          </w:tcPr>
          <w:p w14:paraId="3C3DE5D6"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140" w:name="lt_pId254"/>
            <w:r w:rsidRPr="008E2646">
              <w:rPr>
                <w:rFonts w:ascii="Calibri" w:eastAsia="Times New Roman" w:hAnsi="Calibri" w:cs="Times New Roman"/>
                <w:sz w:val="18"/>
                <w:szCs w:val="18"/>
              </w:rPr>
              <w:t>Avoid having separate parallel tracks as this could discriminate against smaller ITU Member States and Sector Members with small delegations.</w:t>
            </w:r>
            <w:bookmarkEnd w:id="140"/>
            <w:r w:rsidRPr="008E2646">
              <w:rPr>
                <w:rFonts w:ascii="Calibri" w:eastAsia="Times New Roman" w:hAnsi="Calibri" w:cs="Times New Roman"/>
                <w:sz w:val="18"/>
                <w:szCs w:val="18"/>
              </w:rPr>
              <w:t xml:space="preserve">  </w:t>
            </w:r>
            <w:bookmarkStart w:id="141" w:name="lt_pId255"/>
            <w:r w:rsidRPr="008E2646">
              <w:rPr>
                <w:rFonts w:ascii="Calibri" w:eastAsia="Times New Roman" w:hAnsi="Calibri" w:cs="Times New Roman"/>
                <w:sz w:val="18"/>
                <w:szCs w:val="18"/>
              </w:rPr>
              <w:t>This recommendation is also in line with previous TDAG discussions around the desire to simplify engagement with the ITU and in its meetings and events.</w:t>
            </w:r>
            <w:bookmarkEnd w:id="141"/>
          </w:p>
        </w:tc>
        <w:tc>
          <w:tcPr>
            <w:tcW w:w="1841" w:type="dxa"/>
            <w:shd w:val="clear" w:color="auto" w:fill="E2EFD9"/>
          </w:tcPr>
          <w:p w14:paraId="2DA70475"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r w:rsidRPr="008E2646">
              <w:rPr>
                <w:rFonts w:ascii="Calibri" w:eastAsia="Times New Roman" w:hAnsi="Calibri" w:cs="Times New Roman"/>
                <w:sz w:val="18"/>
                <w:szCs w:val="18"/>
              </w:rPr>
              <w:t>--</w:t>
            </w:r>
          </w:p>
        </w:tc>
        <w:tc>
          <w:tcPr>
            <w:tcW w:w="2139" w:type="dxa"/>
            <w:shd w:val="clear" w:color="auto" w:fill="E2EFD9"/>
          </w:tcPr>
          <w:p w14:paraId="7B62BB71" w14:textId="77777777" w:rsidR="008E2646" w:rsidRPr="008E2646" w:rsidRDefault="008E2646" w:rsidP="008E2646">
            <w:pPr>
              <w:tabs>
                <w:tab w:val="clear" w:pos="794"/>
              </w:tabs>
              <w:bidi w:val="0"/>
              <w:spacing w:before="40" w:after="40" w:line="240" w:lineRule="auto"/>
              <w:jc w:val="left"/>
              <w:rPr>
                <w:rFonts w:ascii="Calibri" w:eastAsia="Times New Roman" w:hAnsi="Calibri" w:cs="Times New Roman"/>
                <w:sz w:val="18"/>
                <w:szCs w:val="18"/>
              </w:rPr>
            </w:pPr>
            <w:bookmarkStart w:id="142" w:name="lt_pId257"/>
            <w:r w:rsidRPr="008E2646">
              <w:rPr>
                <w:rFonts w:ascii="Calibri" w:eastAsia="Times New Roman" w:hAnsi="Calibri" w:cs="Times New Roman"/>
                <w:sz w:val="18"/>
                <w:szCs w:val="18"/>
                <w:lang w:val="en-ZW"/>
              </w:rPr>
              <w:t>Proposed themes for WTDC, which can be utilised for thematic tracks, include innovation that assist in achieving the Sustainable Development Goals, demand stimulation initiatives, ICT capacity building for disadvantaged communities, Implementation of ICT technical skill resource training and investment in ICT infrastructure.</w:t>
            </w:r>
            <w:bookmarkEnd w:id="142"/>
            <w:r w:rsidRPr="008E2646">
              <w:rPr>
                <w:rFonts w:ascii="Calibri" w:eastAsia="Times New Roman" w:hAnsi="Calibri" w:cs="Times New Roman"/>
                <w:sz w:val="18"/>
                <w:szCs w:val="18"/>
                <w:lang w:val="en-ZW"/>
              </w:rPr>
              <w:t xml:space="preserve"> </w:t>
            </w:r>
          </w:p>
        </w:tc>
      </w:tr>
    </w:tbl>
    <w:p w14:paraId="2D97514C" w14:textId="47D2300E" w:rsidR="008E2646" w:rsidRPr="00FD2F0F" w:rsidRDefault="00FD2F0F" w:rsidP="00D31FF7">
      <w:pPr>
        <w:tabs>
          <w:tab w:val="clear" w:pos="794"/>
        </w:tabs>
        <w:spacing w:before="600"/>
        <w:jc w:val="center"/>
        <w:rPr>
          <w:rFonts w:eastAsia="Times New Roman"/>
          <w:lang w:eastAsia="en-US" w:bidi="ar-EG"/>
        </w:rPr>
      </w:pPr>
      <w:r>
        <w:rPr>
          <w:rFonts w:eastAsia="Times New Roman" w:hint="cs"/>
          <w:rtl/>
          <w:lang w:eastAsia="en-US"/>
        </w:rPr>
        <w:t>ـــــــــــــــــــــــــــــــــــــــــــــــــــــــــــــــــــــــــــــــــــــــــــــــ</w:t>
      </w:r>
    </w:p>
    <w:sectPr w:rsidR="008E2646" w:rsidRPr="00FD2F0F" w:rsidSect="00483C9C">
      <w:headerReference w:type="first" r:id="rId18"/>
      <w:footerReference w:type="first" r:id="rId19"/>
      <w:pgSz w:w="15840" w:h="12240" w:orient="landscape"/>
      <w:pgMar w:top="1418" w:right="1134" w:bottom="1134"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6530D" w14:textId="77777777" w:rsidR="008E2646" w:rsidRDefault="008E2646" w:rsidP="006C3242">
      <w:pPr>
        <w:spacing w:before="0" w:line="240" w:lineRule="auto"/>
      </w:pPr>
      <w:r>
        <w:separator/>
      </w:r>
    </w:p>
  </w:endnote>
  <w:endnote w:type="continuationSeparator" w:id="0">
    <w:p w14:paraId="0B080B40" w14:textId="77777777" w:rsidR="008E2646" w:rsidRDefault="008E264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B0DA7" w14:textId="29CF07A5" w:rsidR="00860D97" w:rsidRPr="00BB2DED" w:rsidRDefault="00860D97" w:rsidP="00860D97">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BB2DED">
      <w:rPr>
        <w:sz w:val="16"/>
        <w:szCs w:val="16"/>
        <w:lang w:val="en-GB"/>
      </w:rPr>
      <w:instrText xml:space="preserve"> FILENAME \p \* MERGEFORMAT </w:instrText>
    </w:r>
    <w:r w:rsidRPr="0026373E">
      <w:rPr>
        <w:sz w:val="16"/>
        <w:szCs w:val="16"/>
        <w:lang w:val="fr-FR"/>
      </w:rPr>
      <w:fldChar w:fldCharType="separate"/>
    </w:r>
    <w:r w:rsidR="000B763F">
      <w:rPr>
        <w:noProof/>
        <w:sz w:val="16"/>
        <w:szCs w:val="16"/>
        <w:lang w:val="en-GB"/>
      </w:rPr>
      <w:t>P:\ARA\ITU-D\CONF-D\TDAG20\TDAG-WG\PREP\000\012A.docx</w:t>
    </w:r>
    <w:r w:rsidRPr="0026373E">
      <w:rPr>
        <w:sz w:val="16"/>
        <w:szCs w:val="16"/>
      </w:rPr>
      <w:fldChar w:fldCharType="end"/>
    </w:r>
    <w:proofErr w:type="gramStart"/>
    <w:r w:rsidRPr="0026373E">
      <w:rPr>
        <w:sz w:val="16"/>
        <w:szCs w:val="16"/>
      </w:rPr>
      <w:t xml:space="preserve">  </w:t>
    </w:r>
    <w:r w:rsidRPr="00BB2DED">
      <w:rPr>
        <w:sz w:val="16"/>
        <w:szCs w:val="16"/>
        <w:lang w:val="en-GB"/>
      </w:rPr>
      <w:t xml:space="preserve"> (</w:t>
    </w:r>
    <w:proofErr w:type="gramEnd"/>
    <w:r w:rsidRPr="00BB2DED">
      <w:rPr>
        <w:sz w:val="16"/>
        <w:szCs w:val="16"/>
        <w:lang w:val="en-GB"/>
      </w:rPr>
      <w:t>476624)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E2646" w:rsidRPr="005874F2" w14:paraId="6B294FFB" w14:textId="77777777" w:rsidTr="006F63B4">
      <w:tc>
        <w:tcPr>
          <w:tcW w:w="991" w:type="dxa"/>
          <w:tcBorders>
            <w:top w:val="single" w:sz="4" w:space="0" w:color="auto"/>
            <w:left w:val="nil"/>
            <w:bottom w:val="nil"/>
            <w:right w:val="nil"/>
          </w:tcBorders>
          <w:shd w:val="clear" w:color="auto" w:fill="FFFFFF" w:themeFill="background1"/>
          <w:hideMark/>
        </w:tcPr>
        <w:p w14:paraId="044C3102" w14:textId="77777777" w:rsidR="008E2646" w:rsidRPr="0089289E" w:rsidRDefault="008E2646" w:rsidP="008E2646">
          <w:pPr>
            <w:spacing w:before="40" w:after="40" w:line="260" w:lineRule="exact"/>
            <w:rPr>
              <w:position w:val="2"/>
              <w:sz w:val="18"/>
              <w:szCs w:val="18"/>
              <w:lang w:val="en-GB"/>
            </w:rPr>
          </w:pPr>
          <w:r w:rsidRPr="0089289E">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A00D764" w14:textId="77777777" w:rsidR="008E2646" w:rsidRPr="0089289E" w:rsidRDefault="008E2646" w:rsidP="008E2646">
          <w:pPr>
            <w:spacing w:before="40" w:after="40" w:line="260" w:lineRule="exact"/>
            <w:rPr>
              <w:position w:val="2"/>
              <w:sz w:val="18"/>
              <w:szCs w:val="18"/>
              <w:lang w:val="en-GB"/>
            </w:rPr>
          </w:pPr>
          <w:r w:rsidRPr="0089289E">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D5403FA" w14:textId="77777777" w:rsidR="008E2646" w:rsidRPr="0089289E" w:rsidRDefault="008E2646" w:rsidP="008E2646">
          <w:pPr>
            <w:spacing w:before="40" w:after="40" w:line="260" w:lineRule="exact"/>
            <w:rPr>
              <w:position w:val="2"/>
              <w:sz w:val="18"/>
              <w:szCs w:val="18"/>
              <w:lang w:val="en-GB"/>
            </w:rPr>
          </w:pPr>
          <w:r w:rsidRPr="0089289E">
            <w:rPr>
              <w:position w:val="2"/>
              <w:sz w:val="18"/>
              <w:szCs w:val="18"/>
              <w:rtl/>
              <w:lang w:val="fr-FR"/>
            </w:rPr>
            <w:t>السيد ستيفن بيرو</w:t>
          </w:r>
          <w:r w:rsidRPr="0089289E">
            <w:rPr>
              <w:rFonts w:hint="cs"/>
              <w:position w:val="2"/>
              <w:sz w:val="18"/>
              <w:szCs w:val="18"/>
              <w:rtl/>
              <w:lang w:val="fr-FR"/>
            </w:rPr>
            <w:t xml:space="preserve">، </w:t>
          </w:r>
          <w:r w:rsidRPr="0089289E">
            <w:rPr>
              <w:position w:val="2"/>
              <w:sz w:val="18"/>
              <w:szCs w:val="18"/>
              <w:rtl/>
              <w:lang w:val="fr-FR"/>
            </w:rPr>
            <w:t>نائب مدير</w:t>
          </w:r>
          <w:r w:rsidRPr="0089289E">
            <w:rPr>
              <w:rFonts w:hint="cs"/>
              <w:position w:val="2"/>
              <w:sz w:val="18"/>
              <w:szCs w:val="18"/>
              <w:rtl/>
              <w:lang w:val="fr-FR"/>
            </w:rPr>
            <w:t>ة</w:t>
          </w:r>
          <w:r w:rsidRPr="0089289E">
            <w:rPr>
              <w:position w:val="2"/>
              <w:sz w:val="18"/>
              <w:szCs w:val="18"/>
              <w:rtl/>
              <w:lang w:val="fr-FR"/>
            </w:rPr>
            <w:t xml:space="preserve"> مكتب تنمية الاتصالات</w:t>
          </w:r>
        </w:p>
      </w:tc>
    </w:tr>
    <w:tr w:rsidR="008E2646" w:rsidRPr="005874F2" w14:paraId="1579E9DA" w14:textId="77777777" w:rsidTr="006F63B4">
      <w:tc>
        <w:tcPr>
          <w:tcW w:w="991" w:type="dxa"/>
        </w:tcPr>
        <w:p w14:paraId="2AEE38EF" w14:textId="77777777" w:rsidR="008E2646" w:rsidRPr="0089289E" w:rsidRDefault="008E2646" w:rsidP="008E2646">
          <w:pPr>
            <w:spacing w:before="40" w:after="40" w:line="260" w:lineRule="exact"/>
            <w:rPr>
              <w:position w:val="2"/>
              <w:sz w:val="18"/>
              <w:szCs w:val="18"/>
              <w:lang w:val="en-GB"/>
            </w:rPr>
          </w:pPr>
        </w:p>
      </w:tc>
      <w:tc>
        <w:tcPr>
          <w:tcW w:w="2411" w:type="dxa"/>
          <w:hideMark/>
        </w:tcPr>
        <w:p w14:paraId="100B0045" w14:textId="77777777" w:rsidR="008E2646" w:rsidRPr="0089289E" w:rsidRDefault="008E2646" w:rsidP="008E2646">
          <w:pPr>
            <w:spacing w:before="40" w:after="40" w:line="260" w:lineRule="exact"/>
            <w:rPr>
              <w:position w:val="2"/>
              <w:sz w:val="18"/>
              <w:szCs w:val="18"/>
              <w:lang w:val="en-GB"/>
            </w:rPr>
          </w:pPr>
          <w:r w:rsidRPr="0089289E">
            <w:rPr>
              <w:position w:val="2"/>
              <w:sz w:val="18"/>
              <w:szCs w:val="18"/>
              <w:rtl/>
              <w:lang w:val="fr-FR" w:bidi="ar-EG"/>
            </w:rPr>
            <w:t>رقم الهاتف:</w:t>
          </w:r>
        </w:p>
      </w:tc>
      <w:tc>
        <w:tcPr>
          <w:tcW w:w="6237" w:type="dxa"/>
        </w:tcPr>
        <w:p w14:paraId="11160992" w14:textId="77777777" w:rsidR="008E2646" w:rsidRPr="0089289E" w:rsidRDefault="008E2646" w:rsidP="008E2646">
          <w:pPr>
            <w:spacing w:before="40" w:after="40" w:line="260" w:lineRule="exact"/>
            <w:rPr>
              <w:position w:val="2"/>
              <w:sz w:val="18"/>
              <w:szCs w:val="18"/>
              <w:lang w:val="en-GB"/>
            </w:rPr>
          </w:pPr>
          <w:r w:rsidRPr="0089289E">
            <w:rPr>
              <w:sz w:val="18"/>
              <w:szCs w:val="18"/>
            </w:rPr>
            <w:t>+41 22 730 5131</w:t>
          </w:r>
        </w:p>
      </w:tc>
    </w:tr>
    <w:tr w:rsidR="008E2646" w:rsidRPr="005874F2" w14:paraId="26CA7172" w14:textId="77777777" w:rsidTr="006F63B4">
      <w:tc>
        <w:tcPr>
          <w:tcW w:w="991" w:type="dxa"/>
        </w:tcPr>
        <w:p w14:paraId="010D1270" w14:textId="77777777" w:rsidR="008E2646" w:rsidRPr="0089289E" w:rsidRDefault="008E2646" w:rsidP="008E2646">
          <w:pPr>
            <w:spacing w:before="40" w:after="40" w:line="260" w:lineRule="exact"/>
            <w:rPr>
              <w:position w:val="2"/>
              <w:sz w:val="18"/>
              <w:szCs w:val="18"/>
              <w:lang w:val="en-GB"/>
            </w:rPr>
          </w:pPr>
        </w:p>
      </w:tc>
      <w:tc>
        <w:tcPr>
          <w:tcW w:w="2411" w:type="dxa"/>
          <w:hideMark/>
        </w:tcPr>
        <w:p w14:paraId="6D88F5AD" w14:textId="77777777" w:rsidR="008E2646" w:rsidRPr="0089289E" w:rsidRDefault="008E2646" w:rsidP="008E2646">
          <w:pPr>
            <w:spacing w:before="40" w:after="40" w:line="260" w:lineRule="exact"/>
            <w:rPr>
              <w:position w:val="2"/>
              <w:sz w:val="18"/>
              <w:szCs w:val="18"/>
              <w:lang w:val="en-GB"/>
            </w:rPr>
          </w:pPr>
          <w:r w:rsidRPr="0089289E">
            <w:rPr>
              <w:position w:val="2"/>
              <w:sz w:val="18"/>
              <w:szCs w:val="18"/>
              <w:rtl/>
              <w:lang w:val="fr-FR" w:bidi="ar-EG"/>
            </w:rPr>
            <w:t>البريد الإلكتروني:</w:t>
          </w:r>
        </w:p>
      </w:tc>
      <w:tc>
        <w:tcPr>
          <w:tcW w:w="6237" w:type="dxa"/>
        </w:tcPr>
        <w:p w14:paraId="3A45E762" w14:textId="77777777" w:rsidR="008E2646" w:rsidRPr="0089289E" w:rsidRDefault="006E6DBD" w:rsidP="008E2646">
          <w:pPr>
            <w:spacing w:before="40" w:after="40" w:line="260" w:lineRule="exact"/>
            <w:rPr>
              <w:position w:val="2"/>
              <w:sz w:val="18"/>
              <w:szCs w:val="18"/>
              <w:rtl/>
              <w:lang w:val="fr-FR" w:bidi="ar-EG"/>
            </w:rPr>
          </w:pPr>
          <w:hyperlink r:id="rId1" w:history="1">
            <w:r w:rsidR="008E2646" w:rsidRPr="0089289E">
              <w:rPr>
                <w:rStyle w:val="Hyperlink"/>
                <w:sz w:val="18"/>
                <w:szCs w:val="18"/>
              </w:rPr>
              <w:t>stephen.bereaux@itu.int</w:t>
            </w:r>
          </w:hyperlink>
          <w:r w:rsidR="008E2646" w:rsidRPr="0089289E">
            <w:rPr>
              <w:sz w:val="18"/>
              <w:szCs w:val="18"/>
            </w:rPr>
            <w:t xml:space="preserve"> </w:t>
          </w:r>
        </w:p>
      </w:tc>
    </w:tr>
  </w:tbl>
  <w:p w14:paraId="6A7832ED" w14:textId="4790A513" w:rsidR="003674C1" w:rsidRPr="003E4A0E" w:rsidRDefault="006E6DBD" w:rsidP="003674C1">
    <w:pPr>
      <w:tabs>
        <w:tab w:val="clear" w:pos="794"/>
        <w:tab w:val="center" w:pos="4820"/>
        <w:tab w:val="right" w:pos="9639"/>
      </w:tabs>
      <w:overflowPunct w:val="0"/>
      <w:autoSpaceDE w:val="0"/>
      <w:autoSpaceDN w:val="0"/>
      <w:adjustRightInd w:val="0"/>
      <w:spacing w:line="240" w:lineRule="auto"/>
      <w:ind w:right="1"/>
      <w:jc w:val="center"/>
      <w:textAlignment w:val="baseline"/>
      <w:rPr>
        <w:rFonts w:ascii="Calibri" w:eastAsia="Times New Roman" w:hAnsi="Calibri" w:cs="Times New Roman" w:hint="cs"/>
        <w:sz w:val="20"/>
        <w:szCs w:val="20"/>
        <w:rtl/>
        <w:lang w:val="en-GB" w:eastAsia="en-US" w:bidi="ar-EG"/>
      </w:rPr>
    </w:pPr>
    <w:hyperlink r:id="rId2" w:history="1">
      <w:r w:rsidR="003674C1" w:rsidRPr="003E4A0E">
        <w:rPr>
          <w:rFonts w:ascii="Calibri" w:eastAsia="Times New Roman" w:hAnsi="Calibri" w:cs="Times New Roman"/>
          <w:color w:val="0000FF"/>
          <w:sz w:val="20"/>
          <w:szCs w:val="20"/>
          <w:u w:val="single"/>
          <w:lang w:val="en-GB" w:eastAsia="en-US"/>
        </w:rPr>
        <w:t>TDAG-WG-Prep</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32D3B" w14:textId="76433184" w:rsidR="00860D97" w:rsidRPr="00BB2DED" w:rsidRDefault="00860D97" w:rsidP="00860D97">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BB2DED">
      <w:rPr>
        <w:sz w:val="16"/>
        <w:szCs w:val="16"/>
        <w:lang w:val="en-GB"/>
      </w:rPr>
      <w:instrText xml:space="preserve"> FILENAME \p \* MERGEFORMAT </w:instrText>
    </w:r>
    <w:r w:rsidRPr="0026373E">
      <w:rPr>
        <w:sz w:val="16"/>
        <w:szCs w:val="16"/>
        <w:lang w:val="fr-FR"/>
      </w:rPr>
      <w:fldChar w:fldCharType="separate"/>
    </w:r>
    <w:r w:rsidR="009114E7">
      <w:rPr>
        <w:noProof/>
        <w:sz w:val="16"/>
        <w:szCs w:val="16"/>
        <w:lang w:val="en-GB"/>
      </w:rPr>
      <w:t>P:\ARA\ITU-D\CONF-D\TDAG20\TDAG-WG\PREP\000\012A.docx</w:t>
    </w:r>
    <w:r w:rsidRPr="0026373E">
      <w:rPr>
        <w:sz w:val="16"/>
        <w:szCs w:val="16"/>
      </w:rPr>
      <w:fldChar w:fldCharType="end"/>
    </w:r>
    <w:proofErr w:type="gramStart"/>
    <w:r w:rsidRPr="0026373E">
      <w:rPr>
        <w:sz w:val="16"/>
        <w:szCs w:val="16"/>
      </w:rPr>
      <w:t xml:space="preserve">  </w:t>
    </w:r>
    <w:r w:rsidRPr="00BB2DED">
      <w:rPr>
        <w:sz w:val="16"/>
        <w:szCs w:val="16"/>
        <w:lang w:val="en-GB"/>
      </w:rPr>
      <w:t xml:space="preserve"> (</w:t>
    </w:r>
    <w:proofErr w:type="gramEnd"/>
    <w:r w:rsidRPr="00BB2DED">
      <w:rPr>
        <w:sz w:val="16"/>
        <w:szCs w:val="16"/>
        <w:lang w:val="en-GB"/>
      </w:rPr>
      <w:t>476624)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16308" w14:textId="77777777" w:rsidR="008E2646" w:rsidRDefault="008E2646" w:rsidP="006C3242">
      <w:pPr>
        <w:spacing w:before="0" w:line="240" w:lineRule="auto"/>
      </w:pPr>
      <w:r>
        <w:separator/>
      </w:r>
    </w:p>
  </w:footnote>
  <w:footnote w:type="continuationSeparator" w:id="0">
    <w:p w14:paraId="15B17FC9" w14:textId="77777777" w:rsidR="008E2646" w:rsidRDefault="008E264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5B689" w14:textId="77777777" w:rsidR="00627BC1" w:rsidRPr="00FC3D2F" w:rsidRDefault="00627BC1" w:rsidP="00627BC1">
    <w:pPr>
      <w:pStyle w:val="Header"/>
      <w:tabs>
        <w:tab w:val="clear" w:pos="794"/>
        <w:tab w:val="clear" w:pos="4680"/>
        <w:tab w:val="clear" w:pos="9360"/>
        <w:tab w:val="center" w:pos="4819"/>
        <w:tab w:val="right" w:pos="9639"/>
      </w:tabs>
      <w:spacing w:before="120" w:after="240" w:line="192" w:lineRule="auto"/>
      <w:jc w:val="center"/>
      <w:rPr>
        <w:sz w:val="20"/>
        <w:szCs w:val="20"/>
        <w:rtl/>
        <w:lang w:bidi="ar-EG"/>
      </w:rPr>
    </w:pPr>
    <w:sdt>
      <w:sdtPr>
        <w:rPr>
          <w:sz w:val="20"/>
          <w:szCs w:val="20"/>
          <w:rtl/>
        </w:rPr>
        <w:id w:val="-1375531529"/>
        <w:docPartObj>
          <w:docPartGallery w:val="Page Numbers (Top of Page)"/>
          <w:docPartUnique/>
        </w:docPartObj>
      </w:sdtPr>
      <w:sdtEndPr>
        <w:rPr>
          <w:rFonts w:cs="Calibri"/>
          <w:noProof/>
          <w:sz w:val="18"/>
          <w:szCs w:val="18"/>
        </w:rPr>
      </w:sdtEndPr>
      <w:sdtContent>
        <w:r>
          <w:rPr>
            <w:sz w:val="20"/>
            <w:szCs w:val="20"/>
            <w:lang w:val="es-ES_tradnl"/>
          </w:rPr>
          <w:t>TDAG-WG-</w:t>
        </w:r>
        <w:proofErr w:type="spellStart"/>
        <w:r>
          <w:rPr>
            <w:sz w:val="20"/>
            <w:szCs w:val="20"/>
            <w:lang w:val="es-ES_tradnl"/>
          </w:rPr>
          <w:t>Prep</w:t>
        </w:r>
        <w:proofErr w:type="spellEnd"/>
        <w:r w:rsidRPr="00FC3D2F">
          <w:rPr>
            <w:sz w:val="20"/>
            <w:szCs w:val="20"/>
            <w:lang w:val="es-ES_tradnl"/>
          </w:rPr>
          <w:t>/</w:t>
        </w:r>
        <w:bookmarkStart w:id="0" w:name="DocNo2"/>
        <w:bookmarkEnd w:id="0"/>
        <w:r>
          <w:rPr>
            <w:sz w:val="20"/>
            <w:szCs w:val="20"/>
            <w:lang w:val="es-ES_tradnl"/>
          </w:rPr>
          <w:t>12</w:t>
        </w:r>
        <w:r w:rsidRPr="00FC3D2F">
          <w:rPr>
            <w:sz w:val="20"/>
            <w:szCs w:val="20"/>
            <w:lang w:val="en-GB"/>
          </w:rPr>
          <w:t>-A</w:t>
        </w:r>
        <w:r>
          <w:rPr>
            <w:sz w:val="20"/>
            <w:szCs w:val="20"/>
            <w:rtl/>
          </w:rPr>
          <w:br/>
        </w:r>
      </w:sdtContent>
    </w:sdt>
    <w:r>
      <w:rPr>
        <w:rFonts w:cs="Calibri"/>
        <w:noProof/>
        <w:sz w:val="18"/>
        <w:szCs w:val="18"/>
      </w:rPr>
      <w:t xml:space="preserve">- </w:t>
    </w:r>
    <w:r w:rsidRPr="00066F83">
      <w:rPr>
        <w:rFonts w:cs="Calibri"/>
        <w:noProof/>
        <w:sz w:val="18"/>
        <w:szCs w:val="18"/>
      </w:rPr>
      <w:fldChar w:fldCharType="begin"/>
    </w:r>
    <w:r w:rsidRPr="00066F83">
      <w:rPr>
        <w:rFonts w:cs="Calibri"/>
        <w:noProof/>
        <w:sz w:val="18"/>
        <w:szCs w:val="18"/>
      </w:rPr>
      <w:instrText xml:space="preserve"> PAGE   \* MERGEFORMAT </w:instrText>
    </w:r>
    <w:r w:rsidRPr="00066F83">
      <w:rPr>
        <w:rFonts w:cs="Calibri"/>
        <w:noProof/>
        <w:sz w:val="18"/>
        <w:szCs w:val="18"/>
      </w:rPr>
      <w:fldChar w:fldCharType="separate"/>
    </w:r>
    <w:r>
      <w:rPr>
        <w:rFonts w:cs="Calibri"/>
        <w:noProof/>
        <w:sz w:val="18"/>
        <w:szCs w:val="18"/>
      </w:rPr>
      <w:t>4</w:t>
    </w:r>
    <w:r w:rsidRPr="00066F83">
      <w:rPr>
        <w:rFonts w:cs="Calibri"/>
        <w:noProof/>
        <w:sz w:val="18"/>
        <w:szCs w:val="18"/>
      </w:rPr>
      <w:fldChar w:fldCharType="end"/>
    </w:r>
    <w:r>
      <w:rPr>
        <w:rFonts w:cs="Calibri"/>
        <w:noProof/>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B18F6" w14:textId="75D883EF" w:rsidR="00FF1A4B" w:rsidRPr="006E6DBD" w:rsidRDefault="006E6DBD" w:rsidP="006E6DBD">
    <w:pPr>
      <w:pStyle w:val="Header"/>
      <w:tabs>
        <w:tab w:val="clear" w:pos="794"/>
        <w:tab w:val="clear" w:pos="4680"/>
        <w:tab w:val="clear" w:pos="9360"/>
        <w:tab w:val="center" w:pos="4819"/>
        <w:tab w:val="right" w:pos="9639"/>
      </w:tabs>
      <w:spacing w:before="120" w:after="240" w:line="192" w:lineRule="auto"/>
      <w:jc w:val="center"/>
      <w:rPr>
        <w:rFonts w:hint="cs"/>
        <w:sz w:val="20"/>
        <w:szCs w:val="20"/>
        <w:lang w:bidi="ar-EG"/>
      </w:rPr>
    </w:pPr>
    <w:sdt>
      <w:sdtPr>
        <w:rPr>
          <w:sz w:val="20"/>
          <w:szCs w:val="20"/>
          <w:rtl/>
        </w:rPr>
        <w:id w:val="1702825946"/>
        <w:docPartObj>
          <w:docPartGallery w:val="Page Numbers (Top of Page)"/>
          <w:docPartUnique/>
        </w:docPartObj>
      </w:sdtPr>
      <w:sdtEndPr>
        <w:rPr>
          <w:rFonts w:cs="Calibri"/>
          <w:noProof/>
          <w:sz w:val="18"/>
          <w:szCs w:val="18"/>
        </w:rPr>
      </w:sdtEndPr>
      <w:sdtContent>
        <w:r>
          <w:rPr>
            <w:sz w:val="20"/>
            <w:szCs w:val="20"/>
            <w:lang w:val="es-ES_tradnl"/>
          </w:rPr>
          <w:t>TDAG-WG-</w:t>
        </w:r>
        <w:proofErr w:type="spellStart"/>
        <w:r>
          <w:rPr>
            <w:sz w:val="20"/>
            <w:szCs w:val="20"/>
            <w:lang w:val="es-ES_tradnl"/>
          </w:rPr>
          <w:t>Prep</w:t>
        </w:r>
        <w:proofErr w:type="spellEnd"/>
        <w:r w:rsidRPr="00FC3D2F">
          <w:rPr>
            <w:sz w:val="20"/>
            <w:szCs w:val="20"/>
            <w:lang w:val="es-ES_tradnl"/>
          </w:rPr>
          <w:t>/</w:t>
        </w:r>
        <w:r>
          <w:rPr>
            <w:sz w:val="20"/>
            <w:szCs w:val="20"/>
            <w:lang w:val="es-ES_tradnl"/>
          </w:rPr>
          <w:t>12</w:t>
        </w:r>
        <w:r w:rsidRPr="00FC3D2F">
          <w:rPr>
            <w:sz w:val="20"/>
            <w:szCs w:val="20"/>
            <w:lang w:val="en-GB"/>
          </w:rPr>
          <w:t>-A</w:t>
        </w:r>
        <w:r>
          <w:rPr>
            <w:sz w:val="20"/>
            <w:szCs w:val="20"/>
            <w:rtl/>
          </w:rPr>
          <w:br/>
        </w:r>
      </w:sdtContent>
    </w:sdt>
    <w:r>
      <w:rPr>
        <w:rFonts w:cs="Calibri"/>
        <w:noProof/>
        <w:sz w:val="18"/>
        <w:szCs w:val="18"/>
      </w:rPr>
      <w:t xml:space="preserve">- </w:t>
    </w:r>
    <w:r w:rsidRPr="00066F83">
      <w:rPr>
        <w:rFonts w:cs="Calibri"/>
        <w:noProof/>
        <w:sz w:val="18"/>
        <w:szCs w:val="18"/>
      </w:rPr>
      <w:fldChar w:fldCharType="begin"/>
    </w:r>
    <w:r w:rsidRPr="00066F83">
      <w:rPr>
        <w:rFonts w:cs="Calibri"/>
        <w:noProof/>
        <w:sz w:val="18"/>
        <w:szCs w:val="18"/>
      </w:rPr>
      <w:instrText xml:space="preserve"> PAGE   \* MERGEFORMAT </w:instrText>
    </w:r>
    <w:r w:rsidRPr="00066F83">
      <w:rPr>
        <w:rFonts w:cs="Calibri"/>
        <w:noProof/>
        <w:sz w:val="18"/>
        <w:szCs w:val="18"/>
      </w:rPr>
      <w:fldChar w:fldCharType="separate"/>
    </w:r>
    <w:r>
      <w:rPr>
        <w:rFonts w:cs="Calibri"/>
        <w:noProof/>
        <w:sz w:val="18"/>
        <w:szCs w:val="18"/>
      </w:rPr>
      <w:t>2</w:t>
    </w:r>
    <w:r w:rsidRPr="00066F83">
      <w:rPr>
        <w:rFonts w:cs="Calibri"/>
        <w:noProof/>
        <w:sz w:val="18"/>
        <w:szCs w:val="18"/>
      </w:rPr>
      <w:fldChar w:fldCharType="end"/>
    </w:r>
    <w:r>
      <w:rPr>
        <w:rFonts w:cs="Calibri"/>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AF3DA0"/>
    <w:multiLevelType w:val="hybridMultilevel"/>
    <w:tmpl w:val="B3043CB0"/>
    <w:lvl w:ilvl="0" w:tplc="83E8BC7A">
      <w:start w:val="1"/>
      <w:numFmt w:val="decimal"/>
      <w:lvlText w:val="%1."/>
      <w:lvlJc w:val="left"/>
      <w:pPr>
        <w:ind w:left="360" w:hanging="360"/>
      </w:pPr>
      <w:rPr>
        <w:rFonts w:hint="default"/>
      </w:rPr>
    </w:lvl>
    <w:lvl w:ilvl="1" w:tplc="2D96631C" w:tentative="1">
      <w:start w:val="1"/>
      <w:numFmt w:val="bullet"/>
      <w:lvlText w:val="o"/>
      <w:lvlJc w:val="left"/>
      <w:pPr>
        <w:ind w:left="1080" w:hanging="360"/>
      </w:pPr>
      <w:rPr>
        <w:rFonts w:ascii="Courier New" w:hAnsi="Courier New" w:cs="Courier New" w:hint="default"/>
      </w:rPr>
    </w:lvl>
    <w:lvl w:ilvl="2" w:tplc="AF18D3F4" w:tentative="1">
      <w:start w:val="1"/>
      <w:numFmt w:val="bullet"/>
      <w:lvlText w:val=""/>
      <w:lvlJc w:val="left"/>
      <w:pPr>
        <w:ind w:left="1800" w:hanging="360"/>
      </w:pPr>
      <w:rPr>
        <w:rFonts w:ascii="Wingdings" w:hAnsi="Wingdings" w:hint="default"/>
      </w:rPr>
    </w:lvl>
    <w:lvl w:ilvl="3" w:tplc="F7EA66E8" w:tentative="1">
      <w:start w:val="1"/>
      <w:numFmt w:val="bullet"/>
      <w:lvlText w:val=""/>
      <w:lvlJc w:val="left"/>
      <w:pPr>
        <w:ind w:left="2520" w:hanging="360"/>
      </w:pPr>
      <w:rPr>
        <w:rFonts w:ascii="Symbol" w:hAnsi="Symbol" w:hint="default"/>
      </w:rPr>
    </w:lvl>
    <w:lvl w:ilvl="4" w:tplc="732E31EE" w:tentative="1">
      <w:start w:val="1"/>
      <w:numFmt w:val="bullet"/>
      <w:lvlText w:val="o"/>
      <w:lvlJc w:val="left"/>
      <w:pPr>
        <w:ind w:left="3240" w:hanging="360"/>
      </w:pPr>
      <w:rPr>
        <w:rFonts w:ascii="Courier New" w:hAnsi="Courier New" w:cs="Courier New" w:hint="default"/>
      </w:rPr>
    </w:lvl>
    <w:lvl w:ilvl="5" w:tplc="F6CA26DC" w:tentative="1">
      <w:start w:val="1"/>
      <w:numFmt w:val="bullet"/>
      <w:lvlText w:val=""/>
      <w:lvlJc w:val="left"/>
      <w:pPr>
        <w:ind w:left="3960" w:hanging="360"/>
      </w:pPr>
      <w:rPr>
        <w:rFonts w:ascii="Wingdings" w:hAnsi="Wingdings" w:hint="default"/>
      </w:rPr>
    </w:lvl>
    <w:lvl w:ilvl="6" w:tplc="18444C70" w:tentative="1">
      <w:start w:val="1"/>
      <w:numFmt w:val="bullet"/>
      <w:lvlText w:val=""/>
      <w:lvlJc w:val="left"/>
      <w:pPr>
        <w:ind w:left="4680" w:hanging="360"/>
      </w:pPr>
      <w:rPr>
        <w:rFonts w:ascii="Symbol" w:hAnsi="Symbol" w:hint="default"/>
      </w:rPr>
    </w:lvl>
    <w:lvl w:ilvl="7" w:tplc="F02ED33A" w:tentative="1">
      <w:start w:val="1"/>
      <w:numFmt w:val="bullet"/>
      <w:lvlText w:val="o"/>
      <w:lvlJc w:val="left"/>
      <w:pPr>
        <w:ind w:left="5400" w:hanging="360"/>
      </w:pPr>
      <w:rPr>
        <w:rFonts w:ascii="Courier New" w:hAnsi="Courier New" w:cs="Courier New" w:hint="default"/>
      </w:rPr>
    </w:lvl>
    <w:lvl w:ilvl="8" w:tplc="E7901EB8" w:tentative="1">
      <w:start w:val="1"/>
      <w:numFmt w:val="bullet"/>
      <w:lvlText w:val=""/>
      <w:lvlJc w:val="left"/>
      <w:pPr>
        <w:ind w:left="6120" w:hanging="360"/>
      </w:pPr>
      <w:rPr>
        <w:rFonts w:ascii="Wingdings" w:hAnsi="Wingdings" w:hint="default"/>
      </w:rPr>
    </w:lvl>
  </w:abstractNum>
  <w:abstractNum w:abstractNumId="12" w15:restartNumberingAfterBreak="0">
    <w:nsid w:val="55BA1306"/>
    <w:multiLevelType w:val="hybridMultilevel"/>
    <w:tmpl w:val="25220538"/>
    <w:lvl w:ilvl="0" w:tplc="BE8485BE">
      <w:start w:val="1"/>
      <w:numFmt w:val="bullet"/>
      <w:lvlText w:val=""/>
      <w:lvlJc w:val="left"/>
      <w:pPr>
        <w:ind w:left="360" w:hanging="360"/>
      </w:pPr>
      <w:rPr>
        <w:rFonts w:ascii="Symbol" w:hAnsi="Symbol" w:hint="default"/>
      </w:rPr>
    </w:lvl>
    <w:lvl w:ilvl="1" w:tplc="399C6C2E" w:tentative="1">
      <w:start w:val="1"/>
      <w:numFmt w:val="bullet"/>
      <w:lvlText w:val="o"/>
      <w:lvlJc w:val="left"/>
      <w:pPr>
        <w:ind w:left="1080" w:hanging="360"/>
      </w:pPr>
      <w:rPr>
        <w:rFonts w:ascii="Courier New" w:hAnsi="Courier New" w:cs="Courier New" w:hint="default"/>
      </w:rPr>
    </w:lvl>
    <w:lvl w:ilvl="2" w:tplc="91225B24" w:tentative="1">
      <w:start w:val="1"/>
      <w:numFmt w:val="bullet"/>
      <w:lvlText w:val=""/>
      <w:lvlJc w:val="left"/>
      <w:pPr>
        <w:ind w:left="1800" w:hanging="360"/>
      </w:pPr>
      <w:rPr>
        <w:rFonts w:ascii="Wingdings" w:hAnsi="Wingdings" w:hint="default"/>
      </w:rPr>
    </w:lvl>
    <w:lvl w:ilvl="3" w:tplc="C944BC30" w:tentative="1">
      <w:start w:val="1"/>
      <w:numFmt w:val="bullet"/>
      <w:lvlText w:val=""/>
      <w:lvlJc w:val="left"/>
      <w:pPr>
        <w:ind w:left="2520" w:hanging="360"/>
      </w:pPr>
      <w:rPr>
        <w:rFonts w:ascii="Symbol" w:hAnsi="Symbol" w:hint="default"/>
      </w:rPr>
    </w:lvl>
    <w:lvl w:ilvl="4" w:tplc="18BE894A" w:tentative="1">
      <w:start w:val="1"/>
      <w:numFmt w:val="bullet"/>
      <w:lvlText w:val="o"/>
      <w:lvlJc w:val="left"/>
      <w:pPr>
        <w:ind w:left="3240" w:hanging="360"/>
      </w:pPr>
      <w:rPr>
        <w:rFonts w:ascii="Courier New" w:hAnsi="Courier New" w:cs="Courier New" w:hint="default"/>
      </w:rPr>
    </w:lvl>
    <w:lvl w:ilvl="5" w:tplc="75C80CFE" w:tentative="1">
      <w:start w:val="1"/>
      <w:numFmt w:val="bullet"/>
      <w:lvlText w:val=""/>
      <w:lvlJc w:val="left"/>
      <w:pPr>
        <w:ind w:left="3960" w:hanging="360"/>
      </w:pPr>
      <w:rPr>
        <w:rFonts w:ascii="Wingdings" w:hAnsi="Wingdings" w:hint="default"/>
      </w:rPr>
    </w:lvl>
    <w:lvl w:ilvl="6" w:tplc="C128B2D8" w:tentative="1">
      <w:start w:val="1"/>
      <w:numFmt w:val="bullet"/>
      <w:lvlText w:val=""/>
      <w:lvlJc w:val="left"/>
      <w:pPr>
        <w:ind w:left="4680" w:hanging="360"/>
      </w:pPr>
      <w:rPr>
        <w:rFonts w:ascii="Symbol" w:hAnsi="Symbol" w:hint="default"/>
      </w:rPr>
    </w:lvl>
    <w:lvl w:ilvl="7" w:tplc="B1FA7348" w:tentative="1">
      <w:start w:val="1"/>
      <w:numFmt w:val="bullet"/>
      <w:lvlText w:val="o"/>
      <w:lvlJc w:val="left"/>
      <w:pPr>
        <w:ind w:left="5400" w:hanging="360"/>
      </w:pPr>
      <w:rPr>
        <w:rFonts w:ascii="Courier New" w:hAnsi="Courier New" w:cs="Courier New" w:hint="default"/>
      </w:rPr>
    </w:lvl>
    <w:lvl w:ilvl="8" w:tplc="FF40EC64" w:tentative="1">
      <w:start w:val="1"/>
      <w:numFmt w:val="bullet"/>
      <w:lvlText w:val=""/>
      <w:lvlJc w:val="left"/>
      <w:pPr>
        <w:ind w:left="6120" w:hanging="360"/>
      </w:pPr>
      <w:rPr>
        <w:rFonts w:ascii="Wingdings" w:hAnsi="Wingdings" w:hint="default"/>
      </w:rPr>
    </w:lvl>
  </w:abstractNum>
  <w:abstractNum w:abstractNumId="13" w15:restartNumberingAfterBreak="0">
    <w:nsid w:val="775839B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C9C4834"/>
    <w:multiLevelType w:val="hybridMultilevel"/>
    <w:tmpl w:val="BB36B3CA"/>
    <w:lvl w:ilvl="0" w:tplc="B06C8ED6">
      <w:start w:val="1"/>
      <w:numFmt w:val="bullet"/>
      <w:lvlText w:val=""/>
      <w:lvlJc w:val="left"/>
      <w:pPr>
        <w:ind w:left="360" w:hanging="360"/>
      </w:pPr>
      <w:rPr>
        <w:rFonts w:ascii="Symbol" w:hAnsi="Symbol" w:hint="default"/>
      </w:rPr>
    </w:lvl>
    <w:lvl w:ilvl="1" w:tplc="46CEB6CE" w:tentative="1">
      <w:start w:val="1"/>
      <w:numFmt w:val="bullet"/>
      <w:lvlText w:val="o"/>
      <w:lvlJc w:val="left"/>
      <w:pPr>
        <w:ind w:left="1080" w:hanging="360"/>
      </w:pPr>
      <w:rPr>
        <w:rFonts w:ascii="Courier New" w:hAnsi="Courier New" w:cs="Courier New" w:hint="default"/>
      </w:rPr>
    </w:lvl>
    <w:lvl w:ilvl="2" w:tplc="85523A80" w:tentative="1">
      <w:start w:val="1"/>
      <w:numFmt w:val="bullet"/>
      <w:lvlText w:val=""/>
      <w:lvlJc w:val="left"/>
      <w:pPr>
        <w:ind w:left="1800" w:hanging="360"/>
      </w:pPr>
      <w:rPr>
        <w:rFonts w:ascii="Wingdings" w:hAnsi="Wingdings" w:hint="default"/>
      </w:rPr>
    </w:lvl>
    <w:lvl w:ilvl="3" w:tplc="AF7A8A86" w:tentative="1">
      <w:start w:val="1"/>
      <w:numFmt w:val="bullet"/>
      <w:lvlText w:val=""/>
      <w:lvlJc w:val="left"/>
      <w:pPr>
        <w:ind w:left="2520" w:hanging="360"/>
      </w:pPr>
      <w:rPr>
        <w:rFonts w:ascii="Symbol" w:hAnsi="Symbol" w:hint="default"/>
      </w:rPr>
    </w:lvl>
    <w:lvl w:ilvl="4" w:tplc="E13424D2" w:tentative="1">
      <w:start w:val="1"/>
      <w:numFmt w:val="bullet"/>
      <w:lvlText w:val="o"/>
      <w:lvlJc w:val="left"/>
      <w:pPr>
        <w:ind w:left="3240" w:hanging="360"/>
      </w:pPr>
      <w:rPr>
        <w:rFonts w:ascii="Courier New" w:hAnsi="Courier New" w:cs="Courier New" w:hint="default"/>
      </w:rPr>
    </w:lvl>
    <w:lvl w:ilvl="5" w:tplc="1A081B8C" w:tentative="1">
      <w:start w:val="1"/>
      <w:numFmt w:val="bullet"/>
      <w:lvlText w:val=""/>
      <w:lvlJc w:val="left"/>
      <w:pPr>
        <w:ind w:left="3960" w:hanging="360"/>
      </w:pPr>
      <w:rPr>
        <w:rFonts w:ascii="Wingdings" w:hAnsi="Wingdings" w:hint="default"/>
      </w:rPr>
    </w:lvl>
    <w:lvl w:ilvl="6" w:tplc="0EF65F68" w:tentative="1">
      <w:start w:val="1"/>
      <w:numFmt w:val="bullet"/>
      <w:lvlText w:val=""/>
      <w:lvlJc w:val="left"/>
      <w:pPr>
        <w:ind w:left="4680" w:hanging="360"/>
      </w:pPr>
      <w:rPr>
        <w:rFonts w:ascii="Symbol" w:hAnsi="Symbol" w:hint="default"/>
      </w:rPr>
    </w:lvl>
    <w:lvl w:ilvl="7" w:tplc="745A2CF8" w:tentative="1">
      <w:start w:val="1"/>
      <w:numFmt w:val="bullet"/>
      <w:lvlText w:val="o"/>
      <w:lvlJc w:val="left"/>
      <w:pPr>
        <w:ind w:left="5400" w:hanging="360"/>
      </w:pPr>
      <w:rPr>
        <w:rFonts w:ascii="Courier New" w:hAnsi="Courier New" w:cs="Courier New" w:hint="default"/>
      </w:rPr>
    </w:lvl>
    <w:lvl w:ilvl="8" w:tplc="86725DF0"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46"/>
    <w:rsid w:val="00027602"/>
    <w:rsid w:val="0006468A"/>
    <w:rsid w:val="00090574"/>
    <w:rsid w:val="000B763F"/>
    <w:rsid w:val="000C1C0E"/>
    <w:rsid w:val="000C548A"/>
    <w:rsid w:val="0016707E"/>
    <w:rsid w:val="00173174"/>
    <w:rsid w:val="00175312"/>
    <w:rsid w:val="001C0169"/>
    <w:rsid w:val="001D1D50"/>
    <w:rsid w:val="001D6745"/>
    <w:rsid w:val="001E446E"/>
    <w:rsid w:val="002154EE"/>
    <w:rsid w:val="002276D2"/>
    <w:rsid w:val="0023283D"/>
    <w:rsid w:val="00255A7F"/>
    <w:rsid w:val="0026373E"/>
    <w:rsid w:val="00271C43"/>
    <w:rsid w:val="002722A9"/>
    <w:rsid w:val="00290728"/>
    <w:rsid w:val="002978F4"/>
    <w:rsid w:val="002B028D"/>
    <w:rsid w:val="002E6541"/>
    <w:rsid w:val="002F416B"/>
    <w:rsid w:val="002F73AE"/>
    <w:rsid w:val="00334924"/>
    <w:rsid w:val="003409BC"/>
    <w:rsid w:val="00357185"/>
    <w:rsid w:val="003674C1"/>
    <w:rsid w:val="00374AB7"/>
    <w:rsid w:val="00383829"/>
    <w:rsid w:val="0039730F"/>
    <w:rsid w:val="003A6BE8"/>
    <w:rsid w:val="003D229F"/>
    <w:rsid w:val="003E4A0E"/>
    <w:rsid w:val="003E4AD5"/>
    <w:rsid w:val="003F4B29"/>
    <w:rsid w:val="0042038E"/>
    <w:rsid w:val="0042686F"/>
    <w:rsid w:val="004317D8"/>
    <w:rsid w:val="00434183"/>
    <w:rsid w:val="00443869"/>
    <w:rsid w:val="00447F32"/>
    <w:rsid w:val="004919C4"/>
    <w:rsid w:val="004D3EAF"/>
    <w:rsid w:val="004D43A8"/>
    <w:rsid w:val="004E11DC"/>
    <w:rsid w:val="004E6E60"/>
    <w:rsid w:val="00525DDD"/>
    <w:rsid w:val="005307D5"/>
    <w:rsid w:val="00536219"/>
    <w:rsid w:val="005409AC"/>
    <w:rsid w:val="0055516A"/>
    <w:rsid w:val="00557ED7"/>
    <w:rsid w:val="0058491B"/>
    <w:rsid w:val="00592EA5"/>
    <w:rsid w:val="005A3170"/>
    <w:rsid w:val="005C4B62"/>
    <w:rsid w:val="005D7230"/>
    <w:rsid w:val="0061035E"/>
    <w:rsid w:val="00627BC1"/>
    <w:rsid w:val="00677396"/>
    <w:rsid w:val="0069200F"/>
    <w:rsid w:val="006A65CB"/>
    <w:rsid w:val="006B0AC5"/>
    <w:rsid w:val="006C3242"/>
    <w:rsid w:val="006C7CC0"/>
    <w:rsid w:val="006E6DBD"/>
    <w:rsid w:val="006F63F7"/>
    <w:rsid w:val="007025C7"/>
    <w:rsid w:val="00706D7A"/>
    <w:rsid w:val="00722F0D"/>
    <w:rsid w:val="0074420E"/>
    <w:rsid w:val="00744A34"/>
    <w:rsid w:val="00745801"/>
    <w:rsid w:val="00751E8E"/>
    <w:rsid w:val="00752D4C"/>
    <w:rsid w:val="0077778A"/>
    <w:rsid w:val="00783E26"/>
    <w:rsid w:val="007C3BC7"/>
    <w:rsid w:val="007C3BCD"/>
    <w:rsid w:val="007D4ACF"/>
    <w:rsid w:val="007F0787"/>
    <w:rsid w:val="00810B7B"/>
    <w:rsid w:val="0082358A"/>
    <w:rsid w:val="008235CD"/>
    <w:rsid w:val="008247DE"/>
    <w:rsid w:val="008339C0"/>
    <w:rsid w:val="00840B10"/>
    <w:rsid w:val="008513CB"/>
    <w:rsid w:val="00860D97"/>
    <w:rsid w:val="008A7F84"/>
    <w:rsid w:val="008B63A1"/>
    <w:rsid w:val="008E2646"/>
    <w:rsid w:val="00905C40"/>
    <w:rsid w:val="009114E7"/>
    <w:rsid w:val="0091702E"/>
    <w:rsid w:val="00923B0C"/>
    <w:rsid w:val="00923C02"/>
    <w:rsid w:val="0094021C"/>
    <w:rsid w:val="00952F86"/>
    <w:rsid w:val="00955DA0"/>
    <w:rsid w:val="00982B28"/>
    <w:rsid w:val="009C44DF"/>
    <w:rsid w:val="009D313F"/>
    <w:rsid w:val="009E036B"/>
    <w:rsid w:val="00A053F2"/>
    <w:rsid w:val="00A47A5A"/>
    <w:rsid w:val="00A6683B"/>
    <w:rsid w:val="00A737C0"/>
    <w:rsid w:val="00A97F94"/>
    <w:rsid w:val="00AA231F"/>
    <w:rsid w:val="00AA7EA2"/>
    <w:rsid w:val="00B03099"/>
    <w:rsid w:val="00B05BC8"/>
    <w:rsid w:val="00B43CAB"/>
    <w:rsid w:val="00B64B47"/>
    <w:rsid w:val="00B82B09"/>
    <w:rsid w:val="00B849CF"/>
    <w:rsid w:val="00BB2DED"/>
    <w:rsid w:val="00BD77F9"/>
    <w:rsid w:val="00BE4F95"/>
    <w:rsid w:val="00C002DE"/>
    <w:rsid w:val="00C36E11"/>
    <w:rsid w:val="00C53BF8"/>
    <w:rsid w:val="00C66157"/>
    <w:rsid w:val="00C674FE"/>
    <w:rsid w:val="00C67501"/>
    <w:rsid w:val="00C75633"/>
    <w:rsid w:val="00CA301B"/>
    <w:rsid w:val="00CE29EB"/>
    <w:rsid w:val="00CE2EE1"/>
    <w:rsid w:val="00CE3349"/>
    <w:rsid w:val="00CE36E5"/>
    <w:rsid w:val="00CF27F5"/>
    <w:rsid w:val="00CF3FFD"/>
    <w:rsid w:val="00D10CCF"/>
    <w:rsid w:val="00D1527D"/>
    <w:rsid w:val="00D225A9"/>
    <w:rsid w:val="00D31FF7"/>
    <w:rsid w:val="00D70C5B"/>
    <w:rsid w:val="00D77D0F"/>
    <w:rsid w:val="00DA1CF0"/>
    <w:rsid w:val="00DC1E02"/>
    <w:rsid w:val="00DC24B4"/>
    <w:rsid w:val="00DC5FB0"/>
    <w:rsid w:val="00DE4970"/>
    <w:rsid w:val="00DF16DC"/>
    <w:rsid w:val="00E45211"/>
    <w:rsid w:val="00E473C5"/>
    <w:rsid w:val="00E92863"/>
    <w:rsid w:val="00EB796D"/>
    <w:rsid w:val="00F058DC"/>
    <w:rsid w:val="00F24FC4"/>
    <w:rsid w:val="00F2676C"/>
    <w:rsid w:val="00F4306A"/>
    <w:rsid w:val="00F84366"/>
    <w:rsid w:val="00F85089"/>
    <w:rsid w:val="00F87945"/>
    <w:rsid w:val="00F974C5"/>
    <w:rsid w:val="00FA6F46"/>
    <w:rsid w:val="00FC4592"/>
    <w:rsid w:val="00FD2F0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3C20A9"/>
  <w15:chartTrackingRefBased/>
  <w15:docId w15:val="{B9E65D55-0572-4AC2-B113-779C7D33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character" w:styleId="PageNumber">
    <w:name w:val="page number"/>
    <w:basedOn w:val="DefaultParagraphFont"/>
    <w:unhideWhenUsed/>
    <w:rsid w:val="008E2646"/>
    <w:rPr>
      <w:rFonts w:cs="Times New Roman"/>
    </w:rPr>
  </w:style>
  <w:style w:type="table" w:customStyle="1" w:styleId="TableGrid1">
    <w:name w:val="Table Grid1"/>
    <w:basedOn w:val="TableNormal"/>
    <w:next w:val="TableGrid"/>
    <w:uiPriority w:val="39"/>
    <w:rsid w:val="008E2646"/>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621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219"/>
    <w:rPr>
      <w:rFonts w:ascii="Segoe UI" w:hAnsi="Segoe UI" w:cs="Segoe UI"/>
      <w:sz w:val="18"/>
      <w:szCs w:val="18"/>
    </w:rPr>
  </w:style>
  <w:style w:type="character" w:styleId="UnresolvedMention">
    <w:name w:val="Unresolved Mention"/>
    <w:basedOn w:val="DefaultParagraphFont"/>
    <w:uiPriority w:val="99"/>
    <w:semiHidden/>
    <w:unhideWhenUsed/>
    <w:rsid w:val="00D15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7.WP-C-000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D18-TDAG27.WP-C-0011/" TargetMode="External"/><Relationship Id="rId2" Type="http://schemas.openxmlformats.org/officeDocument/2006/relationships/numbering" Target="numbering.xml"/><Relationship Id="rId16" Type="http://schemas.openxmlformats.org/officeDocument/2006/relationships/hyperlink" Target="https://www.itu.int/md/D18-TDAG27.WP-C-00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D18-TDAG27.WP-C-0009/"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D18-BDT-CIR-0052/en" TargetMode="External"/><Relationship Id="rId14" Type="http://schemas.openxmlformats.org/officeDocument/2006/relationships/hyperlink" Target="https://www.itu.int/md/D18-TDAG27.WP-C-000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TDAG/Pages/TDAG_WG_WTDC_Prep.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3394</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Arabic</cp:lastModifiedBy>
  <cp:revision>22</cp:revision>
  <dcterms:created xsi:type="dcterms:W3CDTF">2020-10-08T13:28:00Z</dcterms:created>
  <dcterms:modified xsi:type="dcterms:W3CDTF">2020-10-08T15:31:00Z</dcterms:modified>
</cp:coreProperties>
</file>