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4961"/>
        <w:gridCol w:w="3651"/>
      </w:tblGrid>
      <w:tr w:rsidR="00C9623C" w14:paraId="36BC74B9" w14:textId="77777777" w:rsidTr="00A66A07">
        <w:trPr>
          <w:cantSplit/>
          <w:trHeight w:val="1134"/>
        </w:trPr>
        <w:tc>
          <w:tcPr>
            <w:tcW w:w="9888" w:type="dxa"/>
            <w:gridSpan w:val="3"/>
            <w:tcBorders>
              <w:bottom w:val="single" w:sz="2" w:space="0" w:color="00B0F0"/>
            </w:tcBorders>
          </w:tcPr>
          <w:p w14:paraId="5AC5540B" w14:textId="77777777" w:rsidR="00C9623C" w:rsidRPr="0085753F" w:rsidRDefault="00C9623C" w:rsidP="00A66A07">
            <w:pPr>
              <w:tabs>
                <w:tab w:val="clear" w:pos="1191"/>
                <w:tab w:val="clear" w:pos="1588"/>
                <w:tab w:val="clear" w:pos="1985"/>
              </w:tabs>
              <w:spacing w:before="240"/>
              <w:ind w:left="34"/>
              <w:rPr>
                <w:b/>
                <w:bCs/>
                <w:sz w:val="32"/>
                <w:szCs w:val="32"/>
              </w:rPr>
            </w:pPr>
            <w:r w:rsidRPr="0085753F">
              <w:rPr>
                <w:noProof/>
                <w:color w:val="3399FF"/>
                <w:sz w:val="32"/>
                <w:szCs w:val="32"/>
                <w:lang w:val="en-US"/>
              </w:rPr>
              <w:drawing>
                <wp:anchor distT="0" distB="0" distL="114300" distR="114300" simplePos="0" relativeHeight="251659264" behindDoc="0" locked="0" layoutInCell="1" allowOverlap="1" wp14:anchorId="3180669A" wp14:editId="25ECEA07">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85753F">
              <w:rPr>
                <w:b/>
                <w:bCs/>
                <w:sz w:val="32"/>
                <w:szCs w:val="32"/>
              </w:rPr>
              <w:t>TDAG Working Group on WTDC Preparations</w:t>
            </w:r>
          </w:p>
          <w:p w14:paraId="5F360721" w14:textId="77777777" w:rsidR="00C9623C" w:rsidRPr="00F45B51" w:rsidRDefault="00C9623C" w:rsidP="00A66A07">
            <w:pPr>
              <w:ind w:right="142"/>
              <w:rPr>
                <w:sz w:val="26"/>
                <w:szCs w:val="26"/>
              </w:rPr>
            </w:pPr>
            <w:r>
              <w:rPr>
                <w:b/>
                <w:bCs/>
                <w:sz w:val="26"/>
                <w:szCs w:val="26"/>
              </w:rPr>
              <w:t>20 October</w:t>
            </w:r>
            <w:r w:rsidRPr="00F45B51">
              <w:rPr>
                <w:b/>
                <w:bCs/>
                <w:sz w:val="26"/>
                <w:szCs w:val="26"/>
              </w:rPr>
              <w:t xml:space="preserve"> 2020, Virtual</w:t>
            </w:r>
          </w:p>
        </w:tc>
      </w:tr>
      <w:tr w:rsidR="00C9623C" w:rsidRPr="00997358" w14:paraId="305D8EA5" w14:textId="77777777" w:rsidTr="00A66A07">
        <w:trPr>
          <w:cantSplit/>
        </w:trPr>
        <w:tc>
          <w:tcPr>
            <w:tcW w:w="6237" w:type="dxa"/>
            <w:gridSpan w:val="2"/>
            <w:tcBorders>
              <w:top w:val="single" w:sz="2" w:space="0" w:color="00B0F0"/>
            </w:tcBorders>
          </w:tcPr>
          <w:p w14:paraId="76D6C115" w14:textId="77777777" w:rsidR="00C9623C" w:rsidRPr="00997358" w:rsidRDefault="00C9623C" w:rsidP="00A66A07">
            <w:pPr>
              <w:spacing w:before="0"/>
              <w:rPr>
                <w:b/>
                <w:bCs/>
                <w:sz w:val="20"/>
              </w:rPr>
            </w:pPr>
          </w:p>
        </w:tc>
        <w:tc>
          <w:tcPr>
            <w:tcW w:w="3651" w:type="dxa"/>
            <w:tcBorders>
              <w:top w:val="single" w:sz="2" w:space="0" w:color="00B0F0"/>
            </w:tcBorders>
          </w:tcPr>
          <w:p w14:paraId="27BA47B4" w14:textId="6D298052" w:rsidR="00C9623C" w:rsidRPr="000E0704" w:rsidRDefault="00C9623C" w:rsidP="00A66A07">
            <w:pPr>
              <w:rPr>
                <w:b/>
                <w:bCs/>
                <w:szCs w:val="24"/>
              </w:rPr>
            </w:pPr>
            <w:r w:rsidRPr="000E0704">
              <w:rPr>
                <w:b/>
                <w:bCs/>
                <w:szCs w:val="24"/>
              </w:rPr>
              <w:t>Doc</w:t>
            </w:r>
            <w:r>
              <w:rPr>
                <w:b/>
                <w:bCs/>
                <w:szCs w:val="24"/>
              </w:rPr>
              <w:t>ument</w:t>
            </w:r>
            <w:r w:rsidRPr="000E0704">
              <w:rPr>
                <w:b/>
                <w:bCs/>
                <w:szCs w:val="24"/>
              </w:rPr>
              <w:t xml:space="preserve"> </w:t>
            </w:r>
            <w:r w:rsidRPr="00AA0B5B">
              <w:rPr>
                <w:b/>
                <w:bCs/>
                <w:szCs w:val="24"/>
              </w:rPr>
              <w:t>TDAG-WG-Prep/</w:t>
            </w:r>
            <w:r w:rsidR="004D2F86">
              <w:rPr>
                <w:b/>
                <w:bCs/>
                <w:szCs w:val="24"/>
              </w:rPr>
              <w:t>26</w:t>
            </w:r>
            <w:r>
              <w:rPr>
                <w:b/>
                <w:bCs/>
                <w:szCs w:val="24"/>
              </w:rPr>
              <w:t>-E</w:t>
            </w:r>
          </w:p>
        </w:tc>
      </w:tr>
      <w:tr w:rsidR="00C9623C" w:rsidRPr="00997358" w14:paraId="6C3F4093" w14:textId="77777777" w:rsidTr="00A66A07">
        <w:trPr>
          <w:cantSplit/>
        </w:trPr>
        <w:tc>
          <w:tcPr>
            <w:tcW w:w="6237" w:type="dxa"/>
            <w:gridSpan w:val="2"/>
          </w:tcPr>
          <w:p w14:paraId="10362A02" w14:textId="77777777" w:rsidR="00C9623C" w:rsidRPr="00997358" w:rsidRDefault="00C9623C" w:rsidP="00A66A07">
            <w:pPr>
              <w:spacing w:before="0"/>
              <w:rPr>
                <w:b/>
                <w:bCs/>
                <w:sz w:val="20"/>
              </w:rPr>
            </w:pPr>
          </w:p>
        </w:tc>
        <w:tc>
          <w:tcPr>
            <w:tcW w:w="3651" w:type="dxa"/>
          </w:tcPr>
          <w:p w14:paraId="08F64EF2" w14:textId="570DAC00" w:rsidR="00C9623C" w:rsidRPr="000E0704" w:rsidRDefault="00802B95" w:rsidP="00A66A07">
            <w:pPr>
              <w:spacing w:before="0"/>
              <w:rPr>
                <w:b/>
                <w:bCs/>
                <w:szCs w:val="24"/>
              </w:rPr>
            </w:pPr>
            <w:r>
              <w:rPr>
                <w:b/>
                <w:bCs/>
                <w:szCs w:val="24"/>
              </w:rPr>
              <w:t>23</w:t>
            </w:r>
            <w:r w:rsidR="00C9623C">
              <w:rPr>
                <w:b/>
                <w:bCs/>
                <w:szCs w:val="24"/>
              </w:rPr>
              <w:t xml:space="preserve"> </w:t>
            </w:r>
            <w:r w:rsidR="00A70165">
              <w:rPr>
                <w:b/>
                <w:bCs/>
                <w:szCs w:val="24"/>
              </w:rPr>
              <w:t>Novembe</w:t>
            </w:r>
            <w:r w:rsidR="00C9623C">
              <w:rPr>
                <w:b/>
                <w:bCs/>
                <w:szCs w:val="24"/>
              </w:rPr>
              <w:t>r 2020</w:t>
            </w:r>
          </w:p>
        </w:tc>
      </w:tr>
      <w:tr w:rsidR="00C9623C" w:rsidRPr="00997358" w14:paraId="2D552BC1" w14:textId="77777777" w:rsidTr="00A66A07">
        <w:trPr>
          <w:cantSplit/>
        </w:trPr>
        <w:tc>
          <w:tcPr>
            <w:tcW w:w="6237" w:type="dxa"/>
            <w:gridSpan w:val="2"/>
          </w:tcPr>
          <w:p w14:paraId="519D3D1D" w14:textId="77777777" w:rsidR="00C9623C" w:rsidRPr="00997358" w:rsidRDefault="00C9623C" w:rsidP="00A66A07">
            <w:pPr>
              <w:spacing w:before="0"/>
              <w:rPr>
                <w:b/>
                <w:bCs/>
                <w:sz w:val="20"/>
              </w:rPr>
            </w:pPr>
          </w:p>
        </w:tc>
        <w:tc>
          <w:tcPr>
            <w:tcW w:w="3651" w:type="dxa"/>
          </w:tcPr>
          <w:p w14:paraId="183E692A" w14:textId="77777777" w:rsidR="00C9623C" w:rsidRPr="000E0704" w:rsidRDefault="00C9623C" w:rsidP="00A66A07">
            <w:pPr>
              <w:spacing w:before="0" w:after="120"/>
              <w:rPr>
                <w:b/>
                <w:bCs/>
                <w:szCs w:val="24"/>
              </w:rPr>
            </w:pPr>
            <w:r>
              <w:rPr>
                <w:b/>
                <w:bCs/>
                <w:szCs w:val="24"/>
              </w:rPr>
              <w:t>Original</w:t>
            </w:r>
            <w:r w:rsidRPr="000E0704">
              <w:rPr>
                <w:b/>
                <w:bCs/>
                <w:szCs w:val="24"/>
              </w:rPr>
              <w:t>:</w:t>
            </w:r>
            <w:r>
              <w:rPr>
                <w:b/>
                <w:bCs/>
                <w:szCs w:val="24"/>
              </w:rPr>
              <w:t xml:space="preserve"> English</w:t>
            </w:r>
          </w:p>
        </w:tc>
      </w:tr>
      <w:tr w:rsidR="00C9623C" w:rsidRPr="00002716" w14:paraId="619B53F7" w14:textId="77777777" w:rsidTr="00A66A07">
        <w:trPr>
          <w:cantSplit/>
          <w:trHeight w:val="408"/>
        </w:trPr>
        <w:tc>
          <w:tcPr>
            <w:tcW w:w="1276" w:type="dxa"/>
          </w:tcPr>
          <w:p w14:paraId="377C4722" w14:textId="77777777" w:rsidR="00C9623C" w:rsidRPr="00194F24" w:rsidRDefault="00C9623C" w:rsidP="00A66A07">
            <w:pPr>
              <w:spacing w:before="80" w:after="80"/>
              <w:jc w:val="both"/>
              <w:rPr>
                <w:b/>
                <w:szCs w:val="24"/>
                <w:lang w:val="en-US"/>
              </w:rPr>
            </w:pPr>
            <w:r>
              <w:rPr>
                <w:b/>
                <w:bCs/>
                <w:lang w:val="en-US"/>
              </w:rPr>
              <w:t>Source:</w:t>
            </w:r>
          </w:p>
        </w:tc>
        <w:tc>
          <w:tcPr>
            <w:tcW w:w="8612" w:type="dxa"/>
            <w:gridSpan w:val="2"/>
          </w:tcPr>
          <w:p w14:paraId="35C1A9C9" w14:textId="7AB2F89D" w:rsidR="00C9623C" w:rsidRPr="008905BB" w:rsidRDefault="00C9623C" w:rsidP="00A66A07">
            <w:pPr>
              <w:spacing w:before="80" w:after="80"/>
              <w:rPr>
                <w:bCs/>
                <w:szCs w:val="24"/>
                <w:lang w:val="en-US"/>
              </w:rPr>
            </w:pPr>
            <w:r>
              <w:rPr>
                <w:bCs/>
                <w:szCs w:val="24"/>
              </w:rPr>
              <w:t>Chairman</w:t>
            </w:r>
            <w:r w:rsidR="00CD0A0B">
              <w:rPr>
                <w:bCs/>
                <w:szCs w:val="24"/>
              </w:rPr>
              <w:t>,</w:t>
            </w:r>
            <w:r>
              <w:rPr>
                <w:bCs/>
                <w:szCs w:val="24"/>
              </w:rPr>
              <w:t xml:space="preserve"> </w:t>
            </w:r>
            <w:r w:rsidRPr="00AD509E">
              <w:rPr>
                <w:szCs w:val="24"/>
              </w:rPr>
              <w:t>TDAG Working Group on WTDC Preparations</w:t>
            </w:r>
          </w:p>
        </w:tc>
      </w:tr>
      <w:tr w:rsidR="00C9623C" w:rsidRPr="00002716" w14:paraId="18849622" w14:textId="77777777" w:rsidTr="00A66A07">
        <w:trPr>
          <w:cantSplit/>
          <w:trHeight w:val="407"/>
        </w:trPr>
        <w:tc>
          <w:tcPr>
            <w:tcW w:w="1276" w:type="dxa"/>
            <w:tcBorders>
              <w:bottom w:val="single" w:sz="4" w:space="0" w:color="00B0F0"/>
            </w:tcBorders>
          </w:tcPr>
          <w:p w14:paraId="1EF123AB" w14:textId="77777777" w:rsidR="00C9623C" w:rsidRDefault="00C9623C" w:rsidP="00A66A07">
            <w:pPr>
              <w:spacing w:before="80" w:after="80"/>
              <w:jc w:val="both"/>
              <w:rPr>
                <w:b/>
                <w:bCs/>
                <w:lang w:val="en-US"/>
              </w:rPr>
            </w:pPr>
            <w:r>
              <w:rPr>
                <w:b/>
                <w:bCs/>
                <w:szCs w:val="24"/>
                <w:lang w:val="en-US"/>
              </w:rPr>
              <w:t>Title:</w:t>
            </w:r>
          </w:p>
        </w:tc>
        <w:tc>
          <w:tcPr>
            <w:tcW w:w="8612" w:type="dxa"/>
            <w:gridSpan w:val="2"/>
            <w:tcBorders>
              <w:bottom w:val="single" w:sz="4" w:space="0" w:color="00B0F0"/>
            </w:tcBorders>
          </w:tcPr>
          <w:p w14:paraId="23F2110B" w14:textId="61178027" w:rsidR="00C9623C" w:rsidRPr="008905BB" w:rsidRDefault="00C9623C" w:rsidP="00C9623C">
            <w:pPr>
              <w:spacing w:before="80" w:after="80"/>
              <w:rPr>
                <w:bCs/>
                <w:lang w:val="en-US"/>
              </w:rPr>
            </w:pPr>
            <w:r w:rsidRPr="004B1B9E">
              <w:rPr>
                <w:bCs/>
                <w:szCs w:val="24"/>
              </w:rPr>
              <w:t xml:space="preserve">Report on </w:t>
            </w:r>
            <w:r>
              <w:rPr>
                <w:bCs/>
                <w:szCs w:val="24"/>
              </w:rPr>
              <w:t xml:space="preserve">the meeting of </w:t>
            </w:r>
            <w:r w:rsidRPr="004B1B9E">
              <w:rPr>
                <w:bCs/>
                <w:szCs w:val="24"/>
              </w:rPr>
              <w:t>TDAG Working Group on WTDC Preparations</w:t>
            </w:r>
            <w:r>
              <w:rPr>
                <w:bCs/>
                <w:szCs w:val="24"/>
              </w:rPr>
              <w:t xml:space="preserve">, </w:t>
            </w:r>
            <w:r>
              <w:rPr>
                <w:bCs/>
                <w:szCs w:val="24"/>
              </w:rPr>
              <w:br/>
              <w:t xml:space="preserve">20 October </w:t>
            </w:r>
            <w:r w:rsidR="009D4765">
              <w:rPr>
                <w:bCs/>
                <w:szCs w:val="24"/>
              </w:rPr>
              <w:t xml:space="preserve">and 4 November </w:t>
            </w:r>
            <w:r>
              <w:rPr>
                <w:bCs/>
                <w:szCs w:val="24"/>
              </w:rPr>
              <w:t>2020</w:t>
            </w:r>
          </w:p>
        </w:tc>
      </w:tr>
    </w:tbl>
    <w:p w14:paraId="6F829D61" w14:textId="77777777" w:rsidR="00A70165" w:rsidRDefault="00A70165" w:rsidP="00A70165">
      <w:pPr>
        <w:spacing w:after="120"/>
        <w:rPr>
          <w:rFonts w:cstheme="minorHAnsi"/>
          <w:b/>
          <w:bCs/>
          <w:szCs w:val="24"/>
        </w:rPr>
      </w:pPr>
    </w:p>
    <w:p w14:paraId="571ED08C" w14:textId="3A3DCA31" w:rsidR="003830F4" w:rsidRPr="00A70165" w:rsidRDefault="003830F4" w:rsidP="00855752">
      <w:pPr>
        <w:spacing w:after="120"/>
        <w:rPr>
          <w:rFonts w:cstheme="minorHAnsi"/>
          <w:b/>
          <w:bCs/>
          <w:szCs w:val="24"/>
        </w:rPr>
      </w:pPr>
      <w:r w:rsidRPr="00A70165">
        <w:rPr>
          <w:rFonts w:cstheme="minorHAnsi"/>
          <w:b/>
          <w:bCs/>
          <w:szCs w:val="24"/>
        </w:rPr>
        <w:t>Summary</w:t>
      </w:r>
    </w:p>
    <w:p w14:paraId="6CE26241" w14:textId="394A5B1B" w:rsidR="00ED43F3" w:rsidRDefault="003830F4" w:rsidP="00855752">
      <w:pPr>
        <w:pStyle w:val="Normal1"/>
        <w:widowControl/>
        <w:spacing w:before="120" w:after="120" w:line="240" w:lineRule="auto"/>
        <w:ind w:right="0" w:firstLine="0"/>
        <w:rPr>
          <w:rFonts w:asciiTheme="minorHAnsi" w:hAnsiTheme="minorHAnsi" w:cstheme="minorHAnsi"/>
        </w:rPr>
      </w:pPr>
      <w:r w:rsidRPr="00ED43F3">
        <w:rPr>
          <w:rFonts w:asciiTheme="minorHAnsi" w:hAnsiTheme="minorHAnsi" w:cstheme="minorHAnsi"/>
        </w:rPr>
        <w:t xml:space="preserve">The TDAG Working Group on WTDC Preparations </w:t>
      </w:r>
      <w:r w:rsidRPr="00ED43F3">
        <w:rPr>
          <w:rFonts w:asciiTheme="minorHAnsi" w:hAnsiTheme="minorHAnsi" w:cstheme="minorHAnsi"/>
          <w:shd w:val="clear" w:color="auto" w:fill="FFFFFF"/>
        </w:rPr>
        <w:t xml:space="preserve">(TDAG-WG-Prep) </w:t>
      </w:r>
      <w:r w:rsidR="00A20761" w:rsidRPr="00ED43F3">
        <w:rPr>
          <w:rFonts w:asciiTheme="minorHAnsi" w:hAnsiTheme="minorHAnsi" w:cstheme="minorHAnsi"/>
          <w:shd w:val="clear" w:color="auto" w:fill="FFFFFF"/>
        </w:rPr>
        <w:t>held its fourth meeting on 20</w:t>
      </w:r>
      <w:r w:rsidR="00802B95">
        <w:rPr>
          <w:rFonts w:asciiTheme="minorHAnsi" w:hAnsiTheme="minorHAnsi" w:cstheme="minorHAnsi"/>
          <w:shd w:val="clear" w:color="auto" w:fill="FFFFFF"/>
        </w:rPr>
        <w:t> </w:t>
      </w:r>
      <w:r w:rsidR="00A20761" w:rsidRPr="00ED43F3">
        <w:rPr>
          <w:rFonts w:asciiTheme="minorHAnsi" w:hAnsiTheme="minorHAnsi" w:cstheme="minorHAnsi"/>
          <w:shd w:val="clear" w:color="auto" w:fill="FFFFFF"/>
        </w:rPr>
        <w:t xml:space="preserve">October </w:t>
      </w:r>
      <w:r w:rsidR="009D4765" w:rsidRPr="00ED43F3">
        <w:rPr>
          <w:rFonts w:asciiTheme="minorHAnsi" w:hAnsiTheme="minorHAnsi" w:cstheme="minorHAnsi"/>
          <w:shd w:val="clear" w:color="auto" w:fill="FFFFFF"/>
        </w:rPr>
        <w:t xml:space="preserve">and 4 November </w:t>
      </w:r>
      <w:r w:rsidR="00A20761" w:rsidRPr="00ED43F3">
        <w:rPr>
          <w:rFonts w:asciiTheme="minorHAnsi" w:hAnsiTheme="minorHAnsi" w:cstheme="minorHAnsi"/>
          <w:shd w:val="clear" w:color="auto" w:fill="FFFFFF"/>
        </w:rPr>
        <w:t xml:space="preserve">2020, </w:t>
      </w:r>
      <w:r w:rsidRPr="00ED43F3">
        <w:rPr>
          <w:rFonts w:asciiTheme="minorHAnsi" w:hAnsiTheme="minorHAnsi" w:cstheme="minorHAnsi"/>
        </w:rPr>
        <w:t>attended by</w:t>
      </w:r>
      <w:r w:rsidR="00EC557A" w:rsidRPr="00ED43F3">
        <w:rPr>
          <w:rFonts w:asciiTheme="minorHAnsi" w:hAnsiTheme="minorHAnsi" w:cstheme="minorHAnsi"/>
        </w:rPr>
        <w:t xml:space="preserve"> </w:t>
      </w:r>
      <w:r w:rsidR="00A265E0" w:rsidRPr="00A265E0">
        <w:rPr>
          <w:rFonts w:asciiTheme="minorHAnsi" w:hAnsiTheme="minorHAnsi" w:cstheme="minorHAnsi"/>
          <w:b/>
        </w:rPr>
        <w:t>102</w:t>
      </w:r>
      <w:r w:rsidR="00A20761" w:rsidRPr="00ED43F3">
        <w:rPr>
          <w:rFonts w:asciiTheme="minorHAnsi" w:hAnsiTheme="minorHAnsi" w:cstheme="minorHAnsi"/>
          <w:b/>
        </w:rPr>
        <w:t xml:space="preserve"> </w:t>
      </w:r>
      <w:r w:rsidRPr="00ED43F3">
        <w:rPr>
          <w:rFonts w:asciiTheme="minorHAnsi" w:hAnsiTheme="minorHAnsi" w:cstheme="minorHAnsi"/>
          <w:b/>
        </w:rPr>
        <w:t>participants</w:t>
      </w:r>
      <w:r w:rsidR="00A265E0">
        <w:rPr>
          <w:rFonts w:asciiTheme="minorHAnsi" w:hAnsiTheme="minorHAnsi" w:cstheme="minorHAnsi"/>
          <w:b/>
        </w:rPr>
        <w:t xml:space="preserve"> from 45</w:t>
      </w:r>
      <w:r w:rsidR="00EC557A" w:rsidRPr="00ED43F3">
        <w:rPr>
          <w:rFonts w:asciiTheme="minorHAnsi" w:hAnsiTheme="minorHAnsi" w:cstheme="minorHAnsi"/>
          <w:b/>
        </w:rPr>
        <w:t xml:space="preserve"> Member States and </w:t>
      </w:r>
      <w:r w:rsidR="00186B2E">
        <w:rPr>
          <w:rFonts w:asciiTheme="minorHAnsi" w:hAnsiTheme="minorHAnsi" w:cstheme="minorHAnsi"/>
          <w:b/>
        </w:rPr>
        <w:t>9</w:t>
      </w:r>
      <w:r w:rsidR="00802B95">
        <w:rPr>
          <w:rFonts w:asciiTheme="minorHAnsi" w:hAnsiTheme="minorHAnsi" w:cstheme="minorHAnsi"/>
          <w:b/>
        </w:rPr>
        <w:t> </w:t>
      </w:r>
      <w:r w:rsidR="00EC557A" w:rsidRPr="00ED43F3">
        <w:rPr>
          <w:rFonts w:asciiTheme="minorHAnsi" w:hAnsiTheme="minorHAnsi" w:cstheme="minorHAnsi"/>
          <w:b/>
        </w:rPr>
        <w:t>Sector Members</w:t>
      </w:r>
      <w:r w:rsidRPr="00ED43F3">
        <w:rPr>
          <w:rFonts w:asciiTheme="minorHAnsi" w:hAnsiTheme="minorHAnsi" w:cstheme="minorHAnsi"/>
        </w:rPr>
        <w:t>.</w:t>
      </w:r>
      <w:r w:rsidR="00ED43F3" w:rsidRPr="00ED43F3">
        <w:rPr>
          <w:rFonts w:asciiTheme="minorHAnsi" w:hAnsiTheme="minorHAnsi" w:cstheme="minorHAnsi"/>
          <w:color w:val="444444"/>
          <w:shd w:val="clear" w:color="auto" w:fill="FFFFFF"/>
        </w:rPr>
        <w:t xml:space="preserve"> This meeting </w:t>
      </w:r>
      <w:r w:rsidR="00ED43F3">
        <w:rPr>
          <w:rFonts w:asciiTheme="minorHAnsi" w:hAnsiTheme="minorHAnsi" w:cstheme="minorHAnsi"/>
          <w:color w:val="444444"/>
          <w:shd w:val="clear" w:color="auto" w:fill="FFFFFF"/>
        </w:rPr>
        <w:t xml:space="preserve">considered </w:t>
      </w:r>
      <w:r w:rsidR="00ED43F3" w:rsidRPr="00DF4874">
        <w:rPr>
          <w:rFonts w:asciiTheme="minorHAnsi" w:hAnsiTheme="minorHAnsi" w:cstheme="minorHAnsi"/>
        </w:rPr>
        <w:t>four contributions:</w:t>
      </w:r>
      <w:r w:rsidRPr="00DF4874">
        <w:rPr>
          <w:rFonts w:asciiTheme="minorHAnsi" w:hAnsiTheme="minorHAnsi" w:cstheme="minorHAnsi"/>
          <w:shd w:val="clear" w:color="auto" w:fill="FFFFFF"/>
        </w:rPr>
        <w:t xml:space="preserve"> </w:t>
      </w:r>
      <w:r w:rsidR="00ED43F3" w:rsidRPr="00ED43F3">
        <w:rPr>
          <w:rFonts w:asciiTheme="minorHAnsi" w:hAnsiTheme="minorHAnsi" w:cstheme="minorHAnsi"/>
        </w:rPr>
        <w:t>a joint contribution from Australia and Samoa; a multi-country contribution from the United Kingdom, the Czech Republic and Lithuania; a contribution from AT&amp;T; and a contribution from the Inter-American Teleco</w:t>
      </w:r>
      <w:r w:rsidR="000307C7">
        <w:rPr>
          <w:rFonts w:asciiTheme="minorHAnsi" w:hAnsiTheme="minorHAnsi" w:cstheme="minorHAnsi"/>
        </w:rPr>
        <w:t xml:space="preserve">mmunication Commission (CITEL), bringing to 12, the total number of member contributions submitted to </w:t>
      </w:r>
      <w:r w:rsidR="000307C7" w:rsidRPr="000307C7">
        <w:rPr>
          <w:rFonts w:asciiTheme="minorHAnsi" w:hAnsiTheme="minorHAnsi" w:cstheme="minorHAnsi"/>
          <w:shd w:val="clear" w:color="auto" w:fill="FFFFFF"/>
        </w:rPr>
        <w:t>TDAG-WG-Prep.</w:t>
      </w:r>
    </w:p>
    <w:p w14:paraId="6CF3CF96" w14:textId="34B55A0F" w:rsidR="009519F6" w:rsidRPr="0059029C" w:rsidRDefault="00AE70DF" w:rsidP="00855752">
      <w:pPr>
        <w:spacing w:after="120"/>
        <w:rPr>
          <w:lang w:val="en-US"/>
        </w:rPr>
      </w:pPr>
      <w:r>
        <w:rPr>
          <w:lang w:val="en-US"/>
        </w:rPr>
        <w:t>A</w:t>
      </w:r>
      <w:r w:rsidR="00DF4874">
        <w:rPr>
          <w:lang w:val="en-US"/>
        </w:rPr>
        <w:t xml:space="preserve">ll proposals from </w:t>
      </w:r>
      <w:r w:rsidR="00A265E0">
        <w:rPr>
          <w:lang w:val="en-US"/>
        </w:rPr>
        <w:t xml:space="preserve">these 12 </w:t>
      </w:r>
      <w:r w:rsidR="00DF4874">
        <w:rPr>
          <w:lang w:val="en-US"/>
        </w:rPr>
        <w:t xml:space="preserve">contributions were compiled and </w:t>
      </w:r>
      <w:r>
        <w:rPr>
          <w:lang w:val="en-US"/>
        </w:rPr>
        <w:t xml:space="preserve">consolidated </w:t>
      </w:r>
      <w:r w:rsidR="00DF4874">
        <w:rPr>
          <w:lang w:val="en-US"/>
        </w:rPr>
        <w:t xml:space="preserve">in a single </w:t>
      </w:r>
      <w:r>
        <w:rPr>
          <w:lang w:val="en-US"/>
        </w:rPr>
        <w:t xml:space="preserve">document </w:t>
      </w:r>
      <w:r w:rsidR="00DF4874">
        <w:rPr>
          <w:lang w:val="en-US"/>
        </w:rPr>
        <w:t xml:space="preserve">that </w:t>
      </w:r>
      <w:r>
        <w:rPr>
          <w:lang w:val="en-US"/>
        </w:rPr>
        <w:t xml:space="preserve">served as </w:t>
      </w:r>
      <w:r w:rsidR="00DF4874">
        <w:rPr>
          <w:lang w:val="en-US"/>
        </w:rPr>
        <w:t xml:space="preserve">a </w:t>
      </w:r>
      <w:r>
        <w:rPr>
          <w:lang w:val="en-US"/>
        </w:rPr>
        <w:t xml:space="preserve">basis for the discussion </w:t>
      </w:r>
      <w:r w:rsidR="00DF4874">
        <w:rPr>
          <w:lang w:val="en-US"/>
        </w:rPr>
        <w:t xml:space="preserve">at </w:t>
      </w:r>
      <w:r>
        <w:rPr>
          <w:lang w:val="en-US"/>
        </w:rPr>
        <w:t>this meeting</w:t>
      </w:r>
      <w:r w:rsidR="009519F6">
        <w:rPr>
          <w:rFonts w:cstheme="minorHAnsi"/>
          <w:szCs w:val="24"/>
          <w:shd w:val="clear" w:color="auto" w:fill="FFFFFF"/>
        </w:rPr>
        <w:t xml:space="preserve">, which put forward a </w:t>
      </w:r>
      <w:r w:rsidR="009519F6" w:rsidRPr="0059029C">
        <w:rPr>
          <w:rFonts w:cstheme="minorHAnsi"/>
          <w:szCs w:val="24"/>
        </w:rPr>
        <w:t>set of recommendations on the preparatory process and on c</w:t>
      </w:r>
      <w:r w:rsidR="009519F6" w:rsidRPr="0059029C">
        <w:rPr>
          <w:rFonts w:cstheme="minorHAnsi"/>
          <w:bCs/>
          <w:szCs w:val="24"/>
        </w:rPr>
        <w:t xml:space="preserve">onference arrangements, including content, thematic tracks, themes and stakeholders; and </w:t>
      </w:r>
      <w:r w:rsidR="009519F6" w:rsidRPr="0059029C">
        <w:rPr>
          <w:rFonts w:cstheme="minorHAnsi"/>
          <w:szCs w:val="24"/>
        </w:rPr>
        <w:t>finalized its report to the TDAG meeting of 23 November 2020. All</w:t>
      </w:r>
      <w:r w:rsidR="00802B95">
        <w:rPr>
          <w:rFonts w:cstheme="minorHAnsi"/>
          <w:szCs w:val="24"/>
        </w:rPr>
        <w:t> </w:t>
      </w:r>
      <w:r w:rsidR="009519F6" w:rsidRPr="0059029C">
        <w:rPr>
          <w:rFonts w:cstheme="minorHAnsi"/>
          <w:szCs w:val="24"/>
        </w:rPr>
        <w:t xml:space="preserve">recommendations are featured </w:t>
      </w:r>
      <w:r w:rsidR="005A32B2">
        <w:rPr>
          <w:rFonts w:cstheme="minorHAnsi"/>
          <w:szCs w:val="24"/>
        </w:rPr>
        <w:t>at the end of the present report</w:t>
      </w:r>
      <w:r w:rsidR="009519F6" w:rsidRPr="0059029C">
        <w:rPr>
          <w:rFonts w:cstheme="minorHAnsi"/>
          <w:szCs w:val="24"/>
        </w:rPr>
        <w:t>.</w:t>
      </w:r>
    </w:p>
    <w:p w14:paraId="54827A7E" w14:textId="539C1454" w:rsidR="003830F4" w:rsidRPr="00A70165" w:rsidRDefault="003830F4" w:rsidP="00855752">
      <w:pPr>
        <w:pStyle w:val="ListParagraph"/>
        <w:keepNext/>
        <w:numPr>
          <w:ilvl w:val="0"/>
          <w:numId w:val="13"/>
        </w:numPr>
        <w:spacing w:after="120"/>
        <w:ind w:left="357" w:hanging="357"/>
        <w:contextualSpacing w:val="0"/>
        <w:rPr>
          <w:rFonts w:cstheme="minorHAnsi"/>
          <w:b/>
          <w:szCs w:val="24"/>
        </w:rPr>
      </w:pPr>
      <w:r w:rsidRPr="00A70165">
        <w:rPr>
          <w:rFonts w:cstheme="minorHAnsi"/>
          <w:b/>
          <w:szCs w:val="24"/>
        </w:rPr>
        <w:t>Introduction</w:t>
      </w:r>
    </w:p>
    <w:p w14:paraId="1D7519FD" w14:textId="09F4DAB6" w:rsidR="007C7A1E" w:rsidRPr="00A70165" w:rsidRDefault="00E51F81" w:rsidP="00855752">
      <w:pPr>
        <w:spacing w:after="120"/>
        <w:rPr>
          <w:rFonts w:cstheme="minorHAnsi"/>
          <w:szCs w:val="24"/>
        </w:rPr>
      </w:pPr>
      <w:r w:rsidRPr="00A70165">
        <w:rPr>
          <w:rFonts w:cstheme="minorHAnsi"/>
          <w:szCs w:val="24"/>
          <w:shd w:val="clear" w:color="auto" w:fill="FFFFFF"/>
        </w:rPr>
        <w:t xml:space="preserve">Addressing participants on 20 October 2020, the </w:t>
      </w:r>
      <w:r w:rsidR="003830F4" w:rsidRPr="00A70165">
        <w:rPr>
          <w:rFonts w:cstheme="minorHAnsi"/>
          <w:szCs w:val="24"/>
          <w:shd w:val="clear" w:color="auto" w:fill="FFFFFF"/>
        </w:rPr>
        <w:t>Director of the ITU Telecommunication Development Bureau (BDT), Ms Doreen Bogdan-</w:t>
      </w:r>
      <w:r w:rsidR="003830F4" w:rsidRPr="00A70165">
        <w:rPr>
          <w:rFonts w:cstheme="minorHAnsi"/>
          <w:szCs w:val="24"/>
        </w:rPr>
        <w:t xml:space="preserve">Martin, </w:t>
      </w:r>
      <w:r w:rsidR="008E4F73" w:rsidRPr="00A70165">
        <w:rPr>
          <w:rFonts w:cstheme="minorHAnsi"/>
          <w:szCs w:val="24"/>
        </w:rPr>
        <w:t xml:space="preserve">said it was </w:t>
      </w:r>
      <w:r w:rsidR="007F5F1F" w:rsidRPr="00A70165">
        <w:rPr>
          <w:rFonts w:cstheme="minorHAnsi"/>
          <w:szCs w:val="24"/>
        </w:rPr>
        <w:t xml:space="preserve">heartening to see </w:t>
      </w:r>
      <w:r w:rsidR="00FA25D3" w:rsidRPr="00A70165">
        <w:rPr>
          <w:rFonts w:cstheme="minorHAnsi"/>
          <w:szCs w:val="24"/>
        </w:rPr>
        <w:t>the</w:t>
      </w:r>
      <w:r w:rsidR="007F5F1F" w:rsidRPr="00A70165">
        <w:rPr>
          <w:rFonts w:cstheme="minorHAnsi"/>
          <w:szCs w:val="24"/>
        </w:rPr>
        <w:t xml:space="preserve"> unrelenting efforts </w:t>
      </w:r>
      <w:r w:rsidR="00FA25D3" w:rsidRPr="00A70165">
        <w:rPr>
          <w:rFonts w:cstheme="minorHAnsi"/>
          <w:szCs w:val="24"/>
        </w:rPr>
        <w:t xml:space="preserve">of members </w:t>
      </w:r>
      <w:r w:rsidR="007F5F1F" w:rsidRPr="00A70165">
        <w:rPr>
          <w:rFonts w:cstheme="minorHAnsi"/>
          <w:szCs w:val="24"/>
        </w:rPr>
        <w:t xml:space="preserve">to complete </w:t>
      </w:r>
      <w:r w:rsidR="008E4F73" w:rsidRPr="00A70165">
        <w:rPr>
          <w:rFonts w:cstheme="minorHAnsi"/>
          <w:szCs w:val="24"/>
        </w:rPr>
        <w:t>the</w:t>
      </w:r>
      <w:r w:rsidR="00BB0B0C" w:rsidRPr="00A70165">
        <w:rPr>
          <w:rFonts w:cstheme="minorHAnsi"/>
          <w:szCs w:val="24"/>
        </w:rPr>
        <w:t>ir</w:t>
      </w:r>
      <w:r w:rsidR="008E4F73" w:rsidRPr="00A70165">
        <w:rPr>
          <w:rFonts w:cstheme="minorHAnsi"/>
          <w:szCs w:val="24"/>
        </w:rPr>
        <w:t xml:space="preserve"> work</w:t>
      </w:r>
      <w:r w:rsidR="003A2529" w:rsidRPr="00A70165">
        <w:rPr>
          <w:rFonts w:cstheme="minorHAnsi"/>
          <w:szCs w:val="24"/>
        </w:rPr>
        <w:t xml:space="preserve"> </w:t>
      </w:r>
      <w:r w:rsidR="00FA25D3" w:rsidRPr="00A70165">
        <w:rPr>
          <w:rFonts w:cstheme="minorHAnsi"/>
          <w:szCs w:val="24"/>
        </w:rPr>
        <w:t>ahead of the TDAG meeting. The</w:t>
      </w:r>
      <w:r w:rsidR="00122214" w:rsidRPr="00A70165">
        <w:rPr>
          <w:rFonts w:cstheme="minorHAnsi"/>
          <w:szCs w:val="24"/>
        </w:rPr>
        <w:t xml:space="preserve"> Director underlined that the</w:t>
      </w:r>
      <w:r w:rsidR="00FA25D3" w:rsidRPr="00A70165">
        <w:rPr>
          <w:rFonts w:cstheme="minorHAnsi"/>
          <w:szCs w:val="24"/>
        </w:rPr>
        <w:t xml:space="preserve"> work </w:t>
      </w:r>
      <w:r w:rsidR="00122214" w:rsidRPr="00A70165">
        <w:rPr>
          <w:rFonts w:cstheme="minorHAnsi"/>
          <w:color w:val="444444"/>
          <w:szCs w:val="24"/>
          <w:shd w:val="clear" w:color="auto" w:fill="FFFFFF"/>
        </w:rPr>
        <w:t>TDAG-WG-Prep</w:t>
      </w:r>
      <w:r w:rsidR="00122214" w:rsidRPr="00A70165">
        <w:rPr>
          <w:rFonts w:cstheme="minorHAnsi"/>
          <w:szCs w:val="24"/>
        </w:rPr>
        <w:t xml:space="preserve"> was </w:t>
      </w:r>
      <w:r w:rsidR="00FA25D3" w:rsidRPr="00A70165">
        <w:rPr>
          <w:rFonts w:cstheme="minorHAnsi"/>
          <w:szCs w:val="24"/>
        </w:rPr>
        <w:t xml:space="preserve">doing </w:t>
      </w:r>
      <w:r w:rsidR="00122214" w:rsidRPr="00A70165">
        <w:rPr>
          <w:rFonts w:cstheme="minorHAnsi"/>
          <w:szCs w:val="24"/>
        </w:rPr>
        <w:t>was crucial in</w:t>
      </w:r>
      <w:r w:rsidR="003A2529" w:rsidRPr="00A70165">
        <w:rPr>
          <w:rFonts w:cstheme="minorHAnsi"/>
          <w:szCs w:val="24"/>
        </w:rPr>
        <w:t xml:space="preserve"> ensur</w:t>
      </w:r>
      <w:r w:rsidR="00122214" w:rsidRPr="00A70165">
        <w:rPr>
          <w:rFonts w:cstheme="minorHAnsi"/>
          <w:szCs w:val="24"/>
        </w:rPr>
        <w:t>ing</w:t>
      </w:r>
      <w:r w:rsidR="003A2529" w:rsidRPr="00A70165">
        <w:rPr>
          <w:rFonts w:cstheme="minorHAnsi"/>
          <w:szCs w:val="24"/>
        </w:rPr>
        <w:t xml:space="preserve"> that the World Telecommunication Development Conference (WTDC-21)</w:t>
      </w:r>
      <w:r w:rsidR="00B87055" w:rsidRPr="00A70165">
        <w:rPr>
          <w:rFonts w:cstheme="minorHAnsi"/>
          <w:szCs w:val="24"/>
        </w:rPr>
        <w:t>,</w:t>
      </w:r>
      <w:r w:rsidR="00B87055" w:rsidRPr="00A70165">
        <w:rPr>
          <w:rFonts w:cstheme="minorHAnsi"/>
          <w:color w:val="000000"/>
          <w:szCs w:val="24"/>
          <w:lang w:eastAsia="en-GB"/>
        </w:rPr>
        <w:t xml:space="preserve"> scheduled to take place in Addis Ababa (Ethiopia) from 8 to 19 November in 2021, </w:t>
      </w:r>
      <w:r w:rsidR="00122214" w:rsidRPr="00A70165">
        <w:rPr>
          <w:rFonts w:cstheme="minorHAnsi"/>
          <w:szCs w:val="24"/>
        </w:rPr>
        <w:t xml:space="preserve">becomes </w:t>
      </w:r>
      <w:r w:rsidR="003A2529" w:rsidRPr="00A70165">
        <w:rPr>
          <w:rFonts w:cstheme="minorHAnsi"/>
          <w:szCs w:val="24"/>
        </w:rPr>
        <w:t xml:space="preserve">a </w:t>
      </w:r>
      <w:r w:rsidR="00904927" w:rsidRPr="00A70165">
        <w:rPr>
          <w:rFonts w:cstheme="minorHAnsi"/>
          <w:szCs w:val="24"/>
        </w:rPr>
        <w:t>truly impactful,</w:t>
      </w:r>
      <w:r w:rsidR="003A2529" w:rsidRPr="00A70165">
        <w:rPr>
          <w:rFonts w:cstheme="minorHAnsi"/>
          <w:szCs w:val="24"/>
        </w:rPr>
        <w:t xml:space="preserve"> landmark ICT development conference.</w:t>
      </w:r>
    </w:p>
    <w:p w14:paraId="60B768C8" w14:textId="6BF992CE" w:rsidR="00904927" w:rsidRPr="00A70165" w:rsidRDefault="00D63E02" w:rsidP="00855752">
      <w:pPr>
        <w:spacing w:after="120"/>
        <w:rPr>
          <w:rFonts w:cstheme="minorHAnsi"/>
          <w:szCs w:val="24"/>
        </w:rPr>
      </w:pPr>
      <w:r w:rsidRPr="00A70165">
        <w:rPr>
          <w:rFonts w:cstheme="minorHAnsi"/>
          <w:szCs w:val="24"/>
        </w:rPr>
        <w:t xml:space="preserve">The </w:t>
      </w:r>
      <w:r w:rsidR="007C7A1E" w:rsidRPr="00A70165">
        <w:rPr>
          <w:rFonts w:cstheme="minorHAnsi"/>
          <w:szCs w:val="24"/>
        </w:rPr>
        <w:t>COVID</w:t>
      </w:r>
      <w:r w:rsidR="007C7A1E" w:rsidRPr="00A70165">
        <w:rPr>
          <w:rFonts w:cstheme="minorHAnsi"/>
          <w:szCs w:val="24"/>
        </w:rPr>
        <w:noBreakHyphen/>
        <w:t xml:space="preserve">19 </w:t>
      </w:r>
      <w:r w:rsidRPr="00A70165">
        <w:rPr>
          <w:rFonts w:cstheme="minorHAnsi"/>
          <w:szCs w:val="24"/>
        </w:rPr>
        <w:t xml:space="preserve">pandemic has made starkly clear that people without fast, affordable connectivity are at a very significant disadvantage compared to those who are well-connected. </w:t>
      </w:r>
      <w:r w:rsidR="003A2529" w:rsidRPr="00A70165">
        <w:rPr>
          <w:rFonts w:cstheme="minorHAnsi"/>
          <w:szCs w:val="24"/>
        </w:rPr>
        <w:t>“</w:t>
      </w:r>
      <w:r w:rsidR="00875C22" w:rsidRPr="00A70165">
        <w:rPr>
          <w:rFonts w:cstheme="minorHAnsi"/>
          <w:szCs w:val="24"/>
        </w:rPr>
        <w:t>COVID</w:t>
      </w:r>
      <w:r w:rsidR="00875C22" w:rsidRPr="00A70165">
        <w:rPr>
          <w:rFonts w:cstheme="minorHAnsi"/>
          <w:szCs w:val="24"/>
        </w:rPr>
        <w:noBreakHyphen/>
        <w:t>19 has changed many things: the way we work, the way we coordinate, engage with our stakehol</w:t>
      </w:r>
      <w:r w:rsidR="003A2529" w:rsidRPr="00A70165">
        <w:rPr>
          <w:rFonts w:cstheme="minorHAnsi"/>
          <w:szCs w:val="24"/>
        </w:rPr>
        <w:t xml:space="preserve">ders and deliver assistance. It has also </w:t>
      </w:r>
      <w:r w:rsidR="00875C22" w:rsidRPr="00A70165">
        <w:rPr>
          <w:rFonts w:cstheme="minorHAnsi"/>
          <w:szCs w:val="24"/>
        </w:rPr>
        <w:t>made us reflect on our work and</w:t>
      </w:r>
      <w:r w:rsidR="00E51D5D" w:rsidRPr="00A70165">
        <w:rPr>
          <w:rFonts w:cstheme="minorHAnsi"/>
          <w:szCs w:val="24"/>
        </w:rPr>
        <w:t xml:space="preserve"> has</w:t>
      </w:r>
      <w:r w:rsidR="00875C22" w:rsidRPr="00A70165">
        <w:rPr>
          <w:rFonts w:cstheme="minorHAnsi"/>
          <w:szCs w:val="24"/>
        </w:rPr>
        <w:t xml:space="preserve"> </w:t>
      </w:r>
      <w:r w:rsidR="00F72331" w:rsidRPr="00A70165">
        <w:rPr>
          <w:rFonts w:cstheme="minorHAnsi"/>
          <w:szCs w:val="24"/>
        </w:rPr>
        <w:t xml:space="preserve">injected new </w:t>
      </w:r>
      <w:r w:rsidR="00875C22" w:rsidRPr="00A70165">
        <w:rPr>
          <w:rFonts w:cstheme="minorHAnsi"/>
          <w:szCs w:val="24"/>
        </w:rPr>
        <w:t xml:space="preserve">urgency </w:t>
      </w:r>
      <w:r w:rsidR="00F72331" w:rsidRPr="00A70165">
        <w:rPr>
          <w:rFonts w:cstheme="minorHAnsi"/>
          <w:szCs w:val="24"/>
        </w:rPr>
        <w:t>into</w:t>
      </w:r>
      <w:r w:rsidR="00F72331" w:rsidRPr="00A70165">
        <w:rPr>
          <w:rFonts w:cstheme="minorHAnsi"/>
          <w:b/>
          <w:szCs w:val="24"/>
        </w:rPr>
        <w:t xml:space="preserve"> bringing </w:t>
      </w:r>
      <w:r w:rsidR="00AD3EEB" w:rsidRPr="00A70165">
        <w:rPr>
          <w:rFonts w:cstheme="minorHAnsi"/>
          <w:b/>
          <w:szCs w:val="24"/>
        </w:rPr>
        <w:t xml:space="preserve">safe, </w:t>
      </w:r>
      <w:r w:rsidR="00875C22" w:rsidRPr="00A70165">
        <w:rPr>
          <w:rFonts w:cstheme="minorHAnsi"/>
          <w:b/>
          <w:szCs w:val="24"/>
        </w:rPr>
        <w:t>affordable</w:t>
      </w:r>
      <w:r w:rsidR="00AD3EEB" w:rsidRPr="00A70165">
        <w:rPr>
          <w:rFonts w:cstheme="minorHAnsi"/>
          <w:b/>
          <w:szCs w:val="24"/>
        </w:rPr>
        <w:t xml:space="preserve"> and </w:t>
      </w:r>
      <w:r w:rsidR="00875C22" w:rsidRPr="00A70165">
        <w:rPr>
          <w:rFonts w:cstheme="minorHAnsi"/>
          <w:b/>
          <w:szCs w:val="24"/>
        </w:rPr>
        <w:t xml:space="preserve">meaningful connectivity </w:t>
      </w:r>
      <w:r w:rsidR="00F72331" w:rsidRPr="00A70165">
        <w:rPr>
          <w:rFonts w:cstheme="minorHAnsi"/>
          <w:b/>
          <w:szCs w:val="24"/>
        </w:rPr>
        <w:t xml:space="preserve">to </w:t>
      </w:r>
      <w:r w:rsidR="00875C22" w:rsidRPr="00A70165">
        <w:rPr>
          <w:rFonts w:cstheme="minorHAnsi"/>
          <w:b/>
          <w:szCs w:val="24"/>
        </w:rPr>
        <w:t xml:space="preserve">the 3.6 billion </w:t>
      </w:r>
      <w:r w:rsidR="005A32B2">
        <w:rPr>
          <w:rFonts w:cstheme="minorHAnsi"/>
          <w:b/>
          <w:szCs w:val="24"/>
        </w:rPr>
        <w:t xml:space="preserve">people </w:t>
      </w:r>
      <w:r w:rsidR="00875C22" w:rsidRPr="00A70165">
        <w:rPr>
          <w:rFonts w:cstheme="minorHAnsi"/>
          <w:b/>
          <w:szCs w:val="24"/>
        </w:rPr>
        <w:t>that are not connected</w:t>
      </w:r>
      <w:r w:rsidR="003A2529" w:rsidRPr="00A70165">
        <w:rPr>
          <w:rFonts w:cstheme="minorHAnsi"/>
          <w:szCs w:val="24"/>
        </w:rPr>
        <w:t xml:space="preserve">”, </w:t>
      </w:r>
      <w:r w:rsidR="00904927" w:rsidRPr="00A70165">
        <w:rPr>
          <w:rFonts w:cstheme="minorHAnsi"/>
          <w:szCs w:val="24"/>
        </w:rPr>
        <w:t>the Director stated. She announced that o</w:t>
      </w:r>
      <w:r w:rsidR="007F5F1F" w:rsidRPr="00A70165">
        <w:rPr>
          <w:rFonts w:cstheme="minorHAnsi"/>
          <w:szCs w:val="24"/>
        </w:rPr>
        <w:t xml:space="preserve">n 9 November </w:t>
      </w:r>
      <w:r w:rsidR="00A52F94" w:rsidRPr="00A70165">
        <w:rPr>
          <w:rFonts w:cstheme="minorHAnsi"/>
          <w:szCs w:val="24"/>
        </w:rPr>
        <w:t xml:space="preserve">2020, </w:t>
      </w:r>
      <w:r w:rsidR="007C7A1E" w:rsidRPr="00A70165">
        <w:rPr>
          <w:rFonts w:cstheme="minorHAnsi"/>
          <w:szCs w:val="24"/>
        </w:rPr>
        <w:t xml:space="preserve">exactly </w:t>
      </w:r>
      <w:r w:rsidR="005B4B37" w:rsidRPr="00A70165">
        <w:rPr>
          <w:rFonts w:cstheme="minorHAnsi"/>
          <w:szCs w:val="24"/>
        </w:rPr>
        <w:t>a</w:t>
      </w:r>
      <w:r w:rsidR="007F5F1F" w:rsidRPr="00A70165">
        <w:rPr>
          <w:rFonts w:cstheme="minorHAnsi"/>
          <w:szCs w:val="24"/>
        </w:rPr>
        <w:t xml:space="preserve"> year ahead of WTDC</w:t>
      </w:r>
      <w:r w:rsidR="00A52F94" w:rsidRPr="00A70165">
        <w:rPr>
          <w:rFonts w:cstheme="minorHAnsi"/>
          <w:szCs w:val="24"/>
        </w:rPr>
        <w:t>-21</w:t>
      </w:r>
      <w:r w:rsidR="00771C60" w:rsidRPr="00A70165">
        <w:rPr>
          <w:rFonts w:cstheme="minorHAnsi"/>
          <w:szCs w:val="24"/>
        </w:rPr>
        <w:t xml:space="preserve">, </w:t>
      </w:r>
      <w:r w:rsidR="003A6200" w:rsidRPr="00A70165">
        <w:rPr>
          <w:rFonts w:cstheme="minorHAnsi"/>
          <w:color w:val="000000"/>
          <w:szCs w:val="24"/>
          <w:lang w:eastAsia="en-GB"/>
        </w:rPr>
        <w:t xml:space="preserve">ITU </w:t>
      </w:r>
      <w:r w:rsidR="003A6200" w:rsidRPr="00A70165">
        <w:rPr>
          <w:rFonts w:cstheme="minorHAnsi"/>
          <w:color w:val="000000"/>
          <w:szCs w:val="24"/>
          <w:lang w:eastAsia="en-GB"/>
        </w:rPr>
        <w:lastRenderedPageBreak/>
        <w:t xml:space="preserve">would launch </w:t>
      </w:r>
      <w:r w:rsidR="00771C60" w:rsidRPr="00A70165">
        <w:rPr>
          <w:rFonts w:cstheme="minorHAnsi"/>
          <w:szCs w:val="24"/>
        </w:rPr>
        <w:t>the</w:t>
      </w:r>
      <w:r w:rsidR="007F5F1F" w:rsidRPr="00A70165">
        <w:rPr>
          <w:rFonts w:cstheme="minorHAnsi"/>
          <w:szCs w:val="24"/>
        </w:rPr>
        <w:t xml:space="preserve"> </w:t>
      </w:r>
      <w:r w:rsidR="003A6200" w:rsidRPr="00A70165">
        <w:rPr>
          <w:rFonts w:cstheme="minorHAnsi"/>
          <w:i/>
          <w:szCs w:val="24"/>
        </w:rPr>
        <w:t>R</w:t>
      </w:r>
      <w:r w:rsidR="007F5F1F" w:rsidRPr="00A70165">
        <w:rPr>
          <w:rFonts w:cstheme="minorHAnsi"/>
          <w:i/>
          <w:szCs w:val="24"/>
        </w:rPr>
        <w:t>oad to Addis</w:t>
      </w:r>
      <w:r w:rsidR="003A6200" w:rsidRPr="00A70165">
        <w:rPr>
          <w:rFonts w:cstheme="minorHAnsi"/>
          <w:i/>
          <w:szCs w:val="24"/>
        </w:rPr>
        <w:t>,</w:t>
      </w:r>
      <w:r w:rsidR="007F5F1F" w:rsidRPr="00A70165">
        <w:rPr>
          <w:rFonts w:cstheme="minorHAnsi"/>
          <w:szCs w:val="24"/>
        </w:rPr>
        <w:t xml:space="preserve"> a series of events </w:t>
      </w:r>
      <w:r w:rsidR="00904927" w:rsidRPr="00A70165">
        <w:rPr>
          <w:rFonts w:cstheme="minorHAnsi"/>
          <w:szCs w:val="24"/>
        </w:rPr>
        <w:t xml:space="preserve">to be </w:t>
      </w:r>
      <w:r w:rsidR="007C7A1E" w:rsidRPr="00A70165">
        <w:rPr>
          <w:rFonts w:cstheme="minorHAnsi"/>
          <w:szCs w:val="24"/>
        </w:rPr>
        <w:t>organized</w:t>
      </w:r>
      <w:r w:rsidR="00904927" w:rsidRPr="00A70165">
        <w:rPr>
          <w:rFonts w:cstheme="minorHAnsi"/>
          <w:szCs w:val="24"/>
        </w:rPr>
        <w:t xml:space="preserve"> to build momentum </w:t>
      </w:r>
      <w:r w:rsidR="003A6200" w:rsidRPr="00A70165">
        <w:rPr>
          <w:rFonts w:cstheme="minorHAnsi"/>
          <w:szCs w:val="24"/>
        </w:rPr>
        <w:t>towards WTDC-21</w:t>
      </w:r>
      <w:r w:rsidR="005A32B2">
        <w:rPr>
          <w:rFonts w:cstheme="minorHAnsi"/>
          <w:szCs w:val="24"/>
        </w:rPr>
        <w:t>.</w:t>
      </w:r>
    </w:p>
    <w:p w14:paraId="773BB099" w14:textId="699132A5" w:rsidR="007F5F1F" w:rsidRPr="00A70165" w:rsidRDefault="00B00A9B" w:rsidP="00855752">
      <w:pPr>
        <w:spacing w:after="120"/>
        <w:rPr>
          <w:rFonts w:cstheme="minorHAnsi"/>
          <w:szCs w:val="24"/>
        </w:rPr>
      </w:pPr>
      <w:r w:rsidRPr="00A70165">
        <w:rPr>
          <w:rFonts w:cstheme="minorHAnsi"/>
          <w:szCs w:val="24"/>
        </w:rPr>
        <w:t>T</w:t>
      </w:r>
      <w:r w:rsidR="008E4F73" w:rsidRPr="00A70165">
        <w:rPr>
          <w:rFonts w:cstheme="minorHAnsi"/>
          <w:szCs w:val="24"/>
        </w:rPr>
        <w:t xml:space="preserve">he </w:t>
      </w:r>
      <w:r w:rsidR="007F5F1F" w:rsidRPr="00A70165">
        <w:rPr>
          <w:rFonts w:cstheme="minorHAnsi"/>
          <w:b/>
          <w:szCs w:val="24"/>
        </w:rPr>
        <w:t>strategy to engage youth</w:t>
      </w:r>
      <w:r w:rsidR="007F5F1F" w:rsidRPr="00A70165">
        <w:rPr>
          <w:rFonts w:cstheme="minorHAnsi"/>
          <w:szCs w:val="24"/>
        </w:rPr>
        <w:t xml:space="preserve"> in ITU acti</w:t>
      </w:r>
      <w:r w:rsidRPr="00A70165">
        <w:rPr>
          <w:rFonts w:cstheme="minorHAnsi"/>
          <w:szCs w:val="24"/>
        </w:rPr>
        <w:t>vities is also gaining traction</w:t>
      </w:r>
      <w:r w:rsidR="00904927" w:rsidRPr="00A70165">
        <w:rPr>
          <w:rFonts w:cstheme="minorHAnsi"/>
          <w:szCs w:val="24"/>
        </w:rPr>
        <w:t xml:space="preserve">, the Director </w:t>
      </w:r>
      <w:r w:rsidR="0087527B" w:rsidRPr="00A70165">
        <w:rPr>
          <w:rFonts w:cstheme="minorHAnsi"/>
          <w:szCs w:val="24"/>
        </w:rPr>
        <w:t>told participants</w:t>
      </w:r>
      <w:r w:rsidR="00904927" w:rsidRPr="00A70165">
        <w:rPr>
          <w:rFonts w:cstheme="minorHAnsi"/>
          <w:szCs w:val="24"/>
        </w:rPr>
        <w:t>, adding that: “</w:t>
      </w:r>
      <w:r w:rsidR="007F5F1F" w:rsidRPr="00A70165">
        <w:rPr>
          <w:rFonts w:cstheme="minorHAnsi"/>
          <w:szCs w:val="24"/>
        </w:rPr>
        <w:t xml:space="preserve">We are working with young people as we are with members and other stakeholders to see how best we can collectively </w:t>
      </w:r>
      <w:r w:rsidR="00FA25D3" w:rsidRPr="00A70165">
        <w:rPr>
          <w:rFonts w:cstheme="minorHAnsi"/>
          <w:szCs w:val="24"/>
        </w:rPr>
        <w:t xml:space="preserve">have </w:t>
      </w:r>
      <w:r w:rsidR="007F5F1F" w:rsidRPr="00A70165">
        <w:rPr>
          <w:rFonts w:cstheme="minorHAnsi"/>
          <w:szCs w:val="24"/>
        </w:rPr>
        <w:t>an equally impactful Youth Summit</w:t>
      </w:r>
      <w:r w:rsidR="00201085" w:rsidRPr="00A70165">
        <w:rPr>
          <w:rFonts w:cstheme="minorHAnsi"/>
          <w:szCs w:val="24"/>
        </w:rPr>
        <w:t>,</w:t>
      </w:r>
      <w:r w:rsidR="007F5F1F" w:rsidRPr="00A70165">
        <w:rPr>
          <w:rFonts w:cstheme="minorHAnsi"/>
          <w:szCs w:val="24"/>
        </w:rPr>
        <w:t xml:space="preserve"> alongside WTDC</w:t>
      </w:r>
      <w:r w:rsidR="007F5F1F" w:rsidRPr="00A70165">
        <w:rPr>
          <w:rFonts w:cstheme="minorHAnsi"/>
          <w:szCs w:val="24"/>
        </w:rPr>
        <w:noBreakHyphen/>
        <w:t>21</w:t>
      </w:r>
      <w:r w:rsidR="00904927" w:rsidRPr="00A70165">
        <w:rPr>
          <w:rFonts w:cstheme="minorHAnsi"/>
          <w:szCs w:val="24"/>
        </w:rPr>
        <w:t xml:space="preserve">.” </w:t>
      </w:r>
    </w:p>
    <w:p w14:paraId="2F641B61" w14:textId="683E802A" w:rsidR="00644CAB" w:rsidRPr="00A70165" w:rsidRDefault="003830F4" w:rsidP="00855752">
      <w:pPr>
        <w:pStyle w:val="Normal1"/>
        <w:widowControl/>
        <w:spacing w:before="120" w:after="120" w:line="240" w:lineRule="auto"/>
        <w:ind w:right="0" w:firstLine="0"/>
        <w:rPr>
          <w:rFonts w:asciiTheme="minorHAnsi" w:hAnsiTheme="minorHAnsi" w:cstheme="minorHAnsi"/>
        </w:rPr>
      </w:pPr>
      <w:r w:rsidRPr="00A70165">
        <w:rPr>
          <w:rFonts w:asciiTheme="minorHAnsi" w:hAnsiTheme="minorHAnsi" w:cstheme="minorHAnsi"/>
        </w:rPr>
        <w:t>The Chairman of the TDAG Working Group on WTDC Preparations,</w:t>
      </w:r>
      <w:r w:rsidRPr="00A70165">
        <w:rPr>
          <w:rFonts w:asciiTheme="minorHAnsi" w:hAnsiTheme="minorHAnsi" w:cstheme="minorHAnsi"/>
          <w:color w:val="444444"/>
          <w:shd w:val="clear" w:color="auto" w:fill="FFFFFF"/>
        </w:rPr>
        <w:t xml:space="preserve"> </w:t>
      </w:r>
      <w:proofErr w:type="spellStart"/>
      <w:r w:rsidRPr="00A70165">
        <w:rPr>
          <w:rFonts w:asciiTheme="minorHAnsi" w:hAnsiTheme="minorHAnsi" w:cstheme="minorHAnsi"/>
          <w:shd w:val="clear" w:color="auto" w:fill="FFFFFF"/>
        </w:rPr>
        <w:t>Mr</w:t>
      </w:r>
      <w:proofErr w:type="spellEnd"/>
      <w:r w:rsidRPr="00A70165">
        <w:rPr>
          <w:rFonts w:asciiTheme="minorHAnsi" w:hAnsiTheme="minorHAnsi" w:cstheme="minorHAnsi"/>
          <w:shd w:val="clear" w:color="auto" w:fill="FFFFFF"/>
        </w:rPr>
        <w:t> </w:t>
      </w:r>
      <w:r w:rsidRPr="00A70165">
        <w:rPr>
          <w:rFonts w:asciiTheme="minorHAnsi" w:hAnsiTheme="minorHAnsi" w:cstheme="minorHAnsi"/>
          <w:bCs/>
          <w:shd w:val="clear" w:color="auto" w:fill="FFFFFF"/>
        </w:rPr>
        <w:t>Santiago</w:t>
      </w:r>
      <w:r w:rsidRPr="00A70165">
        <w:rPr>
          <w:rFonts w:asciiTheme="minorHAnsi" w:hAnsiTheme="minorHAnsi" w:cstheme="minorHAnsi"/>
          <w:shd w:val="clear" w:color="auto" w:fill="FFFFFF"/>
        </w:rPr>
        <w:t> Reyes-</w:t>
      </w:r>
      <w:proofErr w:type="spellStart"/>
      <w:r w:rsidRPr="00A70165">
        <w:rPr>
          <w:rFonts w:asciiTheme="minorHAnsi" w:hAnsiTheme="minorHAnsi" w:cstheme="minorHAnsi"/>
          <w:shd w:val="clear" w:color="auto" w:fill="FFFFFF"/>
        </w:rPr>
        <w:t>Borda</w:t>
      </w:r>
      <w:proofErr w:type="spellEnd"/>
      <w:r w:rsidRPr="00A70165">
        <w:rPr>
          <w:rFonts w:asciiTheme="minorHAnsi" w:hAnsiTheme="minorHAnsi" w:cstheme="minorHAnsi"/>
          <w:shd w:val="clear" w:color="auto" w:fill="FFFFFF"/>
        </w:rPr>
        <w:t xml:space="preserve"> (Canada),</w:t>
      </w:r>
      <w:r w:rsidR="00AD3EEB" w:rsidRPr="00A70165">
        <w:rPr>
          <w:rFonts w:asciiTheme="minorHAnsi" w:hAnsiTheme="minorHAnsi" w:cstheme="minorHAnsi"/>
          <w:shd w:val="clear" w:color="auto" w:fill="FFFFFF"/>
        </w:rPr>
        <w:t xml:space="preserve"> </w:t>
      </w:r>
      <w:r w:rsidR="00A52F94" w:rsidRPr="00A70165">
        <w:rPr>
          <w:rFonts w:asciiTheme="minorHAnsi" w:hAnsiTheme="minorHAnsi" w:cstheme="minorHAnsi"/>
          <w:shd w:val="clear" w:color="auto" w:fill="FFFFFF"/>
        </w:rPr>
        <w:t xml:space="preserve">recalling a </w:t>
      </w:r>
      <w:r w:rsidR="00201085" w:rsidRPr="00A70165">
        <w:rPr>
          <w:rFonts w:asciiTheme="minorHAnsi" w:hAnsiTheme="minorHAnsi" w:cstheme="minorHAnsi"/>
          <w:shd w:val="clear" w:color="auto" w:fill="FFFFFF"/>
        </w:rPr>
        <w:t>webinar</w:t>
      </w:r>
      <w:r w:rsidR="00FA25D3" w:rsidRPr="00A70165">
        <w:rPr>
          <w:rFonts w:asciiTheme="minorHAnsi" w:hAnsiTheme="minorHAnsi" w:cstheme="minorHAnsi"/>
          <w:shd w:val="clear" w:color="auto" w:fill="FFFFFF"/>
        </w:rPr>
        <w:t xml:space="preserve"> held </w:t>
      </w:r>
      <w:r w:rsidR="00FA25D3" w:rsidRPr="00A70165">
        <w:rPr>
          <w:rFonts w:asciiTheme="minorHAnsi" w:hAnsiTheme="minorHAnsi" w:cstheme="minorHAnsi"/>
        </w:rPr>
        <w:t xml:space="preserve">on 19 October 2020 </w:t>
      </w:r>
      <w:r w:rsidR="004004F3" w:rsidRPr="00A70165">
        <w:rPr>
          <w:rFonts w:asciiTheme="minorHAnsi" w:hAnsiTheme="minorHAnsi" w:cstheme="minorHAnsi"/>
        </w:rPr>
        <w:t xml:space="preserve">to launch the </w:t>
      </w:r>
      <w:r w:rsidR="007F5F1F" w:rsidRPr="00A70165">
        <w:rPr>
          <w:rFonts w:asciiTheme="minorHAnsi" w:hAnsiTheme="minorHAnsi" w:cstheme="minorHAnsi"/>
        </w:rPr>
        <w:t xml:space="preserve">child online </w:t>
      </w:r>
      <w:r w:rsidR="00201085" w:rsidRPr="00A70165">
        <w:rPr>
          <w:rFonts w:asciiTheme="minorHAnsi" w:hAnsiTheme="minorHAnsi" w:cstheme="minorHAnsi"/>
        </w:rPr>
        <w:t>protection g</w:t>
      </w:r>
      <w:r w:rsidR="007F5F1F" w:rsidRPr="00A70165">
        <w:rPr>
          <w:rFonts w:asciiTheme="minorHAnsi" w:hAnsiTheme="minorHAnsi" w:cstheme="minorHAnsi"/>
        </w:rPr>
        <w:t>uidelines</w:t>
      </w:r>
      <w:r w:rsidR="00A52F94" w:rsidRPr="00A70165">
        <w:rPr>
          <w:rFonts w:asciiTheme="minorHAnsi" w:hAnsiTheme="minorHAnsi" w:cstheme="minorHAnsi"/>
        </w:rPr>
        <w:t xml:space="preserve"> </w:t>
      </w:r>
      <w:r w:rsidR="004004F3" w:rsidRPr="00A70165">
        <w:rPr>
          <w:rFonts w:asciiTheme="minorHAnsi" w:hAnsiTheme="minorHAnsi" w:cstheme="minorHAnsi"/>
        </w:rPr>
        <w:t xml:space="preserve">in </w:t>
      </w:r>
      <w:r w:rsidR="00A52F94" w:rsidRPr="00A70165">
        <w:rPr>
          <w:rFonts w:asciiTheme="minorHAnsi" w:hAnsiTheme="minorHAnsi" w:cstheme="minorHAnsi"/>
        </w:rPr>
        <w:t>the Americas</w:t>
      </w:r>
      <w:r w:rsidR="00FA25D3" w:rsidRPr="00A70165">
        <w:rPr>
          <w:rFonts w:asciiTheme="minorHAnsi" w:hAnsiTheme="minorHAnsi" w:cstheme="minorHAnsi"/>
        </w:rPr>
        <w:t>,</w:t>
      </w:r>
      <w:r w:rsidR="00A52F94" w:rsidRPr="00A70165">
        <w:rPr>
          <w:rFonts w:asciiTheme="minorHAnsi" w:hAnsiTheme="minorHAnsi" w:cstheme="minorHAnsi"/>
        </w:rPr>
        <w:t xml:space="preserve"> </w:t>
      </w:r>
      <w:r w:rsidR="004004F3" w:rsidRPr="00A70165">
        <w:rPr>
          <w:rFonts w:asciiTheme="minorHAnsi" w:hAnsiTheme="minorHAnsi" w:cstheme="minorHAnsi"/>
        </w:rPr>
        <w:t xml:space="preserve">commented </w:t>
      </w:r>
      <w:r w:rsidR="00A52F94" w:rsidRPr="00A70165">
        <w:rPr>
          <w:rFonts w:asciiTheme="minorHAnsi" w:hAnsiTheme="minorHAnsi" w:cstheme="minorHAnsi"/>
        </w:rPr>
        <w:t xml:space="preserve">that the </w:t>
      </w:r>
      <w:r w:rsidR="007F5F1F" w:rsidRPr="00A70165">
        <w:rPr>
          <w:rFonts w:asciiTheme="minorHAnsi" w:hAnsiTheme="minorHAnsi" w:cstheme="minorHAnsi"/>
        </w:rPr>
        <w:t xml:space="preserve">need </w:t>
      </w:r>
      <w:r w:rsidR="00666469" w:rsidRPr="00A70165">
        <w:rPr>
          <w:rFonts w:asciiTheme="minorHAnsi" w:hAnsiTheme="minorHAnsi" w:cstheme="minorHAnsi"/>
        </w:rPr>
        <w:t xml:space="preserve">to </w:t>
      </w:r>
      <w:r w:rsidR="007F5F1F" w:rsidRPr="00A70165">
        <w:rPr>
          <w:rFonts w:asciiTheme="minorHAnsi" w:hAnsiTheme="minorHAnsi" w:cstheme="minorHAnsi"/>
          <w:b/>
        </w:rPr>
        <w:t>protect all children</w:t>
      </w:r>
      <w:r w:rsidR="00666469" w:rsidRPr="00A70165">
        <w:rPr>
          <w:rFonts w:asciiTheme="minorHAnsi" w:hAnsiTheme="minorHAnsi" w:cstheme="minorHAnsi"/>
          <w:b/>
        </w:rPr>
        <w:t xml:space="preserve"> and provide them </w:t>
      </w:r>
      <w:r w:rsidR="007F5F1F" w:rsidRPr="00A70165">
        <w:rPr>
          <w:rFonts w:asciiTheme="minorHAnsi" w:hAnsiTheme="minorHAnsi" w:cstheme="minorHAnsi"/>
          <w:b/>
        </w:rPr>
        <w:t>with affordable, reliable and safe connectivity</w:t>
      </w:r>
      <w:r w:rsidR="00904927" w:rsidRPr="00A70165">
        <w:rPr>
          <w:rFonts w:asciiTheme="minorHAnsi" w:hAnsiTheme="minorHAnsi" w:cstheme="minorHAnsi"/>
        </w:rPr>
        <w:t xml:space="preserve"> </w:t>
      </w:r>
      <w:r w:rsidR="004004F3" w:rsidRPr="00A70165">
        <w:rPr>
          <w:rFonts w:asciiTheme="minorHAnsi" w:hAnsiTheme="minorHAnsi" w:cstheme="minorHAnsi"/>
        </w:rPr>
        <w:t xml:space="preserve">was yet another way to </w:t>
      </w:r>
      <w:r w:rsidR="00904927" w:rsidRPr="00A70165">
        <w:rPr>
          <w:rFonts w:asciiTheme="minorHAnsi" w:hAnsiTheme="minorHAnsi" w:cstheme="minorHAnsi"/>
        </w:rPr>
        <w:t xml:space="preserve">make </w:t>
      </w:r>
      <w:r w:rsidR="00A52F94" w:rsidRPr="00A70165">
        <w:rPr>
          <w:rFonts w:asciiTheme="minorHAnsi" w:hAnsiTheme="minorHAnsi" w:cstheme="minorHAnsi"/>
        </w:rPr>
        <w:t>WTDC</w:t>
      </w:r>
      <w:r w:rsidR="00771C60" w:rsidRPr="00A70165">
        <w:rPr>
          <w:rFonts w:asciiTheme="minorHAnsi" w:hAnsiTheme="minorHAnsi" w:cstheme="minorHAnsi"/>
        </w:rPr>
        <w:t>-21</w:t>
      </w:r>
      <w:r w:rsidR="00B3468B" w:rsidRPr="00A70165">
        <w:rPr>
          <w:rFonts w:asciiTheme="minorHAnsi" w:hAnsiTheme="minorHAnsi" w:cstheme="minorHAnsi"/>
        </w:rPr>
        <w:t xml:space="preserve"> </w:t>
      </w:r>
      <w:r w:rsidR="007F5F1F" w:rsidRPr="00A70165">
        <w:rPr>
          <w:rFonts w:asciiTheme="minorHAnsi" w:hAnsiTheme="minorHAnsi" w:cstheme="minorHAnsi"/>
        </w:rPr>
        <w:t>a landmark ITU conference.</w:t>
      </w:r>
      <w:r w:rsidR="00C9623C" w:rsidRPr="00A70165">
        <w:rPr>
          <w:rFonts w:asciiTheme="minorHAnsi" w:hAnsiTheme="minorHAnsi" w:cstheme="minorHAnsi"/>
        </w:rPr>
        <w:t xml:space="preserve"> </w:t>
      </w:r>
    </w:p>
    <w:p w14:paraId="018F9E0E" w14:textId="77777777" w:rsidR="00632758" w:rsidRPr="00A70165" w:rsidRDefault="00632758" w:rsidP="00855752">
      <w:pPr>
        <w:pStyle w:val="ListParagraph"/>
        <w:keepNext/>
        <w:numPr>
          <w:ilvl w:val="0"/>
          <w:numId w:val="13"/>
        </w:numPr>
        <w:spacing w:after="120"/>
        <w:ind w:left="357" w:hanging="357"/>
        <w:contextualSpacing w:val="0"/>
        <w:rPr>
          <w:rFonts w:cstheme="minorHAnsi"/>
          <w:b/>
          <w:szCs w:val="24"/>
        </w:rPr>
      </w:pPr>
      <w:r w:rsidRPr="00A70165">
        <w:rPr>
          <w:rFonts w:cstheme="minorHAnsi"/>
          <w:b/>
          <w:szCs w:val="24"/>
        </w:rPr>
        <w:t>Liaison statement on who should establish the ITU</w:t>
      </w:r>
      <w:r w:rsidRPr="00A70165">
        <w:rPr>
          <w:rFonts w:cstheme="minorHAnsi"/>
          <w:b/>
          <w:szCs w:val="24"/>
        </w:rPr>
        <w:noBreakHyphen/>
        <w:t>D component of the overall ITU strategic plan</w:t>
      </w:r>
    </w:p>
    <w:p w14:paraId="7DAF2525" w14:textId="2CF93E7D" w:rsidR="00632758" w:rsidRPr="00A70165" w:rsidRDefault="00632758" w:rsidP="00855752">
      <w:pPr>
        <w:spacing w:after="120"/>
        <w:rPr>
          <w:rFonts w:cstheme="minorHAnsi"/>
          <w:szCs w:val="24"/>
        </w:rPr>
      </w:pPr>
      <w:r w:rsidRPr="00A70165">
        <w:rPr>
          <w:rFonts w:cstheme="minorHAnsi"/>
          <w:szCs w:val="24"/>
        </w:rPr>
        <w:t xml:space="preserve">Participants noted </w:t>
      </w:r>
      <w:r w:rsidR="005A32B2">
        <w:rPr>
          <w:rFonts w:cstheme="minorHAnsi"/>
          <w:szCs w:val="24"/>
        </w:rPr>
        <w:t xml:space="preserve">with appreciation </w:t>
      </w:r>
      <w:r w:rsidRPr="00A70165">
        <w:rPr>
          <w:rFonts w:cstheme="minorHAnsi"/>
          <w:szCs w:val="24"/>
        </w:rPr>
        <w:t xml:space="preserve">the liaison statement from the TDAG Working Group on Strategic and Operational Plans (TDAG-WG-SOP), in which support is expressed for a multi-country proposal from </w:t>
      </w:r>
      <w:r w:rsidRPr="00A70165">
        <w:rPr>
          <w:rFonts w:cstheme="minorHAnsi"/>
          <w:szCs w:val="24"/>
          <w:lang w:val="en-US"/>
        </w:rPr>
        <w:t xml:space="preserve">Mexico, Canada and </w:t>
      </w:r>
      <w:r w:rsidRPr="00A70165">
        <w:rPr>
          <w:rFonts w:cstheme="minorHAnsi"/>
          <w:szCs w:val="24"/>
        </w:rPr>
        <w:t>the United States to assign the task of establishing the ITU-D component of t</w:t>
      </w:r>
      <w:r w:rsidR="005A32B2">
        <w:rPr>
          <w:rFonts w:cstheme="minorHAnsi"/>
          <w:szCs w:val="24"/>
        </w:rPr>
        <w:t xml:space="preserve">he overall ITU strategic plan to </w:t>
      </w:r>
      <w:r w:rsidRPr="00A70165">
        <w:rPr>
          <w:rFonts w:cstheme="minorHAnsi"/>
          <w:szCs w:val="24"/>
        </w:rPr>
        <w:t>TDAG, taking away that role from WTDC. For this to happen, it would be necessary to</w:t>
      </w:r>
      <w:r w:rsidRPr="00A70165">
        <w:rPr>
          <w:rFonts w:cstheme="minorHAnsi"/>
          <w:color w:val="00B050"/>
          <w:szCs w:val="24"/>
        </w:rPr>
        <w:t xml:space="preserve"> </w:t>
      </w:r>
      <w:r w:rsidRPr="00A70165">
        <w:rPr>
          <w:rFonts w:cstheme="minorHAnsi"/>
          <w:szCs w:val="24"/>
        </w:rPr>
        <w:t xml:space="preserve">revise provision 1.8.2 of Resolution 1 (Rev. Buenos Aires, 2017) and the pertinent provisions of Resolution 24 (Rev. Dubai, 2014) of WTDC. ITU-D </w:t>
      </w:r>
      <w:r w:rsidRPr="00A70165">
        <w:rPr>
          <w:rFonts w:cstheme="minorHAnsi"/>
          <w:szCs w:val="24"/>
          <w:lang w:val="en-US"/>
        </w:rPr>
        <w:t xml:space="preserve">membership would need to agree beforehand at the interregional </w:t>
      </w:r>
      <w:r w:rsidR="005A32B2">
        <w:rPr>
          <w:rFonts w:cstheme="minorHAnsi"/>
          <w:szCs w:val="24"/>
          <w:lang w:val="en-US"/>
        </w:rPr>
        <w:t xml:space="preserve">coordination </w:t>
      </w:r>
      <w:r w:rsidRPr="00A70165">
        <w:rPr>
          <w:rFonts w:cstheme="minorHAnsi"/>
          <w:szCs w:val="24"/>
          <w:lang w:val="en-US"/>
        </w:rPr>
        <w:t>meetings to not deal with the strategic plan at WTDC-21.</w:t>
      </w:r>
    </w:p>
    <w:p w14:paraId="43310723" w14:textId="77777777" w:rsidR="00632758" w:rsidRPr="00A70165" w:rsidRDefault="00632758" w:rsidP="00855752">
      <w:pPr>
        <w:spacing w:after="120"/>
        <w:rPr>
          <w:rFonts w:cstheme="minorHAnsi"/>
          <w:szCs w:val="24"/>
          <w:shd w:val="clear" w:color="auto" w:fill="FFFFFF"/>
          <w:lang w:eastAsia="ko-KR"/>
        </w:rPr>
      </w:pPr>
      <w:r w:rsidRPr="00A70165">
        <w:rPr>
          <w:rFonts w:cstheme="minorHAnsi"/>
          <w:szCs w:val="24"/>
        </w:rPr>
        <w:t>Up until 2017,</w:t>
      </w:r>
      <w:r w:rsidRPr="00A70165">
        <w:rPr>
          <w:rFonts w:cstheme="minorHAnsi"/>
          <w:iCs/>
          <w:szCs w:val="24"/>
        </w:rPr>
        <w:t xml:space="preserve"> WTDC used to take place in the same year as the Plenipotentiary Conference, with just a few months apart. WTDC had thus been given the responsibility </w:t>
      </w:r>
      <w:r w:rsidRPr="00A70165">
        <w:rPr>
          <w:rFonts w:cstheme="minorHAnsi"/>
          <w:szCs w:val="24"/>
        </w:rPr>
        <w:t xml:space="preserve">under 1.8.2 of Resolution 1 of WTDC to </w:t>
      </w:r>
      <w:r w:rsidRPr="00A70165">
        <w:rPr>
          <w:rFonts w:cstheme="minorHAnsi"/>
          <w:szCs w:val="24"/>
          <w:shd w:val="clear" w:color="auto" w:fill="FFFFFF"/>
          <w:lang w:eastAsia="ko-KR"/>
        </w:rPr>
        <w:t xml:space="preserve">establish the </w:t>
      </w:r>
      <w:r w:rsidRPr="00A70165">
        <w:rPr>
          <w:rFonts w:cstheme="minorHAnsi"/>
          <w:szCs w:val="24"/>
        </w:rPr>
        <w:t>ITU</w:t>
      </w:r>
      <w:r w:rsidRPr="00A70165">
        <w:rPr>
          <w:rFonts w:cstheme="minorHAnsi"/>
          <w:szCs w:val="24"/>
        </w:rPr>
        <w:noBreakHyphen/>
        <w:t>D contribution to the draft ITU strategic plan</w:t>
      </w:r>
      <w:r w:rsidRPr="00A70165">
        <w:rPr>
          <w:rFonts w:cstheme="minorHAnsi"/>
          <w:szCs w:val="24"/>
          <w:shd w:val="clear" w:color="auto" w:fill="FFFFFF"/>
          <w:lang w:eastAsia="ko-KR"/>
        </w:rPr>
        <w:t xml:space="preserve">. </w:t>
      </w:r>
      <w:r w:rsidRPr="00A70165">
        <w:rPr>
          <w:rFonts w:cstheme="minorHAnsi"/>
          <w:iCs/>
          <w:szCs w:val="24"/>
        </w:rPr>
        <w:t xml:space="preserve">Since 2017, WTDC takes place the year before the Plenipotentiary Conference. </w:t>
      </w:r>
      <w:r w:rsidRPr="00A70165">
        <w:rPr>
          <w:rFonts w:cstheme="minorHAnsi"/>
          <w:szCs w:val="24"/>
          <w:lang w:val="en-US"/>
        </w:rPr>
        <w:t xml:space="preserve">The proposed change would allow more time to prepare the </w:t>
      </w:r>
      <w:r w:rsidRPr="00A70165">
        <w:rPr>
          <w:rFonts w:cstheme="minorHAnsi"/>
          <w:szCs w:val="24"/>
        </w:rPr>
        <w:t>ITU-D component of the overall ITU strategic plan;</w:t>
      </w:r>
      <w:r w:rsidRPr="00A70165">
        <w:rPr>
          <w:rFonts w:cstheme="minorHAnsi"/>
          <w:szCs w:val="24"/>
          <w:lang w:val="en-US"/>
        </w:rPr>
        <w:t xml:space="preserve"> improve linkages with the action plan;  bring the ITU-D strategic planning process in line with the other two Sectors of the Union: Radiocommunication and Standardization; and free up time for WTDC to focus on other priorities. </w:t>
      </w:r>
    </w:p>
    <w:p w14:paraId="4795A369" w14:textId="468FF121" w:rsidR="003830F4" w:rsidRPr="00A70165" w:rsidRDefault="00AD3EEB" w:rsidP="00855752">
      <w:pPr>
        <w:pStyle w:val="ListParagraph"/>
        <w:keepNext/>
        <w:numPr>
          <w:ilvl w:val="0"/>
          <w:numId w:val="13"/>
        </w:numPr>
        <w:spacing w:after="120"/>
        <w:ind w:left="357" w:hanging="357"/>
        <w:contextualSpacing w:val="0"/>
        <w:rPr>
          <w:rFonts w:cstheme="minorHAnsi"/>
          <w:b/>
          <w:szCs w:val="24"/>
        </w:rPr>
      </w:pPr>
      <w:r w:rsidRPr="00A70165">
        <w:rPr>
          <w:rFonts w:cstheme="minorHAnsi"/>
          <w:b/>
          <w:szCs w:val="24"/>
        </w:rPr>
        <w:t xml:space="preserve">Highlights from the </w:t>
      </w:r>
      <w:r w:rsidR="00A20761" w:rsidRPr="00A70165">
        <w:rPr>
          <w:rFonts w:cstheme="minorHAnsi"/>
          <w:b/>
          <w:szCs w:val="24"/>
        </w:rPr>
        <w:t xml:space="preserve">contributions </w:t>
      </w:r>
    </w:p>
    <w:p w14:paraId="7C25211F" w14:textId="49A946B4" w:rsidR="0006164A" w:rsidRPr="00A70165" w:rsidRDefault="007B2F9A" w:rsidP="00855752">
      <w:pPr>
        <w:spacing w:after="120"/>
        <w:rPr>
          <w:rFonts w:cstheme="minorHAnsi"/>
          <w:szCs w:val="24"/>
        </w:rPr>
      </w:pPr>
      <w:r w:rsidRPr="00A70165">
        <w:rPr>
          <w:rFonts w:cstheme="minorHAnsi"/>
          <w:szCs w:val="24"/>
        </w:rPr>
        <w:t xml:space="preserve">Australia </w:t>
      </w:r>
      <w:r w:rsidR="00BA3352" w:rsidRPr="00A70165">
        <w:rPr>
          <w:rFonts w:cstheme="minorHAnsi"/>
          <w:szCs w:val="24"/>
        </w:rPr>
        <w:t>and Samoa</w:t>
      </w:r>
      <w:r w:rsidR="00AE70DF">
        <w:rPr>
          <w:rFonts w:cstheme="minorHAnsi"/>
          <w:szCs w:val="24"/>
        </w:rPr>
        <w:t xml:space="preserve"> in their</w:t>
      </w:r>
      <w:r w:rsidR="00AE70DF" w:rsidRPr="00A70165">
        <w:rPr>
          <w:rFonts w:cstheme="minorHAnsi"/>
          <w:szCs w:val="24"/>
        </w:rPr>
        <w:t xml:space="preserve"> </w:t>
      </w:r>
      <w:r w:rsidR="00AE70DF">
        <w:rPr>
          <w:rFonts w:cstheme="minorHAnsi"/>
          <w:szCs w:val="24"/>
        </w:rPr>
        <w:t xml:space="preserve">joint contribution </w:t>
      </w:r>
      <w:r w:rsidRPr="00A70165">
        <w:rPr>
          <w:rFonts w:cstheme="minorHAnsi"/>
          <w:szCs w:val="24"/>
        </w:rPr>
        <w:t>expresse</w:t>
      </w:r>
      <w:r w:rsidR="0087527B" w:rsidRPr="00A70165">
        <w:rPr>
          <w:rFonts w:cstheme="minorHAnsi"/>
          <w:szCs w:val="24"/>
        </w:rPr>
        <w:t>d</w:t>
      </w:r>
      <w:r w:rsidRPr="00A70165">
        <w:rPr>
          <w:rFonts w:cstheme="minorHAnsi"/>
          <w:szCs w:val="24"/>
        </w:rPr>
        <w:t xml:space="preserve"> </w:t>
      </w:r>
      <w:r w:rsidR="006C656C" w:rsidRPr="00A70165">
        <w:rPr>
          <w:rFonts w:cstheme="minorHAnsi"/>
          <w:szCs w:val="24"/>
        </w:rPr>
        <w:t xml:space="preserve">strong support </w:t>
      </w:r>
      <w:r w:rsidRPr="00A70165">
        <w:rPr>
          <w:rFonts w:cstheme="minorHAnsi"/>
          <w:szCs w:val="24"/>
        </w:rPr>
        <w:t xml:space="preserve">for </w:t>
      </w:r>
      <w:r w:rsidR="006C656C" w:rsidRPr="00A70165">
        <w:rPr>
          <w:rFonts w:cstheme="minorHAnsi"/>
          <w:szCs w:val="24"/>
        </w:rPr>
        <w:t>the direction taken</w:t>
      </w:r>
      <w:r w:rsidR="006C656C" w:rsidRPr="00A70165" w:rsidDel="00C730E5">
        <w:rPr>
          <w:rFonts w:cstheme="minorHAnsi"/>
          <w:szCs w:val="24"/>
        </w:rPr>
        <w:t xml:space="preserve"> </w:t>
      </w:r>
      <w:r w:rsidR="006C656C" w:rsidRPr="00A70165">
        <w:rPr>
          <w:rFonts w:cstheme="minorHAnsi"/>
          <w:szCs w:val="24"/>
        </w:rPr>
        <w:t xml:space="preserve">in </w:t>
      </w:r>
      <w:r w:rsidR="00AD3EEB" w:rsidRPr="00A70165">
        <w:rPr>
          <w:rFonts w:cstheme="minorHAnsi"/>
          <w:color w:val="444444"/>
          <w:szCs w:val="24"/>
          <w:shd w:val="clear" w:color="auto" w:fill="FFFFFF"/>
        </w:rPr>
        <w:t>TDAG-WG-Prep</w:t>
      </w:r>
      <w:r w:rsidR="006C656C" w:rsidRPr="00A70165">
        <w:rPr>
          <w:rFonts w:cstheme="minorHAnsi"/>
          <w:szCs w:val="24"/>
        </w:rPr>
        <w:t xml:space="preserve"> toward</w:t>
      </w:r>
      <w:r w:rsidR="00B10242" w:rsidRPr="00A70165">
        <w:rPr>
          <w:rFonts w:cstheme="minorHAnsi"/>
          <w:szCs w:val="24"/>
        </w:rPr>
        <w:t>s</w:t>
      </w:r>
      <w:r w:rsidR="006C656C" w:rsidRPr="00A70165">
        <w:rPr>
          <w:rFonts w:cstheme="minorHAnsi"/>
          <w:szCs w:val="24"/>
        </w:rPr>
        <w:t xml:space="preserve"> a successful WTDC-21</w:t>
      </w:r>
      <w:r w:rsidR="0006164A" w:rsidRPr="00A70165">
        <w:rPr>
          <w:rFonts w:cstheme="minorHAnsi"/>
          <w:szCs w:val="24"/>
        </w:rPr>
        <w:t xml:space="preserve"> and </w:t>
      </w:r>
      <w:r w:rsidR="00C33A75" w:rsidRPr="00A70165">
        <w:rPr>
          <w:rFonts w:cstheme="minorHAnsi"/>
          <w:szCs w:val="24"/>
        </w:rPr>
        <w:t xml:space="preserve">for </w:t>
      </w:r>
      <w:r w:rsidR="0006164A" w:rsidRPr="00A70165">
        <w:rPr>
          <w:rFonts w:cstheme="minorHAnsi"/>
          <w:szCs w:val="24"/>
        </w:rPr>
        <w:t xml:space="preserve">the proposals from the </w:t>
      </w:r>
      <w:r w:rsidR="002E19F3" w:rsidRPr="00A70165">
        <w:rPr>
          <w:rFonts w:cstheme="minorHAnsi"/>
          <w:szCs w:val="24"/>
        </w:rPr>
        <w:t>multi-country contribution from Argentina, Brazil, Canada and the United States</w:t>
      </w:r>
      <w:r w:rsidR="0006164A" w:rsidRPr="00A70165">
        <w:rPr>
          <w:rFonts w:cstheme="minorHAnsi"/>
          <w:szCs w:val="24"/>
        </w:rPr>
        <w:t xml:space="preserve"> submitted to the third meeting of </w:t>
      </w:r>
      <w:r w:rsidR="0087527B" w:rsidRPr="00A70165">
        <w:rPr>
          <w:rFonts w:cstheme="minorHAnsi"/>
          <w:color w:val="444444"/>
          <w:szCs w:val="24"/>
          <w:shd w:val="clear" w:color="auto" w:fill="FFFFFF"/>
        </w:rPr>
        <w:t>TDAG-WG-Prep.</w:t>
      </w:r>
    </w:p>
    <w:p w14:paraId="3774AA2F" w14:textId="6E5577CA" w:rsidR="00FB4E5C" w:rsidRPr="00A70165" w:rsidRDefault="00BF4FF3" w:rsidP="00855752">
      <w:pPr>
        <w:spacing w:after="120"/>
        <w:rPr>
          <w:rFonts w:cstheme="minorHAnsi"/>
          <w:szCs w:val="24"/>
        </w:rPr>
      </w:pPr>
      <w:r>
        <w:rPr>
          <w:rFonts w:cstheme="minorHAnsi"/>
          <w:szCs w:val="24"/>
        </w:rPr>
        <w:t xml:space="preserve">In terms of theme(s), </w:t>
      </w:r>
      <w:r w:rsidR="005642AA" w:rsidRPr="00A70165">
        <w:rPr>
          <w:rFonts w:cstheme="minorHAnsi"/>
          <w:szCs w:val="24"/>
        </w:rPr>
        <w:t xml:space="preserve">Australia and Samoa </w:t>
      </w:r>
      <w:r>
        <w:rPr>
          <w:rFonts w:cstheme="minorHAnsi"/>
          <w:szCs w:val="24"/>
        </w:rPr>
        <w:t xml:space="preserve">proposed: </w:t>
      </w:r>
      <w:r w:rsidR="005642AA" w:rsidRPr="00A70165">
        <w:rPr>
          <w:rFonts w:cstheme="minorHAnsi"/>
          <w:szCs w:val="24"/>
        </w:rPr>
        <w:t>“</w:t>
      </w:r>
      <w:r w:rsidR="005642AA" w:rsidRPr="00A70165">
        <w:rPr>
          <w:rFonts w:cstheme="minorHAnsi"/>
          <w:b/>
          <w:szCs w:val="24"/>
        </w:rPr>
        <w:t>The digital economy as a pathway to prosperity” and “Fighting COVID together: an inclusive and inter-connected future for all”</w:t>
      </w:r>
      <w:r>
        <w:rPr>
          <w:rFonts w:cstheme="minorHAnsi"/>
          <w:szCs w:val="24"/>
        </w:rPr>
        <w:t>, adding that t</w:t>
      </w:r>
      <w:r w:rsidR="00FB4E5C" w:rsidRPr="00A70165">
        <w:rPr>
          <w:rFonts w:cstheme="minorHAnsi"/>
          <w:szCs w:val="24"/>
        </w:rPr>
        <w:t xml:space="preserve">he unprecedented challenge </w:t>
      </w:r>
      <w:r w:rsidR="005642AA" w:rsidRPr="00A70165">
        <w:rPr>
          <w:rFonts w:cstheme="minorHAnsi"/>
          <w:szCs w:val="24"/>
        </w:rPr>
        <w:t xml:space="preserve">of the </w:t>
      </w:r>
      <w:r w:rsidR="00440837" w:rsidRPr="00A70165">
        <w:rPr>
          <w:rFonts w:cstheme="minorHAnsi"/>
          <w:szCs w:val="24"/>
        </w:rPr>
        <w:t xml:space="preserve">COVID-19 </w:t>
      </w:r>
      <w:r w:rsidR="0010014B" w:rsidRPr="00A70165">
        <w:rPr>
          <w:rFonts w:cstheme="minorHAnsi"/>
          <w:szCs w:val="24"/>
        </w:rPr>
        <w:t xml:space="preserve">pandemic </w:t>
      </w:r>
      <w:r w:rsidR="005642AA" w:rsidRPr="00A70165">
        <w:rPr>
          <w:rFonts w:cstheme="minorHAnsi"/>
          <w:szCs w:val="24"/>
        </w:rPr>
        <w:t>emphasiz</w:t>
      </w:r>
      <w:r w:rsidR="00FB4E5C" w:rsidRPr="00A70165">
        <w:rPr>
          <w:rFonts w:cstheme="minorHAnsi"/>
          <w:szCs w:val="24"/>
        </w:rPr>
        <w:t xml:space="preserve">es the need for countries to </w:t>
      </w:r>
      <w:r w:rsidR="00440837" w:rsidRPr="00A70165">
        <w:rPr>
          <w:rFonts w:cstheme="minorHAnsi"/>
          <w:szCs w:val="24"/>
        </w:rPr>
        <w:t xml:space="preserve">unite </w:t>
      </w:r>
      <w:r w:rsidR="00FB4E5C" w:rsidRPr="00A70165">
        <w:rPr>
          <w:rFonts w:cstheme="minorHAnsi"/>
          <w:szCs w:val="24"/>
        </w:rPr>
        <w:t xml:space="preserve">to </w:t>
      </w:r>
      <w:r>
        <w:rPr>
          <w:rFonts w:cstheme="minorHAnsi"/>
          <w:szCs w:val="24"/>
        </w:rPr>
        <w:t xml:space="preserve">face this </w:t>
      </w:r>
      <w:r w:rsidR="00FB4E5C" w:rsidRPr="00A70165">
        <w:rPr>
          <w:rFonts w:cstheme="minorHAnsi"/>
          <w:szCs w:val="24"/>
        </w:rPr>
        <w:t xml:space="preserve">challenge and places ITU-D at the centre of </w:t>
      </w:r>
      <w:r>
        <w:rPr>
          <w:rFonts w:cstheme="minorHAnsi"/>
          <w:szCs w:val="24"/>
        </w:rPr>
        <w:t xml:space="preserve">a </w:t>
      </w:r>
      <w:r w:rsidR="00FB4E5C" w:rsidRPr="00A70165">
        <w:rPr>
          <w:rFonts w:cstheme="minorHAnsi"/>
          <w:szCs w:val="24"/>
        </w:rPr>
        <w:t>long-term solution</w:t>
      </w:r>
      <w:r w:rsidR="0010014B" w:rsidRPr="00A70165">
        <w:rPr>
          <w:rFonts w:cstheme="minorHAnsi"/>
          <w:szCs w:val="24"/>
        </w:rPr>
        <w:t>,</w:t>
      </w:r>
      <w:r w:rsidR="00FB4E5C" w:rsidRPr="00A70165">
        <w:rPr>
          <w:rFonts w:cstheme="minorHAnsi"/>
          <w:szCs w:val="24"/>
        </w:rPr>
        <w:t xml:space="preserve"> </w:t>
      </w:r>
      <w:r>
        <w:rPr>
          <w:rFonts w:cstheme="minorHAnsi"/>
          <w:szCs w:val="24"/>
        </w:rPr>
        <w:t xml:space="preserve">where </w:t>
      </w:r>
      <w:r w:rsidR="00FB4E5C" w:rsidRPr="00A70165">
        <w:rPr>
          <w:rFonts w:cstheme="minorHAnsi"/>
          <w:szCs w:val="24"/>
        </w:rPr>
        <w:t xml:space="preserve">no vulnerable or underserved groups or regions </w:t>
      </w:r>
      <w:r>
        <w:rPr>
          <w:rFonts w:cstheme="minorHAnsi"/>
          <w:szCs w:val="24"/>
        </w:rPr>
        <w:t xml:space="preserve">are left </w:t>
      </w:r>
      <w:r w:rsidR="00FB4E5C" w:rsidRPr="00A70165">
        <w:rPr>
          <w:rFonts w:cstheme="minorHAnsi"/>
          <w:szCs w:val="24"/>
        </w:rPr>
        <w:t>behind.</w:t>
      </w:r>
    </w:p>
    <w:p w14:paraId="11B193BC" w14:textId="79EA9E58" w:rsidR="003E4768" w:rsidRDefault="00965C11" w:rsidP="00855752">
      <w:pPr>
        <w:spacing w:after="120"/>
        <w:rPr>
          <w:rFonts w:cstheme="minorHAnsi"/>
          <w:bCs/>
          <w:szCs w:val="24"/>
          <w:lang w:val="en-US"/>
        </w:rPr>
      </w:pPr>
      <w:r w:rsidRPr="00A70165">
        <w:rPr>
          <w:rFonts w:cstheme="minorHAnsi"/>
          <w:szCs w:val="24"/>
        </w:rPr>
        <w:t>The</w:t>
      </w:r>
      <w:r w:rsidR="00BD5C05" w:rsidRPr="00A70165">
        <w:rPr>
          <w:rFonts w:cstheme="minorHAnsi"/>
          <w:szCs w:val="24"/>
        </w:rPr>
        <w:t xml:space="preserve"> </w:t>
      </w:r>
      <w:r w:rsidR="0006164A" w:rsidRPr="00A70165">
        <w:rPr>
          <w:rFonts w:cstheme="minorHAnsi"/>
          <w:szCs w:val="24"/>
        </w:rPr>
        <w:t>multi-cou</w:t>
      </w:r>
      <w:r w:rsidR="000920A0" w:rsidRPr="00A70165">
        <w:rPr>
          <w:rFonts w:cstheme="minorHAnsi"/>
          <w:szCs w:val="24"/>
        </w:rPr>
        <w:t>ntry contribution from the United Kingdom</w:t>
      </w:r>
      <w:r w:rsidR="0006164A" w:rsidRPr="00A70165">
        <w:rPr>
          <w:rFonts w:cstheme="minorHAnsi"/>
          <w:szCs w:val="24"/>
        </w:rPr>
        <w:t xml:space="preserve"> </w:t>
      </w:r>
      <w:r w:rsidRPr="00A70165">
        <w:rPr>
          <w:rFonts w:cstheme="minorHAnsi"/>
          <w:szCs w:val="24"/>
        </w:rPr>
        <w:t xml:space="preserve">the Czech Republic and </w:t>
      </w:r>
      <w:r w:rsidR="0006164A" w:rsidRPr="00A70165">
        <w:rPr>
          <w:rFonts w:cstheme="minorHAnsi"/>
          <w:szCs w:val="24"/>
        </w:rPr>
        <w:t>Lithuania</w:t>
      </w:r>
      <w:r w:rsidR="000920A0" w:rsidRPr="00A70165">
        <w:rPr>
          <w:rFonts w:cstheme="minorHAnsi"/>
          <w:szCs w:val="24"/>
        </w:rPr>
        <w:t xml:space="preserve"> propose</w:t>
      </w:r>
      <w:r w:rsidR="004E7BB0" w:rsidRPr="00A70165">
        <w:rPr>
          <w:rFonts w:cstheme="minorHAnsi"/>
          <w:szCs w:val="24"/>
        </w:rPr>
        <w:t>d</w:t>
      </w:r>
      <w:r w:rsidRPr="00A70165">
        <w:rPr>
          <w:rFonts w:cstheme="minorHAnsi"/>
          <w:szCs w:val="24"/>
        </w:rPr>
        <w:t xml:space="preserve"> </w:t>
      </w:r>
      <w:r w:rsidRPr="00A70165">
        <w:rPr>
          <w:rFonts w:cstheme="minorHAnsi"/>
          <w:b/>
          <w:szCs w:val="24"/>
        </w:rPr>
        <w:t>"Building Back Bett</w:t>
      </w:r>
      <w:r w:rsidR="00B00A9B" w:rsidRPr="00A70165">
        <w:rPr>
          <w:rFonts w:cstheme="minorHAnsi"/>
          <w:b/>
          <w:szCs w:val="24"/>
        </w:rPr>
        <w:t>er: Bridging the Digital Divide</w:t>
      </w:r>
      <w:r w:rsidRPr="00A70165">
        <w:rPr>
          <w:rFonts w:cstheme="minorHAnsi"/>
          <w:b/>
          <w:szCs w:val="24"/>
        </w:rPr>
        <w:t>"</w:t>
      </w:r>
      <w:r w:rsidRPr="00A70165">
        <w:rPr>
          <w:rFonts w:cstheme="minorHAnsi"/>
          <w:szCs w:val="24"/>
        </w:rPr>
        <w:t xml:space="preserve"> </w:t>
      </w:r>
      <w:r w:rsidR="000920A0" w:rsidRPr="00A70165">
        <w:rPr>
          <w:rFonts w:cstheme="minorHAnsi"/>
          <w:szCs w:val="24"/>
        </w:rPr>
        <w:t xml:space="preserve">as the overall theme for WTDC-21, reaffirming the </w:t>
      </w:r>
      <w:r w:rsidR="0010014B" w:rsidRPr="00A70165">
        <w:rPr>
          <w:rFonts w:cstheme="minorHAnsi"/>
          <w:szCs w:val="24"/>
        </w:rPr>
        <w:t xml:space="preserve">earlier </w:t>
      </w:r>
      <w:r w:rsidR="000920A0" w:rsidRPr="00A70165">
        <w:rPr>
          <w:rFonts w:cstheme="minorHAnsi"/>
          <w:szCs w:val="24"/>
        </w:rPr>
        <w:t xml:space="preserve">proposal </w:t>
      </w:r>
      <w:r w:rsidR="0010014B" w:rsidRPr="00A70165">
        <w:rPr>
          <w:rFonts w:cstheme="minorHAnsi"/>
          <w:szCs w:val="24"/>
        </w:rPr>
        <w:t xml:space="preserve">put forward </w:t>
      </w:r>
      <w:r w:rsidR="000920A0" w:rsidRPr="00A70165">
        <w:rPr>
          <w:rFonts w:cstheme="minorHAnsi"/>
          <w:szCs w:val="24"/>
        </w:rPr>
        <w:t>by the United Kingdom and Lithuania</w:t>
      </w:r>
      <w:r w:rsidR="0010014B" w:rsidRPr="00A70165">
        <w:rPr>
          <w:rFonts w:cstheme="minorHAnsi"/>
          <w:szCs w:val="24"/>
        </w:rPr>
        <w:t xml:space="preserve"> to the third meeting of </w:t>
      </w:r>
      <w:r w:rsidR="00440837" w:rsidRPr="00A70165">
        <w:rPr>
          <w:rFonts w:cstheme="minorHAnsi"/>
          <w:color w:val="444444"/>
          <w:szCs w:val="24"/>
          <w:shd w:val="clear" w:color="auto" w:fill="FFFFFF"/>
        </w:rPr>
        <w:t>TDAG-WG-Prep.</w:t>
      </w:r>
      <w:r w:rsidR="003E4768" w:rsidRPr="00A70165">
        <w:rPr>
          <w:rFonts w:cstheme="minorHAnsi"/>
          <w:szCs w:val="24"/>
        </w:rPr>
        <w:t xml:space="preserve"> </w:t>
      </w:r>
    </w:p>
    <w:p w14:paraId="647D51C9" w14:textId="7A9DCBC6" w:rsidR="003E4768" w:rsidRDefault="005974DD" w:rsidP="00855752">
      <w:pPr>
        <w:spacing w:after="120"/>
        <w:rPr>
          <w:rFonts w:cstheme="minorHAnsi"/>
          <w:szCs w:val="24"/>
          <w:lang w:val="en-US"/>
        </w:rPr>
      </w:pPr>
      <w:r w:rsidRPr="00A70165">
        <w:rPr>
          <w:rFonts w:cstheme="minorHAnsi"/>
          <w:szCs w:val="24"/>
          <w:lang w:val="en-US"/>
        </w:rPr>
        <w:lastRenderedPageBreak/>
        <w:t>Moving o</w:t>
      </w:r>
      <w:r w:rsidR="00EC66DE" w:rsidRPr="00A70165">
        <w:rPr>
          <w:rFonts w:cstheme="minorHAnsi"/>
          <w:szCs w:val="24"/>
          <w:lang w:val="en-US"/>
        </w:rPr>
        <w:t xml:space="preserve">n </w:t>
      </w:r>
      <w:r w:rsidRPr="00A70165">
        <w:rPr>
          <w:rFonts w:cstheme="minorHAnsi"/>
          <w:szCs w:val="24"/>
          <w:lang w:val="en-US"/>
        </w:rPr>
        <w:t>to</w:t>
      </w:r>
      <w:r w:rsidRPr="00A70165">
        <w:rPr>
          <w:rFonts w:cstheme="minorHAnsi"/>
          <w:b/>
          <w:szCs w:val="24"/>
          <w:lang w:val="en-US"/>
        </w:rPr>
        <w:t xml:space="preserve"> </w:t>
      </w:r>
      <w:r w:rsidR="00EC66DE" w:rsidRPr="00A70165">
        <w:rPr>
          <w:rFonts w:cstheme="minorHAnsi"/>
          <w:b/>
          <w:szCs w:val="24"/>
          <w:lang w:val="en-US"/>
        </w:rPr>
        <w:t>r</w:t>
      </w:r>
      <w:r w:rsidR="00DA140D" w:rsidRPr="00A70165">
        <w:rPr>
          <w:rFonts w:cstheme="minorHAnsi"/>
          <w:b/>
          <w:szCs w:val="24"/>
          <w:lang w:val="en-US"/>
        </w:rPr>
        <w:t>ethinking the High-</w:t>
      </w:r>
      <w:r w:rsidR="00965C11" w:rsidRPr="00A70165">
        <w:rPr>
          <w:rFonts w:cstheme="minorHAnsi"/>
          <w:b/>
          <w:szCs w:val="24"/>
          <w:lang w:val="en-US"/>
        </w:rPr>
        <w:t>Level Segment</w:t>
      </w:r>
      <w:r w:rsidR="008075F5" w:rsidRPr="00A70165">
        <w:rPr>
          <w:rFonts w:cstheme="minorHAnsi"/>
          <w:b/>
          <w:szCs w:val="24"/>
          <w:lang w:val="en-US"/>
        </w:rPr>
        <w:t xml:space="preserve">, </w:t>
      </w:r>
      <w:r w:rsidR="008075F5" w:rsidRPr="00A70165">
        <w:rPr>
          <w:rFonts w:cstheme="minorHAnsi"/>
          <w:szCs w:val="24"/>
          <w:lang w:val="en-US"/>
        </w:rPr>
        <w:t xml:space="preserve">the </w:t>
      </w:r>
      <w:r w:rsidR="008075F5" w:rsidRPr="00A70165">
        <w:rPr>
          <w:rFonts w:cstheme="minorHAnsi"/>
          <w:szCs w:val="24"/>
        </w:rPr>
        <w:t xml:space="preserve">United Kingdom, the Czech Republic and Lithuania </w:t>
      </w:r>
      <w:r w:rsidR="00440837" w:rsidRPr="00A70165">
        <w:rPr>
          <w:rFonts w:cstheme="minorHAnsi"/>
          <w:szCs w:val="24"/>
        </w:rPr>
        <w:t xml:space="preserve">in their contribution expressed the view </w:t>
      </w:r>
      <w:r w:rsidR="008075F5" w:rsidRPr="00A70165">
        <w:rPr>
          <w:rFonts w:cstheme="minorHAnsi"/>
          <w:szCs w:val="24"/>
        </w:rPr>
        <w:t xml:space="preserve">that while </w:t>
      </w:r>
      <w:r w:rsidR="00552251" w:rsidRPr="00A70165">
        <w:rPr>
          <w:rFonts w:cstheme="minorHAnsi"/>
          <w:szCs w:val="24"/>
        </w:rPr>
        <w:t xml:space="preserve">it is important to </w:t>
      </w:r>
      <w:r w:rsidR="005E7D17" w:rsidRPr="00A70165">
        <w:rPr>
          <w:rFonts w:cstheme="minorHAnsi"/>
          <w:szCs w:val="24"/>
          <w:lang w:val="en-US"/>
        </w:rPr>
        <w:t>ensur</w:t>
      </w:r>
      <w:r w:rsidR="00552251" w:rsidRPr="00A70165">
        <w:rPr>
          <w:rFonts w:cstheme="minorHAnsi"/>
          <w:szCs w:val="24"/>
          <w:lang w:val="en-US"/>
        </w:rPr>
        <w:t xml:space="preserve">e </w:t>
      </w:r>
      <w:r w:rsidR="00965C11" w:rsidRPr="00A70165">
        <w:rPr>
          <w:rFonts w:cstheme="minorHAnsi"/>
          <w:szCs w:val="24"/>
          <w:lang w:val="en-US"/>
        </w:rPr>
        <w:t xml:space="preserve"> there is room for high-level speakers to participate</w:t>
      </w:r>
      <w:r w:rsidR="00552251" w:rsidRPr="00A70165">
        <w:rPr>
          <w:rFonts w:cstheme="minorHAnsi"/>
          <w:szCs w:val="24"/>
          <w:lang w:val="en-US"/>
        </w:rPr>
        <w:t xml:space="preserve"> in WTDC,</w:t>
      </w:r>
      <w:r w:rsidR="00965C11" w:rsidRPr="00A70165">
        <w:rPr>
          <w:rFonts w:cstheme="minorHAnsi"/>
          <w:szCs w:val="24"/>
          <w:lang w:val="en-US"/>
        </w:rPr>
        <w:t xml:space="preserve"> a change of format from a series of set-piece speeches, one after another, is needed. </w:t>
      </w:r>
      <w:r w:rsidR="00EC66DE" w:rsidRPr="00A70165">
        <w:rPr>
          <w:rFonts w:cstheme="minorHAnsi"/>
          <w:szCs w:val="24"/>
          <w:lang w:val="en-US"/>
        </w:rPr>
        <w:t>The</w:t>
      </w:r>
      <w:r w:rsidR="008075F5" w:rsidRPr="00A70165">
        <w:rPr>
          <w:rFonts w:cstheme="minorHAnsi"/>
          <w:szCs w:val="24"/>
          <w:lang w:val="en-US"/>
        </w:rPr>
        <w:t xml:space="preserve">se countries </w:t>
      </w:r>
      <w:r w:rsidR="00EC66DE" w:rsidRPr="00A70165">
        <w:rPr>
          <w:rFonts w:cstheme="minorHAnsi"/>
          <w:szCs w:val="24"/>
        </w:rPr>
        <w:t>propose</w:t>
      </w:r>
      <w:r w:rsidR="004E7BB0" w:rsidRPr="00A70165">
        <w:rPr>
          <w:rFonts w:cstheme="minorHAnsi"/>
          <w:szCs w:val="24"/>
        </w:rPr>
        <w:t>d</w:t>
      </w:r>
      <w:r w:rsidR="00EC66DE" w:rsidRPr="00A70165">
        <w:rPr>
          <w:rFonts w:cstheme="minorHAnsi"/>
          <w:szCs w:val="24"/>
        </w:rPr>
        <w:t xml:space="preserve"> t</w:t>
      </w:r>
      <w:r w:rsidR="00965C11" w:rsidRPr="00A70165">
        <w:rPr>
          <w:rFonts w:cstheme="minorHAnsi"/>
          <w:szCs w:val="24"/>
          <w:lang w:val="en-US"/>
        </w:rPr>
        <w:t xml:space="preserve">hat </w:t>
      </w:r>
      <w:r w:rsidR="008075F5" w:rsidRPr="00A70165">
        <w:rPr>
          <w:rFonts w:cstheme="minorHAnsi"/>
          <w:szCs w:val="24"/>
          <w:lang w:val="en-US"/>
        </w:rPr>
        <w:t>High-Level Segment</w:t>
      </w:r>
      <w:r w:rsidR="00965C11" w:rsidRPr="00A70165">
        <w:rPr>
          <w:rFonts w:cstheme="minorHAnsi"/>
          <w:szCs w:val="24"/>
          <w:lang w:val="en-US"/>
        </w:rPr>
        <w:t xml:space="preserve"> speakers </w:t>
      </w:r>
      <w:r w:rsidR="008075F5" w:rsidRPr="00A70165">
        <w:rPr>
          <w:rFonts w:cstheme="minorHAnsi"/>
          <w:szCs w:val="24"/>
          <w:lang w:val="en-US"/>
        </w:rPr>
        <w:t xml:space="preserve">should, </w:t>
      </w:r>
      <w:r w:rsidR="00552251" w:rsidRPr="00A70165">
        <w:rPr>
          <w:rFonts w:cstheme="minorHAnsi"/>
          <w:szCs w:val="24"/>
          <w:lang w:val="en-US"/>
        </w:rPr>
        <w:t>thus,</w:t>
      </w:r>
      <w:r w:rsidR="008075F5" w:rsidRPr="00A70165">
        <w:rPr>
          <w:rFonts w:cstheme="minorHAnsi"/>
          <w:szCs w:val="24"/>
          <w:lang w:val="en-US"/>
        </w:rPr>
        <w:t xml:space="preserve"> </w:t>
      </w:r>
      <w:r w:rsidR="00965C11" w:rsidRPr="00A70165">
        <w:rPr>
          <w:rFonts w:cstheme="minorHAnsi"/>
          <w:szCs w:val="24"/>
          <w:lang w:val="en-US"/>
        </w:rPr>
        <w:t>be engaged in conversations with one another through panels, or roundtable discussions, around key themes and subjects related to digital divide</w:t>
      </w:r>
      <w:r w:rsidR="005A32B2">
        <w:rPr>
          <w:rFonts w:cstheme="minorHAnsi"/>
          <w:szCs w:val="24"/>
          <w:lang w:val="en-US"/>
        </w:rPr>
        <w:t>s</w:t>
      </w:r>
      <w:r w:rsidR="00965C11" w:rsidRPr="00A70165">
        <w:rPr>
          <w:rFonts w:cstheme="minorHAnsi"/>
          <w:szCs w:val="24"/>
          <w:lang w:val="en-US"/>
        </w:rPr>
        <w:t>, with the objective of increasing the political wi</w:t>
      </w:r>
      <w:r w:rsidR="005A32B2">
        <w:rPr>
          <w:rFonts w:cstheme="minorHAnsi"/>
          <w:szCs w:val="24"/>
          <w:lang w:val="en-US"/>
        </w:rPr>
        <w:t>ll and commitment to bridging these divides</w:t>
      </w:r>
      <w:r w:rsidR="00965C11" w:rsidRPr="00A70165">
        <w:rPr>
          <w:rFonts w:cstheme="minorHAnsi"/>
          <w:szCs w:val="24"/>
          <w:lang w:val="en-US"/>
        </w:rPr>
        <w:t>.</w:t>
      </w:r>
      <w:r w:rsidR="00F6360E" w:rsidRPr="00A70165">
        <w:rPr>
          <w:rFonts w:cstheme="minorHAnsi"/>
          <w:szCs w:val="24"/>
          <w:lang w:val="en-US"/>
        </w:rPr>
        <w:t xml:space="preserve"> </w:t>
      </w:r>
    </w:p>
    <w:p w14:paraId="7C6AED1C" w14:textId="71907FAA" w:rsidR="00033DD4" w:rsidRDefault="00EC66DE" w:rsidP="00855752">
      <w:pPr>
        <w:spacing w:after="120"/>
        <w:rPr>
          <w:rFonts w:cstheme="minorHAnsi"/>
          <w:szCs w:val="24"/>
        </w:rPr>
      </w:pPr>
      <w:r w:rsidRPr="00A70165">
        <w:rPr>
          <w:rFonts w:cstheme="minorHAnsi"/>
          <w:szCs w:val="24"/>
        </w:rPr>
        <w:t>Australia and Samoa added their voice to</w:t>
      </w:r>
      <w:r w:rsidR="007E02B7" w:rsidRPr="00A70165">
        <w:rPr>
          <w:rFonts w:cstheme="minorHAnsi"/>
          <w:szCs w:val="24"/>
        </w:rPr>
        <w:t xml:space="preserve"> earlier proposals on</w:t>
      </w:r>
      <w:r w:rsidR="007E02B7" w:rsidRPr="00A70165">
        <w:rPr>
          <w:rFonts w:cstheme="minorHAnsi"/>
          <w:b/>
          <w:szCs w:val="24"/>
          <w:lang w:val="en-US"/>
        </w:rPr>
        <w:t xml:space="preserve"> </w:t>
      </w:r>
      <w:r w:rsidR="007E02B7" w:rsidRPr="00A70165">
        <w:rPr>
          <w:rFonts w:cstheme="minorHAnsi"/>
          <w:szCs w:val="24"/>
          <w:lang w:val="en-US"/>
        </w:rPr>
        <w:t>the High-Level Segment</w:t>
      </w:r>
      <w:r w:rsidRPr="00A70165">
        <w:rPr>
          <w:rFonts w:cstheme="minorHAnsi"/>
          <w:szCs w:val="24"/>
        </w:rPr>
        <w:t xml:space="preserve">, as </w:t>
      </w:r>
      <w:r w:rsidR="004E7BB0" w:rsidRPr="00A70165">
        <w:rPr>
          <w:rFonts w:cstheme="minorHAnsi"/>
          <w:szCs w:val="24"/>
        </w:rPr>
        <w:t xml:space="preserve">did </w:t>
      </w:r>
      <w:r w:rsidR="0097453B" w:rsidRPr="00A70165">
        <w:rPr>
          <w:rFonts w:cstheme="minorHAnsi"/>
          <w:szCs w:val="24"/>
        </w:rPr>
        <w:t>AT&amp;T</w:t>
      </w:r>
      <w:r w:rsidR="007E02B7" w:rsidRPr="00A70165">
        <w:rPr>
          <w:rFonts w:cstheme="minorHAnsi"/>
          <w:szCs w:val="24"/>
        </w:rPr>
        <w:t>. Noting the time constraints experienced during WTDC-17, the two countries express</w:t>
      </w:r>
      <w:r w:rsidR="004E7BB0" w:rsidRPr="00A70165">
        <w:rPr>
          <w:rFonts w:cstheme="minorHAnsi"/>
          <w:szCs w:val="24"/>
        </w:rPr>
        <w:t>ed</w:t>
      </w:r>
      <w:r w:rsidR="007E02B7" w:rsidRPr="00A70165">
        <w:rPr>
          <w:rFonts w:cstheme="minorHAnsi"/>
          <w:szCs w:val="24"/>
        </w:rPr>
        <w:t xml:space="preserve"> support for the suggestion in the BDT concept note </w:t>
      </w:r>
      <w:r w:rsidR="00F76500" w:rsidRPr="00A70165">
        <w:rPr>
          <w:rFonts w:cstheme="minorHAnsi"/>
          <w:szCs w:val="24"/>
        </w:rPr>
        <w:t xml:space="preserve">to the third meeting of </w:t>
      </w:r>
      <w:r w:rsidR="00F76500" w:rsidRPr="00A70165">
        <w:rPr>
          <w:rFonts w:cstheme="minorHAnsi"/>
          <w:color w:val="444444"/>
          <w:szCs w:val="24"/>
          <w:shd w:val="clear" w:color="auto" w:fill="FFFFFF"/>
        </w:rPr>
        <w:t>TDAG-WG-Prep</w:t>
      </w:r>
      <w:r w:rsidR="00F76500" w:rsidRPr="00A70165">
        <w:rPr>
          <w:rFonts w:cstheme="minorHAnsi"/>
          <w:szCs w:val="24"/>
        </w:rPr>
        <w:t xml:space="preserve"> </w:t>
      </w:r>
      <w:r w:rsidR="007E02B7" w:rsidRPr="00A70165">
        <w:rPr>
          <w:rFonts w:cstheme="minorHAnsi"/>
          <w:szCs w:val="24"/>
        </w:rPr>
        <w:t xml:space="preserve">to </w:t>
      </w:r>
      <w:r w:rsidR="007E02B7" w:rsidRPr="00A70165">
        <w:rPr>
          <w:rFonts w:cstheme="minorHAnsi"/>
          <w:b/>
          <w:szCs w:val="24"/>
        </w:rPr>
        <w:t>repurpose the High-Level Segment of the conference and side-even</w:t>
      </w:r>
      <w:r w:rsidR="00625ED3" w:rsidRPr="00A70165">
        <w:rPr>
          <w:rFonts w:cstheme="minorHAnsi"/>
          <w:b/>
          <w:szCs w:val="24"/>
        </w:rPr>
        <w:t>ts into a “Partnership Segment”</w:t>
      </w:r>
      <w:r w:rsidR="00552251" w:rsidRPr="00A70165">
        <w:rPr>
          <w:rFonts w:cstheme="minorHAnsi"/>
          <w:b/>
          <w:szCs w:val="24"/>
        </w:rPr>
        <w:t xml:space="preserve">. </w:t>
      </w:r>
      <w:r w:rsidR="00552251" w:rsidRPr="00A70165">
        <w:rPr>
          <w:rFonts w:cstheme="minorHAnsi"/>
          <w:szCs w:val="24"/>
        </w:rPr>
        <w:t xml:space="preserve">This, they </w:t>
      </w:r>
      <w:r w:rsidR="00F91A72" w:rsidRPr="00A70165">
        <w:rPr>
          <w:rFonts w:cstheme="minorHAnsi"/>
          <w:szCs w:val="24"/>
        </w:rPr>
        <w:t>stated</w:t>
      </w:r>
      <w:r w:rsidR="00B84EEA">
        <w:rPr>
          <w:rFonts w:cstheme="minorHAnsi"/>
          <w:szCs w:val="24"/>
        </w:rPr>
        <w:t xml:space="preserve">, </w:t>
      </w:r>
      <w:r w:rsidR="00552251" w:rsidRPr="00A70165">
        <w:rPr>
          <w:rFonts w:cstheme="minorHAnsi"/>
          <w:szCs w:val="24"/>
        </w:rPr>
        <w:t>would</w:t>
      </w:r>
      <w:r w:rsidR="00625ED3" w:rsidRPr="00A70165">
        <w:rPr>
          <w:rFonts w:cstheme="minorHAnsi"/>
          <w:szCs w:val="24"/>
        </w:rPr>
        <w:t xml:space="preserve"> </w:t>
      </w:r>
      <w:r w:rsidR="007E02B7" w:rsidRPr="00A70165">
        <w:rPr>
          <w:rFonts w:cstheme="minorHAnsi"/>
          <w:szCs w:val="24"/>
        </w:rPr>
        <w:t>provide opportunities for interaction between stakeholders</w:t>
      </w:r>
      <w:r w:rsidR="00625ED3" w:rsidRPr="00A70165">
        <w:rPr>
          <w:rFonts w:cstheme="minorHAnsi"/>
          <w:szCs w:val="24"/>
        </w:rPr>
        <w:t xml:space="preserve"> in </w:t>
      </w:r>
      <w:r w:rsidR="005E7D17" w:rsidRPr="00A70165">
        <w:rPr>
          <w:rFonts w:cstheme="minorHAnsi"/>
          <w:szCs w:val="24"/>
        </w:rPr>
        <w:t xml:space="preserve">ITU-D </w:t>
      </w:r>
      <w:r w:rsidR="007E02B7" w:rsidRPr="00A70165">
        <w:rPr>
          <w:rFonts w:cstheme="minorHAnsi"/>
          <w:szCs w:val="24"/>
        </w:rPr>
        <w:t xml:space="preserve">to discuss relevant thematic issues and how to generate development projects that can effectively target </w:t>
      </w:r>
      <w:proofErr w:type="gramStart"/>
      <w:r w:rsidR="007E02B7" w:rsidRPr="00A70165">
        <w:rPr>
          <w:rFonts w:cstheme="minorHAnsi"/>
          <w:szCs w:val="24"/>
        </w:rPr>
        <w:t>particular areas</w:t>
      </w:r>
      <w:proofErr w:type="gramEnd"/>
      <w:r w:rsidR="007E02B7" w:rsidRPr="00A70165">
        <w:rPr>
          <w:rFonts w:cstheme="minorHAnsi"/>
          <w:szCs w:val="24"/>
        </w:rPr>
        <w:t xml:space="preserve"> of need</w:t>
      </w:r>
      <w:r w:rsidR="007E02B7" w:rsidRPr="00A70165" w:rsidDel="00221307">
        <w:rPr>
          <w:rFonts w:cstheme="minorHAnsi"/>
          <w:szCs w:val="24"/>
        </w:rPr>
        <w:t xml:space="preserve">. </w:t>
      </w:r>
      <w:r w:rsidR="00625ED3" w:rsidRPr="00A70165">
        <w:rPr>
          <w:rFonts w:cstheme="minorHAnsi"/>
          <w:szCs w:val="24"/>
        </w:rPr>
        <w:t xml:space="preserve">AT&amp;T </w:t>
      </w:r>
      <w:r w:rsidR="005E7D17" w:rsidRPr="00A70165">
        <w:rPr>
          <w:rFonts w:cstheme="minorHAnsi"/>
          <w:szCs w:val="24"/>
        </w:rPr>
        <w:t>propose</w:t>
      </w:r>
      <w:r w:rsidR="004E7BB0" w:rsidRPr="00A70165">
        <w:rPr>
          <w:rFonts w:cstheme="minorHAnsi"/>
          <w:szCs w:val="24"/>
        </w:rPr>
        <w:t>d</w:t>
      </w:r>
      <w:r w:rsidR="00625ED3" w:rsidRPr="00A70165">
        <w:rPr>
          <w:rFonts w:cstheme="minorHAnsi"/>
          <w:szCs w:val="24"/>
        </w:rPr>
        <w:t xml:space="preserve"> </w:t>
      </w:r>
      <w:r w:rsidR="0097453B" w:rsidRPr="00A70165">
        <w:rPr>
          <w:rFonts w:cstheme="minorHAnsi"/>
          <w:szCs w:val="24"/>
        </w:rPr>
        <w:t>that a</w:t>
      </w:r>
      <w:r w:rsidR="003E4768" w:rsidRPr="00A70165">
        <w:rPr>
          <w:rFonts w:cstheme="minorHAnsi"/>
          <w:szCs w:val="24"/>
        </w:rPr>
        <w:t xml:space="preserve"> refresh of the High-Level Segment and policy statements into a “Development Track”</w:t>
      </w:r>
      <w:r w:rsidR="00552251" w:rsidRPr="00A70165">
        <w:rPr>
          <w:rFonts w:cstheme="minorHAnsi"/>
          <w:szCs w:val="24"/>
        </w:rPr>
        <w:t>,</w:t>
      </w:r>
      <w:r w:rsidR="003E4768" w:rsidRPr="00A70165">
        <w:rPr>
          <w:rFonts w:cstheme="minorHAnsi"/>
          <w:szCs w:val="24"/>
        </w:rPr>
        <w:t xml:space="preserve"> featuring roundtables and panels</w:t>
      </w:r>
      <w:r w:rsidR="00552251" w:rsidRPr="00A70165">
        <w:rPr>
          <w:rFonts w:cstheme="minorHAnsi"/>
          <w:szCs w:val="24"/>
        </w:rPr>
        <w:t>,</w:t>
      </w:r>
      <w:r w:rsidR="003E4768" w:rsidRPr="00A70165">
        <w:rPr>
          <w:rFonts w:cstheme="minorHAnsi"/>
          <w:szCs w:val="24"/>
        </w:rPr>
        <w:t xml:space="preserve"> would enable senior-level representatives from Member States and other stakeholder groups to engage in interactive discussions around the most pressing issues related to telecommunication</w:t>
      </w:r>
      <w:r w:rsidR="00552251" w:rsidRPr="00A70165">
        <w:rPr>
          <w:rFonts w:cstheme="minorHAnsi"/>
          <w:szCs w:val="24"/>
        </w:rPr>
        <w:t>s</w:t>
      </w:r>
      <w:r w:rsidR="003E4768" w:rsidRPr="00A70165">
        <w:rPr>
          <w:rFonts w:cstheme="minorHAnsi"/>
          <w:szCs w:val="24"/>
        </w:rPr>
        <w:t xml:space="preserve">/ICTs and development and share lessons learned and best practices. </w:t>
      </w:r>
    </w:p>
    <w:p w14:paraId="2DEE5B47" w14:textId="50118514" w:rsidR="00BF7C3C" w:rsidRPr="00A70165" w:rsidRDefault="00625ED3" w:rsidP="00855752">
      <w:pPr>
        <w:spacing w:after="120"/>
        <w:rPr>
          <w:rFonts w:cstheme="minorHAnsi"/>
          <w:b/>
          <w:szCs w:val="24"/>
        </w:rPr>
      </w:pPr>
      <w:r w:rsidRPr="00A70165">
        <w:rPr>
          <w:rFonts w:cstheme="minorHAnsi"/>
          <w:szCs w:val="24"/>
        </w:rPr>
        <w:t xml:space="preserve">AT&amp;T </w:t>
      </w:r>
      <w:r w:rsidR="00C62A9F" w:rsidRPr="00A70165">
        <w:rPr>
          <w:rFonts w:cstheme="minorHAnsi"/>
          <w:szCs w:val="24"/>
        </w:rPr>
        <w:t>expresse</w:t>
      </w:r>
      <w:r w:rsidR="004E7BB0" w:rsidRPr="00A70165">
        <w:rPr>
          <w:rFonts w:cstheme="minorHAnsi"/>
          <w:szCs w:val="24"/>
        </w:rPr>
        <w:t>d</w:t>
      </w:r>
      <w:r w:rsidRPr="00A70165">
        <w:rPr>
          <w:rFonts w:cstheme="minorHAnsi"/>
          <w:szCs w:val="24"/>
        </w:rPr>
        <w:t xml:space="preserve"> support for the proposed </w:t>
      </w:r>
      <w:r w:rsidR="00BF7C3C" w:rsidRPr="00A70165">
        <w:rPr>
          <w:rFonts w:cstheme="minorHAnsi"/>
          <w:b/>
          <w:szCs w:val="24"/>
        </w:rPr>
        <w:t>Youth Summit</w:t>
      </w:r>
      <w:r w:rsidRPr="00A70165">
        <w:rPr>
          <w:rFonts w:cstheme="minorHAnsi"/>
          <w:b/>
          <w:szCs w:val="24"/>
        </w:rPr>
        <w:t xml:space="preserve">, </w:t>
      </w:r>
      <w:r w:rsidRPr="00A70165">
        <w:rPr>
          <w:rFonts w:cstheme="minorHAnsi"/>
          <w:szCs w:val="24"/>
        </w:rPr>
        <w:t>recognizing that it could</w:t>
      </w:r>
      <w:r w:rsidRPr="00A70165">
        <w:rPr>
          <w:rFonts w:cstheme="minorHAnsi"/>
          <w:b/>
          <w:szCs w:val="24"/>
        </w:rPr>
        <w:t xml:space="preserve"> </w:t>
      </w:r>
      <w:r w:rsidRPr="00A70165">
        <w:rPr>
          <w:rFonts w:cstheme="minorHAnsi"/>
          <w:szCs w:val="24"/>
        </w:rPr>
        <w:t>play a</w:t>
      </w:r>
      <w:r w:rsidR="00BF7C3C" w:rsidRPr="00A70165">
        <w:rPr>
          <w:rFonts w:cstheme="minorHAnsi"/>
          <w:szCs w:val="24"/>
        </w:rPr>
        <w:t xml:space="preserve">n important role in </w:t>
      </w:r>
      <w:r w:rsidR="00543C0E" w:rsidRPr="00A70165">
        <w:rPr>
          <w:rFonts w:cstheme="minorHAnsi"/>
          <w:szCs w:val="24"/>
        </w:rPr>
        <w:t>catalysing</w:t>
      </w:r>
      <w:r w:rsidR="00BF7C3C" w:rsidRPr="00A70165">
        <w:rPr>
          <w:rFonts w:cstheme="minorHAnsi"/>
          <w:szCs w:val="24"/>
        </w:rPr>
        <w:t xml:space="preserve"> the interest of young people in telecommunications/ICT</w:t>
      </w:r>
      <w:r w:rsidR="00F91A72" w:rsidRPr="00A70165">
        <w:rPr>
          <w:rFonts w:cstheme="minorHAnsi"/>
          <w:szCs w:val="24"/>
        </w:rPr>
        <w:t>s.</w:t>
      </w:r>
      <w:r w:rsidR="00BF7C3C" w:rsidRPr="00A70165">
        <w:rPr>
          <w:rFonts w:cstheme="minorHAnsi"/>
          <w:szCs w:val="24"/>
        </w:rPr>
        <w:t xml:space="preserve"> </w:t>
      </w:r>
      <w:r w:rsidRPr="00A70165">
        <w:rPr>
          <w:rFonts w:cstheme="minorHAnsi"/>
          <w:szCs w:val="24"/>
        </w:rPr>
        <w:t>The suggested hackathon proposed in the multi-country contribution from Argentina, Brazil, Canada and the United States</w:t>
      </w:r>
      <w:r w:rsidR="00F91A72" w:rsidRPr="00A70165">
        <w:rPr>
          <w:rFonts w:cstheme="minorHAnsi"/>
          <w:szCs w:val="24"/>
        </w:rPr>
        <w:t xml:space="preserve"> and in the contribution from </w:t>
      </w:r>
      <w:r w:rsidRPr="00A70165">
        <w:rPr>
          <w:rFonts w:cstheme="minorHAnsi"/>
          <w:szCs w:val="24"/>
        </w:rPr>
        <w:t xml:space="preserve">CITEL, </w:t>
      </w:r>
      <w:r w:rsidR="00BF7C3C" w:rsidRPr="00A70165">
        <w:rPr>
          <w:rFonts w:cstheme="minorHAnsi"/>
          <w:szCs w:val="24"/>
        </w:rPr>
        <w:t>would provide a “hands-on” opportunity for y</w:t>
      </w:r>
      <w:r w:rsidR="00E533A9" w:rsidRPr="00A70165">
        <w:rPr>
          <w:rFonts w:cstheme="minorHAnsi"/>
          <w:szCs w:val="24"/>
        </w:rPr>
        <w:t xml:space="preserve">outh to gain digital skills </w:t>
      </w:r>
      <w:r w:rsidR="00131D33" w:rsidRPr="00A70165">
        <w:rPr>
          <w:rFonts w:cstheme="minorHAnsi"/>
          <w:szCs w:val="24"/>
        </w:rPr>
        <w:t xml:space="preserve">and </w:t>
      </w:r>
      <w:r w:rsidR="00BF7C3C" w:rsidRPr="00A70165">
        <w:rPr>
          <w:rFonts w:cstheme="minorHAnsi"/>
          <w:szCs w:val="24"/>
        </w:rPr>
        <w:t xml:space="preserve">help address a global or local development challenge. </w:t>
      </w:r>
      <w:r w:rsidR="00BF7C3C" w:rsidRPr="00A70165">
        <w:rPr>
          <w:rFonts w:cstheme="minorHAnsi"/>
          <w:b/>
          <w:szCs w:val="24"/>
        </w:rPr>
        <w:t xml:space="preserve">If it is agreed to hold a hackathon, AT&amp;T </w:t>
      </w:r>
      <w:r w:rsidR="004E7BB0" w:rsidRPr="00A70165">
        <w:rPr>
          <w:rFonts w:cstheme="minorHAnsi"/>
          <w:b/>
          <w:szCs w:val="24"/>
        </w:rPr>
        <w:t xml:space="preserve">said it </w:t>
      </w:r>
      <w:r w:rsidR="00BF7C3C" w:rsidRPr="00A70165">
        <w:rPr>
          <w:rFonts w:cstheme="minorHAnsi"/>
          <w:b/>
          <w:szCs w:val="24"/>
        </w:rPr>
        <w:t>look</w:t>
      </w:r>
      <w:r w:rsidR="004E7BB0" w:rsidRPr="00A70165">
        <w:rPr>
          <w:rFonts w:cstheme="minorHAnsi"/>
          <w:b/>
          <w:szCs w:val="24"/>
        </w:rPr>
        <w:t>ed</w:t>
      </w:r>
      <w:r w:rsidR="00BF7C3C" w:rsidRPr="00A70165">
        <w:rPr>
          <w:rFonts w:cstheme="minorHAnsi"/>
          <w:b/>
          <w:szCs w:val="24"/>
        </w:rPr>
        <w:t xml:space="preserve"> forward to helping support that effort.</w:t>
      </w:r>
    </w:p>
    <w:p w14:paraId="2C306B97" w14:textId="18EA0AA0" w:rsidR="00F26418" w:rsidRDefault="006B0E21" w:rsidP="00855752">
      <w:pPr>
        <w:spacing w:after="120"/>
        <w:rPr>
          <w:rFonts w:cstheme="minorHAnsi"/>
          <w:szCs w:val="24"/>
        </w:rPr>
      </w:pPr>
      <w:r w:rsidRPr="00A70165">
        <w:rPr>
          <w:rFonts w:cstheme="minorHAnsi"/>
          <w:szCs w:val="24"/>
          <w:lang w:val="en-US"/>
        </w:rPr>
        <w:t xml:space="preserve">The </w:t>
      </w:r>
      <w:r w:rsidR="00BF7C3C" w:rsidRPr="00A70165">
        <w:rPr>
          <w:rFonts w:cstheme="minorHAnsi"/>
          <w:szCs w:val="24"/>
          <w:lang w:val="en-US"/>
        </w:rPr>
        <w:t>Inter-American Telecommunication Commission (CITEL)</w:t>
      </w:r>
      <w:r w:rsidRPr="00A70165">
        <w:rPr>
          <w:rFonts w:cstheme="minorHAnsi"/>
          <w:szCs w:val="24"/>
        </w:rPr>
        <w:t xml:space="preserve"> contribution</w:t>
      </w:r>
      <w:r w:rsidR="00325BC1" w:rsidRPr="00A70165">
        <w:rPr>
          <w:rFonts w:cstheme="minorHAnsi"/>
          <w:szCs w:val="24"/>
        </w:rPr>
        <w:t xml:space="preserve"> put forward the same proposals as the multi-country contribution from Argentina, Brazil, Canada and the United States</w:t>
      </w:r>
      <w:r w:rsidR="00C8570E" w:rsidRPr="00A70165">
        <w:rPr>
          <w:rFonts w:cstheme="minorHAnsi"/>
          <w:szCs w:val="24"/>
        </w:rPr>
        <w:t xml:space="preserve"> submitted to the third meeting of </w:t>
      </w:r>
      <w:r w:rsidR="00C8570E" w:rsidRPr="00A70165">
        <w:rPr>
          <w:rFonts w:cstheme="minorHAnsi"/>
          <w:color w:val="444444"/>
          <w:szCs w:val="24"/>
          <w:shd w:val="clear" w:color="auto" w:fill="FFFFFF"/>
        </w:rPr>
        <w:t>TDAG-WG-Prep</w:t>
      </w:r>
      <w:r w:rsidR="00325BC1" w:rsidRPr="00A70165">
        <w:rPr>
          <w:rFonts w:cstheme="minorHAnsi"/>
          <w:szCs w:val="24"/>
        </w:rPr>
        <w:t>. Like these countries, CITEL stresse</w:t>
      </w:r>
      <w:r w:rsidR="004E7BB0" w:rsidRPr="00A70165">
        <w:rPr>
          <w:rFonts w:cstheme="minorHAnsi"/>
          <w:szCs w:val="24"/>
        </w:rPr>
        <w:t>d</w:t>
      </w:r>
      <w:r w:rsidR="00325BC1" w:rsidRPr="00A70165">
        <w:rPr>
          <w:rFonts w:cstheme="minorHAnsi"/>
          <w:szCs w:val="24"/>
        </w:rPr>
        <w:t xml:space="preserve"> </w:t>
      </w:r>
      <w:r w:rsidR="009C3A03" w:rsidRPr="00A70165">
        <w:rPr>
          <w:rFonts w:cstheme="minorHAnsi"/>
          <w:szCs w:val="24"/>
        </w:rPr>
        <w:t xml:space="preserve">that </w:t>
      </w:r>
      <w:r w:rsidR="00AE6A6C" w:rsidRPr="00A70165">
        <w:rPr>
          <w:rFonts w:cstheme="minorHAnsi"/>
          <w:b/>
          <w:szCs w:val="24"/>
        </w:rPr>
        <w:t xml:space="preserve">WTDC-21 </w:t>
      </w:r>
      <w:r w:rsidR="00325BC1" w:rsidRPr="00A70165">
        <w:rPr>
          <w:rFonts w:cstheme="minorHAnsi"/>
          <w:b/>
          <w:szCs w:val="24"/>
        </w:rPr>
        <w:t xml:space="preserve">should be </w:t>
      </w:r>
      <w:r w:rsidR="00AE6A6C" w:rsidRPr="00A70165">
        <w:rPr>
          <w:rFonts w:cstheme="minorHAnsi"/>
          <w:b/>
          <w:szCs w:val="24"/>
        </w:rPr>
        <w:t>an action-oriented environment</w:t>
      </w:r>
      <w:r w:rsidR="00AE6A6C" w:rsidRPr="00A70165">
        <w:rPr>
          <w:rFonts w:cstheme="minorHAnsi"/>
          <w:szCs w:val="24"/>
        </w:rPr>
        <w:t xml:space="preserve"> </w:t>
      </w:r>
      <w:r w:rsidR="00AE6A6C" w:rsidRPr="00A70165">
        <w:rPr>
          <w:rFonts w:cstheme="minorHAnsi"/>
          <w:b/>
          <w:szCs w:val="24"/>
        </w:rPr>
        <w:t>with interactive dialogues between stakeholders aimed at developing a shared understanding of existing barriers and advancing effective, sustainable and innovative solutions for the expansion of connectivity throughout the world</w:t>
      </w:r>
      <w:r w:rsidR="00AE6A6C" w:rsidRPr="00A70165">
        <w:rPr>
          <w:rFonts w:cstheme="minorHAnsi"/>
          <w:szCs w:val="24"/>
        </w:rPr>
        <w:t xml:space="preserve">, particularly in developing countries. To this end, the structure and content of WTDC-21 should be </w:t>
      </w:r>
      <w:r w:rsidR="00F91A72" w:rsidRPr="00A70165">
        <w:rPr>
          <w:rFonts w:cstheme="minorHAnsi"/>
          <w:szCs w:val="24"/>
        </w:rPr>
        <w:t xml:space="preserve">designed and developed in ways that </w:t>
      </w:r>
      <w:r w:rsidR="00AE6A6C" w:rsidRPr="00A70165">
        <w:rPr>
          <w:rFonts w:cstheme="minorHAnsi"/>
          <w:szCs w:val="24"/>
        </w:rPr>
        <w:t xml:space="preserve">address critical telecommunication/ICT development issues identified by the regions. </w:t>
      </w:r>
    </w:p>
    <w:p w14:paraId="4C54C61B" w14:textId="491CE16E" w:rsidR="00632758" w:rsidRPr="00632758" w:rsidRDefault="00632758" w:rsidP="00855752">
      <w:pPr>
        <w:pStyle w:val="ListParagraph"/>
        <w:keepNext/>
        <w:numPr>
          <w:ilvl w:val="0"/>
          <w:numId w:val="13"/>
        </w:numPr>
        <w:spacing w:after="120"/>
        <w:ind w:left="357" w:hanging="357"/>
        <w:contextualSpacing w:val="0"/>
        <w:rPr>
          <w:rFonts w:cstheme="minorHAnsi"/>
          <w:b/>
          <w:szCs w:val="24"/>
        </w:rPr>
      </w:pPr>
      <w:r w:rsidRPr="00632758">
        <w:rPr>
          <w:rFonts w:cstheme="minorHAnsi"/>
          <w:b/>
          <w:szCs w:val="24"/>
        </w:rPr>
        <w:t>The discussion</w:t>
      </w:r>
    </w:p>
    <w:p w14:paraId="3991C0F8" w14:textId="31D50EFA" w:rsidR="00632758" w:rsidRPr="00855752" w:rsidRDefault="00632758" w:rsidP="005F15FA">
      <w:pPr>
        <w:pStyle w:val="ListParagraph"/>
        <w:keepNext/>
        <w:numPr>
          <w:ilvl w:val="1"/>
          <w:numId w:val="13"/>
        </w:numPr>
        <w:spacing w:after="120"/>
        <w:ind w:left="431" w:hanging="431"/>
        <w:contextualSpacing w:val="0"/>
        <w:rPr>
          <w:rFonts w:cstheme="minorHAnsi"/>
          <w:b/>
          <w:szCs w:val="24"/>
        </w:rPr>
      </w:pPr>
      <w:r w:rsidRPr="00855752">
        <w:rPr>
          <w:rFonts w:cstheme="minorHAnsi"/>
          <w:b/>
          <w:szCs w:val="24"/>
        </w:rPr>
        <w:t>The theme</w:t>
      </w:r>
    </w:p>
    <w:p w14:paraId="015FBF96" w14:textId="7B850806" w:rsidR="00632758" w:rsidRPr="00532B57" w:rsidRDefault="00632758" w:rsidP="00855752">
      <w:pPr>
        <w:spacing w:after="120"/>
      </w:pPr>
      <w:r w:rsidRPr="00D11A00">
        <w:t xml:space="preserve">The theme is the first impression people will have of </w:t>
      </w:r>
      <w:r>
        <w:t xml:space="preserve">an </w:t>
      </w:r>
      <w:r w:rsidRPr="00D11A00">
        <w:t>event.</w:t>
      </w:r>
      <w:r>
        <w:t xml:space="preserve"> Participants agreed that the </w:t>
      </w:r>
      <w:r w:rsidRPr="00532B57">
        <w:t xml:space="preserve">theme for WTDC-21 </w:t>
      </w:r>
      <w:r>
        <w:t xml:space="preserve">must </w:t>
      </w:r>
      <w:r w:rsidRPr="00532B57">
        <w:t xml:space="preserve">be </w:t>
      </w:r>
      <w:r>
        <w:t xml:space="preserve">eye-catching </w:t>
      </w:r>
      <w:r w:rsidRPr="00532B57">
        <w:t>and easy to remember</w:t>
      </w:r>
      <w:r>
        <w:t>. It must also be</w:t>
      </w:r>
      <w:r w:rsidRPr="00D11A00">
        <w:t xml:space="preserve"> fresh, </w:t>
      </w:r>
      <w:r>
        <w:t xml:space="preserve">inclusive and </w:t>
      </w:r>
      <w:r w:rsidRPr="00D11A00">
        <w:t xml:space="preserve">appealing and </w:t>
      </w:r>
      <w:r>
        <w:t xml:space="preserve">aligned with the purpose and objectives of the conference. It must be </w:t>
      </w:r>
      <w:r w:rsidRPr="00532B57">
        <w:t xml:space="preserve">short so that </w:t>
      </w:r>
      <w:r>
        <w:t xml:space="preserve">it </w:t>
      </w:r>
      <w:r w:rsidRPr="00532B57">
        <w:t>translate</w:t>
      </w:r>
      <w:r>
        <w:t>s</w:t>
      </w:r>
      <w:r w:rsidRPr="00532B57">
        <w:t xml:space="preserve"> easily into the five other official languages of the Union and </w:t>
      </w:r>
      <w:r>
        <w:t xml:space="preserve">provides focus for the entire </w:t>
      </w:r>
      <w:r w:rsidRPr="00532B57">
        <w:t xml:space="preserve">conference. </w:t>
      </w:r>
    </w:p>
    <w:p w14:paraId="5145837B" w14:textId="4A2229EC" w:rsidR="00632758" w:rsidRPr="00532B57" w:rsidRDefault="00632758" w:rsidP="00855752">
      <w:pPr>
        <w:spacing w:after="120"/>
      </w:pPr>
      <w:r>
        <w:t>P</w:t>
      </w:r>
      <w:r w:rsidRPr="00532B57">
        <w:t xml:space="preserve">articipants acknowledged that many of the discussions, especially around COVID-19, have been about connecting the unconnected and using WTDC as an opportunity to truly close digital divides. </w:t>
      </w:r>
      <w:r>
        <w:t xml:space="preserve">They also </w:t>
      </w:r>
      <w:r w:rsidRPr="00532B57">
        <w:t xml:space="preserve">noted that the Director has made a compelling argument over many meetings about the </w:t>
      </w:r>
      <w:r w:rsidRPr="00532B57">
        <w:lastRenderedPageBreak/>
        <w:t>importance of connecting the unconnected</w:t>
      </w:r>
      <w:r w:rsidR="00084328">
        <w:t>, and so it would be desirable to retain this phraseology in the theme</w:t>
      </w:r>
      <w:r w:rsidRPr="00532B57">
        <w:t>.</w:t>
      </w:r>
      <w:r>
        <w:t xml:space="preserve"> </w:t>
      </w:r>
      <w:r w:rsidR="00084328">
        <w:t xml:space="preserve">On the other hand, the </w:t>
      </w:r>
      <w:r w:rsidRPr="009D3B63">
        <w:t xml:space="preserve">phrase “building back better” implies that everyone was connected already. It also gives the impression of rebuilding something that was not built properly. </w:t>
      </w:r>
      <w:proofErr w:type="gramStart"/>
      <w:r w:rsidRPr="009D3B63">
        <w:t>So</w:t>
      </w:r>
      <w:proofErr w:type="gramEnd"/>
      <w:r w:rsidRPr="009D3B63">
        <w:t xml:space="preserve"> this phraseology was dropped in the end.</w:t>
      </w:r>
    </w:p>
    <w:p w14:paraId="72D1E30B" w14:textId="487185DE" w:rsidR="00632758" w:rsidRPr="00532B57" w:rsidRDefault="00632758" w:rsidP="00855752">
      <w:pPr>
        <w:pStyle w:val="NormalWeb"/>
        <w:spacing w:before="120" w:beforeAutospacing="0" w:after="120" w:afterAutospacing="0"/>
        <w:rPr>
          <w:rFonts w:asciiTheme="minorHAnsi" w:hAnsiTheme="minorHAnsi"/>
        </w:rPr>
      </w:pPr>
      <w:r w:rsidRPr="00532B57">
        <w:rPr>
          <w:rFonts w:asciiTheme="minorHAnsi" w:hAnsiTheme="minorHAnsi" w:cs="Calibri"/>
        </w:rPr>
        <w:t>Part</w:t>
      </w:r>
      <w:r>
        <w:rPr>
          <w:rFonts w:asciiTheme="minorHAnsi" w:hAnsiTheme="minorHAnsi" w:cs="Calibri"/>
        </w:rPr>
        <w:t xml:space="preserve">icipants noted that discussions </w:t>
      </w:r>
      <w:r w:rsidRPr="00532B57">
        <w:rPr>
          <w:rFonts w:asciiTheme="minorHAnsi" w:hAnsiTheme="minorHAnsi" w:cs="Calibri"/>
        </w:rPr>
        <w:t>on themes</w:t>
      </w:r>
      <w:r>
        <w:rPr>
          <w:rFonts w:asciiTheme="minorHAnsi" w:hAnsiTheme="minorHAnsi" w:cs="Calibri"/>
        </w:rPr>
        <w:t xml:space="preserve"> </w:t>
      </w:r>
      <w:r w:rsidRPr="00532B57">
        <w:rPr>
          <w:rFonts w:asciiTheme="minorHAnsi" w:hAnsiTheme="minorHAnsi" w:cs="Calibri"/>
        </w:rPr>
        <w:t>are also ongoing in ITU-D Study Groups 1 and 2 to provide input to t</w:t>
      </w:r>
      <w:r w:rsidRPr="00532B57">
        <w:rPr>
          <w:rFonts w:asciiTheme="minorHAnsi" w:hAnsiTheme="minorHAnsi" w:cs="Arial"/>
          <w:shd w:val="clear" w:color="auto" w:fill="FFFFFF"/>
        </w:rPr>
        <w:t>he TDAG Working Group on WTDC Resolutions, Declaration and Thematic Priorities (TDAG-WG-RDTP). These study groups have suggested</w:t>
      </w:r>
      <w:r w:rsidRPr="00532B57">
        <w:rPr>
          <w:rFonts w:asciiTheme="minorHAnsi" w:hAnsiTheme="minorHAnsi" w:cs="Calibri"/>
        </w:rPr>
        <w:t xml:space="preserve"> </w:t>
      </w:r>
      <w:r w:rsidRPr="00532B57">
        <w:rPr>
          <w:rFonts w:asciiTheme="minorHAnsi" w:hAnsiTheme="minorHAnsi" w:cs="Calibri"/>
          <w:b/>
          <w:bCs/>
        </w:rPr>
        <w:t xml:space="preserve">Digital transformation for SDGs” </w:t>
      </w:r>
      <w:r w:rsidRPr="00532B57">
        <w:rPr>
          <w:rFonts w:asciiTheme="minorHAnsi" w:hAnsiTheme="minorHAnsi" w:cs="Calibri"/>
        </w:rPr>
        <w:t>or</w:t>
      </w:r>
      <w:r w:rsidRPr="00532B57">
        <w:rPr>
          <w:rFonts w:asciiTheme="minorHAnsi" w:hAnsiTheme="minorHAnsi" w:cs="Calibri"/>
          <w:b/>
          <w:bCs/>
        </w:rPr>
        <w:t xml:space="preserve"> “digital transformation for development” </w:t>
      </w:r>
      <w:r w:rsidRPr="00532B57">
        <w:rPr>
          <w:rFonts w:asciiTheme="minorHAnsi" w:hAnsiTheme="minorHAnsi" w:cs="Calibri"/>
          <w:bCs/>
        </w:rPr>
        <w:t>as an</w:t>
      </w:r>
      <w:r w:rsidRPr="00532B57">
        <w:rPr>
          <w:rFonts w:asciiTheme="minorHAnsi" w:hAnsiTheme="minorHAnsi" w:cs="Calibri"/>
        </w:rPr>
        <w:t xml:space="preserve"> initial proposal for the theme in the WTDC Declaration, underlining that this theme could foster a digital economy and provide digital information products and services to all people in emerging global situations such as the COVID-19 pandemic. </w:t>
      </w:r>
      <w:r>
        <w:rPr>
          <w:rFonts w:asciiTheme="minorHAnsi" w:hAnsiTheme="minorHAnsi" w:cs="Calibri"/>
        </w:rPr>
        <w:t>However, d</w:t>
      </w:r>
      <w:r w:rsidRPr="00532B57">
        <w:rPr>
          <w:rFonts w:asciiTheme="minorHAnsi" w:hAnsiTheme="minorHAnsi" w:cs="Calibri"/>
        </w:rPr>
        <w:t xml:space="preserve">ecisions on these preliminary proposals would </w:t>
      </w:r>
      <w:r>
        <w:rPr>
          <w:rFonts w:asciiTheme="minorHAnsi" w:hAnsiTheme="minorHAnsi" w:cs="Calibri"/>
        </w:rPr>
        <w:t xml:space="preserve">only </w:t>
      </w:r>
      <w:r w:rsidRPr="00532B57">
        <w:rPr>
          <w:rFonts w:asciiTheme="minorHAnsi" w:hAnsiTheme="minorHAnsi" w:cs="Calibri"/>
        </w:rPr>
        <w:t xml:space="preserve">be made during the </w:t>
      </w:r>
      <w:r>
        <w:rPr>
          <w:rFonts w:asciiTheme="minorHAnsi" w:hAnsiTheme="minorHAnsi" w:cs="Calibri"/>
        </w:rPr>
        <w:t xml:space="preserve">final </w:t>
      </w:r>
      <w:r w:rsidRPr="00532B57">
        <w:rPr>
          <w:rFonts w:asciiTheme="minorHAnsi" w:hAnsiTheme="minorHAnsi" w:cs="Calibri"/>
        </w:rPr>
        <w:t xml:space="preserve">meetings </w:t>
      </w:r>
      <w:r>
        <w:rPr>
          <w:rFonts w:asciiTheme="minorHAnsi" w:hAnsiTheme="minorHAnsi" w:cs="Calibri"/>
        </w:rPr>
        <w:t xml:space="preserve">of the </w:t>
      </w:r>
      <w:r w:rsidRPr="00532B57">
        <w:rPr>
          <w:rFonts w:asciiTheme="minorHAnsi" w:hAnsiTheme="minorHAnsi" w:cs="Calibri"/>
        </w:rPr>
        <w:t xml:space="preserve">2018-2021 study period. ITU-D Study Group 2 is scheduled to meet from 15 to 19 March 2021 and ITU-D Study Group 1, from 22 to 26 March 2021. </w:t>
      </w:r>
      <w:r w:rsidRPr="00532B57">
        <w:rPr>
          <w:rFonts w:asciiTheme="minorHAnsi" w:hAnsiTheme="minorHAnsi" w:cs="Arial"/>
          <w:shd w:val="clear" w:color="auto" w:fill="FFFFFF"/>
        </w:rPr>
        <w:t>TDAG-WG-RDTP</w:t>
      </w:r>
      <w:r w:rsidRPr="00532B57">
        <w:rPr>
          <w:rFonts w:asciiTheme="minorHAnsi" w:hAnsiTheme="minorHAnsi" w:cs="Calibri"/>
        </w:rPr>
        <w:t xml:space="preserve"> would </w:t>
      </w:r>
      <w:r>
        <w:rPr>
          <w:rFonts w:asciiTheme="minorHAnsi" w:hAnsiTheme="minorHAnsi" w:cs="Calibri"/>
        </w:rPr>
        <w:t xml:space="preserve">then </w:t>
      </w:r>
      <w:r w:rsidRPr="00532B57">
        <w:rPr>
          <w:rFonts w:asciiTheme="minorHAnsi" w:hAnsiTheme="minorHAnsi"/>
        </w:rPr>
        <w:t>have definitive proposals</w:t>
      </w:r>
      <w:r>
        <w:rPr>
          <w:rFonts w:asciiTheme="minorHAnsi" w:hAnsiTheme="minorHAnsi"/>
        </w:rPr>
        <w:t xml:space="preserve"> </w:t>
      </w:r>
      <w:r w:rsidRPr="00532B57">
        <w:rPr>
          <w:rFonts w:asciiTheme="minorHAnsi" w:hAnsiTheme="minorHAnsi"/>
        </w:rPr>
        <w:t xml:space="preserve">for the TDAG meeting scheduled for May 2021. </w:t>
      </w:r>
    </w:p>
    <w:p w14:paraId="79000EBC" w14:textId="6A4BC352" w:rsidR="00632758" w:rsidRPr="00532B57" w:rsidRDefault="00632758" w:rsidP="00855752">
      <w:pPr>
        <w:pStyle w:val="NormalWeb"/>
        <w:spacing w:before="120" w:beforeAutospacing="0" w:after="120" w:afterAutospacing="0"/>
        <w:rPr>
          <w:rFonts w:asciiTheme="minorHAnsi" w:hAnsiTheme="minorHAnsi"/>
        </w:rPr>
      </w:pPr>
      <w:r>
        <w:rPr>
          <w:rFonts w:asciiTheme="minorHAnsi" w:hAnsiTheme="minorHAnsi"/>
        </w:rPr>
        <w:t xml:space="preserve">Some participants commented that a </w:t>
      </w:r>
      <w:r w:rsidRPr="00532B57">
        <w:rPr>
          <w:rFonts w:asciiTheme="minorHAnsi" w:hAnsiTheme="minorHAnsi"/>
        </w:rPr>
        <w:t xml:space="preserve">theme of digital transformation for development </w:t>
      </w:r>
      <w:r>
        <w:rPr>
          <w:rFonts w:asciiTheme="minorHAnsi" w:hAnsiTheme="minorHAnsi"/>
        </w:rPr>
        <w:t xml:space="preserve">was </w:t>
      </w:r>
      <w:r w:rsidRPr="00532B57">
        <w:rPr>
          <w:rFonts w:asciiTheme="minorHAnsi" w:hAnsiTheme="minorHAnsi"/>
        </w:rPr>
        <w:t xml:space="preserve">too general and would not really grab people’s attention because it does not </w:t>
      </w:r>
      <w:r w:rsidR="00084328">
        <w:rPr>
          <w:rFonts w:asciiTheme="minorHAnsi" w:hAnsiTheme="minorHAnsi"/>
        </w:rPr>
        <w:t xml:space="preserve">convey </w:t>
      </w:r>
      <w:r w:rsidRPr="00532B57">
        <w:rPr>
          <w:rFonts w:asciiTheme="minorHAnsi" w:hAnsiTheme="minorHAnsi"/>
        </w:rPr>
        <w:t xml:space="preserve">a clear sense of the conference purpose. </w:t>
      </w:r>
      <w:r>
        <w:rPr>
          <w:rFonts w:asciiTheme="minorHAnsi" w:hAnsiTheme="minorHAnsi"/>
        </w:rPr>
        <w:t>It was stressed that a</w:t>
      </w:r>
      <w:r w:rsidRPr="00532B57">
        <w:rPr>
          <w:rFonts w:asciiTheme="minorHAnsi" w:hAnsiTheme="minorHAnsi"/>
        </w:rPr>
        <w:t xml:space="preserve"> theme must resonate well </w:t>
      </w:r>
      <w:r>
        <w:rPr>
          <w:rFonts w:asciiTheme="minorHAnsi" w:hAnsiTheme="minorHAnsi"/>
        </w:rPr>
        <w:t xml:space="preserve">with the </w:t>
      </w:r>
      <w:r w:rsidRPr="00532B57">
        <w:rPr>
          <w:rFonts w:asciiTheme="minorHAnsi" w:hAnsiTheme="minorHAnsi"/>
        </w:rPr>
        <w:t xml:space="preserve">outside world. For example, </w:t>
      </w:r>
      <w:r>
        <w:rPr>
          <w:rFonts w:asciiTheme="minorHAnsi" w:hAnsiTheme="minorHAnsi"/>
        </w:rPr>
        <w:t xml:space="preserve">someone from </w:t>
      </w:r>
      <w:r w:rsidRPr="00532B57">
        <w:rPr>
          <w:rFonts w:asciiTheme="minorHAnsi" w:hAnsiTheme="minorHAnsi"/>
        </w:rPr>
        <w:t>a development agency or a development bank</w:t>
      </w:r>
      <w:r w:rsidRPr="00B06A28">
        <w:rPr>
          <w:rFonts w:asciiTheme="minorHAnsi" w:hAnsiTheme="minorHAnsi"/>
        </w:rPr>
        <w:t xml:space="preserve"> </w:t>
      </w:r>
      <w:r w:rsidRPr="00532B57">
        <w:rPr>
          <w:rFonts w:asciiTheme="minorHAnsi" w:hAnsiTheme="minorHAnsi"/>
        </w:rPr>
        <w:t>whose work is related to digital divide</w:t>
      </w:r>
      <w:r>
        <w:rPr>
          <w:rFonts w:asciiTheme="minorHAnsi" w:hAnsiTheme="minorHAnsi"/>
        </w:rPr>
        <w:t>s</w:t>
      </w:r>
      <w:r w:rsidRPr="00532B57">
        <w:rPr>
          <w:rFonts w:asciiTheme="minorHAnsi" w:hAnsiTheme="minorHAnsi"/>
        </w:rPr>
        <w:t xml:space="preserve"> would immediately see the relevance of </w:t>
      </w:r>
      <w:r>
        <w:rPr>
          <w:rFonts w:asciiTheme="minorHAnsi" w:hAnsiTheme="minorHAnsi"/>
        </w:rPr>
        <w:t xml:space="preserve">a </w:t>
      </w:r>
      <w:r w:rsidRPr="00532B57">
        <w:rPr>
          <w:rFonts w:asciiTheme="minorHAnsi" w:hAnsiTheme="minorHAnsi"/>
        </w:rPr>
        <w:t xml:space="preserve">theme </w:t>
      </w:r>
      <w:r>
        <w:rPr>
          <w:rFonts w:asciiTheme="minorHAnsi" w:hAnsiTheme="minorHAnsi"/>
        </w:rPr>
        <w:t xml:space="preserve">on bridging digital divides </w:t>
      </w:r>
      <w:r w:rsidRPr="00532B57">
        <w:rPr>
          <w:rFonts w:asciiTheme="minorHAnsi" w:hAnsiTheme="minorHAnsi"/>
        </w:rPr>
        <w:t xml:space="preserve">to </w:t>
      </w:r>
      <w:r>
        <w:rPr>
          <w:rFonts w:asciiTheme="minorHAnsi" w:hAnsiTheme="minorHAnsi"/>
        </w:rPr>
        <w:t xml:space="preserve">his or her </w:t>
      </w:r>
      <w:r w:rsidRPr="00532B57">
        <w:rPr>
          <w:rFonts w:asciiTheme="minorHAnsi" w:hAnsiTheme="minorHAnsi"/>
        </w:rPr>
        <w:t>work</w:t>
      </w:r>
      <w:r>
        <w:rPr>
          <w:rFonts w:asciiTheme="minorHAnsi" w:hAnsiTheme="minorHAnsi"/>
        </w:rPr>
        <w:t>.</w:t>
      </w:r>
      <w:r w:rsidRPr="00532B57">
        <w:rPr>
          <w:rFonts w:asciiTheme="minorHAnsi" w:hAnsiTheme="minorHAnsi"/>
        </w:rPr>
        <w:t xml:space="preserve"> </w:t>
      </w:r>
      <w:proofErr w:type="gramStart"/>
      <w:r w:rsidRPr="00532B57">
        <w:rPr>
          <w:rFonts w:asciiTheme="minorHAnsi" w:hAnsiTheme="minorHAnsi"/>
        </w:rPr>
        <w:t>So</w:t>
      </w:r>
      <w:proofErr w:type="gramEnd"/>
      <w:r w:rsidRPr="00532B57">
        <w:rPr>
          <w:rFonts w:asciiTheme="minorHAnsi" w:hAnsiTheme="minorHAnsi"/>
        </w:rPr>
        <w:t xml:space="preserve"> the theme should be reasonably specific</w:t>
      </w:r>
      <w:r w:rsidR="00084328">
        <w:rPr>
          <w:rFonts w:asciiTheme="minorHAnsi" w:hAnsiTheme="minorHAnsi"/>
        </w:rPr>
        <w:t xml:space="preserve"> and its focus </w:t>
      </w:r>
      <w:r w:rsidRPr="00532B57">
        <w:rPr>
          <w:rFonts w:asciiTheme="minorHAnsi" w:hAnsiTheme="minorHAnsi"/>
        </w:rPr>
        <w:t>should be purely development in order not to mislead the industry</w:t>
      </w:r>
      <w:r w:rsidR="00084328">
        <w:rPr>
          <w:rFonts w:asciiTheme="minorHAnsi" w:hAnsiTheme="minorHAnsi"/>
        </w:rPr>
        <w:t xml:space="preserve"> and other stakeholders</w:t>
      </w:r>
      <w:r w:rsidRPr="00532B57">
        <w:rPr>
          <w:rFonts w:asciiTheme="minorHAnsi" w:hAnsiTheme="minorHAnsi"/>
        </w:rPr>
        <w:t>.</w:t>
      </w:r>
    </w:p>
    <w:p w14:paraId="12423850" w14:textId="10104D0B" w:rsidR="00632758" w:rsidRPr="00655E53" w:rsidRDefault="00632758" w:rsidP="00655E53">
      <w:pPr>
        <w:pStyle w:val="NormalWeb"/>
        <w:spacing w:before="120" w:beforeAutospacing="0" w:after="120" w:afterAutospacing="0"/>
        <w:rPr>
          <w:rFonts w:asciiTheme="minorHAnsi" w:hAnsiTheme="minorHAnsi" w:cs="Calibri"/>
        </w:rPr>
      </w:pPr>
      <w:r w:rsidRPr="00655E53">
        <w:rPr>
          <w:rFonts w:asciiTheme="minorHAnsi" w:hAnsiTheme="minorHAnsi" w:cs="Calibri"/>
          <w:b/>
          <w:bCs/>
        </w:rPr>
        <w:t>“Connecting the unconnected to achieve sustainable development”,</w:t>
      </w:r>
      <w:r w:rsidRPr="00655E53">
        <w:rPr>
          <w:rFonts w:asciiTheme="minorHAnsi" w:hAnsiTheme="minorHAnsi" w:cs="Calibri"/>
        </w:rPr>
        <w:t xml:space="preserve"> was in the end, seen as the theme, with the caveat that TDAG may wish to revisit </w:t>
      </w:r>
      <w:r w:rsidR="00084328" w:rsidRPr="00655E53">
        <w:rPr>
          <w:rFonts w:asciiTheme="minorHAnsi" w:hAnsiTheme="minorHAnsi" w:cs="Calibri"/>
        </w:rPr>
        <w:t xml:space="preserve">it </w:t>
      </w:r>
      <w:r w:rsidRPr="00655E53">
        <w:rPr>
          <w:rFonts w:asciiTheme="minorHAnsi" w:hAnsiTheme="minorHAnsi" w:cs="Calibri"/>
        </w:rPr>
        <w:t>in the light of developments in TDAG-WG-RDTP.  Meanwhile, TDAG-WG-Prep would send a liaison statement to TDAG-WG-RDTP in order to coordinate the themes, because even if TDAG-WG-Prep has the mandate to determine the theme(s) of the conference, harmonization between the two groups is as important as it is necessary.</w:t>
      </w:r>
    </w:p>
    <w:p w14:paraId="11770BD7" w14:textId="64E143C4" w:rsidR="00632758" w:rsidRPr="00655E53" w:rsidRDefault="00632758" w:rsidP="00655E53">
      <w:pPr>
        <w:pStyle w:val="NormalWeb"/>
        <w:spacing w:before="120" w:beforeAutospacing="0" w:after="120" w:afterAutospacing="0"/>
        <w:rPr>
          <w:rFonts w:asciiTheme="minorHAnsi" w:hAnsiTheme="minorHAnsi" w:cs="Calibri"/>
        </w:rPr>
      </w:pPr>
      <w:r w:rsidRPr="00655E53">
        <w:rPr>
          <w:rFonts w:asciiTheme="minorHAnsi" w:hAnsiTheme="minorHAnsi" w:cs="Calibri"/>
        </w:rPr>
        <w:t xml:space="preserve">One Member State proposed “ICT resilience for a better future” as a possible option for consideration, underlining that while connecting the unconnected is one of the priority themes, it was an old </w:t>
      </w:r>
      <w:r w:rsidR="002D3C16" w:rsidRPr="00655E53">
        <w:rPr>
          <w:rFonts w:asciiTheme="minorHAnsi" w:hAnsiTheme="minorHAnsi" w:cs="Calibri"/>
        </w:rPr>
        <w:t xml:space="preserve">(yet new) </w:t>
      </w:r>
      <w:r w:rsidRPr="00655E53">
        <w:rPr>
          <w:rFonts w:asciiTheme="minorHAnsi" w:hAnsiTheme="minorHAnsi" w:cs="Calibri"/>
        </w:rPr>
        <w:t xml:space="preserve">objective. A theme for WTDC-21 should reflect the current challenges such as the fight against </w:t>
      </w:r>
      <w:r w:rsidR="002D3C16" w:rsidRPr="00655E53">
        <w:rPr>
          <w:rFonts w:asciiTheme="minorHAnsi" w:hAnsiTheme="minorHAnsi" w:cs="Calibri"/>
        </w:rPr>
        <w:t>the C</w:t>
      </w:r>
      <w:r w:rsidRPr="00655E53">
        <w:rPr>
          <w:rFonts w:asciiTheme="minorHAnsi" w:hAnsiTheme="minorHAnsi" w:cs="Calibri"/>
        </w:rPr>
        <w:t>oronavirus and the role of ICTs in this fight. WTDC-21 should as much as possible mirror the global challenges of our times to attract all stakeholders, and the theme should also show innovation.</w:t>
      </w:r>
    </w:p>
    <w:p w14:paraId="71A58ADB" w14:textId="48003C61" w:rsidR="00632758" w:rsidRPr="00632758" w:rsidRDefault="00632758" w:rsidP="005F15FA">
      <w:pPr>
        <w:pStyle w:val="ListParagraph"/>
        <w:keepNext/>
        <w:numPr>
          <w:ilvl w:val="1"/>
          <w:numId w:val="13"/>
        </w:numPr>
        <w:spacing w:after="120"/>
        <w:ind w:left="431" w:hanging="431"/>
        <w:contextualSpacing w:val="0"/>
        <w:rPr>
          <w:rFonts w:cstheme="minorHAnsi"/>
          <w:b/>
          <w:szCs w:val="24"/>
        </w:rPr>
      </w:pPr>
      <w:r w:rsidRPr="00632758">
        <w:rPr>
          <w:rFonts w:cstheme="minorHAnsi"/>
          <w:b/>
          <w:szCs w:val="24"/>
        </w:rPr>
        <w:t xml:space="preserve">Interregional coordination meetings (IRMs) </w:t>
      </w:r>
    </w:p>
    <w:p w14:paraId="51A98D54" w14:textId="70CA8E2E" w:rsidR="00632758" w:rsidRPr="001A3AD9" w:rsidRDefault="00632758" w:rsidP="00855752">
      <w:pPr>
        <w:spacing w:after="120"/>
        <w:rPr>
          <w:rFonts w:cstheme="minorHAnsi"/>
          <w:szCs w:val="24"/>
        </w:rPr>
      </w:pPr>
      <w:r>
        <w:rPr>
          <w:rFonts w:cstheme="minorHAnsi"/>
          <w:szCs w:val="24"/>
        </w:rPr>
        <w:t>All agree that it</w:t>
      </w:r>
      <w:r w:rsidRPr="00437FA4">
        <w:rPr>
          <w:rFonts w:cstheme="minorHAnsi"/>
          <w:szCs w:val="24"/>
        </w:rPr>
        <w:t xml:space="preserve"> is desirable to introduce interregional </w:t>
      </w:r>
      <w:r>
        <w:rPr>
          <w:rFonts w:cstheme="minorHAnsi"/>
          <w:szCs w:val="24"/>
        </w:rPr>
        <w:t xml:space="preserve">coordination </w:t>
      </w:r>
      <w:r w:rsidRPr="00437FA4">
        <w:rPr>
          <w:rFonts w:cstheme="minorHAnsi"/>
          <w:szCs w:val="24"/>
        </w:rPr>
        <w:t xml:space="preserve">meetings </w:t>
      </w:r>
      <w:r>
        <w:rPr>
          <w:rFonts w:cstheme="minorHAnsi"/>
          <w:szCs w:val="24"/>
        </w:rPr>
        <w:t xml:space="preserve">(IRMs) </w:t>
      </w:r>
      <w:r w:rsidRPr="00437FA4">
        <w:rPr>
          <w:rFonts w:cstheme="minorHAnsi"/>
          <w:szCs w:val="24"/>
        </w:rPr>
        <w:t>to improve the preparatory process to deliver real results and foster consensus and agreement on certain issues ahead of WTDC, but that these meetings must absolutely have a clearly defined format and clear agendas.</w:t>
      </w:r>
      <w:r>
        <w:rPr>
          <w:rFonts w:cstheme="minorHAnsi"/>
          <w:szCs w:val="24"/>
        </w:rPr>
        <w:t xml:space="preserve"> </w:t>
      </w:r>
      <w:r w:rsidRPr="00ED43F3">
        <w:rPr>
          <w:rFonts w:cstheme="minorHAnsi"/>
          <w:shd w:val="clear" w:color="auto" w:fill="FFFFFF"/>
        </w:rPr>
        <w:t>TDAG-WG-Prep</w:t>
      </w:r>
      <w:r>
        <w:rPr>
          <w:rFonts w:cstheme="minorHAnsi"/>
          <w:szCs w:val="24"/>
        </w:rPr>
        <w:t xml:space="preserve"> agreed on recommendations on these two points.</w:t>
      </w:r>
      <w:r w:rsidRPr="00437FA4">
        <w:rPr>
          <w:rFonts w:cstheme="minorHAnsi"/>
          <w:szCs w:val="24"/>
        </w:rPr>
        <w:t xml:space="preserve"> </w:t>
      </w:r>
      <w:r>
        <w:rPr>
          <w:rFonts w:cstheme="minorHAnsi"/>
          <w:szCs w:val="24"/>
        </w:rPr>
        <w:t>However, a question mark still hangs over whether</w:t>
      </w:r>
      <w:r w:rsidRPr="001A3AD9">
        <w:rPr>
          <w:rFonts w:cstheme="minorHAnsi"/>
          <w:b/>
          <w:bCs/>
          <w:szCs w:val="24"/>
        </w:rPr>
        <w:t xml:space="preserve"> </w:t>
      </w:r>
      <w:r w:rsidRPr="001A3AD9">
        <w:rPr>
          <w:rFonts w:cstheme="minorHAnsi"/>
          <w:bCs/>
          <w:szCs w:val="24"/>
        </w:rPr>
        <w:t>attendance in IRMs should be limited, and if so, how many representatives should attend from each region</w:t>
      </w:r>
      <w:r>
        <w:rPr>
          <w:rFonts w:cstheme="minorHAnsi"/>
          <w:bCs/>
          <w:szCs w:val="24"/>
        </w:rPr>
        <w:t xml:space="preserve">, as </w:t>
      </w:r>
      <w:r>
        <w:rPr>
          <w:rFonts w:cstheme="minorHAnsi"/>
          <w:szCs w:val="24"/>
        </w:rPr>
        <w:t xml:space="preserve">views remain divided on this point. </w:t>
      </w:r>
    </w:p>
    <w:p w14:paraId="709FAE99" w14:textId="77777777" w:rsidR="00632758" w:rsidRDefault="00632758" w:rsidP="00855752">
      <w:pPr>
        <w:spacing w:after="120"/>
      </w:pPr>
      <w:r>
        <w:t xml:space="preserve">Most participants expressed the view that </w:t>
      </w:r>
      <w:r w:rsidRPr="00292377">
        <w:t>IRMs should be open to all interested ITU</w:t>
      </w:r>
      <w:r w:rsidRPr="00292377">
        <w:noBreakHyphen/>
        <w:t>D</w:t>
      </w:r>
      <w:r>
        <w:t xml:space="preserve"> members because this would </w:t>
      </w:r>
      <w:r w:rsidRPr="00292377">
        <w:t>promote transpare</w:t>
      </w:r>
      <w:r>
        <w:t xml:space="preserve">ncy, inclusiveness </w:t>
      </w:r>
      <w:r w:rsidRPr="00292377">
        <w:t xml:space="preserve">and </w:t>
      </w:r>
      <w:r>
        <w:t xml:space="preserve">a </w:t>
      </w:r>
      <w:r w:rsidRPr="00292377">
        <w:t xml:space="preserve">full </w:t>
      </w:r>
      <w:r>
        <w:t>exchange of v</w:t>
      </w:r>
      <w:r w:rsidRPr="00292377">
        <w:t>iews</w:t>
      </w:r>
      <w:r>
        <w:t>, sending a clear signal of an open WTDC.</w:t>
      </w:r>
    </w:p>
    <w:p w14:paraId="38FA10AE" w14:textId="77777777" w:rsidR="00632758" w:rsidRPr="000A656C" w:rsidRDefault="00632758" w:rsidP="00855752">
      <w:pPr>
        <w:spacing w:after="120"/>
      </w:pPr>
      <w:r w:rsidRPr="000A656C">
        <w:lastRenderedPageBreak/>
        <w:t xml:space="preserve">Others expressed a similar view, but suggested that in practical terms, if an IRM attracts a big number of participants (500, for example), there should be a mechanism to ensure an effective and efficient meeting and that one way would be to limit the number of speakers. An example was given of the virtual consultation of councillors, where the number of speakers that can take the floor is limited to three per delegation. </w:t>
      </w:r>
    </w:p>
    <w:p w14:paraId="6C5EA8AB" w14:textId="725831FC" w:rsidR="00632758" w:rsidRPr="000A656C" w:rsidRDefault="00632758" w:rsidP="00855752">
      <w:pPr>
        <w:spacing w:after="120"/>
      </w:pPr>
      <w:r w:rsidRPr="000A656C">
        <w:t xml:space="preserve">Another view was that IRMs </w:t>
      </w:r>
      <w:r w:rsidR="002D3C16">
        <w:t xml:space="preserve">should be </w:t>
      </w:r>
      <w:r w:rsidRPr="000A656C">
        <w:t xml:space="preserve">the place where the opinions of each regional telecommunication organization (RTO) are heard. Each RTO represents what it has developed, the issues on which it has agreed and the challenges. In this sense, it was argued that only representatives of RTOs </w:t>
      </w:r>
      <w:r>
        <w:t xml:space="preserve">should </w:t>
      </w:r>
      <w:r w:rsidRPr="000A656C">
        <w:t xml:space="preserve">take the floor in IRMs to reflect the views of the organizations that nominated them. Proponents of this proposal highlight that if the idea is to have a broader meeting, </w:t>
      </w:r>
      <w:r>
        <w:t>with open discussion,</w:t>
      </w:r>
      <w:r w:rsidRPr="000A656C">
        <w:t xml:space="preserve"> then the format should be </w:t>
      </w:r>
      <w:r w:rsidR="002D3C16">
        <w:t xml:space="preserve">that of </w:t>
      </w:r>
      <w:r w:rsidRPr="000A656C">
        <w:t xml:space="preserve">a global development forum and not an IRM. </w:t>
      </w:r>
    </w:p>
    <w:p w14:paraId="06799093" w14:textId="5A5161CD" w:rsidR="00632758" w:rsidRDefault="00632758" w:rsidP="00855752">
      <w:pPr>
        <w:spacing w:after="120"/>
        <w:ind w:right="1397"/>
      </w:pPr>
      <w:r w:rsidRPr="000A656C">
        <w:t>As a way forward, RTOs</w:t>
      </w:r>
      <w:r>
        <w:t xml:space="preserve"> are encouraged to </w:t>
      </w:r>
      <w:r w:rsidR="00A36D0A">
        <w:t xml:space="preserve">consult </w:t>
      </w:r>
      <w:r w:rsidRPr="000A656C">
        <w:t>among themselves</w:t>
      </w:r>
      <w:r>
        <w:t xml:space="preserve"> and propose</w:t>
      </w:r>
      <w:r w:rsidR="002D3C16">
        <w:t xml:space="preserve"> to TDAG</w:t>
      </w:r>
      <w:r>
        <w:t xml:space="preserve"> </w:t>
      </w:r>
      <w:r w:rsidR="00A36D0A">
        <w:t>their views on the question of attendance in IRMs</w:t>
      </w:r>
      <w:r w:rsidRPr="000A656C">
        <w:t xml:space="preserve">. </w:t>
      </w:r>
      <w:r w:rsidR="0083535D">
        <w:t>A clear decision is needed on this question.</w:t>
      </w:r>
    </w:p>
    <w:p w14:paraId="6D8ABD2F" w14:textId="74CA44EE" w:rsidR="00F26418" w:rsidRPr="000F65D7" w:rsidRDefault="00217AA0" w:rsidP="00855752">
      <w:pPr>
        <w:pStyle w:val="ListParagraph"/>
        <w:keepNext/>
        <w:numPr>
          <w:ilvl w:val="0"/>
          <w:numId w:val="13"/>
        </w:numPr>
        <w:spacing w:after="120"/>
        <w:ind w:left="357" w:hanging="357"/>
        <w:contextualSpacing w:val="0"/>
        <w:rPr>
          <w:rFonts w:cstheme="minorHAnsi"/>
          <w:b/>
          <w:szCs w:val="24"/>
        </w:rPr>
      </w:pPr>
      <w:r w:rsidRPr="000F65D7">
        <w:rPr>
          <w:rFonts w:cstheme="minorHAnsi"/>
          <w:b/>
          <w:szCs w:val="24"/>
        </w:rPr>
        <w:t>Recommendations on the p</w:t>
      </w:r>
      <w:r w:rsidR="00F26418" w:rsidRPr="000F65D7">
        <w:rPr>
          <w:rFonts w:cstheme="minorHAnsi"/>
          <w:b/>
          <w:szCs w:val="24"/>
        </w:rPr>
        <w:t>reparatory process</w:t>
      </w:r>
      <w:r w:rsidRPr="000F65D7">
        <w:rPr>
          <w:rFonts w:cstheme="minorHAnsi"/>
          <w:b/>
          <w:szCs w:val="24"/>
        </w:rPr>
        <w:t xml:space="preserve"> for WTDC</w:t>
      </w:r>
    </w:p>
    <w:p w14:paraId="6C321B09" w14:textId="69EBE671" w:rsidR="003167CA" w:rsidRPr="00B36BE7" w:rsidRDefault="00B36BE7" w:rsidP="00855752">
      <w:pPr>
        <w:spacing w:after="120"/>
        <w:rPr>
          <w:rFonts w:cstheme="minorHAnsi"/>
          <w:szCs w:val="24"/>
        </w:rPr>
      </w:pPr>
      <w:r w:rsidRPr="00B36BE7">
        <w:rPr>
          <w:rFonts w:cstheme="minorHAnsi"/>
          <w:szCs w:val="24"/>
        </w:rPr>
        <w:t xml:space="preserve">Kindly </w:t>
      </w:r>
      <w:r>
        <w:rPr>
          <w:rFonts w:cstheme="minorHAnsi"/>
          <w:szCs w:val="24"/>
        </w:rPr>
        <w:t xml:space="preserve">refer to the report the group submitted to TDAG-20/3: document </w:t>
      </w:r>
      <w:hyperlink r:id="rId9" w:history="1">
        <w:r w:rsidRPr="007167EB">
          <w:rPr>
            <w:rStyle w:val="Hyperlink"/>
            <w:rFonts w:cstheme="minorHAnsi"/>
            <w:szCs w:val="24"/>
          </w:rPr>
          <w:t>TDAG-20/3/</w:t>
        </w:r>
        <w:r w:rsidR="007167EB" w:rsidRPr="007167EB">
          <w:rPr>
            <w:rStyle w:val="Hyperlink"/>
            <w:rFonts w:cstheme="minorHAnsi"/>
            <w:szCs w:val="24"/>
          </w:rPr>
          <w:t>5</w:t>
        </w:r>
      </w:hyperlink>
      <w:r w:rsidR="007167EB">
        <w:rPr>
          <w:rFonts w:cstheme="minorHAnsi"/>
          <w:szCs w:val="24"/>
        </w:rPr>
        <w:t>.</w:t>
      </w:r>
    </w:p>
    <w:p w14:paraId="0BBFD047" w14:textId="548F2156" w:rsidR="00B45556" w:rsidRPr="00855752" w:rsidRDefault="00033DD4" w:rsidP="00855752">
      <w:pPr>
        <w:pStyle w:val="ListParagraph"/>
        <w:keepNext/>
        <w:numPr>
          <w:ilvl w:val="0"/>
          <w:numId w:val="13"/>
        </w:numPr>
        <w:spacing w:after="120"/>
        <w:ind w:left="357" w:hanging="357"/>
        <w:contextualSpacing w:val="0"/>
        <w:rPr>
          <w:rFonts w:cstheme="minorHAnsi"/>
          <w:b/>
          <w:szCs w:val="24"/>
        </w:rPr>
      </w:pPr>
      <w:r w:rsidRPr="000F65D7">
        <w:rPr>
          <w:rFonts w:cstheme="minorHAnsi"/>
          <w:b/>
          <w:szCs w:val="24"/>
        </w:rPr>
        <w:t>Recommendations on c</w:t>
      </w:r>
      <w:r w:rsidR="00B45556" w:rsidRPr="000F65D7">
        <w:rPr>
          <w:rFonts w:cstheme="minorHAnsi"/>
          <w:b/>
          <w:szCs w:val="24"/>
        </w:rPr>
        <w:t>onference arrangements, including content, thematic tracks, themes and stakeholders</w:t>
      </w:r>
    </w:p>
    <w:p w14:paraId="575DAD40" w14:textId="05E6BCF9" w:rsidR="00B45556" w:rsidRPr="00A70165" w:rsidRDefault="007167EB" w:rsidP="00855752">
      <w:pPr>
        <w:spacing w:after="120"/>
        <w:rPr>
          <w:rFonts w:cstheme="minorHAnsi"/>
          <w:szCs w:val="24"/>
        </w:rPr>
      </w:pPr>
      <w:r w:rsidRPr="00B36BE7">
        <w:rPr>
          <w:rFonts w:cstheme="minorHAnsi"/>
          <w:szCs w:val="24"/>
        </w:rPr>
        <w:t xml:space="preserve">Kindly </w:t>
      </w:r>
      <w:r>
        <w:rPr>
          <w:rFonts w:cstheme="minorHAnsi"/>
          <w:szCs w:val="24"/>
        </w:rPr>
        <w:t xml:space="preserve">refer to the report the group submitted to TDAG-20/3: document </w:t>
      </w:r>
      <w:hyperlink r:id="rId10" w:history="1">
        <w:r w:rsidRPr="007167EB">
          <w:rPr>
            <w:rStyle w:val="Hyperlink"/>
            <w:rFonts w:cstheme="minorHAnsi"/>
            <w:szCs w:val="24"/>
          </w:rPr>
          <w:t>TDAG-20/3/5</w:t>
        </w:r>
      </w:hyperlink>
      <w:r>
        <w:rPr>
          <w:rFonts w:cstheme="minorHAnsi"/>
          <w:szCs w:val="24"/>
        </w:rPr>
        <w:t>.</w:t>
      </w:r>
    </w:p>
    <w:p w14:paraId="3FCC4E96" w14:textId="5B4AEB81" w:rsidR="00B45556" w:rsidRPr="00A70165" w:rsidRDefault="005A1E61" w:rsidP="00855752">
      <w:pPr>
        <w:pStyle w:val="ListParagraph"/>
        <w:keepNext/>
        <w:numPr>
          <w:ilvl w:val="0"/>
          <w:numId w:val="13"/>
        </w:numPr>
        <w:spacing w:after="120"/>
        <w:ind w:left="357" w:hanging="357"/>
        <w:contextualSpacing w:val="0"/>
        <w:rPr>
          <w:rFonts w:cstheme="minorHAnsi"/>
          <w:b/>
          <w:szCs w:val="24"/>
        </w:rPr>
      </w:pPr>
      <w:r w:rsidRPr="00A70165">
        <w:rPr>
          <w:rFonts w:cstheme="minorHAnsi"/>
          <w:b/>
          <w:szCs w:val="24"/>
        </w:rPr>
        <w:t>Conclusion</w:t>
      </w:r>
    </w:p>
    <w:p w14:paraId="1BEF9E45" w14:textId="7FEC5972" w:rsidR="00B45556" w:rsidRPr="00A70165" w:rsidRDefault="00033DD4" w:rsidP="00855752">
      <w:pPr>
        <w:spacing w:after="120"/>
        <w:rPr>
          <w:rFonts w:cstheme="minorHAnsi"/>
          <w:szCs w:val="24"/>
        </w:rPr>
      </w:pPr>
      <w:r w:rsidRPr="00A70165">
        <w:rPr>
          <w:rFonts w:cstheme="minorHAnsi"/>
          <w:szCs w:val="24"/>
          <w:shd w:val="clear" w:color="auto" w:fill="FFFFFF"/>
        </w:rPr>
        <w:t>TDAG-WG-Prep</w:t>
      </w:r>
      <w:r w:rsidRPr="00A70165">
        <w:rPr>
          <w:rFonts w:cstheme="minorHAnsi"/>
          <w:bCs/>
          <w:szCs w:val="24"/>
        </w:rPr>
        <w:t xml:space="preserve"> </w:t>
      </w:r>
      <w:r>
        <w:rPr>
          <w:rFonts w:cstheme="minorHAnsi"/>
          <w:bCs/>
          <w:szCs w:val="24"/>
        </w:rPr>
        <w:t xml:space="preserve">will submit its final report, along with these recommendations to the TDAG meeting of 23 November </w:t>
      </w:r>
      <w:r w:rsidR="008210B9">
        <w:rPr>
          <w:rFonts w:cstheme="minorHAnsi"/>
          <w:bCs/>
          <w:szCs w:val="24"/>
        </w:rPr>
        <w:t xml:space="preserve">2020 </w:t>
      </w:r>
      <w:r>
        <w:rPr>
          <w:rFonts w:cstheme="minorHAnsi"/>
          <w:bCs/>
          <w:szCs w:val="24"/>
        </w:rPr>
        <w:t xml:space="preserve">for </w:t>
      </w:r>
      <w:r w:rsidR="00B45556" w:rsidRPr="00A70165">
        <w:rPr>
          <w:rFonts w:cstheme="minorHAnsi"/>
          <w:bCs/>
          <w:szCs w:val="24"/>
        </w:rPr>
        <w:t>consider</w:t>
      </w:r>
      <w:r>
        <w:rPr>
          <w:rFonts w:cstheme="minorHAnsi"/>
          <w:bCs/>
          <w:szCs w:val="24"/>
        </w:rPr>
        <w:t xml:space="preserve">ation and </w:t>
      </w:r>
      <w:r w:rsidR="00B45556" w:rsidRPr="00A70165">
        <w:rPr>
          <w:rFonts w:cstheme="minorHAnsi"/>
          <w:bCs/>
          <w:szCs w:val="24"/>
        </w:rPr>
        <w:t>endorse</w:t>
      </w:r>
      <w:r>
        <w:rPr>
          <w:rFonts w:cstheme="minorHAnsi"/>
          <w:bCs/>
          <w:szCs w:val="24"/>
        </w:rPr>
        <w:t>ment.</w:t>
      </w:r>
      <w:r w:rsidR="00632758">
        <w:rPr>
          <w:rFonts w:cstheme="minorHAnsi"/>
          <w:bCs/>
          <w:szCs w:val="24"/>
        </w:rPr>
        <w:t xml:space="preserve"> The Chairman thanked all participants for their active participation in the meetings</w:t>
      </w:r>
      <w:r w:rsidR="008210B9">
        <w:rPr>
          <w:rFonts w:cstheme="minorHAnsi"/>
          <w:bCs/>
          <w:szCs w:val="24"/>
        </w:rPr>
        <w:t xml:space="preserve">, their spirit of consensus </w:t>
      </w:r>
      <w:r w:rsidR="00632758">
        <w:rPr>
          <w:rFonts w:cstheme="minorHAnsi"/>
          <w:bCs/>
          <w:szCs w:val="24"/>
        </w:rPr>
        <w:t>and for a job well-done. He also thanked the secretariat for all the support and assistance provided throughout the meetings.</w:t>
      </w:r>
    </w:p>
    <w:p w14:paraId="3D7191C9" w14:textId="24EFF33A" w:rsidR="00E931E2" w:rsidRDefault="00E931E2" w:rsidP="00E931E2">
      <w:pPr>
        <w:keepNext/>
        <w:spacing w:after="120"/>
        <w:jc w:val="center"/>
        <w:rPr>
          <w:rFonts w:cstheme="minorHAnsi"/>
          <w:szCs w:val="24"/>
        </w:rPr>
      </w:pPr>
      <w:r>
        <w:rPr>
          <w:rFonts w:cstheme="minorHAnsi"/>
          <w:bCs/>
          <w:szCs w:val="24"/>
        </w:rPr>
        <w:t>________________</w:t>
      </w:r>
    </w:p>
    <w:sectPr w:rsidR="00E931E2" w:rsidSect="00C9623C">
      <w:headerReference w:type="even" r:id="rId11"/>
      <w:headerReference w:type="default" r:id="rId12"/>
      <w:footerReference w:type="even" r:id="rId13"/>
      <w:footerReference w:type="default" r:id="rId14"/>
      <w:headerReference w:type="first" r:id="rId15"/>
      <w:footerReference w:type="first" r:id="rId16"/>
      <w:pgSz w:w="12240" w:h="15840"/>
      <w:pgMar w:top="1440"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6791D" w14:textId="77777777" w:rsidR="00C9623C" w:rsidRDefault="00C9623C" w:rsidP="00C9623C">
      <w:pPr>
        <w:spacing w:before="0"/>
      </w:pPr>
      <w:r>
        <w:separator/>
      </w:r>
    </w:p>
  </w:endnote>
  <w:endnote w:type="continuationSeparator" w:id="0">
    <w:p w14:paraId="63E73AA6" w14:textId="77777777" w:rsidR="00C9623C" w:rsidRDefault="00C9623C" w:rsidP="00C962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F0B8" w14:textId="77777777" w:rsidR="004D2F86" w:rsidRDefault="004D2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79FA" w14:textId="77777777" w:rsidR="004D2F86" w:rsidRDefault="004D2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6CEC" w14:textId="77777777" w:rsidR="00C9623C" w:rsidRPr="00026FE4" w:rsidRDefault="00C9623C" w:rsidP="00C9623C">
    <w:pPr>
      <w:spacing w:before="0"/>
      <w:rPr>
        <w:sz w:val="18"/>
        <w:szCs w:val="14"/>
      </w:rPr>
    </w:pPr>
  </w:p>
  <w:tbl>
    <w:tblPr>
      <w:tblW w:w="9930" w:type="dxa"/>
      <w:tblLayout w:type="fixed"/>
      <w:tblLook w:val="04A0" w:firstRow="1" w:lastRow="0" w:firstColumn="1" w:lastColumn="0" w:noHBand="0" w:noVBand="1"/>
    </w:tblPr>
    <w:tblGrid>
      <w:gridCol w:w="1527"/>
      <w:gridCol w:w="2412"/>
      <w:gridCol w:w="5991"/>
    </w:tblGrid>
    <w:tr w:rsidR="00E139F7" w14:paraId="0795ECFA" w14:textId="77777777" w:rsidTr="00E139F7">
      <w:tc>
        <w:tcPr>
          <w:tcW w:w="1527" w:type="dxa"/>
          <w:tcBorders>
            <w:top w:val="single" w:sz="4" w:space="0" w:color="000000"/>
            <w:left w:val="nil"/>
            <w:bottom w:val="nil"/>
            <w:right w:val="nil"/>
          </w:tcBorders>
          <w:hideMark/>
        </w:tcPr>
        <w:p w14:paraId="662F7658" w14:textId="77777777" w:rsidR="00E139F7" w:rsidRDefault="00E139F7" w:rsidP="00E139F7">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45DBFB4A" w14:textId="77777777" w:rsidR="00E139F7" w:rsidRDefault="00E139F7" w:rsidP="00E139F7">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609AD2AE" w14:textId="6752282B" w:rsidR="00E139F7" w:rsidRPr="00D8064E" w:rsidRDefault="00E139F7" w:rsidP="00E139F7">
          <w:pPr>
            <w:pStyle w:val="FirstFooter"/>
            <w:tabs>
              <w:tab w:val="left" w:pos="2302"/>
            </w:tabs>
            <w:rPr>
              <w:sz w:val="18"/>
              <w:szCs w:val="18"/>
              <w:lang w:val="en-US"/>
            </w:rPr>
          </w:pPr>
          <w:bookmarkStart w:id="0" w:name="_GoBack"/>
          <w:bookmarkEnd w:id="0"/>
          <w:r w:rsidRPr="00642839">
            <w:rPr>
              <w:sz w:val="18"/>
              <w:szCs w:val="18"/>
              <w:lang w:val="en-GB"/>
            </w:rPr>
            <w:t>Mr Santiago Reyes-</w:t>
          </w:r>
          <w:proofErr w:type="spellStart"/>
          <w:r w:rsidRPr="00642839">
            <w:rPr>
              <w:sz w:val="18"/>
              <w:szCs w:val="18"/>
              <w:lang w:val="en-GB"/>
            </w:rPr>
            <w:t>Borda</w:t>
          </w:r>
          <w:proofErr w:type="spellEnd"/>
          <w:r w:rsidRPr="00642839">
            <w:rPr>
              <w:sz w:val="18"/>
              <w:szCs w:val="18"/>
              <w:lang w:val="en-GB"/>
            </w:rPr>
            <w:t>, Senior Policy Advisor, Innovation, Science and Economic Development, Canada</w:t>
          </w:r>
        </w:p>
      </w:tc>
    </w:tr>
    <w:tr w:rsidR="00E139F7" w14:paraId="0E43039F" w14:textId="77777777" w:rsidTr="00E139F7">
      <w:tc>
        <w:tcPr>
          <w:tcW w:w="1527" w:type="dxa"/>
        </w:tcPr>
        <w:p w14:paraId="1DB0EF5D" w14:textId="77777777" w:rsidR="00E139F7" w:rsidRDefault="00E139F7" w:rsidP="00E139F7">
          <w:pPr>
            <w:pStyle w:val="FirstFooter"/>
            <w:tabs>
              <w:tab w:val="left" w:pos="1559"/>
              <w:tab w:val="left" w:pos="3828"/>
            </w:tabs>
            <w:rPr>
              <w:sz w:val="20"/>
              <w:lang w:val="en-US"/>
            </w:rPr>
          </w:pPr>
        </w:p>
      </w:tc>
      <w:tc>
        <w:tcPr>
          <w:tcW w:w="2412" w:type="dxa"/>
          <w:hideMark/>
        </w:tcPr>
        <w:p w14:paraId="27DB93A2" w14:textId="77777777" w:rsidR="00E139F7" w:rsidRDefault="00E139F7" w:rsidP="00E139F7">
          <w:pPr>
            <w:pStyle w:val="FirstFooter"/>
            <w:tabs>
              <w:tab w:val="left" w:pos="2302"/>
            </w:tabs>
            <w:rPr>
              <w:sz w:val="18"/>
              <w:szCs w:val="18"/>
              <w:lang w:val="en-US"/>
            </w:rPr>
          </w:pPr>
          <w:r>
            <w:rPr>
              <w:sz w:val="18"/>
              <w:szCs w:val="18"/>
              <w:lang w:val="en-US"/>
            </w:rPr>
            <w:t>Phone number:</w:t>
          </w:r>
        </w:p>
      </w:tc>
      <w:tc>
        <w:tcPr>
          <w:tcW w:w="5991" w:type="dxa"/>
        </w:tcPr>
        <w:p w14:paraId="1846ADDE" w14:textId="55DBD81B" w:rsidR="00E139F7" w:rsidRPr="00523FA7" w:rsidRDefault="00E139F7" w:rsidP="00E139F7">
          <w:pPr>
            <w:pStyle w:val="FirstFooter"/>
            <w:tabs>
              <w:tab w:val="left" w:pos="2302"/>
            </w:tabs>
            <w:rPr>
              <w:sz w:val="18"/>
              <w:szCs w:val="18"/>
              <w:lang w:val="en-US"/>
            </w:rPr>
          </w:pPr>
          <w:proofErr w:type="gramStart"/>
          <w:r>
            <w:rPr>
              <w:sz w:val="18"/>
              <w:szCs w:val="18"/>
            </w:rPr>
            <w:t>n</w:t>
          </w:r>
          <w:proofErr w:type="gramEnd"/>
          <w:r>
            <w:rPr>
              <w:sz w:val="18"/>
              <w:szCs w:val="18"/>
            </w:rPr>
            <w:t>/a</w:t>
          </w:r>
        </w:p>
      </w:tc>
    </w:tr>
    <w:tr w:rsidR="00E139F7" w14:paraId="2CED4156" w14:textId="77777777" w:rsidTr="00E139F7">
      <w:tc>
        <w:tcPr>
          <w:tcW w:w="1527" w:type="dxa"/>
        </w:tcPr>
        <w:p w14:paraId="3BEEB265" w14:textId="77777777" w:rsidR="00E139F7" w:rsidRDefault="00E139F7" w:rsidP="00E139F7">
          <w:pPr>
            <w:pStyle w:val="FirstFooter"/>
            <w:tabs>
              <w:tab w:val="left" w:pos="1559"/>
              <w:tab w:val="left" w:pos="3828"/>
            </w:tabs>
            <w:rPr>
              <w:sz w:val="20"/>
              <w:lang w:val="en-US"/>
            </w:rPr>
          </w:pPr>
        </w:p>
      </w:tc>
      <w:tc>
        <w:tcPr>
          <w:tcW w:w="2412" w:type="dxa"/>
          <w:hideMark/>
        </w:tcPr>
        <w:p w14:paraId="4F3E990B" w14:textId="77777777" w:rsidR="00E139F7" w:rsidRDefault="00E139F7" w:rsidP="00E139F7">
          <w:pPr>
            <w:pStyle w:val="FirstFooter"/>
            <w:tabs>
              <w:tab w:val="left" w:pos="2302"/>
            </w:tabs>
            <w:rPr>
              <w:sz w:val="18"/>
              <w:szCs w:val="18"/>
              <w:lang w:val="en-US"/>
            </w:rPr>
          </w:pPr>
          <w:r>
            <w:rPr>
              <w:sz w:val="18"/>
              <w:szCs w:val="18"/>
              <w:lang w:val="en-US"/>
            </w:rPr>
            <w:t>E-mail:</w:t>
          </w:r>
        </w:p>
      </w:tc>
      <w:tc>
        <w:tcPr>
          <w:tcW w:w="5991" w:type="dxa"/>
        </w:tcPr>
        <w:p w14:paraId="1CE87484" w14:textId="6DFE5F85" w:rsidR="00E139F7" w:rsidRDefault="00E139F7" w:rsidP="00E139F7">
          <w:pPr>
            <w:pStyle w:val="FirstFooter"/>
            <w:tabs>
              <w:tab w:val="left" w:pos="2302"/>
            </w:tabs>
          </w:pPr>
          <w:hyperlink r:id="rId1" w:history="1">
            <w:r w:rsidRPr="00642839">
              <w:rPr>
                <w:rStyle w:val="Hyperlink"/>
                <w:sz w:val="18"/>
                <w:szCs w:val="18"/>
                <w:lang w:val="en-US"/>
              </w:rPr>
              <w:t>santiago.reyes-borda@canada.ca</w:t>
            </w:r>
          </w:hyperlink>
          <w:r w:rsidRPr="00642839">
            <w:rPr>
              <w:sz w:val="18"/>
              <w:szCs w:val="18"/>
              <w:lang w:val="en-US"/>
            </w:rPr>
            <w:t xml:space="preserve"> </w:t>
          </w:r>
        </w:p>
      </w:tc>
    </w:tr>
  </w:tbl>
  <w:p w14:paraId="2EB2B9B0" w14:textId="33638D50" w:rsidR="00C9623C" w:rsidRPr="00C9623C" w:rsidRDefault="00C9623C" w:rsidP="00C9623C">
    <w:pPr>
      <w:tabs>
        <w:tab w:val="clear" w:pos="794"/>
        <w:tab w:val="clear" w:pos="1191"/>
        <w:tab w:val="clear" w:pos="1588"/>
        <w:tab w:val="clear" w:pos="1985"/>
        <w:tab w:val="center" w:pos="4820"/>
        <w:tab w:val="right" w:pos="9639"/>
      </w:tabs>
      <w:ind w:right="1"/>
      <w:rPr>
        <w:sz w:val="18"/>
        <w:szCs w:val="18"/>
      </w:rPr>
    </w:pPr>
    <w:r w:rsidRPr="00972BCD">
      <w:rPr>
        <w:sz w:val="22"/>
        <w:szCs w:val="22"/>
      </w:rPr>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B20FC" w14:textId="77777777" w:rsidR="00C9623C" w:rsidRDefault="00C9623C" w:rsidP="00C9623C">
      <w:pPr>
        <w:spacing w:before="0"/>
      </w:pPr>
      <w:r>
        <w:separator/>
      </w:r>
    </w:p>
  </w:footnote>
  <w:footnote w:type="continuationSeparator" w:id="0">
    <w:p w14:paraId="0DE79749" w14:textId="77777777" w:rsidR="00C9623C" w:rsidRDefault="00C9623C" w:rsidP="00C9623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BA71" w14:textId="77777777" w:rsidR="004D2F86" w:rsidRDefault="004D2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43A2" w14:textId="6268F15E" w:rsidR="00C9623C" w:rsidRPr="00C9623C" w:rsidRDefault="00C9623C" w:rsidP="00C9623C">
    <w:pPr>
      <w:pStyle w:val="Header"/>
      <w:ind w:right="-45"/>
      <w:jc w:val="center"/>
      <w:rPr>
        <w:rFonts w:cstheme="minorHAnsi"/>
      </w:rPr>
    </w:pPr>
    <w:r w:rsidRPr="00AD509E">
      <w:rPr>
        <w:rStyle w:val="PageNumber"/>
        <w:rFonts w:cstheme="minorHAnsi"/>
        <w:sz w:val="18"/>
        <w:szCs w:val="18"/>
      </w:rPr>
      <w:t>TDAG-WG-Prep/</w:t>
    </w:r>
    <w:r w:rsidR="004D2F86">
      <w:rPr>
        <w:rStyle w:val="PageNumber"/>
        <w:rFonts w:cstheme="minorHAnsi"/>
        <w:sz w:val="18"/>
        <w:szCs w:val="18"/>
      </w:rPr>
      <w:t>26</w:t>
    </w:r>
    <w:r w:rsidRPr="00AD509E">
      <w:rPr>
        <w:rStyle w:val="PageNumber"/>
        <w:rFonts w:cstheme="minorHAnsi"/>
        <w:sz w:val="18"/>
        <w:szCs w:val="18"/>
      </w:rPr>
      <w:t>-E</w:t>
    </w:r>
    <w:r w:rsidRPr="00AD509E">
      <w:rPr>
        <w:rStyle w:val="PageNumber"/>
        <w:rFonts w:cstheme="minorHAnsi"/>
        <w:sz w:val="18"/>
        <w:szCs w:val="18"/>
      </w:rPr>
      <w:br/>
      <w:t>-</w:t>
    </w:r>
    <w:r w:rsidRPr="00AD509E">
      <w:rPr>
        <w:rStyle w:val="PageNumber"/>
        <w:rFonts w:cstheme="minorHAnsi"/>
        <w:sz w:val="18"/>
        <w:szCs w:val="18"/>
      </w:rPr>
      <w:fldChar w:fldCharType="begin"/>
    </w:r>
    <w:r w:rsidRPr="00AD509E">
      <w:rPr>
        <w:rStyle w:val="PageNumber"/>
        <w:rFonts w:cstheme="minorHAnsi"/>
        <w:sz w:val="18"/>
        <w:szCs w:val="18"/>
      </w:rPr>
      <w:instrText xml:space="preserve"> PAGE   \* MERGEFORMAT </w:instrText>
    </w:r>
    <w:r w:rsidRPr="00AD509E">
      <w:rPr>
        <w:rStyle w:val="PageNumber"/>
        <w:rFonts w:cstheme="minorHAnsi"/>
        <w:sz w:val="18"/>
        <w:szCs w:val="18"/>
      </w:rPr>
      <w:fldChar w:fldCharType="separate"/>
    </w:r>
    <w:r w:rsidR="0083535D">
      <w:rPr>
        <w:rStyle w:val="PageNumber"/>
        <w:rFonts w:cstheme="minorHAnsi"/>
        <w:noProof/>
        <w:sz w:val="18"/>
        <w:szCs w:val="18"/>
      </w:rPr>
      <w:t>7</w:t>
    </w:r>
    <w:r w:rsidRPr="00AD509E">
      <w:rPr>
        <w:rStyle w:val="PageNumber"/>
        <w:rFonts w:cstheme="minorHAnsi"/>
        <w:noProof/>
        <w:sz w:val="18"/>
        <w:szCs w:val="18"/>
      </w:rPr>
      <w:fldChar w:fldCharType="end"/>
    </w:r>
    <w:r w:rsidRPr="00AD509E">
      <w:rPr>
        <w:rStyle w:val="PageNumber"/>
        <w:rFonts w:cstheme="minorHAns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5A78" w14:textId="77777777" w:rsidR="004D2F86" w:rsidRDefault="004D2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3B0"/>
    <w:multiLevelType w:val="hybridMultilevel"/>
    <w:tmpl w:val="0B0E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7E0C"/>
    <w:multiLevelType w:val="hybridMultilevel"/>
    <w:tmpl w:val="EA02DF26"/>
    <w:lvl w:ilvl="0" w:tplc="D8AA70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7B12285"/>
    <w:multiLevelType w:val="hybridMultilevel"/>
    <w:tmpl w:val="205A5E0A"/>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07289C"/>
    <w:multiLevelType w:val="hybridMultilevel"/>
    <w:tmpl w:val="DD18A444"/>
    <w:lvl w:ilvl="0" w:tplc="7764D46E">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E43CF7"/>
    <w:multiLevelType w:val="hybridMultilevel"/>
    <w:tmpl w:val="352E72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54B2B"/>
    <w:multiLevelType w:val="hybridMultilevel"/>
    <w:tmpl w:val="2528D4D2"/>
    <w:lvl w:ilvl="0" w:tplc="D8AA70EE">
      <w:start w:val="1"/>
      <w:numFmt w:val="bullet"/>
      <w:lvlText w:val=""/>
      <w:lvlJc w:val="left"/>
      <w:pPr>
        <w:ind w:left="1440" w:hanging="360"/>
      </w:pPr>
      <w:rPr>
        <w:rFonts w:ascii="Symbol" w:hAnsi="Symbol" w:hint="default"/>
      </w:rPr>
    </w:lvl>
    <w:lvl w:ilvl="1" w:tplc="D8AA70EE">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C405A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CE0EFA"/>
    <w:multiLevelType w:val="hybridMultilevel"/>
    <w:tmpl w:val="D94612F6"/>
    <w:lvl w:ilvl="0" w:tplc="D8AA70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004952"/>
    <w:multiLevelType w:val="hybridMultilevel"/>
    <w:tmpl w:val="D1FAEF02"/>
    <w:lvl w:ilvl="0" w:tplc="5ED807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83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BA1306"/>
    <w:multiLevelType w:val="hybridMultilevel"/>
    <w:tmpl w:val="25220538"/>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0A5D21"/>
    <w:multiLevelType w:val="hybridMultilevel"/>
    <w:tmpl w:val="26BC45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692044F"/>
    <w:multiLevelType w:val="multilevel"/>
    <w:tmpl w:val="FE6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0"/>
  </w:num>
  <w:num w:numId="7">
    <w:abstractNumId w:val="3"/>
  </w:num>
  <w:num w:numId="8">
    <w:abstractNumId w:val="9"/>
  </w:num>
  <w:num w:numId="9">
    <w:abstractNumId w:val="12"/>
  </w:num>
  <w:num w:numId="10">
    <w:abstractNumId w:val="4"/>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ZW" w:vendorID="64" w:dllVersion="6" w:nlCheck="1" w:checkStyle="1"/>
  <w:activeWritingStyle w:appName="MSWord" w:lang="en-GB" w:vendorID="64" w:dllVersion="0" w:nlCheck="1" w:checkStyle="0"/>
  <w:activeWritingStyle w:appName="MSWord" w:lang="en-US" w:vendorID="64" w:dllVersion="0" w:nlCheck="1" w:checkStyle="0"/>
  <w:activeWritingStyle w:appName="MSWord" w:lang="en-ZW"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6C"/>
    <w:rsid w:val="000307C7"/>
    <w:rsid w:val="00033DD4"/>
    <w:rsid w:val="0005697D"/>
    <w:rsid w:val="0006164A"/>
    <w:rsid w:val="00084328"/>
    <w:rsid w:val="000920A0"/>
    <w:rsid w:val="000A317B"/>
    <w:rsid w:val="000A47DB"/>
    <w:rsid w:val="000A6E1B"/>
    <w:rsid w:val="000F65D7"/>
    <w:rsid w:val="0010014B"/>
    <w:rsid w:val="00122214"/>
    <w:rsid w:val="001225CA"/>
    <w:rsid w:val="00131D33"/>
    <w:rsid w:val="001474EC"/>
    <w:rsid w:val="00157F0A"/>
    <w:rsid w:val="00186B2E"/>
    <w:rsid w:val="001A7785"/>
    <w:rsid w:val="001B4C8F"/>
    <w:rsid w:val="001C7640"/>
    <w:rsid w:val="001E7247"/>
    <w:rsid w:val="001F514E"/>
    <w:rsid w:val="00201085"/>
    <w:rsid w:val="00217AA0"/>
    <w:rsid w:val="00271D7C"/>
    <w:rsid w:val="00297D5C"/>
    <w:rsid w:val="002C59FB"/>
    <w:rsid w:val="002D3C16"/>
    <w:rsid w:val="002D7DCA"/>
    <w:rsid w:val="002E19F3"/>
    <w:rsid w:val="003167CA"/>
    <w:rsid w:val="00325BC1"/>
    <w:rsid w:val="003408CE"/>
    <w:rsid w:val="003830F4"/>
    <w:rsid w:val="003A2529"/>
    <w:rsid w:val="003A6200"/>
    <w:rsid w:val="003E4768"/>
    <w:rsid w:val="003F208D"/>
    <w:rsid w:val="004004F3"/>
    <w:rsid w:val="00412DE7"/>
    <w:rsid w:val="00440837"/>
    <w:rsid w:val="00492EBA"/>
    <w:rsid w:val="00497AAC"/>
    <w:rsid w:val="004C2867"/>
    <w:rsid w:val="004D2F86"/>
    <w:rsid w:val="004E7BB0"/>
    <w:rsid w:val="005378EA"/>
    <w:rsid w:val="005437DA"/>
    <w:rsid w:val="00543C0E"/>
    <w:rsid w:val="00547857"/>
    <w:rsid w:val="00552251"/>
    <w:rsid w:val="005642AA"/>
    <w:rsid w:val="0058240E"/>
    <w:rsid w:val="00583691"/>
    <w:rsid w:val="00583740"/>
    <w:rsid w:val="0059029C"/>
    <w:rsid w:val="0059594C"/>
    <w:rsid w:val="005974DD"/>
    <w:rsid w:val="005A1E61"/>
    <w:rsid w:val="005A32B2"/>
    <w:rsid w:val="005A3E33"/>
    <w:rsid w:val="005B4B37"/>
    <w:rsid w:val="005C014C"/>
    <w:rsid w:val="005D0990"/>
    <w:rsid w:val="005D09B0"/>
    <w:rsid w:val="005E7D17"/>
    <w:rsid w:val="005F15FA"/>
    <w:rsid w:val="00625ED3"/>
    <w:rsid w:val="00632758"/>
    <w:rsid w:val="00643A88"/>
    <w:rsid w:val="00644CAB"/>
    <w:rsid w:val="00655408"/>
    <w:rsid w:val="00655E53"/>
    <w:rsid w:val="00666469"/>
    <w:rsid w:val="006B0E21"/>
    <w:rsid w:val="006C080E"/>
    <w:rsid w:val="006C656C"/>
    <w:rsid w:val="006F6A8B"/>
    <w:rsid w:val="007167EB"/>
    <w:rsid w:val="00742339"/>
    <w:rsid w:val="00771C60"/>
    <w:rsid w:val="007B090C"/>
    <w:rsid w:val="007B2F9A"/>
    <w:rsid w:val="007C104E"/>
    <w:rsid w:val="007C7A1E"/>
    <w:rsid w:val="007E02B7"/>
    <w:rsid w:val="007F5F1F"/>
    <w:rsid w:val="00802B95"/>
    <w:rsid w:val="008075F5"/>
    <w:rsid w:val="008210B9"/>
    <w:rsid w:val="0083535D"/>
    <w:rsid w:val="00855752"/>
    <w:rsid w:val="0086568B"/>
    <w:rsid w:val="0087479C"/>
    <w:rsid w:val="0087527B"/>
    <w:rsid w:val="00875C22"/>
    <w:rsid w:val="008A4640"/>
    <w:rsid w:val="008E4F73"/>
    <w:rsid w:val="00904927"/>
    <w:rsid w:val="009253FE"/>
    <w:rsid w:val="009519F6"/>
    <w:rsid w:val="00965C11"/>
    <w:rsid w:val="0097453B"/>
    <w:rsid w:val="00990C4B"/>
    <w:rsid w:val="00992680"/>
    <w:rsid w:val="00996398"/>
    <w:rsid w:val="009B1899"/>
    <w:rsid w:val="009C3A03"/>
    <w:rsid w:val="009D4765"/>
    <w:rsid w:val="009D4FFA"/>
    <w:rsid w:val="009D51E1"/>
    <w:rsid w:val="009E21CD"/>
    <w:rsid w:val="00A20761"/>
    <w:rsid w:val="00A265E0"/>
    <w:rsid w:val="00A35313"/>
    <w:rsid w:val="00A36D0A"/>
    <w:rsid w:val="00A52F94"/>
    <w:rsid w:val="00A5787B"/>
    <w:rsid w:val="00A60493"/>
    <w:rsid w:val="00A70165"/>
    <w:rsid w:val="00AD3EEB"/>
    <w:rsid w:val="00AE6A6C"/>
    <w:rsid w:val="00AE70DF"/>
    <w:rsid w:val="00AF3E48"/>
    <w:rsid w:val="00B00A9B"/>
    <w:rsid w:val="00B10242"/>
    <w:rsid w:val="00B136A0"/>
    <w:rsid w:val="00B1466A"/>
    <w:rsid w:val="00B22927"/>
    <w:rsid w:val="00B3468B"/>
    <w:rsid w:val="00B36A07"/>
    <w:rsid w:val="00B36BE7"/>
    <w:rsid w:val="00B45556"/>
    <w:rsid w:val="00B52112"/>
    <w:rsid w:val="00B57A54"/>
    <w:rsid w:val="00B6045D"/>
    <w:rsid w:val="00B773F3"/>
    <w:rsid w:val="00B84EEA"/>
    <w:rsid w:val="00B87055"/>
    <w:rsid w:val="00BA2E6C"/>
    <w:rsid w:val="00BA3352"/>
    <w:rsid w:val="00BB0B0C"/>
    <w:rsid w:val="00BD5C05"/>
    <w:rsid w:val="00BF4FF3"/>
    <w:rsid w:val="00BF7C3C"/>
    <w:rsid w:val="00C051CE"/>
    <w:rsid w:val="00C33A75"/>
    <w:rsid w:val="00C62A9F"/>
    <w:rsid w:val="00C65636"/>
    <w:rsid w:val="00C765ED"/>
    <w:rsid w:val="00C8570E"/>
    <w:rsid w:val="00C9623C"/>
    <w:rsid w:val="00CD0A0B"/>
    <w:rsid w:val="00CD10A9"/>
    <w:rsid w:val="00CD1966"/>
    <w:rsid w:val="00D23D0C"/>
    <w:rsid w:val="00D63E02"/>
    <w:rsid w:val="00D6444C"/>
    <w:rsid w:val="00D66289"/>
    <w:rsid w:val="00D87128"/>
    <w:rsid w:val="00DA140D"/>
    <w:rsid w:val="00DD3B80"/>
    <w:rsid w:val="00DF4874"/>
    <w:rsid w:val="00DF5788"/>
    <w:rsid w:val="00E139F7"/>
    <w:rsid w:val="00E51D5D"/>
    <w:rsid w:val="00E51F81"/>
    <w:rsid w:val="00E533A9"/>
    <w:rsid w:val="00E57957"/>
    <w:rsid w:val="00E642DA"/>
    <w:rsid w:val="00E91481"/>
    <w:rsid w:val="00E931E2"/>
    <w:rsid w:val="00EA1050"/>
    <w:rsid w:val="00EB1D6D"/>
    <w:rsid w:val="00EC557A"/>
    <w:rsid w:val="00EC66DE"/>
    <w:rsid w:val="00ED43F3"/>
    <w:rsid w:val="00F26418"/>
    <w:rsid w:val="00F606ED"/>
    <w:rsid w:val="00F6360E"/>
    <w:rsid w:val="00F72331"/>
    <w:rsid w:val="00F75871"/>
    <w:rsid w:val="00F76500"/>
    <w:rsid w:val="00F91A72"/>
    <w:rsid w:val="00FA25D3"/>
    <w:rsid w:val="00FB4E5C"/>
    <w:rsid w:val="00FB5F1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CAB1"/>
  <w15:chartTrackingRefBased/>
  <w15:docId w15:val="{D08F41D1-B946-4F6A-AD08-2962E2F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6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C11"/>
    <w:pPr>
      <w:tabs>
        <w:tab w:val="clear" w:pos="794"/>
        <w:tab w:val="clear" w:pos="1191"/>
        <w:tab w:val="clear" w:pos="1588"/>
        <w:tab w:val="clear" w:pos="1985"/>
        <w:tab w:val="left" w:pos="1134"/>
        <w:tab w:val="left" w:pos="1871"/>
        <w:tab w:val="left" w:pos="2268"/>
      </w:tabs>
      <w:ind w:left="720"/>
      <w:contextualSpacing/>
    </w:pPr>
  </w:style>
  <w:style w:type="character" w:customStyle="1" w:styleId="ListParagraphChar">
    <w:name w:val="List Paragraph Char"/>
    <w:link w:val="ListParagraph"/>
    <w:uiPriority w:val="34"/>
    <w:locked/>
    <w:rsid w:val="00965C11"/>
    <w:rPr>
      <w:rFonts w:eastAsia="Times New Roman" w:cs="Times New Roman"/>
      <w:sz w:val="24"/>
      <w:szCs w:val="20"/>
      <w:lang w:val="en-GB"/>
    </w:rPr>
  </w:style>
  <w:style w:type="character" w:styleId="Hyperlink">
    <w:name w:val="Hyperlink"/>
    <w:aliases w:val="CEO_Hyperlink"/>
    <w:basedOn w:val="DefaultParagraphFont"/>
    <w:uiPriority w:val="99"/>
    <w:rsid w:val="00965C11"/>
    <w:rPr>
      <w:color w:val="0563C1" w:themeColor="hyperlink"/>
      <w:u w:val="single"/>
    </w:rPr>
  </w:style>
  <w:style w:type="paragraph" w:customStyle="1" w:styleId="Normal1">
    <w:name w:val="Normal 1"/>
    <w:basedOn w:val="Normal"/>
    <w:next w:val="Normal"/>
    <w:uiPriority w:val="99"/>
    <w:rsid w:val="003830F4"/>
    <w:pPr>
      <w:widowControl w:val="0"/>
      <w:tabs>
        <w:tab w:val="clear" w:pos="794"/>
        <w:tab w:val="clear" w:pos="1191"/>
        <w:tab w:val="clear" w:pos="1588"/>
        <w:tab w:val="clear" w:pos="1985"/>
      </w:tabs>
      <w:overflowPunct/>
      <w:spacing w:before="0" w:line="528" w:lineRule="atLeast"/>
      <w:ind w:right="720" w:firstLine="720"/>
      <w:textAlignment w:val="auto"/>
    </w:pPr>
    <w:rPr>
      <w:rFonts w:ascii="Courier New" w:eastAsiaTheme="minorEastAsia" w:hAnsi="Courier New" w:cs="Courier New"/>
      <w:szCs w:val="24"/>
      <w:lang w:val="en-US"/>
    </w:rPr>
  </w:style>
  <w:style w:type="paragraph" w:styleId="NormalWeb">
    <w:name w:val="Normal (Web)"/>
    <w:basedOn w:val="Normal"/>
    <w:uiPriority w:val="99"/>
    <w:unhideWhenUsed/>
    <w:rsid w:val="003830F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ByContin1">
    <w:name w:val="By  Contin 1"/>
    <w:basedOn w:val="Normal"/>
    <w:uiPriority w:val="99"/>
    <w:rsid w:val="0059594C"/>
    <w:pPr>
      <w:widowControl w:val="0"/>
      <w:tabs>
        <w:tab w:val="clear" w:pos="794"/>
        <w:tab w:val="clear" w:pos="1191"/>
        <w:tab w:val="clear" w:pos="1588"/>
        <w:tab w:val="clear" w:pos="1985"/>
        <w:tab w:val="left" w:pos="2535"/>
      </w:tabs>
      <w:overflowPunct/>
      <w:spacing w:before="0"/>
      <w:textAlignment w:val="auto"/>
    </w:pPr>
    <w:rPr>
      <w:rFonts w:ascii="Courier New" w:eastAsiaTheme="minorEastAsia" w:hAnsi="Courier New" w:cs="Courier New"/>
      <w:szCs w:val="24"/>
      <w:lang w:val="en-US"/>
    </w:rPr>
  </w:style>
  <w:style w:type="table" w:styleId="TableGrid">
    <w:name w:val="Table Grid"/>
    <w:basedOn w:val="TableNormal"/>
    <w:uiPriority w:val="39"/>
    <w:rsid w:val="003167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23C"/>
    <w:pPr>
      <w:tabs>
        <w:tab w:val="clear" w:pos="794"/>
        <w:tab w:val="clear" w:pos="1191"/>
        <w:tab w:val="clear" w:pos="1588"/>
        <w:tab w:val="clear" w:pos="1985"/>
        <w:tab w:val="center" w:pos="4513"/>
        <w:tab w:val="right" w:pos="9026"/>
      </w:tabs>
      <w:spacing w:before="0"/>
    </w:pPr>
  </w:style>
  <w:style w:type="character" w:customStyle="1" w:styleId="HeaderChar">
    <w:name w:val="Header Char"/>
    <w:basedOn w:val="DefaultParagraphFont"/>
    <w:link w:val="Header"/>
    <w:uiPriority w:val="99"/>
    <w:rsid w:val="00C9623C"/>
    <w:rPr>
      <w:rFonts w:eastAsia="Times New Roman" w:cs="Times New Roman"/>
      <w:sz w:val="24"/>
      <w:szCs w:val="20"/>
      <w:lang w:val="en-GB"/>
    </w:rPr>
  </w:style>
  <w:style w:type="paragraph" w:styleId="Footer">
    <w:name w:val="footer"/>
    <w:basedOn w:val="Normal"/>
    <w:link w:val="FooterChar"/>
    <w:uiPriority w:val="99"/>
    <w:unhideWhenUsed/>
    <w:rsid w:val="00C9623C"/>
    <w:pPr>
      <w:tabs>
        <w:tab w:val="clear" w:pos="794"/>
        <w:tab w:val="clear" w:pos="1191"/>
        <w:tab w:val="clear" w:pos="1588"/>
        <w:tab w:val="clear" w:pos="1985"/>
        <w:tab w:val="center" w:pos="4513"/>
        <w:tab w:val="right" w:pos="9026"/>
      </w:tabs>
      <w:spacing w:before="0"/>
    </w:pPr>
  </w:style>
  <w:style w:type="character" w:customStyle="1" w:styleId="FooterChar">
    <w:name w:val="Footer Char"/>
    <w:basedOn w:val="DefaultParagraphFont"/>
    <w:link w:val="Footer"/>
    <w:uiPriority w:val="99"/>
    <w:rsid w:val="00C9623C"/>
    <w:rPr>
      <w:rFonts w:eastAsia="Times New Roman" w:cs="Times New Roman"/>
      <w:sz w:val="24"/>
      <w:szCs w:val="20"/>
      <w:lang w:val="en-GB"/>
    </w:rPr>
  </w:style>
  <w:style w:type="paragraph" w:customStyle="1" w:styleId="FirstFooter">
    <w:name w:val="FirstFooter"/>
    <w:basedOn w:val="Footer"/>
    <w:rsid w:val="00C9623C"/>
    <w:pPr>
      <w:tabs>
        <w:tab w:val="clear" w:pos="4513"/>
        <w:tab w:val="clear" w:pos="9026"/>
      </w:tabs>
      <w:overflowPunct/>
      <w:autoSpaceDE/>
      <w:autoSpaceDN/>
      <w:adjustRightInd/>
      <w:spacing w:before="40"/>
      <w:textAlignment w:val="auto"/>
    </w:pPr>
    <w:rPr>
      <w:sz w:val="16"/>
      <w:lang w:val="fr-FR"/>
    </w:rPr>
  </w:style>
  <w:style w:type="character" w:styleId="PageNumber">
    <w:name w:val="page number"/>
    <w:basedOn w:val="DefaultParagraphFont"/>
    <w:unhideWhenUsed/>
    <w:rsid w:val="00C9623C"/>
    <w:rPr>
      <w:rFonts w:cs="Times New Roman"/>
    </w:rPr>
  </w:style>
  <w:style w:type="character" w:styleId="UnresolvedMention">
    <w:name w:val="Unresolved Mention"/>
    <w:basedOn w:val="DefaultParagraphFont"/>
    <w:uiPriority w:val="99"/>
    <w:semiHidden/>
    <w:unhideWhenUsed/>
    <w:rsid w:val="00716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7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D18-TDAG27-C-0005/en" TargetMode="External"/><Relationship Id="rId4" Type="http://schemas.openxmlformats.org/officeDocument/2006/relationships/settings" Target="settings.xml"/><Relationship Id="rId9" Type="http://schemas.openxmlformats.org/officeDocument/2006/relationships/hyperlink" Target="https://www.itu.int/md/D18-TDAG27-C-0005/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antiago.reyes-borda@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C280-96AB-470F-9F45-CC8A556B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Lusweti, Patricia</dc:creator>
  <cp:keywords/>
  <dc:description/>
  <cp:lastModifiedBy>BDT-nd</cp:lastModifiedBy>
  <cp:revision>10</cp:revision>
  <dcterms:created xsi:type="dcterms:W3CDTF">2020-11-23T07:46:00Z</dcterms:created>
  <dcterms:modified xsi:type="dcterms:W3CDTF">2020-11-23T08:18:00Z</dcterms:modified>
</cp:coreProperties>
</file>