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45" w:type="dxa"/>
        <w:tblLayout w:type="fixed"/>
        <w:tblLook w:val="04A0" w:firstRow="1" w:lastRow="0" w:firstColumn="1" w:lastColumn="0" w:noHBand="0" w:noVBand="1"/>
      </w:tblPr>
      <w:tblGrid>
        <w:gridCol w:w="2321"/>
        <w:gridCol w:w="4028"/>
        <w:gridCol w:w="3296"/>
      </w:tblGrid>
      <w:tr w:rsidR="00B33579" w14:paraId="69C213C8" w14:textId="77777777" w:rsidTr="00B33579">
        <w:trPr>
          <w:cantSplit/>
          <w:trHeight w:val="1134"/>
        </w:trPr>
        <w:tc>
          <w:tcPr>
            <w:tcW w:w="2321" w:type="dxa"/>
            <w:hideMark/>
          </w:tcPr>
          <w:p w14:paraId="3CB12050" w14:textId="77777777" w:rsidR="00B33579" w:rsidRDefault="00B33579">
            <w:pPr>
              <w:spacing w:before="0"/>
              <w:rPr>
                <w:b/>
                <w:bCs/>
                <w:sz w:val="4"/>
                <w:szCs w:val="4"/>
                <w:lang w:val="en-US"/>
              </w:rPr>
            </w:pPr>
            <w:bookmarkStart w:id="0" w:name="_Hlk100043705"/>
            <w:bookmarkStart w:id="1" w:name="_GoBack"/>
            <w:bookmarkEnd w:id="1"/>
            <w:r>
              <w:rPr>
                <w:b/>
                <w:bCs/>
                <w:noProof/>
                <w:sz w:val="4"/>
                <w:szCs w:val="4"/>
                <w:lang w:val="en-US"/>
              </w:rPr>
              <w:pict w14:anchorId="10D3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company name&#10;&#10;Description automatically generated" style="width:105pt;height:83.25pt;visibility:visible">
                  <v:imagedata r:id="rId6" o:title="Logo, company name&#10;&#10;Description automatically generated"/>
                </v:shape>
              </w:pict>
            </w:r>
          </w:p>
        </w:tc>
        <w:tc>
          <w:tcPr>
            <w:tcW w:w="7324" w:type="dxa"/>
            <w:gridSpan w:val="2"/>
            <w:hideMark/>
          </w:tcPr>
          <w:p w14:paraId="7231843C" w14:textId="77777777" w:rsidR="00B33579" w:rsidRPr="009B29FB" w:rsidRDefault="00B33579">
            <w:pPr>
              <w:spacing w:before="240" w:after="48" w:line="240" w:lineRule="atLeast"/>
              <w:ind w:left="34"/>
              <w:rPr>
                <w:rFonts w:ascii="Calibri" w:hAnsi="Calibri" w:cs="Calibri"/>
                <w:b/>
                <w:bCs/>
                <w:sz w:val="32"/>
                <w:szCs w:val="32"/>
                <w:lang w:val="en-US"/>
              </w:rPr>
            </w:pPr>
            <w:r w:rsidRPr="009B29FB">
              <w:rPr>
                <w:rFonts w:ascii="Calibri" w:hAnsi="Calibri" w:cs="Calibri"/>
                <w:b/>
                <w:bCs/>
                <w:sz w:val="32"/>
                <w:szCs w:val="32"/>
                <w:lang w:val="en-US"/>
              </w:rPr>
              <w:t>World Telecommunication Development</w:t>
            </w:r>
            <w:r w:rsidRPr="009B29FB">
              <w:rPr>
                <w:rFonts w:ascii="Calibri" w:hAnsi="Calibri" w:cs="Calibri"/>
                <w:b/>
                <w:bCs/>
                <w:sz w:val="32"/>
                <w:szCs w:val="32"/>
                <w:lang w:val="en-US"/>
              </w:rPr>
              <w:br/>
              <w:t>Conference (WTDC-21)</w:t>
            </w:r>
          </w:p>
          <w:p w14:paraId="70AAF691" w14:textId="77777777" w:rsidR="00B33579" w:rsidRPr="00B33579" w:rsidRDefault="00B33579">
            <w:pPr>
              <w:spacing w:after="48" w:line="240" w:lineRule="atLeast"/>
              <w:ind w:left="34"/>
              <w:rPr>
                <w:rFonts w:cs="Calibri"/>
                <w:lang w:val="en-US"/>
              </w:rPr>
            </w:pPr>
            <w:r w:rsidRPr="009B29FB">
              <w:rPr>
                <w:rFonts w:ascii="Calibri" w:hAnsi="Calibri" w:cs="Calibri"/>
                <w:b/>
                <w:bCs/>
                <w:sz w:val="26"/>
                <w:szCs w:val="26"/>
                <w:lang w:val="en-US"/>
              </w:rPr>
              <w:t>Kigali, Rwanda, 6-16 June 2022</w:t>
            </w:r>
          </w:p>
        </w:tc>
      </w:tr>
      <w:tr w:rsidR="00B33579" w14:paraId="25DB9C19" w14:textId="77777777" w:rsidTr="00B33579">
        <w:trPr>
          <w:cantSplit/>
        </w:trPr>
        <w:tc>
          <w:tcPr>
            <w:tcW w:w="6349" w:type="dxa"/>
            <w:gridSpan w:val="2"/>
            <w:tcBorders>
              <w:top w:val="single" w:sz="12" w:space="0" w:color="auto"/>
              <w:left w:val="nil"/>
              <w:bottom w:val="nil"/>
              <w:right w:val="nil"/>
            </w:tcBorders>
          </w:tcPr>
          <w:p w14:paraId="557DCA47" w14:textId="77777777" w:rsidR="00B33579" w:rsidRPr="00B33579" w:rsidRDefault="00B33579">
            <w:pPr>
              <w:spacing w:before="0" w:after="48" w:line="240" w:lineRule="atLeast"/>
              <w:rPr>
                <w:rFonts w:cs="Calibri"/>
                <w:b/>
                <w:smallCaps/>
                <w:sz w:val="20"/>
                <w:lang w:val="en-US"/>
              </w:rPr>
            </w:pPr>
            <w:bookmarkStart w:id="2" w:name="dhead"/>
          </w:p>
        </w:tc>
        <w:tc>
          <w:tcPr>
            <w:tcW w:w="3296" w:type="dxa"/>
            <w:tcBorders>
              <w:top w:val="single" w:sz="12" w:space="0" w:color="auto"/>
              <w:left w:val="nil"/>
              <w:bottom w:val="nil"/>
              <w:right w:val="nil"/>
            </w:tcBorders>
          </w:tcPr>
          <w:p w14:paraId="55C5F1D7" w14:textId="77777777" w:rsidR="00B33579" w:rsidRPr="00B33579" w:rsidRDefault="00B33579">
            <w:pPr>
              <w:spacing w:before="0" w:line="240" w:lineRule="atLeast"/>
              <w:rPr>
                <w:rFonts w:cs="Calibri"/>
                <w:sz w:val="20"/>
                <w:lang w:val="en-US"/>
              </w:rPr>
            </w:pPr>
          </w:p>
        </w:tc>
        <w:bookmarkEnd w:id="2"/>
      </w:tr>
      <w:tr w:rsidR="00B33579" w14:paraId="03C67EB3" w14:textId="77777777" w:rsidTr="00B33579">
        <w:trPr>
          <w:cantSplit/>
          <w:trHeight w:val="23"/>
        </w:trPr>
        <w:tc>
          <w:tcPr>
            <w:tcW w:w="6349" w:type="dxa"/>
            <w:gridSpan w:val="2"/>
            <w:hideMark/>
          </w:tcPr>
          <w:p w14:paraId="7500407F" w14:textId="77777777" w:rsidR="00B33579" w:rsidRDefault="00B33579" w:rsidP="00B33579">
            <w:pPr>
              <w:pStyle w:val="Committee"/>
              <w:framePr w:hSpace="0" w:wrap="auto" w:hAnchor="text" w:yAlign="inline"/>
              <w:rPr>
                <w:rFonts w:cs="Times New Roman Bold"/>
                <w:lang w:val="en-US"/>
              </w:rPr>
            </w:pPr>
            <w:bookmarkStart w:id="3" w:name="dnum" w:colFirst="2" w:colLast="2"/>
            <w:bookmarkStart w:id="4" w:name="dmeeting" w:colFirst="0" w:colLast="0"/>
            <w:r>
              <w:rPr>
                <w:lang w:val="en-US"/>
              </w:rPr>
              <w:t>PLENARY MEETING</w:t>
            </w:r>
          </w:p>
        </w:tc>
        <w:tc>
          <w:tcPr>
            <w:tcW w:w="3296" w:type="dxa"/>
            <w:hideMark/>
          </w:tcPr>
          <w:p w14:paraId="25B74B0A" w14:textId="77777777" w:rsidR="00B33579" w:rsidRPr="00B33579" w:rsidRDefault="00B33579" w:rsidP="00B33579">
            <w:pPr>
              <w:tabs>
                <w:tab w:val="left" w:pos="851"/>
              </w:tabs>
              <w:spacing w:before="0"/>
              <w:rPr>
                <w:rFonts w:cs="Calibri"/>
                <w:szCs w:val="24"/>
                <w:lang w:val="es-ES_tradnl"/>
              </w:rPr>
            </w:pPr>
            <w:r w:rsidRPr="00EE28FA">
              <w:rPr>
                <w:rFonts w:ascii="Calibri" w:hAnsi="Calibri"/>
                <w:b/>
                <w:bCs/>
                <w:szCs w:val="24"/>
                <w:lang w:val="es-ES_tradnl"/>
              </w:rPr>
              <w:t>Document WTDC-21/</w:t>
            </w:r>
            <w:r>
              <w:rPr>
                <w:rFonts w:ascii="Calibri" w:hAnsi="Calibri"/>
                <w:b/>
                <w:bCs/>
                <w:szCs w:val="24"/>
                <w:lang w:val="es-ES_tradnl"/>
              </w:rPr>
              <w:t>1</w:t>
            </w:r>
            <w:r w:rsidR="00D67C62">
              <w:rPr>
                <w:rFonts w:ascii="Calibri" w:hAnsi="Calibri"/>
                <w:b/>
                <w:bCs/>
                <w:szCs w:val="24"/>
                <w:lang w:val="es-ES_tradnl"/>
              </w:rPr>
              <w:t>3</w:t>
            </w:r>
            <w:r w:rsidRPr="00EE28FA">
              <w:rPr>
                <w:rFonts w:ascii="Calibri" w:hAnsi="Calibri"/>
                <w:b/>
                <w:bCs/>
                <w:szCs w:val="24"/>
                <w:lang w:val="es-ES_tradnl"/>
              </w:rPr>
              <w:t>-E</w:t>
            </w:r>
          </w:p>
        </w:tc>
      </w:tr>
      <w:tr w:rsidR="00B33579" w14:paraId="795BF849" w14:textId="77777777" w:rsidTr="00B33579">
        <w:trPr>
          <w:cantSplit/>
          <w:trHeight w:val="23"/>
        </w:trPr>
        <w:tc>
          <w:tcPr>
            <w:tcW w:w="6349" w:type="dxa"/>
            <w:gridSpan w:val="2"/>
          </w:tcPr>
          <w:p w14:paraId="70F7581D" w14:textId="77777777" w:rsidR="00B33579" w:rsidRPr="00B33579" w:rsidRDefault="00B33579" w:rsidP="00B33579">
            <w:pPr>
              <w:tabs>
                <w:tab w:val="left" w:pos="851"/>
              </w:tabs>
              <w:spacing w:before="0" w:line="240" w:lineRule="atLeast"/>
              <w:rPr>
                <w:rFonts w:cs="Calibri"/>
                <w:b/>
                <w:szCs w:val="24"/>
                <w:lang w:val="es-ES_tradnl"/>
              </w:rPr>
            </w:pPr>
            <w:bookmarkStart w:id="5" w:name="ddate" w:colFirst="2" w:colLast="2"/>
            <w:bookmarkStart w:id="6" w:name="dblank" w:colFirst="0" w:colLast="0"/>
            <w:bookmarkEnd w:id="3"/>
            <w:bookmarkEnd w:id="4"/>
          </w:p>
        </w:tc>
        <w:tc>
          <w:tcPr>
            <w:tcW w:w="3296" w:type="dxa"/>
            <w:hideMark/>
          </w:tcPr>
          <w:p w14:paraId="5BFC4E7D" w14:textId="77777777" w:rsidR="00B33579" w:rsidRPr="00B33579" w:rsidRDefault="00B0792A" w:rsidP="00B33579">
            <w:pPr>
              <w:spacing w:before="0" w:line="240" w:lineRule="atLeast"/>
              <w:rPr>
                <w:rFonts w:cs="Calibri"/>
                <w:szCs w:val="24"/>
                <w:lang w:val="en-US"/>
              </w:rPr>
            </w:pPr>
            <w:r>
              <w:rPr>
                <w:rFonts w:ascii="Calibri" w:hAnsi="Calibri"/>
                <w:b/>
                <w:bCs/>
                <w:szCs w:val="24"/>
                <w:lang w:val="fr-FR"/>
              </w:rPr>
              <w:t>8</w:t>
            </w:r>
            <w:r w:rsidR="00B33579">
              <w:rPr>
                <w:rFonts w:ascii="Calibri" w:hAnsi="Calibri"/>
                <w:b/>
                <w:bCs/>
                <w:szCs w:val="24"/>
                <w:lang w:val="fr-FR"/>
              </w:rPr>
              <w:t xml:space="preserve"> April 2022</w:t>
            </w:r>
          </w:p>
        </w:tc>
      </w:tr>
      <w:bookmarkEnd w:id="5"/>
      <w:bookmarkEnd w:id="6"/>
      <w:tr w:rsidR="00B33579" w14:paraId="28615722" w14:textId="77777777" w:rsidTr="00B33579">
        <w:trPr>
          <w:cantSplit/>
          <w:trHeight w:val="23"/>
        </w:trPr>
        <w:tc>
          <w:tcPr>
            <w:tcW w:w="6349" w:type="dxa"/>
            <w:gridSpan w:val="2"/>
          </w:tcPr>
          <w:p w14:paraId="5850F16B" w14:textId="77777777" w:rsidR="00B33579" w:rsidRPr="00B33579" w:rsidRDefault="00B33579" w:rsidP="00B33579">
            <w:pPr>
              <w:tabs>
                <w:tab w:val="left" w:pos="851"/>
              </w:tabs>
              <w:spacing w:before="0" w:line="240" w:lineRule="atLeast"/>
              <w:rPr>
                <w:rFonts w:cs="Calibri"/>
                <w:szCs w:val="24"/>
                <w:lang w:val="en-US"/>
              </w:rPr>
            </w:pPr>
          </w:p>
        </w:tc>
        <w:tc>
          <w:tcPr>
            <w:tcW w:w="3296" w:type="dxa"/>
            <w:hideMark/>
          </w:tcPr>
          <w:p w14:paraId="344A7B1A" w14:textId="77777777" w:rsidR="00B33579" w:rsidRPr="00B33579" w:rsidRDefault="00B33579" w:rsidP="00B33579">
            <w:pPr>
              <w:tabs>
                <w:tab w:val="left" w:pos="993"/>
              </w:tabs>
              <w:spacing w:before="0"/>
              <w:rPr>
                <w:rFonts w:cs="Calibri"/>
                <w:b/>
                <w:szCs w:val="24"/>
                <w:lang w:val="en-US"/>
              </w:rPr>
            </w:pPr>
            <w:proofErr w:type="gramStart"/>
            <w:r w:rsidRPr="00EE28FA">
              <w:rPr>
                <w:rFonts w:ascii="Calibri" w:hAnsi="Calibri"/>
                <w:b/>
                <w:bCs/>
                <w:szCs w:val="24"/>
                <w:lang w:val="fr-FR"/>
              </w:rPr>
              <w:t>Original:</w:t>
            </w:r>
            <w:proofErr w:type="gramEnd"/>
            <w:r w:rsidRPr="00EE28FA">
              <w:rPr>
                <w:rFonts w:ascii="Calibri" w:hAnsi="Calibri"/>
                <w:b/>
                <w:bCs/>
                <w:szCs w:val="24"/>
                <w:lang w:val="fr-FR"/>
              </w:rPr>
              <w:t xml:space="preserve"> English</w:t>
            </w:r>
          </w:p>
        </w:tc>
      </w:tr>
      <w:tr w:rsidR="00B33579" w14:paraId="133938FA" w14:textId="77777777" w:rsidTr="00B33579">
        <w:trPr>
          <w:cantSplit/>
          <w:trHeight w:val="23"/>
        </w:trPr>
        <w:tc>
          <w:tcPr>
            <w:tcW w:w="9645" w:type="dxa"/>
            <w:gridSpan w:val="3"/>
            <w:hideMark/>
          </w:tcPr>
          <w:p w14:paraId="39588027" w14:textId="77777777" w:rsidR="00B33579" w:rsidRPr="00B33579" w:rsidRDefault="00B33579" w:rsidP="00B33579">
            <w:pPr>
              <w:pStyle w:val="Source"/>
              <w:spacing w:before="240" w:after="240"/>
              <w:rPr>
                <w:bCs/>
                <w:lang w:val="en-US"/>
              </w:rPr>
            </w:pPr>
            <w:bookmarkStart w:id="7" w:name="dorlang"/>
            <w:bookmarkStart w:id="8" w:name="dbluepink"/>
            <w:r w:rsidRPr="00B33579">
              <w:rPr>
                <w:rFonts w:ascii="Calibri" w:hAnsi="Calibri"/>
                <w:bCs/>
              </w:rPr>
              <w:t>Secretary-General</w:t>
            </w:r>
          </w:p>
        </w:tc>
      </w:tr>
      <w:tr w:rsidR="00B33579" w14:paraId="10BAC247" w14:textId="77777777" w:rsidTr="00B33579">
        <w:trPr>
          <w:cantSplit/>
          <w:trHeight w:val="23"/>
        </w:trPr>
        <w:tc>
          <w:tcPr>
            <w:tcW w:w="9645" w:type="dxa"/>
            <w:gridSpan w:val="3"/>
            <w:vAlign w:val="center"/>
            <w:hideMark/>
          </w:tcPr>
          <w:p w14:paraId="154B9C60" w14:textId="77777777" w:rsidR="00B33579" w:rsidRPr="0072593E" w:rsidRDefault="00D67C62" w:rsidP="00B33579">
            <w:pPr>
              <w:pStyle w:val="Title1"/>
              <w:spacing w:before="120" w:after="120"/>
              <w:rPr>
                <w:rFonts w:ascii="Calibri" w:hAnsi="Calibri" w:cs="Calibri"/>
                <w:caps w:val="0"/>
                <w:lang w:val="en-US"/>
              </w:rPr>
            </w:pPr>
            <w:bookmarkStart w:id="9" w:name="_Hlk100044605"/>
            <w:r w:rsidRPr="0072593E">
              <w:rPr>
                <w:rFonts w:ascii="Calibri" w:hAnsi="Calibri" w:cs="Calibri"/>
                <w:caps w:val="0"/>
                <w:lang w:val="en-US"/>
              </w:rPr>
              <w:t>Financial responsibilities of conferences</w:t>
            </w:r>
          </w:p>
        </w:tc>
      </w:tr>
      <w:tr w:rsidR="00B33579" w14:paraId="2ED32DA6" w14:textId="77777777" w:rsidTr="00B33579">
        <w:trPr>
          <w:cantSplit/>
          <w:trHeight w:val="23"/>
        </w:trPr>
        <w:tc>
          <w:tcPr>
            <w:tcW w:w="9645" w:type="dxa"/>
            <w:gridSpan w:val="3"/>
          </w:tcPr>
          <w:p w14:paraId="67BBE87F" w14:textId="77777777" w:rsidR="00B33579" w:rsidRDefault="00B33579">
            <w:pPr>
              <w:pStyle w:val="Title2"/>
              <w:rPr>
                <w:lang w:val="en-US"/>
              </w:rPr>
            </w:pPr>
            <w:bookmarkStart w:id="10" w:name="_Hlk100043691"/>
            <w:bookmarkEnd w:id="9"/>
          </w:p>
        </w:tc>
        <w:bookmarkEnd w:id="8"/>
      </w:tr>
      <w:bookmarkEnd w:id="7"/>
      <w:tr w:rsidR="00B33579" w14:paraId="24C19CA2" w14:textId="77777777" w:rsidTr="00B33579">
        <w:tc>
          <w:tcPr>
            <w:tcW w:w="9645" w:type="dxa"/>
            <w:gridSpan w:val="3"/>
            <w:tcBorders>
              <w:top w:val="single" w:sz="4" w:space="0" w:color="auto"/>
              <w:left w:val="single" w:sz="4" w:space="0" w:color="auto"/>
              <w:bottom w:val="single" w:sz="4" w:space="0" w:color="auto"/>
              <w:right w:val="single" w:sz="4" w:space="0" w:color="auto"/>
            </w:tcBorders>
            <w:hideMark/>
          </w:tcPr>
          <w:p w14:paraId="768B0727" w14:textId="77777777" w:rsidR="00355FB3" w:rsidRPr="006F5DAD" w:rsidRDefault="00355FB3" w:rsidP="00355FB3">
            <w:pPr>
              <w:pStyle w:val="Title1"/>
              <w:tabs>
                <w:tab w:val="clear" w:pos="1134"/>
                <w:tab w:val="left" w:pos="1985"/>
              </w:tabs>
              <w:spacing w:before="120" w:after="120"/>
              <w:jc w:val="left"/>
              <w:rPr>
                <w:rFonts w:ascii="Calibri" w:hAnsi="Calibri" w:cs="Calibri"/>
                <w:caps w:val="0"/>
                <w:sz w:val="24"/>
                <w:szCs w:val="24"/>
                <w:highlight w:val="yellow"/>
              </w:rPr>
            </w:pPr>
            <w:r w:rsidRPr="006F5DAD">
              <w:rPr>
                <w:rFonts w:ascii="Calibri" w:eastAsia="SimSun" w:hAnsi="Calibri" w:cs="Calibri"/>
                <w:b/>
                <w:bCs/>
                <w:caps w:val="0"/>
                <w:sz w:val="24"/>
                <w:szCs w:val="24"/>
              </w:rPr>
              <w:t>Priority area:</w:t>
            </w:r>
            <w:r w:rsidRPr="006F5DAD">
              <w:rPr>
                <w:rFonts w:ascii="Calibri" w:eastAsia="SimSun" w:hAnsi="Calibri" w:cs="Calibri"/>
                <w:b/>
                <w:bCs/>
                <w:caps w:val="0"/>
                <w:sz w:val="24"/>
                <w:szCs w:val="24"/>
              </w:rPr>
              <w:tab/>
            </w:r>
            <w:r w:rsidRPr="006F5DAD">
              <w:rPr>
                <w:rFonts w:ascii="Calibri" w:hAnsi="Calibri" w:cs="Calibri"/>
                <w:caps w:val="0"/>
                <w:sz w:val="24"/>
                <w:szCs w:val="24"/>
              </w:rPr>
              <w:t>N/A</w:t>
            </w:r>
          </w:p>
          <w:p w14:paraId="4E9E58CE" w14:textId="77777777" w:rsidR="00B33579" w:rsidRDefault="00B33579">
            <w:pPr>
              <w:rPr>
                <w:rFonts w:ascii="Calibri" w:eastAsia="SimSun" w:hAnsi="Calibri" w:cs="Calibri"/>
                <w:b/>
                <w:bCs/>
                <w:szCs w:val="24"/>
                <w:lang w:val="en-US"/>
              </w:rPr>
            </w:pPr>
            <w:r w:rsidRPr="009B29FB">
              <w:rPr>
                <w:rFonts w:ascii="Calibri" w:eastAsia="SimSun" w:hAnsi="Calibri" w:cs="Calibri"/>
                <w:b/>
                <w:bCs/>
                <w:szCs w:val="24"/>
                <w:lang w:val="en-US"/>
              </w:rPr>
              <w:t>Summary:</w:t>
            </w:r>
          </w:p>
          <w:p w14:paraId="2BC1B792" w14:textId="77777777" w:rsidR="00D67C62" w:rsidRPr="009B29FB" w:rsidRDefault="00D67C62">
            <w:pPr>
              <w:rPr>
                <w:rFonts w:ascii="Calibri" w:hAnsi="Calibri" w:cs="Calibri"/>
                <w:szCs w:val="24"/>
                <w:lang w:val="en-US"/>
              </w:rPr>
            </w:pPr>
            <w:r w:rsidRPr="00D67C62">
              <w:rPr>
                <w:rFonts w:ascii="Calibri" w:hAnsi="Calibri" w:cs="Calibri"/>
                <w:szCs w:val="24"/>
                <w:lang w:val="en-US"/>
              </w:rPr>
              <w:t>This document sets forth details on the regulatory framework within which the conference evolves as regards to possible financial implications in adopting decisions or resolutions. The conference shall also remain knowledgeable of the financial limits laid down by the Plenipotentiary Conference before adopting proposals or taking decisions with financial implications.</w:t>
            </w:r>
          </w:p>
          <w:p w14:paraId="41AC229F" w14:textId="77777777" w:rsidR="00B33579" w:rsidRPr="009B29FB" w:rsidRDefault="00B33579">
            <w:pPr>
              <w:rPr>
                <w:rFonts w:ascii="Calibri" w:hAnsi="Calibri" w:cs="Calibri"/>
                <w:szCs w:val="24"/>
                <w:lang w:val="en-US"/>
              </w:rPr>
            </w:pPr>
            <w:r w:rsidRPr="009B29FB">
              <w:rPr>
                <w:rFonts w:ascii="Calibri" w:eastAsia="SimSun" w:hAnsi="Calibri" w:cs="Calibri"/>
                <w:b/>
                <w:bCs/>
                <w:szCs w:val="24"/>
                <w:lang w:val="en-US"/>
              </w:rPr>
              <w:t>Expected results:</w:t>
            </w:r>
          </w:p>
          <w:p w14:paraId="03B90BA7" w14:textId="77777777" w:rsidR="00B33579" w:rsidRPr="009B29FB" w:rsidRDefault="00B33579">
            <w:pPr>
              <w:rPr>
                <w:rFonts w:ascii="Calibri" w:hAnsi="Calibri" w:cs="Calibri"/>
                <w:lang w:val="en-US"/>
              </w:rPr>
            </w:pPr>
            <w:r w:rsidRPr="009B29FB">
              <w:rPr>
                <w:rFonts w:ascii="Calibri" w:hAnsi="Calibri" w:cs="Calibri"/>
                <w:bCs/>
                <w:lang w:val="en-US"/>
              </w:rPr>
              <w:t>WTDC</w:t>
            </w:r>
            <w:r w:rsidRPr="009B29FB">
              <w:rPr>
                <w:rFonts w:ascii="Calibri" w:hAnsi="Calibri" w:cs="Calibri"/>
                <w:b/>
                <w:bCs/>
                <w:lang w:val="en-US"/>
              </w:rPr>
              <w:t xml:space="preserve"> </w:t>
            </w:r>
            <w:r w:rsidRPr="009B29FB">
              <w:rPr>
                <w:rFonts w:ascii="Calibri" w:hAnsi="Calibri" w:cs="Calibri"/>
                <w:lang w:val="en-US"/>
              </w:rPr>
              <w:t>is invited to note this report and provide guidance as deemed appropriate.</w:t>
            </w:r>
          </w:p>
          <w:p w14:paraId="6D00A9A2" w14:textId="77777777" w:rsidR="00B33579" w:rsidRPr="009B29FB" w:rsidRDefault="00B33579">
            <w:pPr>
              <w:rPr>
                <w:rFonts w:ascii="Calibri" w:hAnsi="Calibri" w:cs="Calibri"/>
                <w:szCs w:val="24"/>
                <w:lang w:val="en-US"/>
              </w:rPr>
            </w:pPr>
            <w:r w:rsidRPr="009B29FB">
              <w:rPr>
                <w:rFonts w:ascii="Calibri" w:eastAsia="SimSun" w:hAnsi="Calibri" w:cs="Calibri"/>
                <w:b/>
                <w:bCs/>
                <w:szCs w:val="24"/>
                <w:lang w:val="en-US"/>
              </w:rPr>
              <w:t>References:</w:t>
            </w:r>
          </w:p>
          <w:p w14:paraId="4D788CE2" w14:textId="77777777" w:rsidR="00B33579" w:rsidRPr="009B29FB" w:rsidRDefault="00B0792A">
            <w:pPr>
              <w:rPr>
                <w:rFonts w:ascii="Calibri" w:hAnsi="Calibri" w:cs="Calibri"/>
                <w:szCs w:val="24"/>
                <w:lang w:val="en-US"/>
              </w:rPr>
            </w:pPr>
            <w:r>
              <w:rPr>
                <w:rFonts w:ascii="Calibri" w:hAnsi="Calibri" w:cs="Calibri"/>
                <w:szCs w:val="24"/>
                <w:lang w:val="en-US"/>
              </w:rPr>
              <w:t>N/A</w:t>
            </w:r>
          </w:p>
        </w:tc>
      </w:tr>
    </w:tbl>
    <w:p w14:paraId="32A2C739" w14:textId="77777777" w:rsidR="00B33579" w:rsidRDefault="00B33579" w:rsidP="00DF7D00">
      <w:pPr>
        <w:spacing w:after="120"/>
        <w:ind w:left="-142"/>
        <w:rPr>
          <w:rFonts w:ascii="Calibri" w:hAnsi="Calibri"/>
        </w:rPr>
      </w:pPr>
      <w:bookmarkStart w:id="11" w:name="dsource" w:colFirst="0" w:colLast="0"/>
      <w:bookmarkEnd w:id="0"/>
      <w:bookmarkEnd w:id="10"/>
    </w:p>
    <w:p w14:paraId="29C19D6A" w14:textId="77777777" w:rsidR="00D67C62" w:rsidRPr="006C73CE" w:rsidRDefault="00B33579" w:rsidP="00D67C62">
      <w:pPr>
        <w:rPr>
          <w:rFonts w:ascii="Calibri" w:hAnsi="Calibri"/>
        </w:rPr>
      </w:pPr>
      <w:r>
        <w:rPr>
          <w:rFonts w:ascii="Calibri" w:hAnsi="Calibri"/>
        </w:rPr>
        <w:br w:type="page"/>
      </w:r>
      <w:bookmarkEnd w:id="11"/>
      <w:r w:rsidR="00D67C62">
        <w:rPr>
          <w:rFonts w:ascii="Calibri" w:hAnsi="Calibri"/>
        </w:rPr>
        <w:lastRenderedPageBreak/>
        <w:t>A</w:t>
      </w:r>
      <w:r w:rsidR="00D67C62" w:rsidRPr="006C73CE">
        <w:rPr>
          <w:rFonts w:ascii="Calibri" w:hAnsi="Calibri"/>
        </w:rPr>
        <w:tab/>
        <w:t xml:space="preserve">The attention of the </w:t>
      </w:r>
      <w:r w:rsidR="00D67C62">
        <w:rPr>
          <w:rFonts w:ascii="Calibri" w:hAnsi="Calibri"/>
        </w:rPr>
        <w:t xml:space="preserve">World Telecommunication Development </w:t>
      </w:r>
      <w:r w:rsidR="00D67C62" w:rsidRPr="006C73CE">
        <w:rPr>
          <w:rFonts w:ascii="Calibri" w:hAnsi="Calibri"/>
        </w:rPr>
        <w:t>Conference</w:t>
      </w:r>
      <w:r w:rsidR="00D67C62">
        <w:rPr>
          <w:rFonts w:ascii="Calibri" w:hAnsi="Calibri"/>
        </w:rPr>
        <w:t xml:space="preserve"> (WTDC-21)</w:t>
      </w:r>
      <w:r w:rsidR="00D67C62" w:rsidRPr="006C73CE">
        <w:rPr>
          <w:rFonts w:ascii="Calibri" w:hAnsi="Calibri"/>
        </w:rPr>
        <w:t xml:space="preserve"> is drawn to No. 142 </w:t>
      </w:r>
      <w:r w:rsidR="00D67C62">
        <w:rPr>
          <w:rFonts w:ascii="Calibri" w:hAnsi="Calibri"/>
        </w:rPr>
        <w:t>(</w:t>
      </w:r>
      <w:r w:rsidR="00D67C62" w:rsidRPr="006C73CE">
        <w:rPr>
          <w:rFonts w:ascii="Calibri" w:hAnsi="Calibri"/>
        </w:rPr>
        <w:t>Article 22</w:t>
      </w:r>
      <w:r w:rsidR="00D67C62">
        <w:rPr>
          <w:rFonts w:ascii="Calibri" w:hAnsi="Calibri"/>
        </w:rPr>
        <w:t>)</w:t>
      </w:r>
      <w:r w:rsidR="00D67C62" w:rsidRPr="006C73CE">
        <w:rPr>
          <w:rFonts w:ascii="Calibri" w:hAnsi="Calibri"/>
        </w:rPr>
        <w:t xml:space="preserve"> of the Constitution of the International Telecommunication Union, which stipulates that:</w:t>
      </w:r>
    </w:p>
    <w:p w14:paraId="03C0BED5" w14:textId="77777777" w:rsidR="00D67C62" w:rsidRPr="006C73CE" w:rsidRDefault="00D67C62" w:rsidP="00D67C62">
      <w:pPr>
        <w:tabs>
          <w:tab w:val="left" w:pos="567"/>
          <w:tab w:val="center" w:pos="7088"/>
        </w:tabs>
        <w:rPr>
          <w:rFonts w:ascii="Calibri" w:hAnsi="Calibri"/>
        </w:rPr>
      </w:pPr>
      <w:r w:rsidRPr="006C73CE">
        <w:rPr>
          <w:rFonts w:ascii="Calibri" w:hAnsi="Calibri"/>
        </w:rPr>
        <w:t>“4</w:t>
      </w:r>
      <w:r w:rsidRPr="006C73CE">
        <w:rPr>
          <w:rFonts w:ascii="Calibri" w:hAnsi="Calibri"/>
          <w:b/>
        </w:rPr>
        <w:tab/>
      </w:r>
      <w:r w:rsidRPr="006C73CE">
        <w:rPr>
          <w:rFonts w:ascii="Calibri" w:hAnsi="Calibri"/>
        </w:rPr>
        <w:t xml:space="preserve">Telecommunication development conferences shall not produce Final Acts. Their conclusions shall take the form of resolutions, decisions, recommendations or reports. These conclusions must in all circumstances be in conformity with this Constitution, the Convention and the Administrative Regulations. When adopting resolutions and decisions, the conferences shall </w:t>
      </w:r>
      <w:proofErr w:type="gramStart"/>
      <w:r w:rsidRPr="006C73CE">
        <w:rPr>
          <w:rFonts w:ascii="Calibri" w:hAnsi="Calibri"/>
        </w:rPr>
        <w:t>take into account</w:t>
      </w:r>
      <w:proofErr w:type="gramEnd"/>
      <w:r w:rsidRPr="006C73CE">
        <w:rPr>
          <w:rFonts w:ascii="Calibri" w:hAnsi="Calibri"/>
        </w:rPr>
        <w:t xml:space="preserve"> the foreseeable financial implications and should avoid adopting resolutions and decisions which might give rise to expenditure in excess of the financial limits laid down by the Plenipotentiary Conference.”</w:t>
      </w:r>
    </w:p>
    <w:p w14:paraId="1465A442" w14:textId="77777777" w:rsidR="00D67C62" w:rsidRPr="006C73CE" w:rsidRDefault="00D67C62" w:rsidP="00D67C62">
      <w:pPr>
        <w:rPr>
          <w:rFonts w:ascii="Calibri" w:hAnsi="Calibri"/>
        </w:rPr>
      </w:pPr>
      <w:r>
        <w:rPr>
          <w:rFonts w:ascii="Calibri" w:hAnsi="Calibri"/>
        </w:rPr>
        <w:t>B</w:t>
      </w:r>
      <w:r w:rsidRPr="006C73CE">
        <w:rPr>
          <w:rFonts w:ascii="Calibri" w:hAnsi="Calibri"/>
        </w:rPr>
        <w:tab/>
        <w:t>The attention of the Conference is also drawn to Nos. 488 and 489</w:t>
      </w:r>
      <w:r>
        <w:rPr>
          <w:rFonts w:ascii="Calibri" w:hAnsi="Calibri"/>
        </w:rPr>
        <w:t xml:space="preserve"> (</w:t>
      </w:r>
      <w:r w:rsidRPr="006C73CE">
        <w:rPr>
          <w:rFonts w:ascii="Calibri" w:hAnsi="Calibri"/>
        </w:rPr>
        <w:t>Article 34</w:t>
      </w:r>
      <w:r>
        <w:rPr>
          <w:rFonts w:ascii="Calibri" w:hAnsi="Calibri"/>
        </w:rPr>
        <w:t>)</w:t>
      </w:r>
      <w:r w:rsidRPr="006C73CE">
        <w:rPr>
          <w:rFonts w:ascii="Calibri" w:hAnsi="Calibri"/>
        </w:rPr>
        <w:t xml:space="preserve"> of the Convention of the International Telecommunication Union</w:t>
      </w:r>
      <w:r>
        <w:rPr>
          <w:rFonts w:ascii="Calibri" w:hAnsi="Calibri"/>
        </w:rPr>
        <w:t xml:space="preserve"> </w:t>
      </w:r>
      <w:r w:rsidRPr="006C73CE">
        <w:rPr>
          <w:rFonts w:ascii="Calibri" w:hAnsi="Calibri"/>
        </w:rPr>
        <w:t xml:space="preserve">which </w:t>
      </w:r>
      <w:r>
        <w:rPr>
          <w:rFonts w:ascii="Calibri" w:hAnsi="Calibri"/>
        </w:rPr>
        <w:t xml:space="preserve">provide respectively </w:t>
      </w:r>
      <w:r w:rsidRPr="006C73CE">
        <w:rPr>
          <w:rFonts w:ascii="Calibri" w:hAnsi="Calibri"/>
        </w:rPr>
        <w:t>that:</w:t>
      </w:r>
    </w:p>
    <w:p w14:paraId="1A5B3845" w14:textId="77777777" w:rsidR="00D67C62" w:rsidRPr="006C73CE" w:rsidRDefault="00D67C62" w:rsidP="00D67C62">
      <w:pPr>
        <w:tabs>
          <w:tab w:val="center" w:pos="7088"/>
        </w:tabs>
        <w:rPr>
          <w:rFonts w:ascii="Calibri" w:hAnsi="Calibri"/>
        </w:rPr>
      </w:pPr>
      <w:r w:rsidRPr="006C73CE">
        <w:rPr>
          <w:rFonts w:ascii="Calibri" w:hAnsi="Calibri"/>
        </w:rPr>
        <w:tab/>
      </w:r>
      <w:r>
        <w:rPr>
          <w:rFonts w:ascii="Calibri" w:hAnsi="Calibri"/>
        </w:rPr>
        <w:t>1</w:t>
      </w:r>
      <w:r>
        <w:rPr>
          <w:rFonts w:ascii="Calibri" w:hAnsi="Calibri"/>
        </w:rPr>
        <w:tab/>
      </w:r>
      <w:r w:rsidRPr="006C73CE">
        <w:rPr>
          <w:rFonts w:ascii="Calibri" w:hAnsi="Calibri"/>
        </w:rPr>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14:paraId="388A5CB3" w14:textId="77777777" w:rsidR="00D67C62" w:rsidRDefault="00D67C62" w:rsidP="00D67C62">
      <w:pPr>
        <w:tabs>
          <w:tab w:val="center" w:pos="7088"/>
        </w:tabs>
        <w:rPr>
          <w:rFonts w:ascii="Calibri" w:hAnsi="Calibri"/>
        </w:rPr>
      </w:pPr>
      <w:r w:rsidRPr="006C73CE">
        <w:rPr>
          <w:rFonts w:ascii="Calibri" w:hAnsi="Calibri"/>
        </w:rPr>
        <w:tab/>
      </w:r>
      <w:r>
        <w:rPr>
          <w:rFonts w:ascii="Calibri" w:hAnsi="Calibri"/>
        </w:rPr>
        <w:t>2</w:t>
      </w:r>
      <w:r>
        <w:rPr>
          <w:rFonts w:ascii="Calibri" w:hAnsi="Calibri"/>
        </w:rPr>
        <w:tab/>
      </w:r>
      <w:r w:rsidRPr="006C73CE">
        <w:rPr>
          <w:rFonts w:ascii="Calibri" w:hAnsi="Calibri"/>
        </w:rPr>
        <w:t>No decision of a conference shall be put into effect if it will result in a direct or indirect increase in expenses beyond the credits that the Council is empowered to authorize.</w:t>
      </w:r>
    </w:p>
    <w:p w14:paraId="2F130A42" w14:textId="77777777" w:rsidR="00D67C62" w:rsidRDefault="00D67C62" w:rsidP="00D67C62">
      <w:pPr>
        <w:rPr>
          <w:rFonts w:ascii="Calibri" w:hAnsi="Calibri"/>
        </w:rPr>
      </w:pPr>
      <w:r>
        <w:rPr>
          <w:rFonts w:ascii="Calibri" w:hAnsi="Calibri"/>
        </w:rPr>
        <w:t>C</w:t>
      </w:r>
      <w:r>
        <w:rPr>
          <w:rFonts w:ascii="Calibri" w:hAnsi="Calibri"/>
        </w:rPr>
        <w:tab/>
        <w:t xml:space="preserve">Finally, the attention of the conference is drawn to Resolution 151 (Rev. Dubai, 2018), </w:t>
      </w:r>
      <w:r w:rsidRPr="0086762D">
        <w:rPr>
          <w:rFonts w:ascii="Calibri" w:hAnsi="Calibri"/>
        </w:rPr>
        <w:t>Improvement of results-based management in ITU, resolves to instruct the Secretary-General and the Directors of the three Bureaux</w:t>
      </w:r>
      <w:r w:rsidR="00D63E6D">
        <w:rPr>
          <w:rFonts w:ascii="Calibri" w:hAnsi="Calibri"/>
        </w:rPr>
        <w:t xml:space="preserve"> </w:t>
      </w:r>
      <w:r w:rsidRPr="0086762D">
        <w:rPr>
          <w:rFonts w:ascii="Calibri" w:hAnsi="Calibri"/>
        </w:rPr>
        <w:t>paragraph 4, that states inter alia: “to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r>
        <w:rPr>
          <w:rFonts w:ascii="Calibri" w:hAnsi="Calibri"/>
        </w:rPr>
        <w:t>.</w:t>
      </w:r>
    </w:p>
    <w:p w14:paraId="087D478B" w14:textId="77777777" w:rsidR="00B0792A" w:rsidRDefault="00B0792A" w:rsidP="00B0792A">
      <w:pPr>
        <w:tabs>
          <w:tab w:val="center" w:pos="7088"/>
        </w:tabs>
        <w:spacing w:after="120"/>
        <w:ind w:left="-142"/>
        <w:rPr>
          <w:rFonts w:ascii="Calibri" w:hAnsi="Calibri"/>
        </w:rPr>
      </w:pPr>
    </w:p>
    <w:p w14:paraId="492E5080" w14:textId="77777777" w:rsidR="0076012F" w:rsidRDefault="0076012F" w:rsidP="00B0792A">
      <w:pPr>
        <w:spacing w:after="120"/>
        <w:ind w:left="-142"/>
        <w:jc w:val="center"/>
        <w:rPr>
          <w:b/>
        </w:rPr>
      </w:pPr>
      <w:r w:rsidRPr="000435C0">
        <w:rPr>
          <w:rFonts w:ascii="Calibri" w:hAnsi="Calibri"/>
        </w:rPr>
        <w:t>______________</w:t>
      </w:r>
    </w:p>
    <w:sectPr w:rsidR="0076012F" w:rsidSect="009B35E7">
      <w:headerReference w:type="default" r:id="rId7"/>
      <w:footerReference w:type="first" r:id="rId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AD78" w14:textId="77777777" w:rsidR="0072593E" w:rsidRDefault="0072593E">
      <w:r>
        <w:separator/>
      </w:r>
    </w:p>
  </w:endnote>
  <w:endnote w:type="continuationSeparator" w:id="0">
    <w:p w14:paraId="65C66BB1" w14:textId="77777777" w:rsidR="0072593E" w:rsidRDefault="007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1504"/>
      <w:gridCol w:w="2403"/>
      <w:gridCol w:w="5732"/>
    </w:tblGrid>
    <w:tr w:rsidR="00824F3E" w:rsidRPr="00824F3E" w14:paraId="08F71EF1" w14:textId="77777777" w:rsidTr="006E5504">
      <w:tc>
        <w:tcPr>
          <w:tcW w:w="1504" w:type="dxa"/>
          <w:tcBorders>
            <w:top w:val="single" w:sz="4" w:space="0" w:color="000000"/>
          </w:tcBorders>
        </w:tcPr>
        <w:p w14:paraId="0A06314C" w14:textId="77777777" w:rsidR="00824F3E" w:rsidRPr="00824F3E" w:rsidRDefault="00824F3E" w:rsidP="00824F3E">
          <w:pPr>
            <w:pStyle w:val="FirstFooter"/>
            <w:tabs>
              <w:tab w:val="left" w:pos="1559"/>
              <w:tab w:val="left" w:pos="3828"/>
            </w:tabs>
            <w:rPr>
              <w:rFonts w:ascii="Calibri" w:hAnsi="Calibri"/>
              <w:sz w:val="18"/>
            </w:rPr>
          </w:pPr>
          <w:proofErr w:type="gramStart"/>
          <w:r w:rsidRPr="00824F3E">
            <w:rPr>
              <w:rFonts w:ascii="Calibri" w:hAnsi="Calibri"/>
              <w:sz w:val="18"/>
            </w:rPr>
            <w:t>Contact:</w:t>
          </w:r>
          <w:proofErr w:type="gramEnd"/>
        </w:p>
      </w:tc>
      <w:tc>
        <w:tcPr>
          <w:tcW w:w="2403" w:type="dxa"/>
          <w:tcBorders>
            <w:top w:val="single" w:sz="4" w:space="0" w:color="000000"/>
          </w:tcBorders>
        </w:tcPr>
        <w:p w14:paraId="2A9DF29F"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Name/</w:t>
          </w:r>
          <w:proofErr w:type="spellStart"/>
          <w:r w:rsidRPr="00824F3E">
            <w:rPr>
              <w:rFonts w:ascii="Calibri" w:hAnsi="Calibri"/>
              <w:sz w:val="18"/>
            </w:rPr>
            <w:t>Organization</w:t>
          </w:r>
          <w:proofErr w:type="spellEnd"/>
          <w:r w:rsidRPr="00824F3E">
            <w:rPr>
              <w:rFonts w:ascii="Calibri" w:hAnsi="Calibri"/>
              <w:sz w:val="18"/>
            </w:rPr>
            <w:t>/</w:t>
          </w:r>
          <w:proofErr w:type="spellStart"/>
          <w:proofErr w:type="gramStart"/>
          <w:r w:rsidRPr="00824F3E">
            <w:rPr>
              <w:rFonts w:ascii="Calibri" w:hAnsi="Calibri"/>
              <w:sz w:val="18"/>
            </w:rPr>
            <w:t>Entity</w:t>
          </w:r>
          <w:proofErr w:type="spellEnd"/>
          <w:r w:rsidRPr="00824F3E">
            <w:rPr>
              <w:rFonts w:ascii="Calibri" w:hAnsi="Calibri"/>
              <w:sz w:val="18"/>
            </w:rPr>
            <w:t>:</w:t>
          </w:r>
          <w:proofErr w:type="gramEnd"/>
        </w:p>
      </w:tc>
      <w:tc>
        <w:tcPr>
          <w:tcW w:w="5732" w:type="dxa"/>
          <w:tcBorders>
            <w:top w:val="single" w:sz="4" w:space="0" w:color="000000"/>
          </w:tcBorders>
        </w:tcPr>
        <w:p w14:paraId="08719894" w14:textId="77777777" w:rsidR="00824F3E" w:rsidRPr="00824F3E" w:rsidRDefault="00824F3E" w:rsidP="00824F3E">
          <w:pPr>
            <w:pStyle w:val="FirstFooter"/>
            <w:tabs>
              <w:tab w:val="left" w:pos="2302"/>
            </w:tabs>
            <w:rPr>
              <w:rFonts w:ascii="Calibri" w:hAnsi="Calibri"/>
              <w:sz w:val="18"/>
              <w:lang w:val="en-GB"/>
            </w:rPr>
          </w:pPr>
          <w:r w:rsidRPr="00824F3E">
            <w:rPr>
              <w:rFonts w:ascii="Calibri" w:hAnsi="Calibri"/>
              <w:sz w:val="18"/>
              <w:lang w:val="en-GB"/>
            </w:rPr>
            <w:t>Mr Alassane Ba, Chief, Financial Resources Management Department, International Telecommunication Union, ITU</w:t>
          </w:r>
        </w:p>
      </w:tc>
    </w:tr>
    <w:tr w:rsidR="00824F3E" w:rsidRPr="00824F3E" w14:paraId="6BB7CC5B" w14:textId="77777777" w:rsidTr="006E5504">
      <w:tc>
        <w:tcPr>
          <w:tcW w:w="1504" w:type="dxa"/>
        </w:tcPr>
        <w:p w14:paraId="0B6AA75F" w14:textId="77777777" w:rsidR="00824F3E" w:rsidRPr="00824F3E" w:rsidRDefault="00824F3E" w:rsidP="00824F3E">
          <w:pPr>
            <w:pStyle w:val="FirstFooter"/>
            <w:tabs>
              <w:tab w:val="left" w:pos="1559"/>
              <w:tab w:val="left" w:pos="3828"/>
            </w:tabs>
            <w:rPr>
              <w:rFonts w:ascii="Calibri" w:hAnsi="Calibri"/>
              <w:sz w:val="18"/>
              <w:lang w:val="en-GB"/>
            </w:rPr>
          </w:pPr>
        </w:p>
      </w:tc>
      <w:tc>
        <w:tcPr>
          <w:tcW w:w="2403" w:type="dxa"/>
        </w:tcPr>
        <w:p w14:paraId="15A3943F"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 xml:space="preserve">Phone </w:t>
          </w:r>
          <w:proofErr w:type="spellStart"/>
          <w:proofErr w:type="gramStart"/>
          <w:r w:rsidRPr="00824F3E">
            <w:rPr>
              <w:rFonts w:ascii="Calibri" w:hAnsi="Calibri"/>
              <w:sz w:val="18"/>
            </w:rPr>
            <w:t>number</w:t>
          </w:r>
          <w:proofErr w:type="spellEnd"/>
          <w:r w:rsidRPr="00824F3E">
            <w:rPr>
              <w:rFonts w:ascii="Calibri" w:hAnsi="Calibri"/>
              <w:sz w:val="18"/>
            </w:rPr>
            <w:t>:</w:t>
          </w:r>
          <w:proofErr w:type="gramEnd"/>
        </w:p>
      </w:tc>
      <w:tc>
        <w:tcPr>
          <w:tcW w:w="5732" w:type="dxa"/>
        </w:tcPr>
        <w:p w14:paraId="3F7AF939"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-41 22 730 5253</w:t>
          </w:r>
        </w:p>
      </w:tc>
    </w:tr>
    <w:tr w:rsidR="00824F3E" w:rsidRPr="00824F3E" w14:paraId="6F6D00D5" w14:textId="77777777" w:rsidTr="006E5504">
      <w:tc>
        <w:tcPr>
          <w:tcW w:w="1504" w:type="dxa"/>
        </w:tcPr>
        <w:p w14:paraId="0527B84C" w14:textId="77777777" w:rsidR="00824F3E" w:rsidRPr="00824F3E" w:rsidRDefault="00824F3E" w:rsidP="00824F3E">
          <w:pPr>
            <w:pStyle w:val="FirstFooter"/>
            <w:tabs>
              <w:tab w:val="left" w:pos="1559"/>
              <w:tab w:val="left" w:pos="3828"/>
            </w:tabs>
            <w:rPr>
              <w:rFonts w:ascii="Calibri" w:hAnsi="Calibri"/>
              <w:sz w:val="18"/>
            </w:rPr>
          </w:pPr>
        </w:p>
      </w:tc>
      <w:tc>
        <w:tcPr>
          <w:tcW w:w="2403" w:type="dxa"/>
        </w:tcPr>
        <w:p w14:paraId="5FD5EB30" w14:textId="77777777" w:rsidR="00824F3E" w:rsidRPr="00824F3E" w:rsidRDefault="00824F3E" w:rsidP="00824F3E">
          <w:pPr>
            <w:pStyle w:val="FirstFooter"/>
            <w:tabs>
              <w:tab w:val="left" w:pos="2302"/>
            </w:tabs>
            <w:rPr>
              <w:rFonts w:ascii="Calibri" w:hAnsi="Calibri"/>
              <w:sz w:val="18"/>
            </w:rPr>
          </w:pPr>
          <w:proofErr w:type="gramStart"/>
          <w:r w:rsidRPr="00824F3E">
            <w:rPr>
              <w:rFonts w:ascii="Calibri" w:hAnsi="Calibri"/>
              <w:sz w:val="18"/>
            </w:rPr>
            <w:t>E-mail:</w:t>
          </w:r>
          <w:proofErr w:type="gramEnd"/>
        </w:p>
      </w:tc>
      <w:tc>
        <w:tcPr>
          <w:tcW w:w="5732" w:type="dxa"/>
        </w:tcPr>
        <w:p w14:paraId="2CAC7764" w14:textId="77777777" w:rsidR="00824F3E" w:rsidRPr="00824F3E" w:rsidRDefault="00824F3E" w:rsidP="00824F3E">
          <w:pPr>
            <w:pStyle w:val="FirstFooter"/>
            <w:tabs>
              <w:tab w:val="left" w:pos="2302"/>
            </w:tabs>
            <w:rPr>
              <w:rFonts w:ascii="Calibri" w:hAnsi="Calibri"/>
              <w:sz w:val="18"/>
            </w:rPr>
          </w:pPr>
          <w:hyperlink r:id="rId1" w:history="1">
            <w:r w:rsidRPr="00824F3E">
              <w:rPr>
                <w:rStyle w:val="Hyperlink"/>
                <w:rFonts w:ascii="Calibri" w:hAnsi="Calibri"/>
                <w:sz w:val="18"/>
              </w:rPr>
              <w:t>alassane.ba@itu.int</w:t>
            </w:r>
          </w:hyperlink>
          <w:r w:rsidRPr="00824F3E">
            <w:rPr>
              <w:rFonts w:ascii="Calibri" w:hAnsi="Calibri"/>
              <w:sz w:val="18"/>
            </w:rPr>
            <w:t xml:space="preserve"> </w:t>
          </w:r>
        </w:p>
      </w:tc>
    </w:tr>
  </w:tbl>
  <w:p w14:paraId="43C5CC7C" w14:textId="77777777" w:rsidR="00824F3E" w:rsidRPr="00824F3E" w:rsidRDefault="00824F3E" w:rsidP="00824F3E">
    <w:pPr>
      <w:jc w:val="center"/>
      <w:rPr>
        <w:rFonts w:ascii="Calibri" w:hAnsi="Calibri"/>
      </w:rPr>
    </w:pPr>
    <w:hyperlink r:id="rId2" w:history="1">
      <w:r w:rsidRPr="00824F3E">
        <w:rPr>
          <w:rStyle w:val="Hyperlink"/>
          <w:rFonts w:ascii="Calibri" w:hAnsi="Calibri"/>
          <w:sz w:val="20"/>
        </w:rPr>
        <w:t>WTDC-</w:t>
      </w:r>
      <w:r w:rsidR="00E477C1">
        <w:rPr>
          <w:rStyle w:val="Hyperlink"/>
          <w:rFonts w:ascii="Calibri" w:hAnsi="Calibri"/>
          <w:sz w:val="20"/>
        </w:rPr>
        <w:t>2</w:t>
      </w:r>
      <w:r w:rsidRPr="00824F3E">
        <w:rPr>
          <w:rStyle w:val="Hyperlink"/>
          <w:rFonts w:ascii="Calibri" w:hAnsi="Calibri"/>
          <w:sz w:val="20"/>
        </w:rPr>
        <w:t>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8E0FD" w14:textId="77777777" w:rsidR="0072593E" w:rsidRDefault="0072593E">
      <w:r>
        <w:t>____________________</w:t>
      </w:r>
    </w:p>
  </w:footnote>
  <w:footnote w:type="continuationSeparator" w:id="0">
    <w:p w14:paraId="5B6C77CE" w14:textId="77777777" w:rsidR="0072593E" w:rsidRDefault="0072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34C4" w14:textId="77777777" w:rsidR="00BD093E" w:rsidRPr="00BD093E" w:rsidRDefault="00BD093E" w:rsidP="00BD093E">
    <w:pPr>
      <w:tabs>
        <w:tab w:val="clear" w:pos="794"/>
        <w:tab w:val="clear" w:pos="1191"/>
        <w:tab w:val="clear" w:pos="1588"/>
        <w:tab w:val="clear" w:pos="1985"/>
        <w:tab w:val="center" w:pos="4820"/>
        <w:tab w:val="right" w:pos="9638"/>
      </w:tabs>
      <w:spacing w:before="0" w:after="120"/>
      <w:ind w:right="1"/>
      <w:rPr>
        <w:rFonts w:ascii="Calibri" w:hAnsi="Calibri"/>
        <w:sz w:val="22"/>
        <w:szCs w:val="22"/>
      </w:rPr>
    </w:pPr>
    <w:r w:rsidRPr="00D967B7">
      <w:rPr>
        <w:rFonts w:ascii="Calibri" w:hAnsi="Calibri"/>
        <w:sz w:val="22"/>
        <w:szCs w:val="22"/>
        <w:lang w:val="de-CH"/>
      </w:rPr>
      <w:tab/>
    </w:r>
    <w:r w:rsidRPr="00D967B7">
      <w:rPr>
        <w:rFonts w:ascii="Calibri" w:hAnsi="Calibri"/>
        <w:sz w:val="22"/>
        <w:szCs w:val="22"/>
        <w:lang w:val="de-CH"/>
      </w:rPr>
      <w:t>WTDC-</w:t>
    </w:r>
    <w:r>
      <w:rPr>
        <w:rFonts w:ascii="Calibri" w:hAnsi="Calibri"/>
        <w:sz w:val="22"/>
        <w:szCs w:val="22"/>
        <w:lang w:val="de-CH"/>
      </w:rPr>
      <w:t>2</w:t>
    </w:r>
    <w:r w:rsidRPr="00D967B7">
      <w:rPr>
        <w:rFonts w:ascii="Calibri" w:hAnsi="Calibri"/>
        <w:sz w:val="22"/>
        <w:szCs w:val="22"/>
        <w:lang w:val="de-CH"/>
      </w:rPr>
      <w:t>1/</w:t>
    </w:r>
    <w:r>
      <w:rPr>
        <w:rFonts w:ascii="Calibri" w:hAnsi="Calibri"/>
        <w:sz w:val="22"/>
        <w:szCs w:val="22"/>
        <w:lang w:val="de-CH"/>
      </w:rPr>
      <w:t>1</w:t>
    </w:r>
    <w:r w:rsidR="00D67C62">
      <w:rPr>
        <w:rFonts w:ascii="Calibri" w:hAnsi="Calibri"/>
        <w:sz w:val="22"/>
        <w:szCs w:val="22"/>
        <w:lang w:val="de-CH"/>
      </w:rPr>
      <w:t>3</w:t>
    </w:r>
    <w:r w:rsidRPr="00D967B7">
      <w:rPr>
        <w:rFonts w:ascii="Calibri" w:hAnsi="Calibri"/>
        <w:sz w:val="22"/>
        <w:szCs w:val="22"/>
      </w:rPr>
      <w:t>-E</w:t>
    </w:r>
    <w:r w:rsidRPr="00D967B7">
      <w:rPr>
        <w:rFonts w:ascii="Calibri" w:hAnsi="Calibri"/>
        <w:sz w:val="22"/>
        <w:szCs w:val="22"/>
      </w:rPr>
      <w:tab/>
      <w:t xml:space="preserve">Page </w:t>
    </w:r>
    <w:r w:rsidRPr="00D967B7">
      <w:rPr>
        <w:rFonts w:ascii="Calibri" w:hAnsi="Calibri"/>
        <w:sz w:val="22"/>
        <w:szCs w:val="22"/>
      </w:rPr>
      <w:fldChar w:fldCharType="begin"/>
    </w:r>
    <w:r w:rsidRPr="00D967B7">
      <w:rPr>
        <w:rFonts w:ascii="Calibri" w:hAnsi="Calibri"/>
        <w:sz w:val="22"/>
        <w:szCs w:val="22"/>
      </w:rPr>
      <w:instrText xml:space="preserve"> PAGE </w:instrText>
    </w:r>
    <w:r w:rsidRPr="00D967B7">
      <w:rPr>
        <w:rFonts w:ascii="Calibri" w:hAnsi="Calibri"/>
        <w:sz w:val="22"/>
        <w:szCs w:val="22"/>
      </w:rPr>
      <w:fldChar w:fldCharType="separate"/>
    </w:r>
    <w:r>
      <w:rPr>
        <w:rFonts w:ascii="Calibri" w:hAnsi="Calibri"/>
        <w:sz w:val="22"/>
        <w:szCs w:val="22"/>
      </w:rPr>
      <w:t>2</w:t>
    </w:r>
    <w:r w:rsidRPr="00D967B7">
      <w:rPr>
        <w:rFonts w:ascii="Calibri" w:hAnsi="Calibri"/>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2A4"/>
    <w:rsid w:val="0000600A"/>
    <w:rsid w:val="00026F17"/>
    <w:rsid w:val="00037C81"/>
    <w:rsid w:val="000435C0"/>
    <w:rsid w:val="00055A2A"/>
    <w:rsid w:val="000A17C4"/>
    <w:rsid w:val="000B1A6B"/>
    <w:rsid w:val="000E0E57"/>
    <w:rsid w:val="000E25A9"/>
    <w:rsid w:val="000F6644"/>
    <w:rsid w:val="00137A99"/>
    <w:rsid w:val="00165C42"/>
    <w:rsid w:val="00185135"/>
    <w:rsid w:val="001A00B3"/>
    <w:rsid w:val="001A441E"/>
    <w:rsid w:val="001B20E3"/>
    <w:rsid w:val="001B357F"/>
    <w:rsid w:val="001B7311"/>
    <w:rsid w:val="001C7956"/>
    <w:rsid w:val="001D7D8B"/>
    <w:rsid w:val="001F27A0"/>
    <w:rsid w:val="00200A38"/>
    <w:rsid w:val="0022120F"/>
    <w:rsid w:val="0022754A"/>
    <w:rsid w:val="00257ACD"/>
    <w:rsid w:val="00272CF0"/>
    <w:rsid w:val="002A0AB3"/>
    <w:rsid w:val="002C4E55"/>
    <w:rsid w:val="002D60CD"/>
    <w:rsid w:val="002F05D8"/>
    <w:rsid w:val="002F5E25"/>
    <w:rsid w:val="0030100B"/>
    <w:rsid w:val="00314C40"/>
    <w:rsid w:val="003268B5"/>
    <w:rsid w:val="00335059"/>
    <w:rsid w:val="00341F1A"/>
    <w:rsid w:val="00355FB3"/>
    <w:rsid w:val="0035619F"/>
    <w:rsid w:val="00360B73"/>
    <w:rsid w:val="003D3653"/>
    <w:rsid w:val="00401BFF"/>
    <w:rsid w:val="00412550"/>
    <w:rsid w:val="00420AD5"/>
    <w:rsid w:val="0042677F"/>
    <w:rsid w:val="00455392"/>
    <w:rsid w:val="00492B2B"/>
    <w:rsid w:val="00493B49"/>
    <w:rsid w:val="004A41E4"/>
    <w:rsid w:val="004B1A3C"/>
    <w:rsid w:val="004D35CB"/>
    <w:rsid w:val="004E20E5"/>
    <w:rsid w:val="00514092"/>
    <w:rsid w:val="00515346"/>
    <w:rsid w:val="00534002"/>
    <w:rsid w:val="00545DC0"/>
    <w:rsid w:val="00547697"/>
    <w:rsid w:val="0055720C"/>
    <w:rsid w:val="005656C8"/>
    <w:rsid w:val="00580137"/>
    <w:rsid w:val="0058271F"/>
    <w:rsid w:val="006237F2"/>
    <w:rsid w:val="006443AF"/>
    <w:rsid w:val="0065773F"/>
    <w:rsid w:val="006748F8"/>
    <w:rsid w:val="006B4F3D"/>
    <w:rsid w:val="006D3CAD"/>
    <w:rsid w:val="006D40D5"/>
    <w:rsid w:val="006E5504"/>
    <w:rsid w:val="006E6B0E"/>
    <w:rsid w:val="006F5DAD"/>
    <w:rsid w:val="00706A47"/>
    <w:rsid w:val="00721E57"/>
    <w:rsid w:val="0072593E"/>
    <w:rsid w:val="0076012F"/>
    <w:rsid w:val="007825F5"/>
    <w:rsid w:val="007A4E50"/>
    <w:rsid w:val="007B250E"/>
    <w:rsid w:val="007B2C21"/>
    <w:rsid w:val="007C51FF"/>
    <w:rsid w:val="007D2DE1"/>
    <w:rsid w:val="007F1BE5"/>
    <w:rsid w:val="00800BC1"/>
    <w:rsid w:val="008141E0"/>
    <w:rsid w:val="00824F3E"/>
    <w:rsid w:val="00840400"/>
    <w:rsid w:val="00877FDF"/>
    <w:rsid w:val="00883086"/>
    <w:rsid w:val="0089351F"/>
    <w:rsid w:val="00894C37"/>
    <w:rsid w:val="0089705F"/>
    <w:rsid w:val="008A65F4"/>
    <w:rsid w:val="008A72A4"/>
    <w:rsid w:val="008B2EDF"/>
    <w:rsid w:val="008C4010"/>
    <w:rsid w:val="008F71C1"/>
    <w:rsid w:val="00913756"/>
    <w:rsid w:val="00923D14"/>
    <w:rsid w:val="00951058"/>
    <w:rsid w:val="009571EF"/>
    <w:rsid w:val="00965205"/>
    <w:rsid w:val="0097497B"/>
    <w:rsid w:val="00975786"/>
    <w:rsid w:val="00981964"/>
    <w:rsid w:val="009B29FB"/>
    <w:rsid w:val="009B35E7"/>
    <w:rsid w:val="009B74C9"/>
    <w:rsid w:val="009C6E14"/>
    <w:rsid w:val="009F3940"/>
    <w:rsid w:val="00A53E7C"/>
    <w:rsid w:val="00A705E8"/>
    <w:rsid w:val="00A75743"/>
    <w:rsid w:val="00A81B7D"/>
    <w:rsid w:val="00A9462B"/>
    <w:rsid w:val="00A946A0"/>
    <w:rsid w:val="00AA427D"/>
    <w:rsid w:val="00AB00F0"/>
    <w:rsid w:val="00AB2173"/>
    <w:rsid w:val="00AD7790"/>
    <w:rsid w:val="00AE0F9D"/>
    <w:rsid w:val="00AE5961"/>
    <w:rsid w:val="00B0792A"/>
    <w:rsid w:val="00B33579"/>
    <w:rsid w:val="00B458EE"/>
    <w:rsid w:val="00B52D9F"/>
    <w:rsid w:val="00B879B4"/>
    <w:rsid w:val="00B97BB9"/>
    <w:rsid w:val="00BA458C"/>
    <w:rsid w:val="00BB25EE"/>
    <w:rsid w:val="00BC10A0"/>
    <w:rsid w:val="00BC4102"/>
    <w:rsid w:val="00BD093E"/>
    <w:rsid w:val="00BD426B"/>
    <w:rsid w:val="00BE2318"/>
    <w:rsid w:val="00C10896"/>
    <w:rsid w:val="00C44066"/>
    <w:rsid w:val="00C52B60"/>
    <w:rsid w:val="00C66F4D"/>
    <w:rsid w:val="00CB2A2E"/>
    <w:rsid w:val="00CE5E4D"/>
    <w:rsid w:val="00D01F54"/>
    <w:rsid w:val="00D63E6D"/>
    <w:rsid w:val="00D67C62"/>
    <w:rsid w:val="00D85BB5"/>
    <w:rsid w:val="00D86C2D"/>
    <w:rsid w:val="00D93ACC"/>
    <w:rsid w:val="00D95DAC"/>
    <w:rsid w:val="00DA3458"/>
    <w:rsid w:val="00DE163B"/>
    <w:rsid w:val="00DF3A54"/>
    <w:rsid w:val="00DF7D00"/>
    <w:rsid w:val="00E05209"/>
    <w:rsid w:val="00E06C04"/>
    <w:rsid w:val="00E208F4"/>
    <w:rsid w:val="00E2258E"/>
    <w:rsid w:val="00E350A2"/>
    <w:rsid w:val="00E368F7"/>
    <w:rsid w:val="00E428C4"/>
    <w:rsid w:val="00E43544"/>
    <w:rsid w:val="00E477C1"/>
    <w:rsid w:val="00E66B0E"/>
    <w:rsid w:val="00E8182C"/>
    <w:rsid w:val="00E86933"/>
    <w:rsid w:val="00EA0C21"/>
    <w:rsid w:val="00EA7DE7"/>
    <w:rsid w:val="00ED28CD"/>
    <w:rsid w:val="00EE28FA"/>
    <w:rsid w:val="00F03590"/>
    <w:rsid w:val="00F13B45"/>
    <w:rsid w:val="00F13BCF"/>
    <w:rsid w:val="00F16577"/>
    <w:rsid w:val="00F238B3"/>
    <w:rsid w:val="00F31498"/>
    <w:rsid w:val="00F52109"/>
    <w:rsid w:val="00F53D8A"/>
    <w:rsid w:val="00F61B97"/>
    <w:rsid w:val="00FB4139"/>
    <w:rsid w:val="00FC01D3"/>
    <w:rsid w:val="00FC55C5"/>
    <w:rsid w:val="00FC7D8C"/>
    <w:rsid w:val="00FD75CC"/>
    <w:rsid w:val="00FE2F8B"/>
    <w:rsid w:val="00FE338C"/>
    <w:rsid w:val="00FF74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157436"/>
  <w15:chartTrackingRefBased/>
  <w15:docId w15:val="{2C8C4464-85EF-40F9-BE8A-E7E7A41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120"/>
    </w:pPr>
  </w:style>
  <w:style w:type="paragraph" w:styleId="TOC1">
    <w:name w:val="toc 1"/>
    <w:basedOn w:val="Normal"/>
    <w:semiHidden/>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28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pPr>
      <w:tabs>
        <w:tab w:val="left" w:pos="794"/>
        <w:tab w:val="left" w:pos="1191"/>
        <w:tab w:val="left" w:pos="1588"/>
        <w:tab w:val="left" w:pos="1985"/>
      </w:tabs>
      <w:spacing w:before="80"/>
    </w:pPr>
  </w:style>
  <w:style w:type="paragraph" w:styleId="TOC9">
    <w:name w:val="toc 9"/>
    <w:basedOn w:val="TOC3"/>
    <w:next w:val="Normal"/>
    <w:semiHidden/>
  </w:style>
  <w:style w:type="paragraph" w:customStyle="1" w:styleId="Source">
    <w:name w:val="Source"/>
    <w:basedOn w:val="Normal"/>
    <w:next w:val="Normalaftertitle"/>
    <w:pPr>
      <w:spacing w:before="840" w:after="200"/>
      <w:jc w:val="center"/>
    </w:pPr>
    <w:rPr>
      <w:b/>
      <w:sz w:val="28"/>
    </w:rPr>
  </w:style>
  <w:style w:type="paragraph" w:customStyle="1" w:styleId="Title1">
    <w:name w:val="Title 1"/>
    <w:basedOn w:val="Source"/>
    <w:next w:val="Title2"/>
    <w:link w:val="Title1Char"/>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120"/>
      <w:jc w:val="center"/>
    </w:pPr>
    <w:rPr>
      <w:caps/>
    </w:rPr>
  </w:style>
  <w:style w:type="paragraph" w:customStyle="1" w:styleId="Figuretitle">
    <w:name w:val="Figure_title"/>
    <w:basedOn w:val="Tabletitle"/>
    <w:next w:val="Normal"/>
    <w:pPr>
      <w:keepNext w:val="0"/>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character" w:styleId="PageNumber">
    <w:name w:val="page number"/>
    <w:basedOn w:val="DefaultParagraphFont"/>
  </w:style>
  <w:style w:type="paragraph" w:styleId="BalloonText">
    <w:name w:val="Balloon Text"/>
    <w:basedOn w:val="Normal"/>
    <w:link w:val="BalloonTextChar"/>
    <w:rsid w:val="00877FDF"/>
    <w:pPr>
      <w:spacing w:before="0"/>
    </w:pPr>
    <w:rPr>
      <w:rFonts w:ascii="Tahoma" w:hAnsi="Tahoma" w:cs="Tahoma"/>
      <w:sz w:val="16"/>
      <w:szCs w:val="16"/>
    </w:rPr>
  </w:style>
  <w:style w:type="character" w:customStyle="1" w:styleId="BalloonTextChar">
    <w:name w:val="Balloon Text Char"/>
    <w:link w:val="BalloonText"/>
    <w:rsid w:val="00877FDF"/>
    <w:rPr>
      <w:rFonts w:ascii="Tahoma" w:hAnsi="Tahoma" w:cs="Tahoma"/>
      <w:sz w:val="16"/>
      <w:szCs w:val="16"/>
      <w:lang w:val="en-GB" w:eastAsia="en-US"/>
    </w:rPr>
  </w:style>
  <w:style w:type="paragraph" w:styleId="Revision">
    <w:name w:val="Revision"/>
    <w:hidden/>
    <w:uiPriority w:val="99"/>
    <w:semiHidden/>
    <w:rsid w:val="006237F2"/>
    <w:rPr>
      <w:rFonts w:ascii="Times New Roman" w:hAnsi="Times New Roman"/>
      <w:sz w:val="24"/>
      <w:lang w:eastAsia="en-US"/>
    </w:rPr>
  </w:style>
  <w:style w:type="paragraph" w:customStyle="1" w:styleId="Committee">
    <w:name w:val="Committee"/>
    <w:basedOn w:val="Normal"/>
    <w:qFormat/>
    <w:rsid w:val="00A946A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Calibri" w:hAnsi="Calibri" w:cs="Calibri"/>
      <w:b/>
      <w:szCs w:val="24"/>
    </w:rPr>
  </w:style>
  <w:style w:type="character" w:styleId="Hyperlink">
    <w:name w:val="Hyperlink"/>
    <w:uiPriority w:val="99"/>
    <w:rsid w:val="00824F3E"/>
    <w:rPr>
      <w:color w:val="0000FF"/>
      <w:u w:val="single"/>
    </w:rPr>
  </w:style>
  <w:style w:type="character" w:customStyle="1" w:styleId="Title1Char">
    <w:name w:val="Title 1 Char"/>
    <w:link w:val="Title1"/>
    <w:locked/>
    <w:rsid w:val="00355FB3"/>
    <w:rPr>
      <w:rFonts w:ascii="Times New Roman" w:hAnsi="Times New Roman"/>
      <w: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3374">
      <w:bodyDiv w:val="1"/>
      <w:marLeft w:val="0"/>
      <w:marRight w:val="0"/>
      <w:marTop w:val="0"/>
      <w:marBottom w:val="0"/>
      <w:divBdr>
        <w:top w:val="none" w:sz="0" w:space="0" w:color="auto"/>
        <w:left w:val="none" w:sz="0" w:space="0" w:color="auto"/>
        <w:bottom w:val="none" w:sz="0" w:space="0" w:color="auto"/>
        <w:right w:val="none" w:sz="0" w:space="0" w:color="auto"/>
      </w:divBdr>
    </w:div>
    <w:div w:id="4846665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sor\Application%20Data\Microsoft\Templates\POOL%20E%20-%20ITU\PE_WTDC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PE_WTDC06.DOT</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NOTE BY THE SECRETARY-GENERAL: CONTRIBUTION TO THE EXPENSES OF THE CONFERENCE</vt:lpstr>
    </vt:vector>
  </TitlesOfParts>
  <Manager>General Secretariat - Pool</Manager>
  <Company>International Telecommunication Union (ITU)</Company>
  <LinksUpToDate>false</LinksUpToDate>
  <CharactersWithSpaces>2879</CharactersWithSpaces>
  <SharedDoc>false</SharedDoc>
  <HLinks>
    <vt:vector size="12" baseType="variant">
      <vt:variant>
        <vt:i4>3473450</vt:i4>
      </vt:variant>
      <vt:variant>
        <vt:i4>6</vt:i4>
      </vt:variant>
      <vt:variant>
        <vt:i4>0</vt:i4>
      </vt:variant>
      <vt:variant>
        <vt:i4>5</vt:i4>
      </vt:variant>
      <vt:variant>
        <vt:lpwstr>http://www.itu.int/en/ITU-D/Conferences/WTDC/WTDC17/Pages/default.aspx</vt:lpwstr>
      </vt:variant>
      <vt:variant>
        <vt:lpwstr/>
      </vt:variant>
      <vt:variant>
        <vt:i4>3211335</vt:i4>
      </vt:variant>
      <vt:variant>
        <vt:i4>3</vt:i4>
      </vt:variant>
      <vt:variant>
        <vt:i4>0</vt:i4>
      </vt:variant>
      <vt:variant>
        <vt:i4>5</vt:i4>
      </vt:variant>
      <vt:variant>
        <vt:lpwstr>mailto:alassane.ba@itu.int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BY THE SECRETARY-GENERAL: CONTRIBUTION TO THE EXPENSES OF THE CONFERENCE</dc:title>
  <dc:subject>World Telecommunication Development Conference (WTDC-02)</dc:subject>
  <dc:creator>ITU</dc:creator>
  <cp:keywords>WTDC-2002</cp:keywords>
  <dc:description>Document 121-E  For: COMMITTEE 2_x000d_Document date: 25 January 2006_x000d_Saved by PER43395 at 11:30:07 on 22.02.2006</dc:description>
  <cp:lastModifiedBy>BDT-nd</cp:lastModifiedBy>
  <cp:revision>2</cp:revision>
  <cp:lastPrinted>2010-02-08T13:44:00Z</cp:lastPrinted>
  <dcterms:created xsi:type="dcterms:W3CDTF">2022-05-26T09:07:00Z</dcterms:created>
  <dcterms:modified xsi:type="dcterms:W3CDTF">2022-05-26T09:07:00Z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121-E</vt:lpwstr>
  </property>
  <property fmtid="{D5CDD505-2E9C-101B-9397-08002B2CF9AE}" pid="3" name="Docdate">
    <vt:lpwstr>25 January 2006</vt:lpwstr>
  </property>
  <property fmtid="{D5CDD505-2E9C-101B-9397-08002B2CF9AE}" pid="4" name="Docorlang">
    <vt:lpwstr>Original: French</vt:lpwstr>
  </property>
  <property fmtid="{D5CDD505-2E9C-101B-9397-08002B2CF9AE}" pid="5" name="Docdest">
    <vt:lpwstr>COMMITTEE 2</vt:lpwstr>
  </property>
  <property fmtid="{D5CDD505-2E9C-101B-9397-08002B2CF9AE}" pid="6" name="Docauthor">
    <vt:lpwstr>ITU</vt:lpwstr>
  </property>
  <property fmtid="{D5CDD505-2E9C-101B-9397-08002B2CF9AE}" pid="7" name="Docbluepink">
    <vt:lpwstr>Agenda item:</vt:lpwstr>
  </property>
</Properties>
</file>