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04A4FDA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7E4E08B4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30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19-23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20FA33B0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文件</w:t>
            </w:r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1C1A3E">
              <w:rPr>
                <w:b/>
                <w:bCs/>
                <w:lang w:val="en-US"/>
              </w:rPr>
              <w:t>2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423E15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162D5894" w:rsidR="00683C32" w:rsidRPr="00423E15" w:rsidRDefault="00CE0422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423E15">
              <w:rPr>
                <w:b/>
                <w:bCs/>
                <w:szCs w:val="28"/>
              </w:rPr>
              <w:t>20</w:t>
            </w:r>
            <w:r w:rsidR="00B648C7" w:rsidRPr="00423E15">
              <w:rPr>
                <w:b/>
                <w:bCs/>
                <w:szCs w:val="28"/>
              </w:rPr>
              <w:t>2</w:t>
            </w:r>
            <w:r w:rsidR="00307769" w:rsidRPr="00423E15">
              <w:rPr>
                <w:b/>
                <w:bCs/>
                <w:szCs w:val="28"/>
              </w:rPr>
              <w:t>3</w:t>
            </w:r>
            <w:r w:rsidR="00966BA6" w:rsidRPr="00423E15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1C1A3E" w:rsidRPr="00423E15">
              <w:rPr>
                <w:b/>
                <w:bCs/>
                <w:szCs w:val="28"/>
              </w:rPr>
              <w:t>5</w:t>
            </w:r>
            <w:r w:rsidR="00966BA6" w:rsidRPr="00423E15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1C1A3E" w:rsidRPr="00423E15">
              <w:rPr>
                <w:b/>
                <w:bCs/>
                <w:szCs w:val="28"/>
              </w:rPr>
              <w:t>22</w:t>
            </w:r>
            <w:r w:rsidR="00966BA6" w:rsidRPr="00423E15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567C527F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:rsidRPr="00F853CC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78DE8062" w14:textId="77777777" w:rsidR="004A38FB" w:rsidRPr="00F853CC" w:rsidRDefault="004A38FB" w:rsidP="0030353C">
            <w:pPr>
              <w:pStyle w:val="Source"/>
              <w:rPr>
                <w:rFonts w:ascii="Calibri" w:eastAsia="SimSun" w:hAnsi="Calibri" w:cs="Calibri"/>
                <w:lang w:eastAsia="zh-CN"/>
              </w:rPr>
            </w:pPr>
            <w:bookmarkStart w:id="3" w:name="Source"/>
            <w:bookmarkEnd w:id="3"/>
          </w:p>
          <w:p w14:paraId="512FCA01" w14:textId="72105D77" w:rsidR="00A13162" w:rsidRPr="00F853CC" w:rsidRDefault="001C1A3E" w:rsidP="0030353C">
            <w:pPr>
              <w:pStyle w:val="Source"/>
              <w:rPr>
                <w:rFonts w:ascii="Calibri" w:eastAsia="SimSun" w:hAnsi="Calibri" w:cs="Calibri"/>
                <w:lang w:eastAsia="zh-CN"/>
              </w:rPr>
            </w:pPr>
            <w:r w:rsidRPr="00F853CC">
              <w:rPr>
                <w:rFonts w:ascii="Calibri" w:eastAsia="SimSun" w:hAnsi="Calibri" w:cs="Calibri" w:hint="eastAsia"/>
                <w:lang w:eastAsia="zh-CN"/>
              </w:rPr>
              <w:t>电信发展局主任</w:t>
            </w:r>
          </w:p>
        </w:tc>
      </w:tr>
      <w:tr w:rsidR="00AC6F14" w:rsidRPr="00F853CC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58E5C1D6" w14:textId="7207CEBB" w:rsidR="001C1A3E" w:rsidRPr="00F853CC" w:rsidRDefault="001C1A3E" w:rsidP="00F853CC">
            <w:pPr>
              <w:pStyle w:val="Title1"/>
              <w:rPr>
                <w:rFonts w:ascii="Calibri" w:eastAsia="SimSun" w:hAnsi="Calibri" w:cs="Calibri"/>
                <w:color w:val="202124"/>
                <w:szCs w:val="28"/>
                <w:lang w:val="en-US" w:eastAsia="zh-CN"/>
              </w:rPr>
            </w:pPr>
            <w:bookmarkStart w:id="4" w:name="Title"/>
            <w:bookmarkEnd w:id="4"/>
            <w:r w:rsidRPr="00F853CC">
              <w:rPr>
                <w:rFonts w:ascii="Calibri" w:eastAsia="SimSun" w:hAnsi="Calibri" w:cs="Calibri" w:hint="eastAsia"/>
                <w:color w:val="202124"/>
                <w:szCs w:val="28"/>
                <w:lang w:val="en-US" w:eastAsia="zh-CN"/>
              </w:rPr>
              <w:t>报告</w:t>
            </w:r>
            <w:r w:rsidR="00A6351D" w:rsidRPr="00F853CC">
              <w:rPr>
                <w:rFonts w:ascii="Calibri" w:eastAsia="SimSun" w:hAnsi="Calibri" w:cs="Calibri"/>
                <w:color w:val="202124"/>
                <w:szCs w:val="28"/>
                <w:lang w:val="en-US" w:eastAsia="zh-CN"/>
              </w:rPr>
              <w:t>2022</w:t>
            </w:r>
            <w:r w:rsidR="00A6351D" w:rsidRPr="00F853CC">
              <w:rPr>
                <w:rFonts w:ascii="Calibri" w:eastAsia="SimSun" w:hAnsi="Calibri" w:cs="Calibri" w:hint="eastAsia"/>
                <w:color w:val="202124"/>
                <w:szCs w:val="28"/>
                <w:lang w:val="en-US" w:eastAsia="zh-CN"/>
              </w:rPr>
              <w:t>年世界电信发展大会（</w:t>
            </w:r>
            <w:r w:rsidRPr="00F853CC">
              <w:rPr>
                <w:rFonts w:ascii="Calibri" w:eastAsia="SimSun" w:hAnsi="Calibri" w:cs="Calibri" w:hint="eastAsia"/>
                <w:color w:val="202124"/>
                <w:szCs w:val="28"/>
                <w:lang w:val="en-US" w:eastAsia="zh-CN"/>
              </w:rPr>
              <w:t>WTDC-22</w:t>
            </w:r>
            <w:r w:rsidR="00A6351D" w:rsidRPr="00F853CC">
              <w:rPr>
                <w:rFonts w:ascii="Calibri" w:eastAsia="SimSun" w:hAnsi="Calibri" w:cs="Calibri" w:hint="eastAsia"/>
                <w:color w:val="202124"/>
                <w:szCs w:val="28"/>
                <w:lang w:val="en-US" w:eastAsia="zh-CN"/>
              </w:rPr>
              <w:t>）《</w:t>
            </w:r>
            <w:r w:rsidRPr="00F853CC">
              <w:rPr>
                <w:rFonts w:ascii="Calibri" w:eastAsia="SimSun" w:hAnsi="Calibri" w:cs="Calibri" w:hint="eastAsia"/>
                <w:color w:val="202124"/>
                <w:szCs w:val="28"/>
                <w:lang w:val="en-US" w:eastAsia="zh-CN"/>
              </w:rPr>
              <w:t>基加利行动计划</w:t>
            </w:r>
            <w:r w:rsidR="00A6351D" w:rsidRPr="00F853CC">
              <w:rPr>
                <w:rFonts w:ascii="Calibri" w:eastAsia="SimSun" w:hAnsi="Calibri" w:cs="Calibri" w:hint="eastAsia"/>
                <w:color w:val="202124"/>
                <w:szCs w:val="28"/>
                <w:lang w:val="en-US" w:eastAsia="zh-CN"/>
              </w:rPr>
              <w:t>》</w:t>
            </w:r>
            <w:r w:rsidRPr="00F853CC">
              <w:rPr>
                <w:rFonts w:ascii="Calibri" w:eastAsia="SimSun" w:hAnsi="Calibri" w:cs="Calibri" w:hint="eastAsia"/>
                <w:color w:val="202124"/>
                <w:szCs w:val="28"/>
                <w:lang w:val="en-US" w:eastAsia="zh-CN"/>
              </w:rPr>
              <w:t>（包括区域性举措）的实施情况，以及对实施</w:t>
            </w:r>
            <w:r w:rsidR="00A6351D" w:rsidRPr="00F853CC">
              <w:rPr>
                <w:rFonts w:ascii="Calibri" w:eastAsia="SimSun" w:hAnsi="Calibri" w:cs="Calibri" w:hint="eastAsia"/>
                <w:color w:val="202124"/>
                <w:szCs w:val="28"/>
                <w:lang w:val="en-US" w:eastAsia="zh-CN"/>
              </w:rPr>
              <w:t>信息社会世界峰会（</w:t>
            </w:r>
            <w:r w:rsidRPr="00F853CC">
              <w:rPr>
                <w:rFonts w:ascii="Calibri" w:eastAsia="SimSun" w:hAnsi="Calibri" w:cs="Calibri" w:hint="eastAsia"/>
                <w:color w:val="202124"/>
                <w:szCs w:val="28"/>
                <w:lang w:val="en-US" w:eastAsia="zh-CN"/>
              </w:rPr>
              <w:t>WSIS</w:t>
            </w:r>
            <w:r w:rsidR="00A6351D" w:rsidRPr="00F853CC">
              <w:rPr>
                <w:rFonts w:ascii="Calibri" w:eastAsia="SimSun" w:hAnsi="Calibri" w:cs="Calibri" w:hint="eastAsia"/>
                <w:color w:val="202124"/>
                <w:szCs w:val="28"/>
                <w:lang w:val="en-US" w:eastAsia="zh-CN"/>
              </w:rPr>
              <w:t>）</w:t>
            </w:r>
            <w:r w:rsidRPr="00F853CC">
              <w:rPr>
                <w:rFonts w:ascii="Calibri" w:eastAsia="SimSun" w:hAnsi="Calibri" w:cs="Calibri" w:hint="eastAsia"/>
                <w:color w:val="202124"/>
                <w:szCs w:val="28"/>
                <w:lang w:val="en-US" w:eastAsia="zh-CN"/>
              </w:rPr>
              <w:t>行动计划和可持续发展目标（</w:t>
            </w:r>
            <w:r w:rsidRPr="00F853CC">
              <w:rPr>
                <w:rFonts w:ascii="Calibri" w:eastAsia="SimSun" w:hAnsi="Calibri" w:cs="Calibri" w:hint="eastAsia"/>
                <w:color w:val="202124"/>
                <w:szCs w:val="28"/>
                <w:lang w:val="en-US" w:eastAsia="zh-CN"/>
              </w:rPr>
              <w:t>SDGS</w:t>
            </w:r>
            <w:r w:rsidRPr="00F853CC">
              <w:rPr>
                <w:rFonts w:ascii="Calibri" w:eastAsia="SimSun" w:hAnsi="Calibri" w:cs="Calibri" w:hint="eastAsia"/>
                <w:color w:val="202124"/>
                <w:szCs w:val="28"/>
                <w:lang w:val="en-US" w:eastAsia="zh-CN"/>
              </w:rPr>
              <w:t>）的贡献</w:t>
            </w:r>
          </w:p>
          <w:p w14:paraId="1B4121DF" w14:textId="6D0B9821" w:rsidR="00AC6F14" w:rsidRPr="00F853CC" w:rsidRDefault="00AC6F14" w:rsidP="0030353C">
            <w:pPr>
              <w:pStyle w:val="Title1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A721F4" w:rsidRPr="00F853CC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F853CC" w:rsidRDefault="00A721F4" w:rsidP="0030353C">
            <w:pPr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A721F4" w:rsidRPr="00F853CC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B950E32" w:rsidR="00A721F4" w:rsidRPr="00F853CC" w:rsidRDefault="00966BA6" w:rsidP="00423E15">
            <w:pPr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</w:pPr>
            <w:r w:rsidRPr="00F853CC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概要：</w:t>
            </w:r>
          </w:p>
          <w:p w14:paraId="54438690" w14:textId="3B253570" w:rsidR="007B2B99" w:rsidRPr="00F853CC" w:rsidRDefault="007B2B99" w:rsidP="00423E15">
            <w:pPr>
              <w:ind w:firstLineChars="200" w:firstLine="480"/>
              <w:rPr>
                <w:rFonts w:ascii="Calibri" w:eastAsia="SimSun" w:hAnsi="Calibri" w:cs="Calibri"/>
                <w:lang w:eastAsia="zh-CN"/>
              </w:rPr>
            </w:pPr>
            <w:r w:rsidRPr="00F853CC">
              <w:rPr>
                <w:rFonts w:ascii="Calibri" w:eastAsia="SimSun" w:hAnsi="Calibri" w:cs="Calibri" w:hint="eastAsia"/>
                <w:lang w:eastAsia="zh-CN"/>
              </w:rPr>
              <w:t>202</w:t>
            </w:r>
            <w:r w:rsidRPr="00F853CC">
              <w:rPr>
                <w:rFonts w:ascii="Calibri" w:eastAsia="SimSun" w:hAnsi="Calibri" w:cs="Calibri"/>
                <w:lang w:eastAsia="zh-CN"/>
              </w:rPr>
              <w:t>2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年国际电联世界电信发展大会于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2022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年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6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月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6-16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日在卢旺达基加利召开，并通过了《基加利行动计划》（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KAP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）。该计划包括</w:t>
            </w:r>
            <w:r w:rsidR="001D60F8" w:rsidRPr="00F853CC">
              <w:rPr>
                <w:rFonts w:ascii="Calibri" w:eastAsia="SimSun" w:hAnsi="Calibri" w:cs="Calibri" w:hint="eastAsia"/>
                <w:lang w:eastAsia="zh-CN"/>
              </w:rPr>
              <w:t>国际电联发展部门（</w:t>
            </w:r>
            <w:r w:rsidR="001D60F8" w:rsidRPr="00F853CC">
              <w:rPr>
                <w:rFonts w:ascii="Calibri" w:eastAsia="SimSun" w:hAnsi="Calibri" w:cs="Calibri" w:hint="eastAsia"/>
                <w:lang w:eastAsia="zh-CN"/>
              </w:rPr>
              <w:t>ITU-D</w:t>
            </w:r>
            <w:r w:rsidR="001D60F8" w:rsidRPr="00F853CC">
              <w:rPr>
                <w:rFonts w:ascii="Calibri" w:eastAsia="SimSun" w:hAnsi="Calibri" w:cs="Calibri" w:hint="eastAsia"/>
                <w:lang w:eastAsia="zh-CN"/>
              </w:rPr>
              <w:t>）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优先事项、一整套区域性举措以及新的和修订的决议、建议</w:t>
            </w:r>
            <w:r w:rsidR="00F06960" w:rsidRPr="00F853CC">
              <w:rPr>
                <w:rFonts w:ascii="Calibri" w:eastAsia="SimSun" w:hAnsi="Calibri" w:cs="Calibri" w:hint="eastAsia"/>
                <w:lang w:eastAsia="zh-CN"/>
              </w:rPr>
              <w:t>书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和研究组课题，确定了国际电联发展部门（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ITU-D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）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2023-2026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年期间的职责、目标和优先事项。它还使发展部门的工作与国际电联的战略目标保持一致，使各国能够充分利用信息通信技术（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ICT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）的优势。</w:t>
            </w:r>
          </w:p>
          <w:p w14:paraId="56A70776" w14:textId="144C9E45" w:rsidR="00A6351D" w:rsidRPr="00F853CC" w:rsidRDefault="00A6351D" w:rsidP="00423E15">
            <w:pPr>
              <w:ind w:firstLineChars="200" w:firstLine="480"/>
              <w:rPr>
                <w:rStyle w:val="y2iqfc"/>
                <w:rFonts w:ascii="Calibri" w:eastAsia="SimSun" w:hAnsi="Calibri" w:cs="Calibri"/>
                <w:color w:val="202124"/>
                <w:szCs w:val="24"/>
                <w:lang w:eastAsia="zh-CN"/>
              </w:rPr>
            </w:pPr>
            <w:r w:rsidRPr="00F853CC">
              <w:rPr>
                <w:rFonts w:ascii="Calibri" w:eastAsia="SimSun" w:hAnsi="Calibri" w:cs="Calibri" w:hint="eastAsia"/>
                <w:lang w:eastAsia="zh-CN"/>
              </w:rPr>
              <w:t>本文件报告了</w:t>
            </w:r>
            <w:r w:rsidR="00F06960" w:rsidRPr="00F853CC">
              <w:rPr>
                <w:rFonts w:ascii="Calibri" w:eastAsia="SimSun" w:hAnsi="Calibri" w:cs="Calibri" w:hint="eastAsia"/>
                <w:lang w:eastAsia="zh-CN"/>
              </w:rPr>
              <w:t>《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布宜诺斯艾利斯行动计划</w:t>
            </w:r>
            <w:r w:rsidR="00F06960" w:rsidRPr="00F853CC">
              <w:rPr>
                <w:rFonts w:ascii="Calibri" w:eastAsia="SimSun" w:hAnsi="Calibri" w:cs="Calibri" w:hint="eastAsia"/>
                <w:lang w:eastAsia="zh-CN"/>
              </w:rPr>
              <w:t>》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（</w:t>
            </w:r>
            <w:r w:rsidR="0070595E" w:rsidRPr="00F853CC">
              <w:rPr>
                <w:rFonts w:ascii="Calibri" w:eastAsia="SimSun" w:hAnsi="Calibri" w:cs="Calibri" w:hint="eastAsia"/>
                <w:lang w:eastAsia="zh-CN"/>
              </w:rPr>
              <w:t>2</w:t>
            </w:r>
            <w:r w:rsidR="0070595E" w:rsidRPr="00F853CC">
              <w:rPr>
                <w:rFonts w:ascii="Calibri" w:eastAsia="SimSun" w:hAnsi="Calibri" w:cs="Calibri"/>
                <w:lang w:eastAsia="zh-CN"/>
              </w:rPr>
              <w:t>017</w:t>
            </w:r>
            <w:r w:rsidR="0070595E" w:rsidRPr="00F853CC">
              <w:rPr>
                <w:rFonts w:ascii="Calibri" w:eastAsia="SimSun" w:hAnsi="Calibri" w:cs="Calibri" w:hint="eastAsia"/>
                <w:lang w:eastAsia="zh-CN"/>
              </w:rPr>
              <w:t>年世界电信发展大会（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WTDC-17</w:t>
            </w:r>
            <w:r w:rsidR="0070595E" w:rsidRPr="00F853CC">
              <w:rPr>
                <w:rFonts w:ascii="Calibri" w:eastAsia="SimSun" w:hAnsi="Calibri" w:cs="Calibri" w:hint="eastAsia"/>
                <w:lang w:eastAsia="zh-CN"/>
              </w:rPr>
              <w:t>）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通过）的实施结束，该计划的完成涵盖了电信发展局（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BDT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）从</w:t>
            </w:r>
            <w:r w:rsidR="004D7881" w:rsidRPr="00F853CC">
              <w:rPr>
                <w:rFonts w:ascii="Calibri" w:eastAsia="SimSun" w:hAnsi="Calibri" w:cs="Calibri" w:hint="eastAsia"/>
                <w:lang w:eastAsia="zh-CN"/>
              </w:rPr>
              <w:t>202</w:t>
            </w:r>
            <w:r w:rsidR="004D7881" w:rsidRPr="00F853CC">
              <w:rPr>
                <w:rFonts w:ascii="Calibri" w:eastAsia="SimSun" w:hAnsi="Calibri" w:cs="Calibri"/>
                <w:lang w:eastAsia="zh-CN"/>
              </w:rPr>
              <w:t>2</w:t>
            </w:r>
            <w:r w:rsidR="004D7881" w:rsidRPr="00F853CC">
              <w:rPr>
                <w:rFonts w:ascii="Calibri" w:eastAsia="SimSun" w:hAnsi="Calibri" w:cs="Calibri" w:hint="eastAsia"/>
                <w:lang w:eastAsia="zh-CN"/>
              </w:rPr>
              <w:t>年世界电信发展大会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到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2022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年底的工作以及</w:t>
            </w:r>
            <w:r w:rsidR="00F06960" w:rsidRPr="00F853CC">
              <w:rPr>
                <w:rFonts w:ascii="Calibri" w:eastAsia="SimSun" w:hAnsi="Calibri" w:cs="Calibri" w:hint="eastAsia"/>
                <w:lang w:eastAsia="zh-CN"/>
              </w:rPr>
              <w:t>电信发展局在</w:t>
            </w:r>
            <w:r w:rsidR="00F06960" w:rsidRPr="00F853CC">
              <w:rPr>
                <w:rFonts w:ascii="Calibri" w:eastAsia="SimSun" w:hAnsi="Calibri" w:cs="Calibri" w:hint="eastAsia"/>
                <w:lang w:eastAsia="zh-CN"/>
              </w:rPr>
              <w:t>202</w:t>
            </w:r>
            <w:r w:rsidR="0073585E">
              <w:rPr>
                <w:rFonts w:ascii="Calibri" w:eastAsia="SimSun" w:hAnsi="Calibri" w:cs="Calibri"/>
                <w:lang w:eastAsia="zh-CN"/>
              </w:rPr>
              <w:t>3</w:t>
            </w:r>
            <w:r w:rsidR="00F06960" w:rsidRPr="00F853CC">
              <w:rPr>
                <w:rFonts w:ascii="Calibri" w:eastAsia="SimSun" w:hAnsi="Calibri" w:cs="Calibri" w:hint="eastAsia"/>
                <w:lang w:eastAsia="zh-CN"/>
              </w:rPr>
              <w:t>年</w:t>
            </w:r>
            <w:r w:rsidR="00F06960" w:rsidRPr="00F853CC">
              <w:rPr>
                <w:rFonts w:ascii="Calibri" w:eastAsia="SimSun" w:hAnsi="Calibri" w:cs="Calibri" w:hint="eastAsia"/>
                <w:lang w:eastAsia="zh-CN"/>
              </w:rPr>
              <w:t>1</w:t>
            </w:r>
            <w:r w:rsidR="00F06960" w:rsidRPr="00F853CC">
              <w:rPr>
                <w:rFonts w:ascii="Calibri" w:eastAsia="SimSun" w:hAnsi="Calibri" w:cs="Calibri"/>
                <w:lang w:eastAsia="zh-CN"/>
              </w:rPr>
              <w:t>-</w:t>
            </w:r>
            <w:r w:rsidR="00F06960" w:rsidRPr="00F853CC">
              <w:rPr>
                <w:rFonts w:ascii="Calibri" w:eastAsia="SimSun" w:hAnsi="Calibri" w:cs="Calibri" w:hint="eastAsia"/>
                <w:lang w:eastAsia="zh-CN"/>
              </w:rPr>
              <w:t>4</w:t>
            </w:r>
            <w:r w:rsidR="00F06960" w:rsidRPr="00F853CC">
              <w:rPr>
                <w:rFonts w:ascii="Calibri" w:eastAsia="SimSun" w:hAnsi="Calibri" w:cs="Calibri" w:hint="eastAsia"/>
                <w:lang w:eastAsia="zh-CN"/>
              </w:rPr>
              <w:t>月期间有效实施</w:t>
            </w:r>
            <w:r w:rsidR="006E2574" w:rsidRPr="00F853CC">
              <w:rPr>
                <w:rFonts w:ascii="Calibri" w:eastAsia="SimSun" w:hAnsi="Calibri" w:cs="Calibri" w:hint="eastAsia"/>
                <w:lang w:eastAsia="zh-CN"/>
              </w:rPr>
              <w:t>《基加利行动计划》</w:t>
            </w:r>
            <w:r w:rsidRPr="00F853CC">
              <w:rPr>
                <w:rFonts w:ascii="Calibri" w:eastAsia="SimSun" w:hAnsi="Calibri" w:cs="Calibri" w:hint="eastAsia"/>
                <w:lang w:eastAsia="zh-CN"/>
              </w:rPr>
              <w:t>已完成的工作。</w:t>
            </w:r>
          </w:p>
          <w:p w14:paraId="60D62BAE" w14:textId="45D5EEBC" w:rsidR="00A6351D" w:rsidRPr="00F853CC" w:rsidRDefault="003703E2" w:rsidP="00423E15">
            <w:pPr>
              <w:rPr>
                <w:rStyle w:val="y2iqfc"/>
                <w:rFonts w:ascii="Calibri" w:eastAsia="SimSun" w:hAnsi="Calibri" w:cs="Calibri"/>
                <w:color w:val="202124"/>
                <w:szCs w:val="24"/>
                <w:lang w:eastAsia="zh-CN"/>
              </w:rPr>
            </w:pPr>
            <w:r w:rsidRPr="00F853CC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需采取的行动：</w:t>
            </w:r>
          </w:p>
          <w:p w14:paraId="1356AF0B" w14:textId="1917A802" w:rsidR="00A6351D" w:rsidRPr="00F853CC" w:rsidRDefault="006E2574" w:rsidP="00F853CC">
            <w:pPr>
              <w:ind w:firstLineChars="200" w:firstLine="480"/>
              <w:rPr>
                <w:rStyle w:val="y2iqfc"/>
                <w:rFonts w:ascii="Calibri" w:eastAsia="SimSun" w:hAnsi="Calibri" w:cs="Calibri"/>
                <w:color w:val="202124"/>
                <w:szCs w:val="24"/>
                <w:lang w:eastAsia="zh-CN"/>
              </w:rPr>
            </w:pPr>
            <w:r w:rsidRPr="00F853CC">
              <w:rPr>
                <w:rStyle w:val="y2iqfc"/>
                <w:rFonts w:ascii="Calibri" w:eastAsia="SimSun" w:hAnsi="Calibri" w:cs="Calibri" w:hint="eastAsia"/>
                <w:color w:val="202124"/>
                <w:szCs w:val="24"/>
                <w:lang w:eastAsia="zh-CN"/>
              </w:rPr>
              <w:t>请电信发展顾问组</w:t>
            </w:r>
            <w:r w:rsidR="00A6351D" w:rsidRPr="00F853CC">
              <w:rPr>
                <w:rStyle w:val="y2iqfc"/>
                <w:rFonts w:ascii="Calibri" w:eastAsia="SimSun" w:hAnsi="Calibri" w:cs="Calibri" w:hint="eastAsia"/>
                <w:color w:val="202124"/>
                <w:szCs w:val="24"/>
                <w:lang w:eastAsia="zh-CN"/>
              </w:rPr>
              <w:t>：</w:t>
            </w:r>
          </w:p>
          <w:p w14:paraId="5449107F" w14:textId="23E5CE38" w:rsidR="00423E15" w:rsidRPr="00F853CC" w:rsidRDefault="00423E15" w:rsidP="00423E15">
            <w:pPr>
              <w:pStyle w:val="ListParagraph"/>
              <w:numPr>
                <w:ilvl w:val="0"/>
                <w:numId w:val="3"/>
              </w:numPr>
              <w:spacing w:before="60" w:after="60"/>
              <w:ind w:left="357" w:hanging="357"/>
              <w:contextualSpacing w:val="0"/>
              <w:rPr>
                <w:rFonts w:ascii="Calibri" w:eastAsia="SimSun" w:hAnsi="Calibri" w:cs="Calibri"/>
                <w:lang w:eastAsia="zh-CN"/>
              </w:rPr>
            </w:pPr>
            <w:r w:rsidRPr="00F853CC">
              <w:rPr>
                <w:rStyle w:val="y2iqfc"/>
                <w:rFonts w:ascii="Calibri" w:eastAsia="SimSun" w:hAnsi="Calibri" w:cs="Calibri" w:hint="eastAsia"/>
                <w:color w:val="202124"/>
                <w:szCs w:val="24"/>
                <w:lang w:eastAsia="zh-CN"/>
              </w:rPr>
              <w:t>检查本报告并提供适当的指导。</w:t>
            </w:r>
          </w:p>
          <w:p w14:paraId="120AA94A" w14:textId="7CCEC5DA" w:rsidR="00423E15" w:rsidRPr="00F853CC" w:rsidRDefault="00423E15" w:rsidP="00423E15">
            <w:pPr>
              <w:pStyle w:val="ListParagraph"/>
              <w:numPr>
                <w:ilvl w:val="0"/>
                <w:numId w:val="3"/>
              </w:numPr>
              <w:spacing w:before="60" w:after="60"/>
              <w:ind w:left="357" w:hanging="357"/>
              <w:contextualSpacing w:val="0"/>
              <w:rPr>
                <w:rFonts w:ascii="Calibri" w:eastAsia="SimSun" w:hAnsi="Calibri" w:cs="Calibri"/>
                <w:lang w:eastAsia="zh-CN"/>
              </w:rPr>
            </w:pPr>
            <w:r w:rsidRPr="00F853CC">
              <w:rPr>
                <w:rStyle w:val="y2iqfc"/>
                <w:rFonts w:ascii="Calibri" w:eastAsia="SimSun" w:hAnsi="Calibri" w:cs="Calibri" w:hint="eastAsia"/>
                <w:color w:val="202124"/>
                <w:szCs w:val="24"/>
                <w:lang w:eastAsia="zh-CN"/>
              </w:rPr>
              <w:t>考虑并批准附录</w:t>
            </w:r>
            <w:r w:rsidRPr="00F853CC">
              <w:rPr>
                <w:rStyle w:val="y2iqfc"/>
                <w:rFonts w:ascii="Calibri" w:eastAsia="SimSun" w:hAnsi="Calibri" w:cs="Calibri"/>
                <w:color w:val="202124"/>
                <w:szCs w:val="24"/>
                <w:lang w:eastAsia="zh-CN"/>
              </w:rPr>
              <w:t>2</w:t>
            </w:r>
            <w:r w:rsidRPr="00F853CC">
              <w:rPr>
                <w:rStyle w:val="y2iqfc"/>
                <w:rFonts w:ascii="Calibri" w:eastAsia="SimSun" w:hAnsi="Calibri" w:cs="Calibri" w:hint="eastAsia"/>
                <w:color w:val="202124"/>
                <w:szCs w:val="24"/>
                <w:lang w:eastAsia="zh-CN"/>
              </w:rPr>
              <w:t>中描述的可衡量的关键绩效指标，以评估《基加利行动计划》要实现的成果。</w:t>
            </w:r>
          </w:p>
          <w:p w14:paraId="63356E8B" w14:textId="794CCD7D" w:rsidR="00A6351D" w:rsidRPr="00F853CC" w:rsidRDefault="003703E2" w:rsidP="00655322">
            <w:pPr>
              <w:rPr>
                <w:rStyle w:val="y2iqfc"/>
                <w:rFonts w:ascii="Calibri" w:eastAsia="SimSun" w:hAnsi="Calibri" w:cs="Calibri"/>
                <w:color w:val="202124"/>
                <w:szCs w:val="24"/>
                <w:lang w:eastAsia="zh-CN"/>
              </w:rPr>
            </w:pPr>
            <w:r w:rsidRPr="00F853CC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参考文件：</w:t>
            </w:r>
          </w:p>
          <w:p w14:paraId="13DEC1A3" w14:textId="42250965" w:rsidR="00A6351D" w:rsidRPr="00F853CC" w:rsidRDefault="00A6351D" w:rsidP="004A38FB">
            <w:pPr>
              <w:pStyle w:val="HTMLPreformatted"/>
              <w:rPr>
                <w:rStyle w:val="y2iqfc"/>
                <w:rFonts w:ascii="Calibri" w:eastAsia="SimSun" w:hAnsi="Calibri" w:cs="Calibri"/>
                <w:color w:val="202124"/>
                <w:sz w:val="24"/>
                <w:szCs w:val="24"/>
              </w:rPr>
            </w:pPr>
            <w:r w:rsidRPr="00F853CC">
              <w:rPr>
                <w:rStyle w:val="y2iqfc"/>
                <w:rFonts w:ascii="Calibri" w:eastAsia="SimSun" w:hAnsi="Calibri" w:cs="Calibri" w:hint="eastAsia"/>
                <w:color w:val="202124"/>
                <w:sz w:val="24"/>
                <w:szCs w:val="24"/>
              </w:rPr>
              <w:t>WTDC-17</w:t>
            </w:r>
            <w:r w:rsidRPr="00F853CC">
              <w:rPr>
                <w:rStyle w:val="y2iqfc"/>
                <w:rFonts w:ascii="Calibri" w:eastAsia="SimSun" w:hAnsi="Calibri" w:cs="Calibri" w:hint="eastAsia"/>
                <w:color w:val="202124"/>
                <w:sz w:val="24"/>
                <w:szCs w:val="24"/>
              </w:rPr>
              <w:t>布宜诺斯艾利斯行动计划</w:t>
            </w:r>
          </w:p>
          <w:p w14:paraId="63B73659" w14:textId="21E6335F" w:rsidR="00A6351D" w:rsidRPr="00F853CC" w:rsidRDefault="00A6351D" w:rsidP="004A38FB">
            <w:pPr>
              <w:pStyle w:val="HTMLPreformatted"/>
              <w:rPr>
                <w:rStyle w:val="y2iqfc"/>
                <w:rFonts w:ascii="Calibri" w:eastAsia="SimSun" w:hAnsi="Calibri" w:cs="Calibri"/>
                <w:color w:val="202124"/>
                <w:sz w:val="24"/>
                <w:szCs w:val="24"/>
              </w:rPr>
            </w:pPr>
            <w:r w:rsidRPr="00F853CC">
              <w:rPr>
                <w:rStyle w:val="y2iqfc"/>
                <w:rFonts w:ascii="Calibri" w:eastAsia="SimSun" w:hAnsi="Calibri" w:cs="Calibri" w:hint="eastAsia"/>
                <w:color w:val="202124"/>
                <w:sz w:val="24"/>
                <w:szCs w:val="24"/>
              </w:rPr>
              <w:t>WTDC-22</w:t>
            </w:r>
            <w:r w:rsidRPr="00F853CC">
              <w:rPr>
                <w:rStyle w:val="y2iqfc"/>
                <w:rFonts w:ascii="Calibri" w:eastAsia="SimSun" w:hAnsi="Calibri" w:cs="Calibri" w:hint="eastAsia"/>
                <w:color w:val="202124"/>
                <w:sz w:val="24"/>
                <w:szCs w:val="24"/>
              </w:rPr>
              <w:t>基加利行动计划</w:t>
            </w:r>
          </w:p>
          <w:p w14:paraId="1ECDD20E" w14:textId="624877A7" w:rsidR="00A721F4" w:rsidRPr="00F853CC" w:rsidRDefault="00A6351D" w:rsidP="006E2574">
            <w:pPr>
              <w:pStyle w:val="HTMLPreformatted"/>
              <w:rPr>
                <w:rFonts w:ascii="Calibri" w:eastAsia="SimSun" w:hAnsi="Calibri" w:cs="Calibri"/>
                <w:szCs w:val="24"/>
              </w:rPr>
            </w:pPr>
            <w:r w:rsidRPr="00F853CC">
              <w:rPr>
                <w:rStyle w:val="y2iqfc"/>
                <w:rFonts w:ascii="Calibri" w:eastAsia="SimSun" w:hAnsi="Calibri" w:cs="Calibri" w:hint="eastAsia"/>
                <w:color w:val="202124"/>
                <w:sz w:val="24"/>
                <w:szCs w:val="24"/>
              </w:rPr>
              <w:t>WTDC-22</w:t>
            </w:r>
            <w:r w:rsidR="00655322" w:rsidRPr="00F853CC">
              <w:rPr>
                <w:rStyle w:val="y2iqfc"/>
                <w:rFonts w:ascii="Calibri" w:eastAsia="SimSun" w:hAnsi="Calibri" w:cs="Calibri" w:hint="eastAsia"/>
                <w:color w:val="202124"/>
                <w:sz w:val="24"/>
                <w:szCs w:val="24"/>
              </w:rPr>
              <w:t>第</w:t>
            </w:r>
            <w:r w:rsidR="004D7881" w:rsidRPr="00F853CC">
              <w:rPr>
                <w:rStyle w:val="y2iqfc"/>
                <w:rFonts w:ascii="Calibri" w:eastAsia="SimSun" w:hAnsi="Calibri" w:cs="Calibri"/>
                <w:color w:val="202124"/>
                <w:sz w:val="24"/>
                <w:szCs w:val="24"/>
              </w:rPr>
              <w:t>2</w:t>
            </w:r>
            <w:r w:rsidR="008475D7" w:rsidRPr="00F853CC">
              <w:rPr>
                <w:rStyle w:val="y2iqfc"/>
                <w:rFonts w:ascii="Calibri" w:eastAsia="SimSun" w:hAnsi="Calibri" w:cs="Calibri" w:hint="eastAsia"/>
                <w:color w:val="202124"/>
                <w:sz w:val="24"/>
                <w:szCs w:val="24"/>
              </w:rPr>
              <w:t>号</w:t>
            </w:r>
            <w:r w:rsidR="0070595E" w:rsidRPr="00F853CC">
              <w:rPr>
                <w:rStyle w:val="y2iqfc"/>
                <w:rFonts w:ascii="Calibri" w:eastAsia="SimSun" w:hAnsi="Calibri" w:cs="Calibri" w:hint="eastAsia"/>
                <w:color w:val="202124"/>
                <w:sz w:val="24"/>
                <w:szCs w:val="24"/>
              </w:rPr>
              <w:t>文件</w:t>
            </w:r>
          </w:p>
        </w:tc>
      </w:tr>
    </w:tbl>
    <w:p w14:paraId="77CF718B" w14:textId="77777777" w:rsidR="00AC6F14" w:rsidRPr="00F853CC" w:rsidRDefault="00AC6F14" w:rsidP="00EA0C51">
      <w:pPr>
        <w:spacing w:after="120"/>
        <w:rPr>
          <w:rFonts w:ascii="Calibri" w:eastAsia="SimSun" w:hAnsi="Calibri" w:cs="Calibri"/>
          <w:szCs w:val="24"/>
          <w:lang w:eastAsia="zh-CN"/>
        </w:rPr>
      </w:pPr>
    </w:p>
    <w:p w14:paraId="01664CE5" w14:textId="1C024C1E" w:rsidR="00FF1C94" w:rsidRPr="00F853CC" w:rsidRDefault="00194417" w:rsidP="00194417">
      <w:pPr>
        <w:pStyle w:val="Heading1"/>
        <w:rPr>
          <w:rFonts w:ascii="Calibri" w:eastAsia="SimSun" w:hAnsi="Calibri" w:cs="Calibri"/>
          <w:sz w:val="24"/>
          <w:szCs w:val="24"/>
        </w:rPr>
      </w:pPr>
      <w:r w:rsidRPr="00F853CC">
        <w:rPr>
          <w:rFonts w:ascii="Calibri" w:eastAsia="SimSun" w:hAnsi="Calibri" w:cs="Calibri" w:hint="eastAsia"/>
          <w:sz w:val="24"/>
          <w:szCs w:val="24"/>
          <w:lang w:eastAsia="zh-CN"/>
        </w:rPr>
        <w:lastRenderedPageBreak/>
        <w:t>1</w:t>
      </w:r>
      <w:r w:rsidRPr="00F853CC">
        <w:rPr>
          <w:rFonts w:ascii="Calibri" w:eastAsia="SimSun" w:hAnsi="Calibri" w:cs="Calibri"/>
          <w:sz w:val="24"/>
          <w:szCs w:val="24"/>
          <w:lang w:eastAsia="zh-CN"/>
        </w:rPr>
        <w:tab/>
      </w:r>
      <w:r w:rsidR="00216C2C" w:rsidRPr="00F853CC">
        <w:rPr>
          <w:rFonts w:ascii="Calibri" w:eastAsia="SimSun" w:hAnsi="Calibri" w:cs="Calibri" w:hint="eastAsia"/>
          <w:sz w:val="24"/>
          <w:szCs w:val="24"/>
          <w:lang w:eastAsia="zh-CN"/>
        </w:rPr>
        <w:t>引言</w:t>
      </w:r>
    </w:p>
    <w:p w14:paraId="4CA0AF81" w14:textId="6CD29D23" w:rsidR="00FF1C94" w:rsidRPr="00F853CC" w:rsidRDefault="00FF1C94" w:rsidP="00194417">
      <w:pPr>
        <w:rPr>
          <w:rFonts w:ascii="Calibri" w:eastAsia="SimSun" w:hAnsi="Calibri" w:cs="Calibri"/>
          <w:szCs w:val="24"/>
          <w:lang w:eastAsia="zh-CN"/>
        </w:rPr>
      </w:pPr>
      <w:r w:rsidRPr="00F853CC">
        <w:rPr>
          <w:rFonts w:ascii="Calibri" w:eastAsia="SimSun" w:hAnsi="Calibri" w:cs="Calibri"/>
          <w:szCs w:val="24"/>
          <w:lang w:eastAsia="zh-CN"/>
        </w:rPr>
        <w:t>1.1</w:t>
      </w:r>
      <w:r w:rsidRPr="00F853CC">
        <w:rPr>
          <w:rFonts w:ascii="Calibri" w:eastAsia="SimSun" w:hAnsi="Calibri" w:cs="Calibri"/>
          <w:szCs w:val="24"/>
          <w:lang w:eastAsia="zh-CN"/>
        </w:rPr>
        <w:tab/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2022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年国际电联世界电信发展大会于</w:t>
      </w:r>
      <w:r w:rsidR="004D7881" w:rsidRPr="00F853CC">
        <w:rPr>
          <w:rStyle w:val="y2iqfc"/>
          <w:rFonts w:ascii="Calibri" w:eastAsia="SimSun" w:hAnsi="Calibri" w:cs="Calibri"/>
          <w:color w:val="202124"/>
          <w:szCs w:val="24"/>
          <w:lang w:eastAsia="zh-CN"/>
        </w:rPr>
        <w:t>2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022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6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月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6</w:t>
      </w:r>
      <w:r w:rsidR="004D7881" w:rsidRPr="00F853CC">
        <w:rPr>
          <w:rStyle w:val="y2iqfc"/>
          <w:rFonts w:ascii="Calibri" w:eastAsia="SimSun" w:hAnsi="Calibri" w:cs="Calibri"/>
          <w:color w:val="202124"/>
          <w:szCs w:val="24"/>
          <w:lang w:eastAsia="zh-CN"/>
        </w:rPr>
        <w:t>-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16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日在卢旺达基加利召开，并通过了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ITU-D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部门的行动计划，即</w:t>
      </w:r>
      <w:r w:rsidR="00216C2C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基加利行动计划</w:t>
      </w:r>
      <w:r w:rsidR="00216C2C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》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（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KAP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）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。</w:t>
      </w:r>
    </w:p>
    <w:p w14:paraId="4B79B830" w14:textId="60C48CB9" w:rsidR="00FF1C94" w:rsidRPr="00F853CC" w:rsidRDefault="00FF1C94" w:rsidP="00194417">
      <w:pPr>
        <w:rPr>
          <w:rFonts w:ascii="Calibri" w:eastAsia="SimSun" w:hAnsi="Calibri" w:cs="Calibri"/>
          <w:color w:val="000000"/>
          <w:szCs w:val="24"/>
          <w:lang w:eastAsia="zh-CN"/>
        </w:rPr>
      </w:pPr>
      <w:r w:rsidRPr="00F853CC">
        <w:rPr>
          <w:rFonts w:ascii="Calibri" w:eastAsia="SimSun" w:hAnsi="Calibri" w:cs="Calibri"/>
          <w:color w:val="000000"/>
          <w:szCs w:val="24"/>
          <w:lang w:eastAsia="zh-CN"/>
        </w:rPr>
        <w:t>1.2</w:t>
      </w:r>
      <w:r w:rsidRPr="00F853CC">
        <w:rPr>
          <w:rFonts w:ascii="Calibri" w:eastAsia="SimSun" w:hAnsi="Calibri" w:cs="Calibri"/>
          <w:color w:val="000000"/>
          <w:szCs w:val="24"/>
          <w:lang w:eastAsia="zh-CN"/>
        </w:rPr>
        <w:tab/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根据国际电联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2024-2027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年战略计划中定义的主题优先事项、产品和服务产品以及推动因素，</w:t>
      </w:r>
      <w:r w:rsidR="006C33A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《基加利行动计划</w:t>
      </w:r>
      <w:r w:rsidR="004D788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》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将</w:t>
      </w:r>
      <w:r w:rsidR="00216C2C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ITU-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D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的工作与国际电联与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ITU</w:t>
      </w:r>
      <w:r w:rsidR="006C33A1" w:rsidRPr="00F853CC">
        <w:rPr>
          <w:rStyle w:val="y2iqfc"/>
          <w:rFonts w:ascii="Calibri" w:eastAsia="SimSun" w:hAnsi="Calibri" w:cs="Calibri"/>
          <w:color w:val="202124"/>
          <w:szCs w:val="24"/>
          <w:lang w:eastAsia="zh-CN"/>
        </w:rPr>
        <w:t>-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D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职责、区域</w:t>
      </w:r>
      <w:r w:rsidR="00216C2C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性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举措和研究课题相关的决议和建议书保持一致并绘制图表</w:t>
      </w:r>
      <w:r w:rsidR="00216C2C" w:rsidRPr="00F853CC">
        <w:rPr>
          <w:rStyle w:val="y2iqfc"/>
          <w:rFonts w:ascii="Calibri" w:eastAsia="SimSun" w:hAnsi="Calibri" w:cs="Calibri" w:hint="eastAsia"/>
          <w:color w:val="202124"/>
          <w:szCs w:val="24"/>
          <w:lang w:val="en-US" w:eastAsia="zh-CN"/>
        </w:rPr>
        <w:t>。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该行动计划还描绘了其对信息社会世界峰会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（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WSIS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）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行动方针和总体联合国可持续发展目标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（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SDG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）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的贡献。</w:t>
      </w:r>
      <w:r w:rsidR="006C33A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《基加利行动计划》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的详细概述包含在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TDAG-23</w:t>
      </w:r>
      <w:r w:rsidR="00216C2C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第</w:t>
      </w:r>
      <w:r w:rsidR="00216C2C" w:rsidRPr="00F853CC">
        <w:rPr>
          <w:rStyle w:val="y2iqfc"/>
          <w:rFonts w:ascii="Calibri" w:eastAsia="SimSun" w:hAnsi="Calibri" w:cs="Calibri"/>
          <w:color w:val="202124"/>
          <w:szCs w:val="24"/>
          <w:lang w:eastAsia="zh-CN"/>
        </w:rPr>
        <w:t>15</w:t>
      </w:r>
      <w:r w:rsidR="00216C2C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号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文件中。</w:t>
      </w:r>
    </w:p>
    <w:p w14:paraId="179BE3F4" w14:textId="6F576D78" w:rsidR="00FF1C94" w:rsidRPr="00F853CC" w:rsidRDefault="00FF1C94" w:rsidP="00194417">
      <w:pPr>
        <w:rPr>
          <w:rFonts w:ascii="Calibri" w:eastAsia="SimSun" w:hAnsi="Calibri" w:cs="Calibri"/>
          <w:szCs w:val="24"/>
          <w:lang w:eastAsia="zh-CN"/>
        </w:rPr>
      </w:pPr>
      <w:r w:rsidRPr="00F853CC">
        <w:rPr>
          <w:rFonts w:ascii="Calibri" w:eastAsia="SimSun" w:hAnsi="Calibri" w:cs="Calibri"/>
          <w:color w:val="000000"/>
          <w:szCs w:val="24"/>
          <w:lang w:eastAsia="zh-CN"/>
        </w:rPr>
        <w:t>1.3</w:t>
      </w:r>
      <w:r w:rsidRPr="00F853CC">
        <w:rPr>
          <w:rFonts w:ascii="Calibri" w:eastAsia="SimSun" w:hAnsi="Calibri" w:cs="Calibri"/>
          <w:color w:val="000000"/>
          <w:szCs w:val="24"/>
          <w:lang w:eastAsia="zh-CN"/>
        </w:rPr>
        <w:tab/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本文件报告了自</w:t>
      </w:r>
      <w:r w:rsidR="006C33A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2022</w:t>
      </w:r>
      <w:r w:rsidR="006C33A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年世界电信发展大会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以来电信发展局为完成实施</w:t>
      </w:r>
      <w:r w:rsidR="006B3B6E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</w:t>
      </w:r>
      <w:r w:rsidR="006B3B6E" w:rsidRPr="00F853CC">
        <w:rPr>
          <w:rStyle w:val="y2iqfc"/>
          <w:rFonts w:ascii="Calibri" w:eastAsia="SimSun" w:hAnsi="Calibri" w:cs="Calibri"/>
          <w:color w:val="202124"/>
          <w:szCs w:val="24"/>
          <w:lang w:eastAsia="zh-CN"/>
        </w:rPr>
        <w:t>17</w:t>
      </w:r>
      <w:r w:rsidR="006B3B6E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年世界电信发展大会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制定的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布宜诺斯艾利斯行动计划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》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（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BAAP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）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以及规划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 xml:space="preserve"> </w:t>
      </w:r>
      <w:r w:rsidR="006C33A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《基加利行动计划》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的实施所做的工作。</w:t>
      </w:r>
    </w:p>
    <w:p w14:paraId="5284CB4D" w14:textId="6B049069" w:rsidR="00FF1C94" w:rsidRPr="00F853CC" w:rsidRDefault="00FF1C94" w:rsidP="00194417">
      <w:pPr>
        <w:pStyle w:val="Heading1"/>
        <w:rPr>
          <w:rFonts w:ascii="Calibri" w:eastAsia="SimSun" w:hAnsi="Calibri" w:cs="Calibri"/>
          <w:b w:val="0"/>
          <w:bCs/>
          <w:color w:val="000000"/>
          <w:szCs w:val="24"/>
          <w:lang w:eastAsia="zh-CN"/>
        </w:rPr>
      </w:pPr>
      <w:r w:rsidRPr="00F853CC">
        <w:rPr>
          <w:rFonts w:ascii="Calibri" w:eastAsia="SimSun" w:hAnsi="Calibri" w:cs="Calibri"/>
          <w:bCs/>
          <w:color w:val="000000"/>
          <w:szCs w:val="24"/>
          <w:lang w:eastAsia="zh-CN"/>
        </w:rPr>
        <w:t>2</w:t>
      </w:r>
      <w:r w:rsidRPr="00F853CC">
        <w:rPr>
          <w:rFonts w:ascii="Calibri" w:eastAsia="SimSun" w:hAnsi="Calibri" w:cs="Calibri"/>
          <w:bCs/>
          <w:color w:val="000000"/>
          <w:szCs w:val="24"/>
          <w:lang w:eastAsia="zh-CN"/>
        </w:rPr>
        <w:tab/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2022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4</w:t>
      </w:r>
      <w:r w:rsidR="00194417" w:rsidRPr="00F853CC">
        <w:rPr>
          <w:rStyle w:val="y2iqfc"/>
          <w:rFonts w:ascii="Calibri" w:eastAsia="SimSun" w:hAnsi="Calibri" w:cs="Calibri"/>
          <w:color w:val="202124"/>
          <w:szCs w:val="24"/>
          <w:lang w:eastAsia="zh-CN"/>
        </w:rPr>
        <w:t>-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12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月：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布宜诺斯艾利斯行动计划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》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（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BAAP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）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的最终实施</w:t>
      </w:r>
    </w:p>
    <w:p w14:paraId="4B7823A3" w14:textId="43D8BCDF" w:rsidR="00FF1C94" w:rsidRPr="00F853CC" w:rsidRDefault="00FF1C94" w:rsidP="00F853CC">
      <w:pPr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在</w:t>
      </w:r>
      <w:r w:rsidR="006C33A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2022</w:t>
      </w:r>
      <w:r w:rsidR="006C33A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年世界电信发展大会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上，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电信发展局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主任提交了一份报告，介绍了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2018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年至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2022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4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月期间为实施</w:t>
      </w:r>
      <w:r w:rsidR="006C33A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《布宜诺斯艾利斯行动计划》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（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WTDC-22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第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号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文件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）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中设定的目标所做的工作。电信发展局继续就</w:t>
      </w:r>
      <w:r w:rsidR="006C33A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《布宜诺斯艾利斯行动计划》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开展工作，直至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2022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12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月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31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日。本文件的附录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1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（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见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TDAG</w:t>
      </w:r>
      <w:r w:rsidR="004D788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</w:t>
      </w:r>
      <w:r w:rsidR="004D788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（</w:t>
      </w:r>
      <w:r w:rsidR="004D788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Add.1</w:t>
      </w:r>
      <w:r w:rsidR="004D788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）号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文件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））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更新了提交给</w:t>
      </w:r>
      <w:r w:rsidR="006B3B6E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2022</w:t>
      </w:r>
      <w:r w:rsidR="006B3B6E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年世界电信发展大会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的关于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《布宜诺斯艾利斯行动计划》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实施的报告，涵盖了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从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2022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5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月到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《布宜诺斯艾利斯行动计划》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涵盖的周期结束，即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2022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12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月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31</w:t>
      </w:r>
      <w:r w:rsidR="009B1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日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完</w:t>
      </w:r>
      <w:r w:rsidR="004D788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所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成的工作。</w:t>
      </w:r>
    </w:p>
    <w:p w14:paraId="5AFBF5CF" w14:textId="688C376C" w:rsidR="00FF1C94" w:rsidRPr="00F853CC" w:rsidRDefault="00FF1C94" w:rsidP="00194417">
      <w:pPr>
        <w:pStyle w:val="Heading1"/>
        <w:rPr>
          <w:rFonts w:ascii="Calibri" w:eastAsia="SimSun" w:hAnsi="Calibri" w:cs="Calibri"/>
          <w:b w:val="0"/>
          <w:bCs/>
          <w:szCs w:val="24"/>
          <w:lang w:eastAsia="zh-CN"/>
        </w:rPr>
      </w:pPr>
      <w:r w:rsidRPr="00F853CC">
        <w:rPr>
          <w:rFonts w:ascii="Calibri" w:eastAsia="SimSun" w:hAnsi="Calibri" w:cs="Calibri"/>
          <w:bCs/>
          <w:szCs w:val="24"/>
          <w:lang w:eastAsia="zh-CN"/>
        </w:rPr>
        <w:t>3</w:t>
      </w:r>
      <w:r w:rsidRPr="00F853CC">
        <w:rPr>
          <w:rFonts w:ascii="Calibri" w:eastAsia="SimSun" w:hAnsi="Calibri" w:cs="Calibri"/>
          <w:bCs/>
          <w:szCs w:val="24"/>
          <w:lang w:eastAsia="zh-CN"/>
        </w:rPr>
        <w:tab/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2023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1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月至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5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月：实施</w:t>
      </w:r>
      <w:r w:rsidR="00C97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基加利行动计划</w:t>
      </w:r>
      <w:r w:rsidR="00C97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》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（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KAP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）</w:t>
      </w:r>
    </w:p>
    <w:p w14:paraId="0F11FEFD" w14:textId="2FE01D81" w:rsidR="00FF1C94" w:rsidRPr="00F853CC" w:rsidRDefault="00941815" w:rsidP="00F853CC">
      <w:pPr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2023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1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月，电信发展局开始实施</w:t>
      </w:r>
      <w:r w:rsidR="00C97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基加利行动计划</w:t>
      </w:r>
      <w:r w:rsidR="00C971EF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》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。规划过程及其结果在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 xml:space="preserve">TDAG </w:t>
      </w:r>
      <w:r w:rsidR="004D788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</w:t>
      </w:r>
      <w:r w:rsidR="004D788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（</w:t>
      </w:r>
      <w:r w:rsidR="004D788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Add.2</w:t>
      </w:r>
      <w:r w:rsidR="004D788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）号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文件中有详细说明，包括定义启动计划的框架原则，随后在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2023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月的电信发展局</w:t>
      </w:r>
      <w:r w:rsidR="004D788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行政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务虚会上进行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了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广泛磋商和参与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（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（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Add.2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）</w:t>
      </w:r>
      <w:r w:rsidR="0021696E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号文件附件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1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含</w:t>
      </w:r>
      <w:r w:rsidR="0021696E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有</w:t>
      </w:r>
      <w:r w:rsidR="00CA13C3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务虚会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的报告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）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。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谨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提醒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电信发展顾问组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，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2022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年世界电信发展大会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要求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电信发展顾问组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为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《基加利行动计划》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中规定的成果制定可衡量的关键绩效指标。与此一致，并考虑到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电信发展顾问组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战略和运营计划工作组的工作，秘书处准备并提出了一套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KPI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，可在附录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中找到。这将继续努力确保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整体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的一致性。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2023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年运营计划和预算的批准于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2023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3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月完成，作为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2023-2026</w:t>
      </w:r>
      <w:r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年四年期总体成果的一部分。</w:t>
      </w:r>
    </w:p>
    <w:p w14:paraId="406FDBE5" w14:textId="753BC6A7" w:rsidR="00FF1C94" w:rsidRPr="00F853CC" w:rsidRDefault="00FF1C94" w:rsidP="00194417">
      <w:pPr>
        <w:pStyle w:val="Heading1"/>
        <w:rPr>
          <w:rStyle w:val="eop"/>
          <w:rFonts w:ascii="Calibri" w:eastAsia="SimSun" w:hAnsi="Calibri" w:cs="Calibri"/>
          <w:b w:val="0"/>
          <w:bCs/>
          <w:color w:val="000000" w:themeColor="text1"/>
          <w:szCs w:val="24"/>
          <w:lang w:eastAsia="zh-CN"/>
        </w:rPr>
      </w:pPr>
      <w:r w:rsidRPr="00F853CC">
        <w:rPr>
          <w:rStyle w:val="eop"/>
          <w:rFonts w:ascii="Calibri" w:eastAsia="SimSun" w:hAnsi="Calibri" w:cs="Calibri"/>
          <w:bCs/>
          <w:color w:val="000000" w:themeColor="text1"/>
          <w:szCs w:val="24"/>
          <w:lang w:eastAsia="zh-CN"/>
        </w:rPr>
        <w:t>4</w:t>
      </w:r>
      <w:r w:rsidRPr="00F853CC">
        <w:rPr>
          <w:rStyle w:val="eop"/>
          <w:rFonts w:ascii="Calibri" w:eastAsia="SimSun" w:hAnsi="Calibri" w:cs="Calibri"/>
          <w:bCs/>
          <w:color w:val="000000" w:themeColor="text1"/>
          <w:szCs w:val="24"/>
          <w:lang w:eastAsia="zh-CN"/>
        </w:rPr>
        <w:tab/>
      </w:r>
      <w:r w:rsidR="00941815" w:rsidRPr="00F853CC">
        <w:rPr>
          <w:rStyle w:val="eop"/>
          <w:rFonts w:ascii="Calibri" w:eastAsia="SimSun" w:hAnsi="Calibri" w:cs="Calibri" w:hint="eastAsia"/>
          <w:bCs/>
          <w:color w:val="000000" w:themeColor="text1"/>
          <w:szCs w:val="24"/>
          <w:lang w:eastAsia="zh-CN"/>
        </w:rPr>
        <w:t>结论</w:t>
      </w:r>
    </w:p>
    <w:p w14:paraId="1E53AB92" w14:textId="5C12AA97" w:rsidR="00FF1C94" w:rsidRPr="00F853CC" w:rsidRDefault="00FF1C94" w:rsidP="00194417">
      <w:pPr>
        <w:rPr>
          <w:rFonts w:ascii="Calibri" w:eastAsia="SimSun" w:hAnsi="Calibri" w:cs="Calibri"/>
          <w:szCs w:val="24"/>
          <w:lang w:eastAsia="zh-CN"/>
        </w:rPr>
      </w:pPr>
      <w:r w:rsidRPr="00F853CC">
        <w:rPr>
          <w:rStyle w:val="eop"/>
          <w:rFonts w:ascii="Calibri" w:eastAsia="SimSun" w:hAnsi="Calibri" w:cs="Calibri"/>
          <w:color w:val="000000" w:themeColor="text1"/>
          <w:szCs w:val="24"/>
          <w:lang w:eastAsia="zh-CN"/>
        </w:rPr>
        <w:t>4.1</w:t>
      </w:r>
      <w:r w:rsidRPr="00F853CC">
        <w:rPr>
          <w:rStyle w:val="eop"/>
          <w:rFonts w:ascii="Calibri" w:eastAsia="SimSun" w:hAnsi="Calibri" w:cs="Calibri"/>
          <w:color w:val="000000" w:themeColor="text1"/>
          <w:szCs w:val="24"/>
          <w:lang w:eastAsia="zh-CN"/>
        </w:rPr>
        <w:tab/>
      </w:r>
      <w:r w:rsidR="00D064F9" w:rsidRPr="00F853CC">
        <w:rPr>
          <w:rFonts w:ascii="Calibri" w:eastAsia="SimSun" w:hAnsi="Calibri" w:cs="Calibri" w:hint="eastAsia"/>
          <w:szCs w:val="24"/>
          <w:lang w:eastAsia="zh-CN"/>
        </w:rPr>
        <w:t>请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电信发展顾问组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审查并</w:t>
      </w:r>
      <w:r w:rsidR="00D064F9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记录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附录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1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中关于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《布宜诺斯艾利斯行动计划》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实施情况的报告。</w:t>
      </w:r>
    </w:p>
    <w:p w14:paraId="0AE9CF8B" w14:textId="0B807BBB" w:rsidR="00FF1C94" w:rsidRPr="00F853CC" w:rsidRDefault="00FF1C94" w:rsidP="00194417">
      <w:pPr>
        <w:rPr>
          <w:rFonts w:ascii="Calibri" w:eastAsia="SimSun" w:hAnsi="Calibri" w:cs="Calibri"/>
          <w:szCs w:val="24"/>
          <w:lang w:eastAsia="zh-CN"/>
        </w:rPr>
      </w:pPr>
      <w:r w:rsidRPr="00F853CC">
        <w:rPr>
          <w:rStyle w:val="eop"/>
          <w:rFonts w:ascii="Calibri" w:eastAsia="SimSun" w:hAnsi="Calibri" w:cs="Calibri"/>
          <w:color w:val="000000" w:themeColor="text1"/>
          <w:szCs w:val="24"/>
          <w:lang w:eastAsia="zh-CN"/>
        </w:rPr>
        <w:t>4.2</w:t>
      </w:r>
      <w:r w:rsidRPr="00F853CC">
        <w:rPr>
          <w:rFonts w:ascii="Calibri" w:eastAsia="SimSun" w:hAnsi="Calibri" w:cs="Calibri"/>
          <w:szCs w:val="24"/>
          <w:lang w:eastAsia="zh-CN"/>
        </w:rPr>
        <w:tab/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提醒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电信发展顾问组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，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2022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年世界电信发展大会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要求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电信发展顾问组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为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《基加利行动计划》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中规定的成果制定可衡量的关键绩效指标。因此，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谨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要求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电信发展顾问组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审查附录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中描述的关键绩效指标，并酌情提出建议</w:t>
      </w:r>
      <w:r w:rsidR="000459B1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并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认可。</w:t>
      </w:r>
    </w:p>
    <w:p w14:paraId="46CBB042" w14:textId="4B27DFC0" w:rsidR="00FF1C94" w:rsidRPr="00F853CC" w:rsidRDefault="00FF1C94" w:rsidP="00194417">
      <w:pPr>
        <w:rPr>
          <w:rStyle w:val="eop"/>
          <w:rFonts w:ascii="Calibri" w:eastAsia="SimSun" w:hAnsi="Calibri" w:cs="Calibri"/>
          <w:color w:val="000000" w:themeColor="text1"/>
          <w:szCs w:val="24"/>
          <w:lang w:val="en-US" w:eastAsia="zh-CN"/>
        </w:rPr>
      </w:pPr>
      <w:r w:rsidRPr="00F853CC">
        <w:rPr>
          <w:rStyle w:val="eop"/>
          <w:rFonts w:ascii="Calibri" w:eastAsia="SimSun" w:hAnsi="Calibri" w:cs="Calibri"/>
          <w:color w:val="000000" w:themeColor="text1"/>
          <w:szCs w:val="24"/>
          <w:lang w:eastAsia="zh-CN"/>
        </w:rPr>
        <w:t>4.3</w:t>
      </w:r>
      <w:r w:rsidRPr="00F853CC">
        <w:rPr>
          <w:rStyle w:val="eop"/>
          <w:rFonts w:ascii="Calibri" w:eastAsia="SimSun" w:hAnsi="Calibri" w:cs="Calibri"/>
          <w:color w:val="000000" w:themeColor="text1"/>
          <w:szCs w:val="24"/>
          <w:lang w:eastAsia="zh-CN"/>
        </w:rPr>
        <w:tab/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《基加利行动计划》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的实施将在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2023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年至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2026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年的四年期间持续进行，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电信发展局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主任将继续根据批准的指标向</w:t>
      </w:r>
      <w:r w:rsidR="00FF376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电信发展顾问组</w:t>
      </w:r>
      <w:r w:rsidR="00941815" w:rsidRPr="00F853CC">
        <w:rPr>
          <w:rStyle w:val="y2iqfc"/>
          <w:rFonts w:ascii="Calibri" w:eastAsia="SimSun" w:hAnsi="Calibri" w:cs="Calibri" w:hint="eastAsia"/>
          <w:color w:val="202124"/>
          <w:szCs w:val="24"/>
          <w:lang w:eastAsia="zh-CN"/>
        </w:rPr>
        <w:t>报告实施情况。</w:t>
      </w:r>
    </w:p>
    <w:p w14:paraId="7759C759" w14:textId="7131856F" w:rsidR="00821996" w:rsidRPr="00F853CC" w:rsidRDefault="00FF1C94" w:rsidP="006B3B6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567" w:firstLineChars="200" w:firstLine="480"/>
        <w:jc w:val="center"/>
        <w:rPr>
          <w:rFonts w:ascii="Calibri" w:eastAsia="SimSun" w:hAnsi="Calibri" w:cs="Calibri"/>
          <w:szCs w:val="24"/>
        </w:rPr>
      </w:pPr>
      <w:r w:rsidRPr="00F853CC">
        <w:rPr>
          <w:rStyle w:val="eop"/>
          <w:rFonts w:ascii="Calibri" w:eastAsia="SimSun" w:hAnsi="Calibri" w:cs="Calibri"/>
          <w:color w:val="000000" w:themeColor="text1"/>
          <w:szCs w:val="24"/>
        </w:rPr>
        <w:t>________________</w:t>
      </w:r>
      <w:bookmarkStart w:id="5" w:name="Proposal"/>
      <w:bookmarkEnd w:id="5"/>
    </w:p>
    <w:sectPr w:rsidR="00821996" w:rsidRPr="00F853CC" w:rsidSect="00473791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E9C7" w14:textId="77777777" w:rsidR="00F803CD" w:rsidRDefault="00F803CD">
      <w:r>
        <w:separator/>
      </w:r>
    </w:p>
  </w:endnote>
  <w:endnote w:type="continuationSeparator" w:id="0">
    <w:p w14:paraId="1DCB061A" w14:textId="77777777" w:rsidR="00F803CD" w:rsidRDefault="00F8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3847" w14:textId="6F29BAC9" w:rsidR="00F853CC" w:rsidRDefault="0073585E" w:rsidP="00F853C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853CC">
      <w:t>P:\CHI\ITU-D\CONF-D\TDAG23\TDAG23-30\000\002C.docx</w:t>
    </w:r>
    <w:r>
      <w:fldChar w:fldCharType="end"/>
    </w:r>
    <w:r w:rsidR="00F853CC">
      <w:t xml:space="preserve"> (</w:t>
    </w:r>
    <w:r w:rsidR="00F853CC" w:rsidRPr="00F853CC">
      <w:t>520114</w:t>
    </w:r>
    <w:r w:rsidR="00F853C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66BA6" w:rsidRPr="004D495C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14DFDCE3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807DE1">
            <w:rPr>
              <w:rFonts w:hint="eastAsia"/>
              <w:sz w:val="18"/>
              <w:szCs w:val="18"/>
              <w:lang w:val="en-US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3EC678D1" w:rsidR="00966BA6" w:rsidRPr="004D495C" w:rsidRDefault="00966BA6" w:rsidP="00966BA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 w:eastAsia="zh-CN"/>
            </w:rPr>
          </w:pPr>
          <w:r w:rsidRPr="00807DE1">
            <w:rPr>
              <w:rFonts w:hint="eastAsia"/>
              <w:sz w:val="18"/>
              <w:szCs w:val="18"/>
              <w:lang w:eastAsia="zh-CN"/>
            </w:rPr>
            <w:t>组织</w:t>
          </w:r>
          <w:r w:rsidRPr="00807DE1">
            <w:rPr>
              <w:sz w:val="18"/>
              <w:szCs w:val="18"/>
              <w:lang w:eastAsia="zh-CN"/>
            </w:rPr>
            <w:t>/</w:t>
          </w:r>
          <w:r w:rsidRPr="00807DE1">
            <w:rPr>
              <w:rFonts w:hint="eastAsia"/>
              <w:sz w:val="18"/>
              <w:szCs w:val="18"/>
              <w:lang w:eastAsia="zh-CN"/>
            </w:rPr>
            <w:t>实体</w:t>
          </w:r>
          <w:r w:rsidRPr="00807DE1">
            <w:rPr>
              <w:sz w:val="18"/>
              <w:szCs w:val="18"/>
              <w:lang w:eastAsia="zh-CN"/>
            </w:rPr>
            <w:t>/</w:t>
          </w:r>
          <w:r w:rsidRPr="00807DE1">
            <w:rPr>
              <w:rFonts w:hint="eastAsia"/>
              <w:sz w:val="18"/>
              <w:szCs w:val="18"/>
              <w:lang w:eastAsia="zh-CN"/>
            </w:rPr>
            <w:t>姓名：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229C8A37" w:rsidR="00966BA6" w:rsidRPr="00AF7A97" w:rsidRDefault="008903E9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eastAsia="zh-CN"/>
            </w:rPr>
            <w:t>电信发展局副主任</w:t>
          </w:r>
          <w:r w:rsidR="009B29B6">
            <w:rPr>
              <w:rFonts w:hint="eastAsia"/>
              <w:sz w:val="18"/>
              <w:szCs w:val="18"/>
              <w:lang w:eastAsia="zh-CN"/>
            </w:rPr>
            <w:t>斯蒂芬</w:t>
          </w:r>
          <w:r w:rsidR="009B29B6">
            <w:rPr>
              <w:rFonts w:ascii="Calibri" w:hAnsi="Calibri" w:cs="Calibri"/>
              <w:sz w:val="18"/>
              <w:szCs w:val="18"/>
              <w:lang w:eastAsia="zh-CN"/>
            </w:rPr>
            <w:t>•</w:t>
          </w:r>
          <w:r w:rsidR="009B29B6">
            <w:rPr>
              <w:rFonts w:hint="eastAsia"/>
              <w:sz w:val="18"/>
              <w:szCs w:val="18"/>
              <w:lang w:eastAsia="zh-CN"/>
            </w:rPr>
            <w:t>贝罗先生</w:t>
          </w:r>
        </w:p>
      </w:tc>
      <w:bookmarkStart w:id="6" w:name="OrgName"/>
      <w:bookmarkEnd w:id="6"/>
    </w:tr>
    <w:tr w:rsidR="00966BA6" w:rsidRPr="004D495C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1251F6E4" w14:textId="010659E1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 w:rsidRPr="00807DE1">
            <w:rPr>
              <w:rFonts w:hint="eastAsia"/>
              <w:sz w:val="18"/>
              <w:szCs w:val="18"/>
            </w:rPr>
            <w:t>电话号码：</w:t>
          </w:r>
        </w:p>
      </w:tc>
      <w:tc>
        <w:tcPr>
          <w:tcW w:w="5987" w:type="dxa"/>
        </w:tcPr>
        <w:p w14:paraId="6D7949F0" w14:textId="6BB2CF0C" w:rsidR="00966BA6" w:rsidRPr="00AF7A97" w:rsidRDefault="008903E9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eastAsia="zh-CN"/>
            </w:rPr>
            <w:t>+</w:t>
          </w:r>
          <w:r>
            <w:rPr>
              <w:sz w:val="18"/>
              <w:szCs w:val="18"/>
              <w:lang w:eastAsia="zh-CN"/>
            </w:rPr>
            <w:t>41 22 730 5131</w:t>
          </w:r>
        </w:p>
      </w:tc>
      <w:bookmarkStart w:id="7" w:name="PhoneNo"/>
      <w:bookmarkEnd w:id="7"/>
    </w:tr>
    <w:tr w:rsidR="00966BA6" w:rsidRPr="004D495C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26EBA8E8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07DE1">
            <w:rPr>
              <w:rFonts w:hint="eastAsia"/>
              <w:sz w:val="18"/>
              <w:szCs w:val="18"/>
            </w:rPr>
            <w:t>电子邮件：</w:t>
          </w:r>
        </w:p>
      </w:tc>
      <w:tc>
        <w:tcPr>
          <w:tcW w:w="5987" w:type="dxa"/>
        </w:tcPr>
        <w:p w14:paraId="7EAB0988" w14:textId="39BBA2D3" w:rsidR="00966BA6" w:rsidRPr="00AF7A97" w:rsidRDefault="008903E9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stephen.bereaux@itu.int</w:t>
          </w:r>
        </w:p>
      </w:tc>
      <w:bookmarkStart w:id="8" w:name="Email"/>
      <w:bookmarkEnd w:id="8"/>
    </w:tr>
  </w:tbl>
  <w:p w14:paraId="5AEFE7F9" w14:textId="2F0CB09A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73585E" w:rsidP="00B80157">
    <w:pPr>
      <w:pStyle w:val="Footer"/>
      <w:jc w:val="center"/>
      <w:rPr>
        <w:lang w:val="en-GB"/>
      </w:rPr>
    </w:pPr>
    <w:hyperlink r:id="rId1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CC7C" w14:textId="77777777" w:rsidR="00F803CD" w:rsidRDefault="00F803CD">
      <w:r>
        <w:t>____________________</w:t>
      </w:r>
    </w:p>
  </w:footnote>
  <w:footnote w:type="continuationSeparator" w:id="0">
    <w:p w14:paraId="07E75FA8" w14:textId="77777777" w:rsidR="00F803CD" w:rsidRDefault="00F8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2C4A58F6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075A96">
      <w:rPr>
        <w:sz w:val="22"/>
        <w:szCs w:val="22"/>
        <w:lang w:val="de-CH"/>
      </w:rPr>
      <w:t>2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B294E"/>
    <w:multiLevelType w:val="hybridMultilevel"/>
    <w:tmpl w:val="2F541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8611E03"/>
    <w:multiLevelType w:val="hybridMultilevel"/>
    <w:tmpl w:val="3ACE3EE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0319053">
    <w:abstractNumId w:val="1"/>
  </w:num>
  <w:num w:numId="2" w16cid:durableId="1411344141">
    <w:abstractNumId w:val="0"/>
  </w:num>
  <w:num w:numId="3" w16cid:durableId="158657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459B1"/>
    <w:rsid w:val="00050AD1"/>
    <w:rsid w:val="000539F1"/>
    <w:rsid w:val="00054747"/>
    <w:rsid w:val="00055A2A"/>
    <w:rsid w:val="000615C1"/>
    <w:rsid w:val="00061675"/>
    <w:rsid w:val="000743AA"/>
    <w:rsid w:val="00075A96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531B5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417"/>
    <w:rsid w:val="0019587B"/>
    <w:rsid w:val="001A163D"/>
    <w:rsid w:val="001A441E"/>
    <w:rsid w:val="001A6733"/>
    <w:rsid w:val="001B357F"/>
    <w:rsid w:val="001C1A3E"/>
    <w:rsid w:val="001C3444"/>
    <w:rsid w:val="001C3702"/>
    <w:rsid w:val="001C4656"/>
    <w:rsid w:val="001C46BC"/>
    <w:rsid w:val="001D1E06"/>
    <w:rsid w:val="001D60F8"/>
    <w:rsid w:val="001F23E6"/>
    <w:rsid w:val="001F4238"/>
    <w:rsid w:val="00200A38"/>
    <w:rsid w:val="00200A46"/>
    <w:rsid w:val="00201990"/>
    <w:rsid w:val="00211B6F"/>
    <w:rsid w:val="0021696E"/>
    <w:rsid w:val="00216C2C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03E2"/>
    <w:rsid w:val="00380B71"/>
    <w:rsid w:val="0038365A"/>
    <w:rsid w:val="00386A89"/>
    <w:rsid w:val="0039181C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3E15"/>
    <w:rsid w:val="004308B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38FB"/>
    <w:rsid w:val="004A4E9C"/>
    <w:rsid w:val="004B1A3C"/>
    <w:rsid w:val="004D2CC3"/>
    <w:rsid w:val="004D35CB"/>
    <w:rsid w:val="004D7881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D9A"/>
    <w:rsid w:val="0064734E"/>
    <w:rsid w:val="00650137"/>
    <w:rsid w:val="006509D7"/>
    <w:rsid w:val="00651CE8"/>
    <w:rsid w:val="0065521B"/>
    <w:rsid w:val="00655322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3B6E"/>
    <w:rsid w:val="006C10A2"/>
    <w:rsid w:val="006C1F18"/>
    <w:rsid w:val="006C33A1"/>
    <w:rsid w:val="006D40D5"/>
    <w:rsid w:val="006E2574"/>
    <w:rsid w:val="006F009A"/>
    <w:rsid w:val="006F3D93"/>
    <w:rsid w:val="007019B1"/>
    <w:rsid w:val="0070595E"/>
    <w:rsid w:val="00721657"/>
    <w:rsid w:val="007279A8"/>
    <w:rsid w:val="00727B1A"/>
    <w:rsid w:val="0073585E"/>
    <w:rsid w:val="00741337"/>
    <w:rsid w:val="00746E85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B2B99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17F5A"/>
    <w:rsid w:val="00821996"/>
    <w:rsid w:val="00822323"/>
    <w:rsid w:val="00827BC6"/>
    <w:rsid w:val="008300AD"/>
    <w:rsid w:val="00833024"/>
    <w:rsid w:val="008419B1"/>
    <w:rsid w:val="00844A56"/>
    <w:rsid w:val="00845B11"/>
    <w:rsid w:val="008475D7"/>
    <w:rsid w:val="00852081"/>
    <w:rsid w:val="00872B6E"/>
    <w:rsid w:val="00874DFD"/>
    <w:rsid w:val="008802F9"/>
    <w:rsid w:val="00883086"/>
    <w:rsid w:val="008879FD"/>
    <w:rsid w:val="008903E9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24953"/>
    <w:rsid w:val="009301F1"/>
    <w:rsid w:val="009307DF"/>
    <w:rsid w:val="009359B8"/>
    <w:rsid w:val="00935FF0"/>
    <w:rsid w:val="00941815"/>
    <w:rsid w:val="009431F8"/>
    <w:rsid w:val="00947A35"/>
    <w:rsid w:val="00952667"/>
    <w:rsid w:val="0095624F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11EF"/>
    <w:rsid w:val="009B29B6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351D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71EF"/>
    <w:rsid w:val="00CA13C3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64F9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6960"/>
    <w:rsid w:val="00F077FD"/>
    <w:rsid w:val="00F204F3"/>
    <w:rsid w:val="00F218AB"/>
    <w:rsid w:val="00F238B3"/>
    <w:rsid w:val="00F24FED"/>
    <w:rsid w:val="00F25586"/>
    <w:rsid w:val="00F2651D"/>
    <w:rsid w:val="00F27362"/>
    <w:rsid w:val="00F273DC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803CD"/>
    <w:rsid w:val="00F853CC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1C94"/>
    <w:rsid w:val="00FF287F"/>
    <w:rsid w:val="00FF3765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F240D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1A3E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1A3E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C1A3E"/>
  </w:style>
  <w:style w:type="character" w:customStyle="1" w:styleId="normaltextrun">
    <w:name w:val="normaltextrun"/>
    <w:basedOn w:val="DefaultParagraphFont"/>
    <w:rsid w:val="00FF1C94"/>
  </w:style>
  <w:style w:type="character" w:customStyle="1" w:styleId="eop">
    <w:name w:val="eop"/>
    <w:basedOn w:val="DefaultParagraphFont"/>
    <w:rsid w:val="00FF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E266-4D4B-41F2-801B-B55B8C5E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1562</Words>
  <Characters>348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Li, Yong</cp:lastModifiedBy>
  <cp:revision>3</cp:revision>
  <cp:lastPrinted>2014-11-04T09:22:00Z</cp:lastPrinted>
  <dcterms:created xsi:type="dcterms:W3CDTF">2023-06-01T09:23:00Z</dcterms:created>
  <dcterms:modified xsi:type="dcterms:W3CDTF">2023-06-01T09:25:00Z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