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781"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237"/>
        <w:gridCol w:w="3544"/>
      </w:tblGrid>
      <w:tr w:rsidR="005C5A93" w:rsidRPr="00DD4BCC" w14:paraId="3F0E9EC4" w14:textId="77777777" w:rsidTr="005900C9">
        <w:trPr>
          <w:cantSplit/>
          <w:trHeight w:val="1134"/>
        </w:trPr>
        <w:tc>
          <w:tcPr>
            <w:tcW w:w="6237" w:type="dxa"/>
          </w:tcPr>
          <w:p w14:paraId="1570562D" w14:textId="77777777" w:rsidR="005C5A93" w:rsidRPr="00DD4BCC" w:rsidRDefault="005C5A93" w:rsidP="00455B4A">
            <w:pPr>
              <w:tabs>
                <w:tab w:val="clear" w:pos="1191"/>
                <w:tab w:val="clear" w:pos="1588"/>
                <w:tab w:val="clear" w:pos="1985"/>
              </w:tabs>
              <w:ind w:left="34"/>
              <w:jc w:val="left"/>
              <w:rPr>
                <w:b/>
                <w:bCs/>
                <w:sz w:val="32"/>
                <w:szCs w:val="32"/>
                <w:lang w:val="fr-FR"/>
              </w:rPr>
            </w:pPr>
            <w:r w:rsidRPr="00DD4BCC">
              <w:rPr>
                <w:b/>
                <w:bCs/>
                <w:sz w:val="32"/>
                <w:szCs w:val="32"/>
                <w:lang w:val="fr-FR"/>
              </w:rPr>
              <w:t>Groupe consultatif pour le développement des télécommunications (GCDT)</w:t>
            </w:r>
          </w:p>
          <w:p w14:paraId="5F5F590A" w14:textId="11A6CB66" w:rsidR="005C5A93" w:rsidRPr="00DD4BCC" w:rsidRDefault="005C5A93" w:rsidP="00455B4A">
            <w:pPr>
              <w:tabs>
                <w:tab w:val="clear" w:pos="1191"/>
                <w:tab w:val="clear" w:pos="1588"/>
                <w:tab w:val="clear" w:pos="1985"/>
              </w:tabs>
              <w:spacing w:before="100" w:after="120"/>
              <w:ind w:left="34"/>
              <w:jc w:val="left"/>
              <w:rPr>
                <w:rFonts w:ascii="Verdana" w:hAnsi="Verdana"/>
                <w:sz w:val="26"/>
                <w:szCs w:val="26"/>
                <w:lang w:val="fr-FR"/>
              </w:rPr>
            </w:pPr>
            <w:r w:rsidRPr="00DD4BCC">
              <w:rPr>
                <w:b/>
                <w:bCs/>
                <w:sz w:val="26"/>
                <w:szCs w:val="26"/>
                <w:lang w:val="fr-FR"/>
              </w:rPr>
              <w:t>30ème réunion, Genève (Suisse), 19-23 juin 2023</w:t>
            </w:r>
          </w:p>
        </w:tc>
        <w:tc>
          <w:tcPr>
            <w:tcW w:w="3544" w:type="dxa"/>
          </w:tcPr>
          <w:p w14:paraId="67E7B4C4" w14:textId="1428984F" w:rsidR="005C5A93" w:rsidRPr="00DD4BCC" w:rsidRDefault="005C5A93" w:rsidP="005C5A93">
            <w:pPr>
              <w:spacing w:after="120"/>
              <w:ind w:right="142"/>
              <w:jc w:val="right"/>
              <w:rPr>
                <w:lang w:val="fr-FR"/>
              </w:rPr>
            </w:pPr>
            <w:r w:rsidRPr="00DD4BCC">
              <w:rPr>
                <w:noProof/>
                <w:lang w:val="en-US"/>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D4BCC" w14:paraId="3C13197B" w14:textId="77777777" w:rsidTr="005900C9">
        <w:trPr>
          <w:cantSplit/>
        </w:trPr>
        <w:tc>
          <w:tcPr>
            <w:tcW w:w="6237" w:type="dxa"/>
            <w:tcBorders>
              <w:top w:val="single" w:sz="12" w:space="0" w:color="auto"/>
            </w:tcBorders>
          </w:tcPr>
          <w:p w14:paraId="2EED9DB2" w14:textId="77777777" w:rsidR="00683C32" w:rsidRPr="00DD4BCC" w:rsidRDefault="00683C32" w:rsidP="00107E85">
            <w:pPr>
              <w:spacing w:before="0"/>
              <w:rPr>
                <w:rFonts w:cs="Arial"/>
                <w:b/>
                <w:bCs/>
                <w:sz w:val="20"/>
                <w:lang w:val="fr-FR"/>
              </w:rPr>
            </w:pPr>
          </w:p>
        </w:tc>
        <w:tc>
          <w:tcPr>
            <w:tcW w:w="3544" w:type="dxa"/>
            <w:tcBorders>
              <w:top w:val="single" w:sz="12" w:space="0" w:color="auto"/>
            </w:tcBorders>
          </w:tcPr>
          <w:p w14:paraId="6CC77CFE" w14:textId="66438C2E" w:rsidR="00683C32" w:rsidRPr="00DD4BCC" w:rsidRDefault="00683C32" w:rsidP="00107E85">
            <w:pPr>
              <w:spacing w:before="0"/>
              <w:rPr>
                <w:b/>
                <w:bCs/>
                <w:sz w:val="20"/>
                <w:lang w:val="fr-FR"/>
              </w:rPr>
            </w:pPr>
          </w:p>
        </w:tc>
      </w:tr>
      <w:tr w:rsidR="00683C32" w:rsidRPr="00DD4BCC" w14:paraId="0BB3FBC4" w14:textId="77777777" w:rsidTr="005900C9">
        <w:trPr>
          <w:cantSplit/>
        </w:trPr>
        <w:tc>
          <w:tcPr>
            <w:tcW w:w="6237" w:type="dxa"/>
          </w:tcPr>
          <w:p w14:paraId="43C54B3D" w14:textId="77777777" w:rsidR="00683C32" w:rsidRPr="00DD4BCC" w:rsidRDefault="00683C32" w:rsidP="00400CCF">
            <w:pPr>
              <w:pStyle w:val="Committee"/>
              <w:spacing w:before="0"/>
              <w:rPr>
                <w:b w:val="0"/>
                <w:szCs w:val="24"/>
                <w:lang w:val="fr-FR"/>
              </w:rPr>
            </w:pPr>
          </w:p>
        </w:tc>
        <w:tc>
          <w:tcPr>
            <w:tcW w:w="3544" w:type="dxa"/>
          </w:tcPr>
          <w:p w14:paraId="02E44EE9" w14:textId="14CC2058" w:rsidR="00683C32" w:rsidRPr="00DD4BCC" w:rsidRDefault="0096201B" w:rsidP="00455B4A">
            <w:pPr>
              <w:spacing w:before="0"/>
              <w:jc w:val="left"/>
              <w:rPr>
                <w:bCs/>
                <w:szCs w:val="24"/>
                <w:lang w:val="fr-FR"/>
              </w:rPr>
            </w:pPr>
            <w:r w:rsidRPr="00DD4BCC">
              <w:rPr>
                <w:b/>
                <w:bCs/>
                <w:lang w:val="fr-FR"/>
              </w:rPr>
              <w:t>Document TDAG-23/2(Add.2)-F</w:t>
            </w:r>
            <w:bookmarkStart w:id="0" w:name="DocRef1"/>
            <w:bookmarkStart w:id="1" w:name="DocNo1"/>
            <w:bookmarkEnd w:id="0"/>
            <w:bookmarkEnd w:id="1"/>
          </w:p>
        </w:tc>
      </w:tr>
      <w:tr w:rsidR="00683C32" w:rsidRPr="00DD4BCC" w14:paraId="24D04936" w14:textId="77777777" w:rsidTr="005900C9">
        <w:trPr>
          <w:cantSplit/>
        </w:trPr>
        <w:tc>
          <w:tcPr>
            <w:tcW w:w="6237" w:type="dxa"/>
          </w:tcPr>
          <w:p w14:paraId="12CE4DBF" w14:textId="77777777" w:rsidR="00683C32" w:rsidRPr="00DD4BCC" w:rsidRDefault="00683C32" w:rsidP="00400CCF">
            <w:pPr>
              <w:spacing w:before="0"/>
              <w:rPr>
                <w:b/>
                <w:bCs/>
                <w:smallCaps/>
                <w:szCs w:val="24"/>
                <w:lang w:val="fr-FR"/>
              </w:rPr>
            </w:pPr>
          </w:p>
        </w:tc>
        <w:tc>
          <w:tcPr>
            <w:tcW w:w="3544" w:type="dxa"/>
          </w:tcPr>
          <w:p w14:paraId="0F89640F" w14:textId="79314801" w:rsidR="00683C32" w:rsidRPr="00DD4BCC" w:rsidRDefault="001D2782" w:rsidP="00455B4A">
            <w:pPr>
              <w:spacing w:before="0"/>
              <w:jc w:val="left"/>
              <w:rPr>
                <w:b/>
                <w:szCs w:val="24"/>
                <w:lang w:val="fr-FR"/>
              </w:rPr>
            </w:pPr>
            <w:bookmarkStart w:id="2" w:name="CreationDate"/>
            <w:bookmarkEnd w:id="2"/>
            <w:r w:rsidRPr="00DD4BCC">
              <w:rPr>
                <w:b/>
                <w:bCs/>
                <w:lang w:val="fr-FR"/>
              </w:rPr>
              <w:t>22 mai 2023</w:t>
            </w:r>
          </w:p>
        </w:tc>
      </w:tr>
      <w:tr w:rsidR="00683C32" w:rsidRPr="00DD4BCC" w14:paraId="7B96545F" w14:textId="77777777" w:rsidTr="005900C9">
        <w:trPr>
          <w:cantSplit/>
        </w:trPr>
        <w:tc>
          <w:tcPr>
            <w:tcW w:w="6237" w:type="dxa"/>
          </w:tcPr>
          <w:p w14:paraId="65956FD3" w14:textId="77777777" w:rsidR="00683C32" w:rsidRPr="00DD4BCC" w:rsidRDefault="00683C32" w:rsidP="00400CCF">
            <w:pPr>
              <w:spacing w:before="0"/>
              <w:rPr>
                <w:b/>
                <w:bCs/>
                <w:smallCaps/>
                <w:szCs w:val="24"/>
                <w:lang w:val="fr-FR"/>
              </w:rPr>
            </w:pPr>
          </w:p>
        </w:tc>
        <w:tc>
          <w:tcPr>
            <w:tcW w:w="3544" w:type="dxa"/>
          </w:tcPr>
          <w:p w14:paraId="30EFD39F" w14:textId="0BF1F51F" w:rsidR="00514D2F" w:rsidRPr="00DD4BCC" w:rsidRDefault="0096201B" w:rsidP="00455B4A">
            <w:pPr>
              <w:spacing w:before="0"/>
              <w:jc w:val="left"/>
              <w:rPr>
                <w:szCs w:val="24"/>
                <w:lang w:val="fr-FR"/>
              </w:rPr>
            </w:pPr>
            <w:r w:rsidRPr="00DD4BCC">
              <w:rPr>
                <w:b/>
                <w:bCs/>
                <w:lang w:val="fr-FR"/>
              </w:rPr>
              <w:t>Original: anglais</w:t>
            </w:r>
            <w:bookmarkStart w:id="3" w:name="Original"/>
            <w:bookmarkEnd w:id="3"/>
          </w:p>
        </w:tc>
      </w:tr>
      <w:tr w:rsidR="00A13162" w:rsidRPr="00970D1B" w14:paraId="31656E31" w14:textId="77777777" w:rsidTr="005900C9">
        <w:trPr>
          <w:cantSplit/>
          <w:trHeight w:val="852"/>
        </w:trPr>
        <w:tc>
          <w:tcPr>
            <w:tcW w:w="9781" w:type="dxa"/>
            <w:gridSpan w:val="2"/>
          </w:tcPr>
          <w:p w14:paraId="512FCA01" w14:textId="655C0993" w:rsidR="00A13162" w:rsidRPr="00DD4BCC" w:rsidRDefault="005D3E15" w:rsidP="0030353C">
            <w:pPr>
              <w:pStyle w:val="Source"/>
              <w:rPr>
                <w:lang w:val="fr-FR"/>
              </w:rPr>
            </w:pPr>
            <w:bookmarkStart w:id="4" w:name="Source"/>
            <w:bookmarkEnd w:id="4"/>
            <w:r w:rsidRPr="00DD4BCC">
              <w:rPr>
                <w:bCs/>
                <w:lang w:val="fr-FR"/>
              </w:rPr>
              <w:t>Directeur du Bureau de développement des télécommunications</w:t>
            </w:r>
          </w:p>
        </w:tc>
      </w:tr>
      <w:tr w:rsidR="00AC6F14" w:rsidRPr="00970D1B" w14:paraId="2CBD3A36" w14:textId="77777777" w:rsidTr="005900C9">
        <w:trPr>
          <w:cantSplit/>
        </w:trPr>
        <w:tc>
          <w:tcPr>
            <w:tcW w:w="9781" w:type="dxa"/>
            <w:gridSpan w:val="2"/>
          </w:tcPr>
          <w:p w14:paraId="1B4121DF" w14:textId="3749CDFA" w:rsidR="00AC6F14" w:rsidRPr="00DD4BCC" w:rsidRDefault="005D3E15" w:rsidP="0030353C">
            <w:pPr>
              <w:pStyle w:val="Title1"/>
              <w:rPr>
                <w:lang w:val="fr-FR"/>
              </w:rPr>
            </w:pPr>
            <w:bookmarkStart w:id="5" w:name="Title"/>
            <w:bookmarkEnd w:id="5"/>
            <w:r w:rsidRPr="00DD4BCC">
              <w:rPr>
                <w:lang w:val="fr-FR"/>
              </w:rPr>
              <w:t xml:space="preserve">Cadre des incidences pour la mise en </w:t>
            </w:r>
            <w:r w:rsidR="007A7560" w:rsidRPr="00DD4BCC">
              <w:rPr>
                <w:lang w:val="fr-FR"/>
              </w:rPr>
              <w:t>œuvre</w:t>
            </w:r>
            <w:r w:rsidRPr="00DD4BCC">
              <w:rPr>
                <w:lang w:val="fr-FR"/>
              </w:rPr>
              <w:t xml:space="preserve"> du Plan d'action de Kigali</w:t>
            </w:r>
          </w:p>
        </w:tc>
      </w:tr>
      <w:tr w:rsidR="00A721F4" w:rsidRPr="00970D1B" w14:paraId="23A30231" w14:textId="77777777" w:rsidTr="005900C9">
        <w:trPr>
          <w:cantSplit/>
        </w:trPr>
        <w:tc>
          <w:tcPr>
            <w:tcW w:w="9781" w:type="dxa"/>
            <w:gridSpan w:val="2"/>
            <w:tcBorders>
              <w:bottom w:val="single" w:sz="4" w:space="0" w:color="auto"/>
            </w:tcBorders>
          </w:tcPr>
          <w:p w14:paraId="726EE70E" w14:textId="77777777" w:rsidR="00A721F4" w:rsidRPr="00DD4BCC" w:rsidRDefault="00A721F4" w:rsidP="0030353C">
            <w:pPr>
              <w:rPr>
                <w:lang w:val="fr-FR"/>
              </w:rPr>
            </w:pPr>
          </w:p>
        </w:tc>
      </w:tr>
      <w:tr w:rsidR="00A721F4" w:rsidRPr="00DD4BCC" w14:paraId="590033C8" w14:textId="77777777" w:rsidTr="005900C9">
        <w:trPr>
          <w:cantSplit/>
        </w:trPr>
        <w:tc>
          <w:tcPr>
            <w:tcW w:w="9781"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D4BCC" w:rsidRDefault="00A721F4" w:rsidP="001D2782">
            <w:pPr>
              <w:spacing w:after="120"/>
              <w:jc w:val="left"/>
              <w:rPr>
                <w:b/>
                <w:bCs/>
                <w:szCs w:val="24"/>
                <w:lang w:val="fr-FR"/>
              </w:rPr>
            </w:pPr>
            <w:r w:rsidRPr="00DD4BCC">
              <w:rPr>
                <w:b/>
                <w:bCs/>
                <w:lang w:val="fr-FR"/>
              </w:rPr>
              <w:t>Résumé:</w:t>
            </w:r>
          </w:p>
          <w:p w14:paraId="2C2FF4B4" w14:textId="09D67F93" w:rsidR="001C3F76" w:rsidRPr="00DD4BCC" w:rsidRDefault="00A04B46" w:rsidP="001D2782">
            <w:pPr>
              <w:spacing w:after="120"/>
              <w:jc w:val="left"/>
              <w:rPr>
                <w:lang w:val="fr-FR"/>
              </w:rPr>
            </w:pPr>
            <w:r w:rsidRPr="00DD4BCC">
              <w:rPr>
                <w:lang w:val="fr-FR"/>
              </w:rPr>
              <w:t xml:space="preserve">On trouvera dans le </w:t>
            </w:r>
            <w:r w:rsidR="005D3E15" w:rsidRPr="00DD4BCC">
              <w:rPr>
                <w:lang w:val="fr-FR"/>
              </w:rPr>
              <w:t xml:space="preserve">présent document </w:t>
            </w:r>
            <w:r w:rsidRPr="00DD4BCC">
              <w:rPr>
                <w:lang w:val="fr-FR"/>
              </w:rPr>
              <w:t xml:space="preserve">une description </w:t>
            </w:r>
            <w:r w:rsidR="006528E6" w:rsidRPr="00DD4BCC">
              <w:rPr>
                <w:lang w:val="fr-FR"/>
              </w:rPr>
              <w:t xml:space="preserve">de la méthode et du processus relatifs à l'élaboration du </w:t>
            </w:r>
            <w:r w:rsidR="00C64455">
              <w:rPr>
                <w:lang w:val="fr-FR"/>
              </w:rPr>
              <w:t>p</w:t>
            </w:r>
            <w:r w:rsidR="00682D0A" w:rsidRPr="00DD4BCC">
              <w:rPr>
                <w:lang w:val="fr-FR"/>
              </w:rPr>
              <w:t xml:space="preserve">lan </w:t>
            </w:r>
            <w:r w:rsidR="005D3E15" w:rsidRPr="00DD4BCC">
              <w:rPr>
                <w:lang w:val="fr-FR"/>
              </w:rPr>
              <w:t>opérationnel de l'UIT-D pour 2023</w:t>
            </w:r>
            <w:r w:rsidR="006528E6" w:rsidRPr="00DD4BCC">
              <w:rPr>
                <w:lang w:val="fr-FR"/>
              </w:rPr>
              <w:t>, ainsi qu'une présentation de</w:t>
            </w:r>
            <w:r w:rsidR="005D3E15" w:rsidRPr="00DD4BCC">
              <w:rPr>
                <w:lang w:val="fr-FR"/>
              </w:rPr>
              <w:t xml:space="preserve"> </w:t>
            </w:r>
            <w:r w:rsidR="00682D0A" w:rsidRPr="00DD4BCC">
              <w:rPr>
                <w:lang w:val="fr-FR"/>
              </w:rPr>
              <w:t>l'affectation</w:t>
            </w:r>
            <w:r w:rsidR="00CF6619" w:rsidRPr="00DD4BCC">
              <w:rPr>
                <w:lang w:val="fr-FR"/>
              </w:rPr>
              <w:t xml:space="preserve"> </w:t>
            </w:r>
            <w:r w:rsidR="005D3E15" w:rsidRPr="00DD4BCC">
              <w:rPr>
                <w:lang w:val="fr-FR"/>
              </w:rPr>
              <w:t xml:space="preserve">des fonds </w:t>
            </w:r>
            <w:r w:rsidR="006528E6" w:rsidRPr="00DD4BCC">
              <w:rPr>
                <w:lang w:val="fr-FR"/>
              </w:rPr>
              <w:t>dans le cadre des</w:t>
            </w:r>
            <w:r w:rsidR="005D3E15" w:rsidRPr="00DD4BCC">
              <w:rPr>
                <w:lang w:val="fr-FR"/>
              </w:rPr>
              <w:t xml:space="preserve"> priorités et </w:t>
            </w:r>
            <w:r w:rsidR="006528E6" w:rsidRPr="00DD4BCC">
              <w:rPr>
                <w:lang w:val="fr-FR"/>
              </w:rPr>
              <w:t>des</w:t>
            </w:r>
            <w:r w:rsidR="005D3E15" w:rsidRPr="00DD4BCC">
              <w:rPr>
                <w:lang w:val="fr-FR"/>
              </w:rPr>
              <w:t xml:space="preserve"> catalyseurs de l'UIT-D.</w:t>
            </w:r>
          </w:p>
          <w:p w14:paraId="7B79DDDD" w14:textId="0054E583" w:rsidR="001C3F76" w:rsidRPr="00DD4BCC" w:rsidRDefault="001C3F76" w:rsidP="001D2782">
            <w:pPr>
              <w:spacing w:after="120"/>
              <w:jc w:val="left"/>
              <w:rPr>
                <w:lang w:val="fr-FR"/>
              </w:rPr>
            </w:pPr>
            <w:r w:rsidRPr="00DD4BCC">
              <w:rPr>
                <w:lang w:val="fr-FR"/>
              </w:rPr>
              <w:t>Ce document</w:t>
            </w:r>
            <w:r w:rsidR="00CF6619" w:rsidRPr="00DD4BCC">
              <w:rPr>
                <w:lang w:val="fr-FR"/>
              </w:rPr>
              <w:t xml:space="preserve"> </w:t>
            </w:r>
            <w:r w:rsidR="00682D0A" w:rsidRPr="00DD4BCC">
              <w:rPr>
                <w:lang w:val="fr-FR"/>
              </w:rPr>
              <w:t>présente</w:t>
            </w:r>
            <w:r w:rsidR="00CF6619" w:rsidRPr="00DD4BCC">
              <w:rPr>
                <w:lang w:val="fr-FR"/>
              </w:rPr>
              <w:t xml:space="preserve"> </w:t>
            </w:r>
            <w:r w:rsidR="009D2B6F" w:rsidRPr="00DD4BCC">
              <w:rPr>
                <w:lang w:val="fr-FR"/>
              </w:rPr>
              <w:t>également</w:t>
            </w:r>
            <w:r w:rsidR="00CF6619" w:rsidRPr="00DD4BCC">
              <w:rPr>
                <w:lang w:val="fr-FR"/>
              </w:rPr>
              <w:t xml:space="preserve"> </w:t>
            </w:r>
            <w:r w:rsidRPr="00DD4BCC">
              <w:rPr>
                <w:lang w:val="fr-FR"/>
              </w:rPr>
              <w:t xml:space="preserve">un cadre des incidences pour la mise en </w:t>
            </w:r>
            <w:r w:rsidR="007A7560" w:rsidRPr="00DD4BCC">
              <w:rPr>
                <w:lang w:val="fr-FR"/>
              </w:rPr>
              <w:t>œuvre</w:t>
            </w:r>
            <w:r w:rsidRPr="00DD4BCC">
              <w:rPr>
                <w:lang w:val="fr-FR"/>
              </w:rPr>
              <w:t xml:space="preserve"> du Plan d'action de Kigali,</w:t>
            </w:r>
            <w:r w:rsidR="00CF6619" w:rsidRPr="00DD4BCC">
              <w:rPr>
                <w:lang w:val="fr-FR"/>
              </w:rPr>
              <w:t xml:space="preserve"> </w:t>
            </w:r>
            <w:r w:rsidR="00682D0A" w:rsidRPr="00DD4BCC">
              <w:rPr>
                <w:lang w:val="fr-FR"/>
              </w:rPr>
              <w:t xml:space="preserve">comprenant </w:t>
            </w:r>
            <w:r w:rsidRPr="00DD4BCC">
              <w:rPr>
                <w:lang w:val="fr-FR"/>
              </w:rPr>
              <w:t xml:space="preserve">les priorités et les catalyseurs de l'UIT-D et les </w:t>
            </w:r>
            <w:r w:rsidR="0052588E" w:rsidRPr="00DD4BCC">
              <w:rPr>
                <w:lang w:val="fr-FR"/>
              </w:rPr>
              <w:t>réalisations</w:t>
            </w:r>
            <w:r w:rsidRPr="00DD4BCC">
              <w:rPr>
                <w:lang w:val="fr-FR"/>
              </w:rPr>
              <w:t xml:space="preserve"> </w:t>
            </w:r>
            <w:r w:rsidR="00AE6AC5" w:rsidRPr="00DD4BCC">
              <w:rPr>
                <w:lang w:val="fr-FR"/>
              </w:rPr>
              <w:t>escomptée</w:t>
            </w:r>
            <w:r w:rsidRPr="00DD4BCC">
              <w:rPr>
                <w:lang w:val="fr-FR"/>
              </w:rPr>
              <w:t>s, les produits et services à fournir et un ensemble d'indicateurs fondamentaux de performance mesurables.</w:t>
            </w:r>
          </w:p>
          <w:p w14:paraId="76A1C541" w14:textId="77777777" w:rsidR="00A721F4" w:rsidRPr="00DD4BCC" w:rsidRDefault="00A721F4" w:rsidP="001D2782">
            <w:pPr>
              <w:spacing w:after="120"/>
              <w:jc w:val="left"/>
              <w:rPr>
                <w:b/>
                <w:bCs/>
                <w:szCs w:val="24"/>
                <w:lang w:val="fr-FR"/>
              </w:rPr>
            </w:pPr>
            <w:r w:rsidRPr="00DD4BCC">
              <w:rPr>
                <w:b/>
                <w:bCs/>
                <w:lang w:val="fr-FR"/>
              </w:rPr>
              <w:t>Suite à donner:</w:t>
            </w:r>
          </w:p>
          <w:p w14:paraId="3AB584E6" w14:textId="394497B1" w:rsidR="005D3E15" w:rsidRPr="00DD4BCC" w:rsidRDefault="005D3E15" w:rsidP="001D2782">
            <w:pPr>
              <w:spacing w:after="120"/>
              <w:jc w:val="left"/>
              <w:rPr>
                <w:lang w:val="fr-FR"/>
              </w:rPr>
            </w:pPr>
            <w:r w:rsidRPr="00DD4BCC">
              <w:rPr>
                <w:lang w:val="fr-FR"/>
              </w:rPr>
              <w:t>Le GCDT est invité:</w:t>
            </w:r>
          </w:p>
          <w:p w14:paraId="60B82CAA" w14:textId="777B5690" w:rsidR="005D3E15" w:rsidRPr="00DD4BCC" w:rsidRDefault="00CF6619" w:rsidP="00CF6619">
            <w:pPr>
              <w:pStyle w:val="enumlev1"/>
              <w:jc w:val="left"/>
              <w:rPr>
                <w:lang w:val="fr-FR"/>
              </w:rPr>
            </w:pPr>
            <w:r w:rsidRPr="00DD4BCC">
              <w:rPr>
                <w:lang w:val="fr-FR"/>
              </w:rPr>
              <w:t>–</w:t>
            </w:r>
            <w:r w:rsidRPr="00DD4BCC">
              <w:rPr>
                <w:lang w:val="fr-FR"/>
              </w:rPr>
              <w:tab/>
            </w:r>
            <w:r w:rsidR="00AE6AC5" w:rsidRPr="00DD4BCC">
              <w:rPr>
                <w:lang w:val="fr-FR"/>
              </w:rPr>
              <w:t>à e</w:t>
            </w:r>
            <w:r w:rsidR="005D3E15" w:rsidRPr="00DD4BCC">
              <w:rPr>
                <w:lang w:val="fr-FR"/>
              </w:rPr>
              <w:t xml:space="preserve">xaminer le présent document et </w:t>
            </w:r>
            <w:r w:rsidR="00AE6AC5" w:rsidRPr="00DD4BCC">
              <w:rPr>
                <w:lang w:val="fr-FR"/>
              </w:rPr>
              <w:t xml:space="preserve">à </w:t>
            </w:r>
            <w:r w:rsidR="005D3E15" w:rsidRPr="00DD4BCC">
              <w:rPr>
                <w:lang w:val="fr-FR"/>
              </w:rPr>
              <w:t xml:space="preserve">fournir les </w:t>
            </w:r>
            <w:r w:rsidR="00AE6AC5" w:rsidRPr="00DD4BCC">
              <w:rPr>
                <w:lang w:val="fr-FR"/>
              </w:rPr>
              <w:t xml:space="preserve">orientations </w:t>
            </w:r>
            <w:r w:rsidR="005D3E15" w:rsidRPr="00DD4BCC">
              <w:rPr>
                <w:lang w:val="fr-FR"/>
              </w:rPr>
              <w:t>qu'il jugera utiles</w:t>
            </w:r>
            <w:r w:rsidR="00AE6AC5" w:rsidRPr="00DD4BCC">
              <w:rPr>
                <w:lang w:val="fr-FR"/>
              </w:rPr>
              <w:t>;</w:t>
            </w:r>
          </w:p>
          <w:p w14:paraId="1496700B" w14:textId="236666F0" w:rsidR="005D3E15" w:rsidRPr="00DD4BCC" w:rsidRDefault="00CF6619" w:rsidP="00CF6619">
            <w:pPr>
              <w:pStyle w:val="enumlev1"/>
              <w:jc w:val="left"/>
              <w:rPr>
                <w:lang w:val="fr-FR"/>
              </w:rPr>
            </w:pPr>
            <w:r w:rsidRPr="00DD4BCC">
              <w:rPr>
                <w:lang w:val="fr-FR"/>
              </w:rPr>
              <w:t>–</w:t>
            </w:r>
            <w:r w:rsidRPr="00DD4BCC">
              <w:rPr>
                <w:lang w:val="fr-FR"/>
              </w:rPr>
              <w:tab/>
            </w:r>
            <w:r w:rsidR="00AE6AC5" w:rsidRPr="00DD4BCC">
              <w:rPr>
                <w:lang w:val="fr-FR"/>
              </w:rPr>
              <w:t>à e</w:t>
            </w:r>
            <w:r w:rsidR="005D3E15" w:rsidRPr="00DD4BCC">
              <w:rPr>
                <w:lang w:val="fr-FR"/>
              </w:rPr>
              <w:t xml:space="preserve">xaminer et </w:t>
            </w:r>
            <w:r w:rsidR="006F3F75" w:rsidRPr="00DD4BCC">
              <w:rPr>
                <w:lang w:val="fr-FR"/>
              </w:rPr>
              <w:t xml:space="preserve">à </w:t>
            </w:r>
            <w:r w:rsidR="005D3E15" w:rsidRPr="00DD4BCC">
              <w:rPr>
                <w:lang w:val="fr-FR"/>
              </w:rPr>
              <w:t>approuver les indicateurs fondamentaux de performance mesurables proposés</w:t>
            </w:r>
            <w:r w:rsidR="00AE6AC5" w:rsidRPr="00DD4BCC">
              <w:rPr>
                <w:lang w:val="fr-FR"/>
              </w:rPr>
              <w:t>,</w:t>
            </w:r>
            <w:r w:rsidR="005D3E15" w:rsidRPr="00DD4BCC">
              <w:rPr>
                <w:lang w:val="fr-FR"/>
              </w:rPr>
              <w:t xml:space="preserve"> en vue de l'évaluation des </w:t>
            </w:r>
            <w:r w:rsidR="00AE6AC5" w:rsidRPr="00DD4BCC">
              <w:rPr>
                <w:lang w:val="fr-FR"/>
              </w:rPr>
              <w:t>réalisations</w:t>
            </w:r>
            <w:r w:rsidRPr="00DD4BCC">
              <w:rPr>
                <w:lang w:val="fr-FR"/>
              </w:rPr>
              <w:t xml:space="preserve"> </w:t>
            </w:r>
            <w:r w:rsidR="00682D0A" w:rsidRPr="00DD4BCC">
              <w:rPr>
                <w:lang w:val="fr-FR"/>
              </w:rPr>
              <w:t>à obtenir</w:t>
            </w:r>
            <w:r w:rsidRPr="00DD4BCC">
              <w:rPr>
                <w:lang w:val="fr-FR"/>
              </w:rPr>
              <w:t xml:space="preserve"> </w:t>
            </w:r>
            <w:r w:rsidR="005D3E15" w:rsidRPr="00DD4BCC">
              <w:rPr>
                <w:lang w:val="fr-FR"/>
              </w:rPr>
              <w:t>au titre du Plan d'action de Kigali.</w:t>
            </w:r>
          </w:p>
          <w:p w14:paraId="622ACB80" w14:textId="77777777" w:rsidR="00A721F4" w:rsidRPr="00DD4BCC" w:rsidRDefault="00A721F4" w:rsidP="001D2782">
            <w:pPr>
              <w:spacing w:after="120"/>
              <w:jc w:val="left"/>
              <w:rPr>
                <w:b/>
                <w:bCs/>
                <w:szCs w:val="24"/>
                <w:lang w:val="fr-FR"/>
              </w:rPr>
            </w:pPr>
            <w:r w:rsidRPr="00DD4BCC">
              <w:rPr>
                <w:b/>
                <w:bCs/>
                <w:lang w:val="fr-FR"/>
              </w:rPr>
              <w:t>Références:</w:t>
            </w:r>
          </w:p>
          <w:p w14:paraId="190BFB37" w14:textId="1EEADAF2" w:rsidR="005D3E15" w:rsidRPr="00DD4BCC" w:rsidRDefault="005D3E15" w:rsidP="001D2782">
            <w:pPr>
              <w:spacing w:after="120"/>
              <w:jc w:val="left"/>
              <w:rPr>
                <w:lang w:val="fr-FR"/>
              </w:rPr>
            </w:pPr>
            <w:r w:rsidRPr="00DD4BCC">
              <w:rPr>
                <w:lang w:val="fr-FR"/>
              </w:rPr>
              <w:t xml:space="preserve">Document </w:t>
            </w:r>
            <w:r w:rsidR="00C90594" w:rsidRPr="00DD4BCC">
              <w:rPr>
                <w:lang w:val="fr-FR"/>
              </w:rPr>
              <w:t>2 du GCDT-23</w:t>
            </w:r>
          </w:p>
          <w:p w14:paraId="0F62C4BD" w14:textId="24C0BD38" w:rsidR="005D3E15" w:rsidRPr="00DD4BCC" w:rsidRDefault="005D3E15" w:rsidP="001D2782">
            <w:pPr>
              <w:spacing w:after="120"/>
              <w:jc w:val="left"/>
              <w:rPr>
                <w:lang w:val="fr-FR"/>
              </w:rPr>
            </w:pPr>
            <w:r w:rsidRPr="00DD4BCC">
              <w:rPr>
                <w:lang w:val="fr-FR"/>
              </w:rPr>
              <w:t xml:space="preserve">Plan d'action de Kigali </w:t>
            </w:r>
            <w:r w:rsidR="00073D2F" w:rsidRPr="00DD4BCC">
              <w:rPr>
                <w:lang w:val="fr-FR"/>
              </w:rPr>
              <w:t>(</w:t>
            </w:r>
            <w:r w:rsidRPr="00DD4BCC">
              <w:rPr>
                <w:lang w:val="fr-FR"/>
              </w:rPr>
              <w:t>CMDT-22</w:t>
            </w:r>
            <w:r w:rsidR="00073D2F" w:rsidRPr="00DD4BCC">
              <w:rPr>
                <w:lang w:val="fr-FR"/>
              </w:rPr>
              <w:t>)</w:t>
            </w:r>
          </w:p>
          <w:p w14:paraId="1ECDD20E" w14:textId="21336629" w:rsidR="00A721F4" w:rsidRPr="00DD4BCC" w:rsidRDefault="005D3E15" w:rsidP="001D2782">
            <w:pPr>
              <w:spacing w:after="120"/>
              <w:jc w:val="left"/>
              <w:rPr>
                <w:lang w:val="fr-FR"/>
              </w:rPr>
            </w:pPr>
            <w:r w:rsidRPr="00DD4BCC">
              <w:rPr>
                <w:lang w:val="fr-FR"/>
              </w:rPr>
              <w:t xml:space="preserve">Document </w:t>
            </w:r>
            <w:r w:rsidR="00C90594" w:rsidRPr="00DD4BCC">
              <w:rPr>
                <w:lang w:val="fr-FR"/>
              </w:rPr>
              <w:t>2 de la CMDT-17</w:t>
            </w:r>
          </w:p>
        </w:tc>
      </w:tr>
    </w:tbl>
    <w:p w14:paraId="5B29B2A3" w14:textId="77777777" w:rsidR="00923CF1" w:rsidRPr="00DD4BCC" w:rsidRDefault="00923CF1">
      <w:pPr>
        <w:tabs>
          <w:tab w:val="clear" w:pos="794"/>
          <w:tab w:val="clear" w:pos="1191"/>
          <w:tab w:val="clear" w:pos="1588"/>
          <w:tab w:val="clear" w:pos="1985"/>
        </w:tabs>
        <w:overflowPunct/>
        <w:autoSpaceDE/>
        <w:autoSpaceDN/>
        <w:adjustRightInd/>
        <w:spacing w:before="0"/>
        <w:textAlignment w:val="auto"/>
        <w:rPr>
          <w:lang w:val="fr-FR"/>
        </w:rPr>
      </w:pPr>
      <w:r w:rsidRPr="00DD4BCC">
        <w:rPr>
          <w:lang w:val="fr-FR"/>
        </w:rPr>
        <w:br w:type="page"/>
      </w:r>
    </w:p>
    <w:p w14:paraId="7FC499EF" w14:textId="1F0FBCE1" w:rsidR="00E80210" w:rsidRPr="00A36690" w:rsidRDefault="00B77967" w:rsidP="00B01FE6">
      <w:pPr>
        <w:pStyle w:val="Heading1"/>
        <w:jc w:val="left"/>
        <w:rPr>
          <w:rFonts w:eastAsia="Calibri"/>
          <w:szCs w:val="28"/>
          <w:lang w:val="fr-FR"/>
        </w:rPr>
      </w:pPr>
      <w:r w:rsidRPr="00A36690">
        <w:rPr>
          <w:szCs w:val="28"/>
          <w:lang w:val="fr-FR"/>
        </w:rPr>
        <w:lastRenderedPageBreak/>
        <w:t>1</w:t>
      </w:r>
      <w:r w:rsidRPr="00A36690">
        <w:rPr>
          <w:szCs w:val="28"/>
          <w:lang w:val="fr-FR"/>
        </w:rPr>
        <w:tab/>
        <w:t xml:space="preserve">Nouvelle </w:t>
      </w:r>
      <w:r w:rsidR="009D2B6F" w:rsidRPr="00A36690">
        <w:rPr>
          <w:szCs w:val="28"/>
          <w:lang w:val="fr-FR"/>
        </w:rPr>
        <w:t>méthode</w:t>
      </w:r>
      <w:r w:rsidRPr="00A36690">
        <w:rPr>
          <w:szCs w:val="28"/>
          <w:lang w:val="fr-FR"/>
        </w:rPr>
        <w:t xml:space="preserve"> relative à l'élaboration du </w:t>
      </w:r>
      <w:r w:rsidR="00682D0A" w:rsidRPr="00A36690">
        <w:rPr>
          <w:szCs w:val="28"/>
          <w:lang w:val="fr-FR"/>
        </w:rPr>
        <w:t xml:space="preserve">plan </w:t>
      </w:r>
      <w:r w:rsidRPr="00A36690">
        <w:rPr>
          <w:szCs w:val="28"/>
          <w:lang w:val="fr-FR"/>
        </w:rPr>
        <w:t xml:space="preserve">opérationnel de l'UIT-D et mise en </w:t>
      </w:r>
      <w:r w:rsidR="00F55A79" w:rsidRPr="00A36690">
        <w:rPr>
          <w:szCs w:val="28"/>
          <w:lang w:val="fr-FR"/>
        </w:rPr>
        <w:t>œuvre</w:t>
      </w:r>
      <w:r w:rsidRPr="00A36690">
        <w:rPr>
          <w:szCs w:val="28"/>
          <w:lang w:val="fr-FR"/>
        </w:rPr>
        <w:t xml:space="preserve"> du Plan d'action de Kigali</w:t>
      </w:r>
    </w:p>
    <w:p w14:paraId="3452728A" w14:textId="49666E6B" w:rsidR="00E80210" w:rsidRPr="00DD4BCC" w:rsidRDefault="00E80210" w:rsidP="00B01FE6">
      <w:pPr>
        <w:pStyle w:val="Heading2"/>
        <w:jc w:val="left"/>
        <w:rPr>
          <w:rFonts w:eastAsia="Calibri"/>
          <w:szCs w:val="24"/>
          <w:lang w:val="fr-FR"/>
        </w:rPr>
      </w:pPr>
      <w:r w:rsidRPr="00DD4BCC">
        <w:rPr>
          <w:lang w:val="fr-FR"/>
        </w:rPr>
        <w:t>1.1</w:t>
      </w:r>
      <w:r w:rsidRPr="00DD4BCC">
        <w:rPr>
          <w:lang w:val="fr-FR"/>
        </w:rPr>
        <w:tab/>
      </w:r>
      <w:r w:rsidR="00F55A79" w:rsidRPr="00DD4BCC">
        <w:rPr>
          <w:lang w:val="fr-FR"/>
        </w:rPr>
        <w:t xml:space="preserve">Mise en œuvre du Plan de Kigali: </w:t>
      </w:r>
      <w:r w:rsidR="003219B5" w:rsidRPr="00DD4BCC">
        <w:rPr>
          <w:lang w:val="fr-FR"/>
        </w:rPr>
        <w:t>v</w:t>
      </w:r>
      <w:r w:rsidRPr="00DD4BCC">
        <w:rPr>
          <w:lang w:val="fr-FR"/>
        </w:rPr>
        <w:t>ision et stratégie pour la période 2023-2026</w:t>
      </w:r>
    </w:p>
    <w:p w14:paraId="211F77F8" w14:textId="28216CAF" w:rsidR="00021341" w:rsidRPr="00DD4BCC" w:rsidRDefault="00021341" w:rsidP="00B01FE6">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fr-FR"/>
        </w:rPr>
      </w:pPr>
      <w:r w:rsidRPr="00DD4BCC">
        <w:rPr>
          <w:lang w:val="fr-FR"/>
        </w:rPr>
        <w:t>La Conférence mondiale de développement des télécommunications</w:t>
      </w:r>
      <w:r w:rsidR="00CF6619" w:rsidRPr="00DD4BCC">
        <w:rPr>
          <w:lang w:val="fr-FR"/>
        </w:rPr>
        <w:t xml:space="preserve"> </w:t>
      </w:r>
      <w:r w:rsidRPr="00DD4BCC">
        <w:rPr>
          <w:lang w:val="fr-FR"/>
        </w:rPr>
        <w:t>tenue à Kigali (Rwanda) en</w:t>
      </w:r>
      <w:r w:rsidR="00B01FE6" w:rsidRPr="00DD4BCC">
        <w:rPr>
          <w:lang w:val="fr-FR"/>
        </w:rPr>
        <w:t> </w:t>
      </w:r>
      <w:r w:rsidRPr="00DD4BCC">
        <w:rPr>
          <w:lang w:val="fr-FR"/>
        </w:rPr>
        <w:t xml:space="preserve">2022 (CMDT-22) a adopté le </w:t>
      </w:r>
      <w:hyperlink r:id="rId12" w:history="1">
        <w:r w:rsidRPr="00DD4BCC">
          <w:rPr>
            <w:rStyle w:val="Hyperlink"/>
            <w:lang w:val="fr-FR"/>
          </w:rPr>
          <w:t>Plan d'action de Kigali</w:t>
        </w:r>
      </w:hyperlink>
      <w:r w:rsidRPr="00DD4BCC">
        <w:rPr>
          <w:lang w:val="fr-FR"/>
        </w:rPr>
        <w:t xml:space="preserve"> (KAP), qui </w:t>
      </w:r>
      <w:r w:rsidR="00682D0A" w:rsidRPr="00DD4BCC">
        <w:rPr>
          <w:lang w:val="fr-FR"/>
        </w:rPr>
        <w:t>fixe le cap</w:t>
      </w:r>
      <w:r w:rsidR="00CF6619" w:rsidRPr="00DD4BCC">
        <w:rPr>
          <w:lang w:val="fr-FR"/>
        </w:rPr>
        <w:t xml:space="preserve"> </w:t>
      </w:r>
      <w:r w:rsidRPr="00DD4BCC">
        <w:rPr>
          <w:lang w:val="fr-FR"/>
        </w:rPr>
        <w:t>des travaux du Secteur du développement des télécommunications de l'UIT (UIT-D) jusqu'à la prochaine CMDT et trace la voie à suivre</w:t>
      </w:r>
      <w:r w:rsidR="00CF6619" w:rsidRPr="00DD4BCC">
        <w:rPr>
          <w:lang w:val="fr-FR"/>
        </w:rPr>
        <w:t xml:space="preserve"> </w:t>
      </w:r>
      <w:r w:rsidR="00682D0A" w:rsidRPr="00DD4BCC">
        <w:rPr>
          <w:lang w:val="fr-FR"/>
        </w:rPr>
        <w:t>pour le</w:t>
      </w:r>
      <w:r w:rsidRPr="00DD4BCC">
        <w:rPr>
          <w:lang w:val="fr-FR"/>
        </w:rPr>
        <w:t xml:space="preserve"> développement du numérique, dans le droit fil des Objectifs de développement durable (ODD) définis par les Nations Unies pour 2030.</w:t>
      </w:r>
    </w:p>
    <w:p w14:paraId="5A00F6C4" w14:textId="25532CF3" w:rsidR="00E80210" w:rsidRPr="00DD4BCC" w:rsidRDefault="00E80210" w:rsidP="00B01FE6">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fr-FR"/>
        </w:rPr>
      </w:pPr>
      <w:r w:rsidRPr="00DD4BCC">
        <w:rPr>
          <w:lang w:val="fr-FR"/>
        </w:rPr>
        <w:t xml:space="preserve">La stratégie globale de mise en </w:t>
      </w:r>
      <w:r w:rsidR="00923E88" w:rsidRPr="00DD4BCC">
        <w:rPr>
          <w:lang w:val="fr-FR"/>
        </w:rPr>
        <w:t>œuvre</w:t>
      </w:r>
      <w:r w:rsidRPr="00DD4BCC">
        <w:rPr>
          <w:lang w:val="fr-FR"/>
        </w:rPr>
        <w:t xml:space="preserve"> du Plan d'action de Kigali s'articule autour des éléments suivants:</w:t>
      </w:r>
    </w:p>
    <w:p w14:paraId="7207A6D9" w14:textId="1F3BAE5F" w:rsidR="00E80210" w:rsidRPr="00DD4BCC" w:rsidRDefault="00B01FE6" w:rsidP="00B01FE6">
      <w:pPr>
        <w:pStyle w:val="enumlev1"/>
        <w:jc w:val="left"/>
        <w:rPr>
          <w:rFonts w:ascii="Calibri" w:eastAsia="Calibri" w:hAnsi="Calibri"/>
          <w:szCs w:val="24"/>
          <w:lang w:val="fr-FR"/>
        </w:rPr>
      </w:pPr>
      <w:r w:rsidRPr="00DD4BCC">
        <w:rPr>
          <w:lang w:val="fr-FR"/>
        </w:rPr>
        <w:t>–</w:t>
      </w:r>
      <w:r w:rsidRPr="00DD4BCC">
        <w:rPr>
          <w:lang w:val="fr-FR"/>
        </w:rPr>
        <w:tab/>
      </w:r>
      <w:r w:rsidR="000D255C" w:rsidRPr="00DD4BCC">
        <w:rPr>
          <w:lang w:val="fr-FR"/>
        </w:rPr>
        <w:t>Assurer la</w:t>
      </w:r>
      <w:r w:rsidR="00E80210" w:rsidRPr="00DD4BCC">
        <w:rPr>
          <w:lang w:val="fr-FR"/>
        </w:rPr>
        <w:t xml:space="preserve"> cohérence et l'intégration des produits définis dans le </w:t>
      </w:r>
      <w:r w:rsidR="00900633" w:rsidRPr="00DD4BCC">
        <w:rPr>
          <w:lang w:val="fr-FR"/>
        </w:rPr>
        <w:t>p</w:t>
      </w:r>
      <w:r w:rsidR="00E80210" w:rsidRPr="00DD4BCC">
        <w:rPr>
          <w:lang w:val="fr-FR"/>
        </w:rPr>
        <w:t>lan opérationnel</w:t>
      </w:r>
      <w:r w:rsidR="00CF6619" w:rsidRPr="00DD4BCC">
        <w:rPr>
          <w:lang w:val="fr-FR"/>
        </w:rPr>
        <w:t xml:space="preserve"> </w:t>
      </w:r>
      <w:r w:rsidRPr="00DD4BCC">
        <w:rPr>
          <w:lang w:val="fr-FR"/>
        </w:rPr>
        <w:t>–</w:t>
      </w:r>
      <w:r w:rsidR="00E80210" w:rsidRPr="00DD4BCC">
        <w:rPr>
          <w:lang w:val="fr-FR"/>
        </w:rPr>
        <w:t xml:space="preserve"> priorités,</w:t>
      </w:r>
      <w:r w:rsidR="00CF6619" w:rsidRPr="00DD4BCC">
        <w:rPr>
          <w:lang w:val="fr-FR"/>
        </w:rPr>
        <w:t xml:space="preserve"> </w:t>
      </w:r>
      <w:r w:rsidR="00E80210" w:rsidRPr="00DD4BCC">
        <w:rPr>
          <w:lang w:val="fr-FR"/>
        </w:rPr>
        <w:t>projets et</w:t>
      </w:r>
      <w:r w:rsidR="00CF6619" w:rsidRPr="00DD4BCC">
        <w:rPr>
          <w:lang w:val="fr-FR"/>
        </w:rPr>
        <w:t xml:space="preserve"> </w:t>
      </w:r>
      <w:r w:rsidR="00E80210" w:rsidRPr="00DD4BCC">
        <w:rPr>
          <w:lang w:val="fr-FR"/>
        </w:rPr>
        <w:t>initiatives régionales de l'UIT-D</w:t>
      </w:r>
      <w:r w:rsidR="004F4F3F" w:rsidRPr="00DD4BCC">
        <w:rPr>
          <w:lang w:val="fr-FR"/>
        </w:rPr>
        <w:t xml:space="preserve"> </w:t>
      </w:r>
      <w:r w:rsidRPr="00DD4BCC">
        <w:rPr>
          <w:lang w:val="fr-FR"/>
        </w:rPr>
        <w:t>–</w:t>
      </w:r>
      <w:r w:rsidR="00E80210" w:rsidRPr="00DD4BCC">
        <w:rPr>
          <w:lang w:val="fr-FR"/>
        </w:rPr>
        <w:t xml:space="preserve">, en tirant parti des liens étroits qui existent entre ces produits et le Plan d'action de Kigali, les </w:t>
      </w:r>
      <w:r w:rsidR="004F4F3F" w:rsidRPr="00DD4BCC">
        <w:rPr>
          <w:lang w:val="fr-FR"/>
        </w:rPr>
        <w:t xml:space="preserve">Résolutions </w:t>
      </w:r>
      <w:r w:rsidR="00E80210" w:rsidRPr="00DD4BCC">
        <w:rPr>
          <w:lang w:val="fr-FR"/>
        </w:rPr>
        <w:t>de l'UIT-D ainsi que les objectifs stratégiques de l'UIT.</w:t>
      </w:r>
    </w:p>
    <w:p w14:paraId="2A98D762" w14:textId="07C389B7" w:rsidR="00E80210" w:rsidRPr="00DD4BCC" w:rsidRDefault="00B01FE6" w:rsidP="00B01FE6">
      <w:pPr>
        <w:pStyle w:val="enumlev1"/>
        <w:jc w:val="left"/>
        <w:rPr>
          <w:rFonts w:ascii="Calibri" w:eastAsia="Calibri" w:hAnsi="Calibri"/>
          <w:szCs w:val="24"/>
          <w:lang w:val="fr-FR"/>
        </w:rPr>
      </w:pPr>
      <w:r w:rsidRPr="00DD4BCC">
        <w:rPr>
          <w:lang w:val="fr-FR"/>
        </w:rPr>
        <w:t>–</w:t>
      </w:r>
      <w:r w:rsidRPr="00DD4BCC">
        <w:rPr>
          <w:lang w:val="fr-FR"/>
        </w:rPr>
        <w:tab/>
      </w:r>
      <w:r w:rsidR="000D255C" w:rsidRPr="00DD4BCC">
        <w:rPr>
          <w:lang w:val="fr-FR"/>
        </w:rPr>
        <w:t>Renforcer la</w:t>
      </w:r>
      <w:r w:rsidR="00E80210" w:rsidRPr="00DD4BCC">
        <w:rPr>
          <w:lang w:val="fr-FR"/>
        </w:rPr>
        <w:t xml:space="preserve"> collaboration fonctionnelle et axée sur les </w:t>
      </w:r>
      <w:r w:rsidR="00500435" w:rsidRPr="00DD4BCC">
        <w:rPr>
          <w:lang w:val="fr-FR"/>
        </w:rPr>
        <w:t>réalisations</w:t>
      </w:r>
      <w:r w:rsidR="00E80210" w:rsidRPr="00DD4BCC">
        <w:rPr>
          <w:lang w:val="fr-FR"/>
        </w:rPr>
        <w:t xml:space="preserve"> pour toutes les priorités de l'UIT-D et entre les équipes du siège, des bureaux régionaux et des bureaux de zone</w:t>
      </w:r>
      <w:r w:rsidR="000D255C" w:rsidRPr="00DD4BCC">
        <w:rPr>
          <w:lang w:val="fr-FR"/>
        </w:rPr>
        <w:t xml:space="preserve">, ce qui </w:t>
      </w:r>
      <w:r w:rsidR="004F4F3F" w:rsidRPr="00DD4BCC">
        <w:rPr>
          <w:lang w:val="fr-FR"/>
        </w:rPr>
        <w:t>est</w:t>
      </w:r>
      <w:r w:rsidR="00E80210" w:rsidRPr="00DD4BCC">
        <w:rPr>
          <w:lang w:val="fr-FR"/>
        </w:rPr>
        <w:t xml:space="preserve"> essentiel pour accroître l'efficacité des produits et</w:t>
      </w:r>
      <w:r w:rsidR="00CF6619" w:rsidRPr="00DD4BCC">
        <w:rPr>
          <w:lang w:val="fr-FR"/>
        </w:rPr>
        <w:t xml:space="preserve"> </w:t>
      </w:r>
      <w:r w:rsidR="00E80210" w:rsidRPr="00DD4BCC">
        <w:rPr>
          <w:lang w:val="fr-FR"/>
        </w:rPr>
        <w:t>services du BDT et leurs</w:t>
      </w:r>
      <w:r w:rsidR="00CF6619" w:rsidRPr="00DD4BCC">
        <w:rPr>
          <w:lang w:val="fr-FR"/>
        </w:rPr>
        <w:t xml:space="preserve"> </w:t>
      </w:r>
      <w:r w:rsidR="004F4F3F" w:rsidRPr="00DD4BCC">
        <w:rPr>
          <w:lang w:val="fr-FR"/>
        </w:rPr>
        <w:t>incidences</w:t>
      </w:r>
      <w:r w:rsidR="00CF6619" w:rsidRPr="00DD4BCC">
        <w:rPr>
          <w:lang w:val="fr-FR"/>
        </w:rPr>
        <w:t xml:space="preserve"> </w:t>
      </w:r>
      <w:r w:rsidR="004F4F3F" w:rsidRPr="00DD4BCC">
        <w:rPr>
          <w:lang w:val="fr-FR"/>
        </w:rPr>
        <w:t xml:space="preserve">pour </w:t>
      </w:r>
      <w:r w:rsidR="00E80210" w:rsidRPr="00DD4BCC">
        <w:rPr>
          <w:lang w:val="fr-FR"/>
        </w:rPr>
        <w:t>les pays bénéficiaires, les organismes publics, les parties prenantes et les communautés au niveau national.</w:t>
      </w:r>
    </w:p>
    <w:p w14:paraId="448B8A84" w14:textId="7386D6A4" w:rsidR="00E80210" w:rsidRPr="00DD4BCC" w:rsidRDefault="00B01FE6" w:rsidP="00B01FE6">
      <w:pPr>
        <w:pStyle w:val="enumlev1"/>
        <w:jc w:val="left"/>
        <w:rPr>
          <w:rFonts w:ascii="Calibri" w:eastAsia="Calibri" w:hAnsi="Calibri"/>
          <w:szCs w:val="24"/>
          <w:lang w:val="fr-FR"/>
        </w:rPr>
      </w:pPr>
      <w:r w:rsidRPr="00DD4BCC">
        <w:rPr>
          <w:lang w:val="fr-FR"/>
        </w:rPr>
        <w:t>–</w:t>
      </w:r>
      <w:r w:rsidRPr="00DD4BCC">
        <w:rPr>
          <w:lang w:val="fr-FR"/>
        </w:rPr>
        <w:tab/>
      </w:r>
      <w:r w:rsidR="000D255C" w:rsidRPr="00DD4BCC">
        <w:rPr>
          <w:lang w:val="fr-FR"/>
        </w:rPr>
        <w:t>Créer de</w:t>
      </w:r>
      <w:r w:rsidR="00E80210" w:rsidRPr="00DD4BCC">
        <w:rPr>
          <w:lang w:val="fr-FR"/>
        </w:rPr>
        <w:t xml:space="preserve"> fortes synergies dans la mise en </w:t>
      </w:r>
      <w:r w:rsidR="00766F45" w:rsidRPr="00DD4BCC">
        <w:rPr>
          <w:lang w:val="fr-FR"/>
        </w:rPr>
        <w:t>œuvre</w:t>
      </w:r>
      <w:r w:rsidR="00E80210" w:rsidRPr="00DD4BCC">
        <w:rPr>
          <w:lang w:val="fr-FR"/>
        </w:rPr>
        <w:t xml:space="preserve"> avec le Bureau des radiocommunications de l'UIT (BR), le Bureau de la normalisation des télécommunications de l'UIT (TSB) et le Secrétariat général.</w:t>
      </w:r>
    </w:p>
    <w:p w14:paraId="1A03F86E" w14:textId="5B17A8F6" w:rsidR="00E80210" w:rsidRPr="00DD4BCC" w:rsidRDefault="00B01FE6" w:rsidP="00B01FE6">
      <w:pPr>
        <w:pStyle w:val="enumlev1"/>
        <w:jc w:val="left"/>
        <w:rPr>
          <w:rFonts w:ascii="Calibri" w:eastAsia="Calibri" w:hAnsi="Calibri"/>
          <w:szCs w:val="24"/>
          <w:lang w:val="fr-FR"/>
        </w:rPr>
      </w:pPr>
      <w:r w:rsidRPr="00DD4BCC">
        <w:rPr>
          <w:lang w:val="fr-FR"/>
        </w:rPr>
        <w:t>–</w:t>
      </w:r>
      <w:r w:rsidRPr="00DD4BCC">
        <w:rPr>
          <w:lang w:val="fr-FR"/>
        </w:rPr>
        <w:tab/>
        <w:t>P</w:t>
      </w:r>
      <w:r w:rsidR="004F4F3F" w:rsidRPr="00DD4BCC">
        <w:rPr>
          <w:lang w:val="fr-FR"/>
        </w:rPr>
        <w:t>oursuivre</w:t>
      </w:r>
      <w:r w:rsidR="00766F45" w:rsidRPr="00DD4BCC">
        <w:rPr>
          <w:lang w:val="fr-FR"/>
        </w:rPr>
        <w:t xml:space="preserve"> l'intégration</w:t>
      </w:r>
      <w:r w:rsidR="00E80210" w:rsidRPr="00DD4BCC">
        <w:rPr>
          <w:lang w:val="fr-FR"/>
        </w:rPr>
        <w:t xml:space="preserve"> entre la mise en </w:t>
      </w:r>
      <w:r w:rsidR="00766F45" w:rsidRPr="00DD4BCC">
        <w:rPr>
          <w:lang w:val="fr-FR"/>
        </w:rPr>
        <w:t>œuvre</w:t>
      </w:r>
      <w:r w:rsidR="00E80210" w:rsidRPr="00DD4BCC">
        <w:rPr>
          <w:lang w:val="fr-FR"/>
        </w:rPr>
        <w:t xml:space="preserve"> des projets, les activités prévues dans le plan opérationnel, les initiatives régionales et les efforts des partenaires, au fur et à mesure du cycle de mise en </w:t>
      </w:r>
      <w:r w:rsidR="00766F45" w:rsidRPr="00DD4BCC">
        <w:rPr>
          <w:lang w:val="fr-FR"/>
        </w:rPr>
        <w:t>œuvre</w:t>
      </w:r>
      <w:r w:rsidR="00E80210" w:rsidRPr="00DD4BCC">
        <w:rPr>
          <w:lang w:val="fr-FR"/>
        </w:rPr>
        <w:t xml:space="preserve"> actuel, afin de renforcer la fourniture efficace et rapide de services, de produits et de projets de qualité.</w:t>
      </w:r>
    </w:p>
    <w:p w14:paraId="255E53A7" w14:textId="09A0AB96" w:rsidR="00E80210" w:rsidRPr="00DD4BCC" w:rsidRDefault="00E80210" w:rsidP="00B01FE6">
      <w:pPr>
        <w:pStyle w:val="Heading2"/>
        <w:jc w:val="left"/>
        <w:rPr>
          <w:rFonts w:eastAsia="Calibri"/>
          <w:szCs w:val="24"/>
          <w:lang w:val="fr-FR"/>
        </w:rPr>
      </w:pPr>
      <w:r w:rsidRPr="00DD4BCC">
        <w:rPr>
          <w:lang w:val="fr-FR"/>
        </w:rPr>
        <w:t>1.2</w:t>
      </w:r>
      <w:r w:rsidR="00B01FE6" w:rsidRPr="00DD4BCC">
        <w:rPr>
          <w:lang w:val="fr-FR"/>
        </w:rPr>
        <w:tab/>
      </w:r>
      <w:r w:rsidRPr="00DD4BCC">
        <w:rPr>
          <w:lang w:val="fr-FR"/>
        </w:rPr>
        <w:t xml:space="preserve">Élaboration du cadre pour le </w:t>
      </w:r>
      <w:r w:rsidR="004F4F3F" w:rsidRPr="00DD4BCC">
        <w:rPr>
          <w:lang w:val="fr-FR"/>
        </w:rPr>
        <w:t xml:space="preserve">plan </w:t>
      </w:r>
      <w:r w:rsidRPr="00DD4BCC">
        <w:rPr>
          <w:lang w:val="fr-FR"/>
        </w:rPr>
        <w:t>opérationnel de l'UIT-D pour 2023</w:t>
      </w:r>
    </w:p>
    <w:p w14:paraId="2EBBF048" w14:textId="14F9ACF6" w:rsidR="00E80210" w:rsidRPr="00DD4BCC"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fr-FR"/>
        </w:rPr>
      </w:pPr>
      <w:r w:rsidRPr="00DD4BCC">
        <w:rPr>
          <w:lang w:val="fr-FR"/>
        </w:rPr>
        <w:t xml:space="preserve">Le </w:t>
      </w:r>
      <w:r w:rsidR="00C64455">
        <w:rPr>
          <w:lang w:val="fr-FR"/>
        </w:rPr>
        <w:t>p</w:t>
      </w:r>
      <w:r w:rsidR="004F4F3F" w:rsidRPr="00DD4BCC">
        <w:rPr>
          <w:lang w:val="fr-FR"/>
        </w:rPr>
        <w:t xml:space="preserve">lan </w:t>
      </w:r>
      <w:r w:rsidRPr="00DD4BCC">
        <w:rPr>
          <w:lang w:val="fr-FR"/>
        </w:rPr>
        <w:t xml:space="preserve">opérationnel de l'UIT-D pour 2023 est aligné sur la structure du </w:t>
      </w:r>
      <w:r w:rsidR="00C64455">
        <w:rPr>
          <w:lang w:val="fr-FR"/>
        </w:rPr>
        <w:t>P</w:t>
      </w:r>
      <w:r w:rsidR="004F4F3F" w:rsidRPr="00DD4BCC">
        <w:rPr>
          <w:lang w:val="fr-FR"/>
        </w:rPr>
        <w:t xml:space="preserve">lan </w:t>
      </w:r>
      <w:r w:rsidRPr="00DD4BCC">
        <w:rPr>
          <w:lang w:val="fr-FR"/>
        </w:rPr>
        <w:t>stratégique de l'Union pour la période 2024-2027. La structure de ce plan est conforme au Plan d'action de Kigali, qui définit les priorités et les catalyseurs de l'UIT-D,</w:t>
      </w:r>
      <w:r w:rsidR="00CF6619" w:rsidRPr="00DD4BCC">
        <w:rPr>
          <w:lang w:val="fr-FR"/>
        </w:rPr>
        <w:t xml:space="preserve"> </w:t>
      </w:r>
      <w:r w:rsidR="004F4F3F" w:rsidRPr="00DD4BCC">
        <w:rPr>
          <w:lang w:val="fr-FR"/>
        </w:rPr>
        <w:t xml:space="preserve">ainsi que </w:t>
      </w:r>
      <w:r w:rsidRPr="00DD4BCC">
        <w:rPr>
          <w:lang w:val="fr-FR"/>
        </w:rPr>
        <w:t xml:space="preserve">les </w:t>
      </w:r>
      <w:r w:rsidR="009A0B71" w:rsidRPr="00DD4BCC">
        <w:rPr>
          <w:lang w:val="fr-FR"/>
        </w:rPr>
        <w:t>réalisations</w:t>
      </w:r>
      <w:r w:rsidRPr="00DD4BCC">
        <w:rPr>
          <w:lang w:val="fr-FR"/>
        </w:rPr>
        <w:t xml:space="preserve">, produits et services </w:t>
      </w:r>
      <w:r w:rsidR="00923F4E" w:rsidRPr="00DD4BCC">
        <w:rPr>
          <w:lang w:val="fr-FR"/>
        </w:rPr>
        <w:t>correspondants</w:t>
      </w:r>
      <w:r w:rsidRPr="00DD4BCC">
        <w:rPr>
          <w:lang w:val="fr-FR"/>
        </w:rPr>
        <w:t xml:space="preserve">, </w:t>
      </w:r>
      <w:r w:rsidR="004F4F3F" w:rsidRPr="00DD4BCC">
        <w:rPr>
          <w:lang w:val="fr-FR"/>
        </w:rPr>
        <w:t xml:space="preserve">et </w:t>
      </w:r>
      <w:r w:rsidRPr="00DD4BCC">
        <w:rPr>
          <w:lang w:val="fr-FR"/>
        </w:rPr>
        <w:t xml:space="preserve">les indicateurs de performance permettant de mesurer leur niveau de réalisation découlant des activités du Secteur. Le cadre des incidences pour la mise en </w:t>
      </w:r>
      <w:r w:rsidR="00766F45" w:rsidRPr="00DD4BCC">
        <w:rPr>
          <w:lang w:val="fr-FR"/>
        </w:rPr>
        <w:t>œuvre</w:t>
      </w:r>
      <w:r w:rsidRPr="00DD4BCC">
        <w:rPr>
          <w:lang w:val="fr-FR"/>
        </w:rPr>
        <w:t xml:space="preserve"> du Plan d'action de Kigali </w:t>
      </w:r>
      <w:r w:rsidR="004A3608" w:rsidRPr="00DD4BCC">
        <w:rPr>
          <w:lang w:val="fr-FR"/>
        </w:rPr>
        <w:t>dans le c</w:t>
      </w:r>
      <w:r w:rsidR="003311DF" w:rsidRPr="00DD4BCC">
        <w:rPr>
          <w:lang w:val="fr-FR"/>
        </w:rPr>
        <w:t>ontexte</w:t>
      </w:r>
      <w:r w:rsidR="004A3608" w:rsidRPr="00DD4BCC">
        <w:rPr>
          <w:lang w:val="fr-FR"/>
        </w:rPr>
        <w:t xml:space="preserve"> du</w:t>
      </w:r>
      <w:r w:rsidRPr="00DD4BCC">
        <w:rPr>
          <w:lang w:val="fr-FR"/>
        </w:rPr>
        <w:t xml:space="preserve"> plan opérationnel pour 2023 servira de base au </w:t>
      </w:r>
      <w:r w:rsidR="004F4F3F" w:rsidRPr="00DD4BCC">
        <w:rPr>
          <w:lang w:val="fr-FR"/>
        </w:rPr>
        <w:t xml:space="preserve">plan </w:t>
      </w:r>
      <w:r w:rsidRPr="00DD4BCC">
        <w:rPr>
          <w:lang w:val="fr-FR"/>
        </w:rPr>
        <w:t>opérationnel quadriennal de l'UIT-D pour la période 2023-2026, une fois que le budget de l'UIT pour la période 2024-2027 aura été approuvé par le Conseil.</w:t>
      </w:r>
    </w:p>
    <w:p w14:paraId="7AFDBFFC" w14:textId="2B5AC049" w:rsidR="00E80210" w:rsidRPr="00DD4BCC"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fr-FR"/>
        </w:rPr>
      </w:pPr>
      <w:r w:rsidRPr="00DD4BCC">
        <w:rPr>
          <w:lang w:val="fr-FR"/>
        </w:rPr>
        <w:t xml:space="preserve">Le processus d'élaboration du plan opérationnel pour 2023 </w:t>
      </w:r>
      <w:r w:rsidR="00707EA1" w:rsidRPr="00DD4BCC">
        <w:rPr>
          <w:lang w:val="fr-FR"/>
        </w:rPr>
        <w:t>a consisté à</w:t>
      </w:r>
      <w:r w:rsidRPr="00DD4BCC">
        <w:rPr>
          <w:lang w:val="fr-FR"/>
        </w:rPr>
        <w:t xml:space="preserve"> défini</w:t>
      </w:r>
      <w:r w:rsidR="00707EA1" w:rsidRPr="00DD4BCC">
        <w:rPr>
          <w:lang w:val="fr-FR"/>
        </w:rPr>
        <w:t>r</w:t>
      </w:r>
      <w:r w:rsidRPr="00DD4BCC">
        <w:rPr>
          <w:lang w:val="fr-FR"/>
        </w:rPr>
        <w:t xml:space="preserve"> </w:t>
      </w:r>
      <w:r w:rsidR="00707EA1" w:rsidRPr="00DD4BCC">
        <w:rPr>
          <w:lang w:val="fr-FR"/>
        </w:rPr>
        <w:t>l</w:t>
      </w:r>
      <w:r w:rsidRPr="00DD4BCC">
        <w:rPr>
          <w:lang w:val="fr-FR"/>
        </w:rPr>
        <w:t xml:space="preserve">es principes fondamentaux </w:t>
      </w:r>
      <w:r w:rsidR="00707EA1" w:rsidRPr="00DD4BCC">
        <w:rPr>
          <w:lang w:val="fr-FR"/>
        </w:rPr>
        <w:t xml:space="preserve">à appliquer pour donner effet au </w:t>
      </w:r>
      <w:r w:rsidRPr="00DD4BCC">
        <w:rPr>
          <w:lang w:val="fr-FR"/>
        </w:rPr>
        <w:t>plan opérationnel pour 2023 (voir la Figure 1)</w:t>
      </w:r>
      <w:r w:rsidR="00707EA1" w:rsidRPr="00DD4BCC">
        <w:rPr>
          <w:lang w:val="fr-FR"/>
        </w:rPr>
        <w:t xml:space="preserve"> et s'est poursuivi </w:t>
      </w:r>
      <w:r w:rsidR="00C64079" w:rsidRPr="00DD4BCC">
        <w:rPr>
          <w:lang w:val="fr-FR"/>
        </w:rPr>
        <w:t>par des</w:t>
      </w:r>
      <w:r w:rsidRPr="00DD4BCC">
        <w:rPr>
          <w:lang w:val="fr-FR"/>
        </w:rPr>
        <w:t xml:space="preserve"> consultations lors de la retraite des responsables du BDT en février 2023 (voir l</w:t>
      </w:r>
      <w:r w:rsidR="00F54783" w:rsidRPr="00DD4BCC">
        <w:rPr>
          <w:lang w:val="fr-FR"/>
        </w:rPr>
        <w:t>'Annexe 1 de l'Addendum 2 au</w:t>
      </w:r>
      <w:r w:rsidRPr="00DD4BCC">
        <w:rPr>
          <w:lang w:val="fr-FR"/>
        </w:rPr>
        <w:t xml:space="preserve"> Document 2 du GCDT)</w:t>
      </w:r>
      <w:r w:rsidR="00707EA1" w:rsidRPr="00DD4BCC">
        <w:rPr>
          <w:lang w:val="fr-FR"/>
        </w:rPr>
        <w:t>,</w:t>
      </w:r>
      <w:r w:rsidR="00CF6619" w:rsidRPr="00DD4BCC">
        <w:rPr>
          <w:lang w:val="fr-FR"/>
        </w:rPr>
        <w:t xml:space="preserve"> </w:t>
      </w:r>
      <w:r w:rsidR="004F4F3F" w:rsidRPr="00DD4BCC">
        <w:rPr>
          <w:lang w:val="fr-FR"/>
        </w:rPr>
        <w:t>l</w:t>
      </w:r>
      <w:r w:rsidR="00B01FE6" w:rsidRPr="00DD4BCC">
        <w:rPr>
          <w:lang w:val="fr-FR"/>
        </w:rPr>
        <w:t>'</w:t>
      </w:r>
      <w:r w:rsidR="004F4F3F" w:rsidRPr="00DD4BCC">
        <w:rPr>
          <w:lang w:val="fr-FR"/>
        </w:rPr>
        <w:t xml:space="preserve">harmonisation </w:t>
      </w:r>
      <w:r w:rsidRPr="00DD4BCC">
        <w:rPr>
          <w:lang w:val="fr-FR"/>
        </w:rPr>
        <w:t>ultérieur</w:t>
      </w:r>
      <w:r w:rsidR="004F4F3F" w:rsidRPr="00DD4BCC">
        <w:rPr>
          <w:lang w:val="fr-FR"/>
        </w:rPr>
        <w:t>e</w:t>
      </w:r>
      <w:r w:rsidRPr="00DD4BCC">
        <w:rPr>
          <w:lang w:val="fr-FR"/>
        </w:rPr>
        <w:t xml:space="preserve"> des activités prévues </w:t>
      </w:r>
      <w:r w:rsidR="007A1862" w:rsidRPr="00DD4BCC">
        <w:rPr>
          <w:lang w:val="fr-FR"/>
        </w:rPr>
        <w:t xml:space="preserve">au titre du </w:t>
      </w:r>
      <w:r w:rsidR="004F4F3F" w:rsidRPr="00DD4BCC">
        <w:rPr>
          <w:lang w:val="fr-FR"/>
        </w:rPr>
        <w:t xml:space="preserve">plan </w:t>
      </w:r>
      <w:r w:rsidRPr="00DD4BCC">
        <w:rPr>
          <w:lang w:val="fr-FR"/>
        </w:rPr>
        <w:t>opérationnel pour 2023</w:t>
      </w:r>
      <w:r w:rsidR="00CF6619" w:rsidRPr="00DD4BCC">
        <w:rPr>
          <w:lang w:val="fr-FR"/>
        </w:rPr>
        <w:t xml:space="preserve"> </w:t>
      </w:r>
      <w:r w:rsidR="004F4F3F" w:rsidRPr="00DD4BCC">
        <w:rPr>
          <w:lang w:val="fr-FR"/>
        </w:rPr>
        <w:t>avec</w:t>
      </w:r>
      <w:r w:rsidR="00CF6619" w:rsidRPr="00DD4BCC">
        <w:rPr>
          <w:lang w:val="fr-FR"/>
        </w:rPr>
        <w:t xml:space="preserve"> </w:t>
      </w:r>
      <w:r w:rsidRPr="00DD4BCC">
        <w:rPr>
          <w:lang w:val="fr-FR"/>
        </w:rPr>
        <w:t xml:space="preserve">le Plan d'action de Kigali, </w:t>
      </w:r>
      <w:r w:rsidR="004F4F3F" w:rsidRPr="00DD4BCC">
        <w:rPr>
          <w:lang w:val="fr-FR"/>
        </w:rPr>
        <w:t>le processus consistant à assurer</w:t>
      </w:r>
      <w:r w:rsidR="00CF6619" w:rsidRPr="00DD4BCC">
        <w:rPr>
          <w:lang w:val="fr-FR"/>
        </w:rPr>
        <w:t xml:space="preserve"> </w:t>
      </w:r>
      <w:r w:rsidRPr="00DD4BCC">
        <w:rPr>
          <w:lang w:val="fr-FR"/>
        </w:rPr>
        <w:t>la meilleure cohérence possible à tous les niveaux et</w:t>
      </w:r>
      <w:r w:rsidR="00CF6619" w:rsidRPr="00DD4BCC">
        <w:rPr>
          <w:lang w:val="fr-FR"/>
        </w:rPr>
        <w:t xml:space="preserve"> </w:t>
      </w:r>
      <w:r w:rsidR="007A1862" w:rsidRPr="00DD4BCC">
        <w:rPr>
          <w:lang w:val="fr-FR"/>
        </w:rPr>
        <w:t>l'</w:t>
      </w:r>
      <w:r w:rsidRPr="00DD4BCC">
        <w:rPr>
          <w:lang w:val="fr-FR"/>
        </w:rPr>
        <w:t>approbation du budget définitif pour 2023 en mars 2023.</w:t>
      </w:r>
    </w:p>
    <w:p w14:paraId="2D0C9CCF" w14:textId="1C8B3F58" w:rsidR="00021341" w:rsidRPr="00DD4BCC" w:rsidRDefault="00021341" w:rsidP="00B01FE6">
      <w:pPr>
        <w:pStyle w:val="Figuretitle"/>
        <w:keepNext/>
        <w:rPr>
          <w:rFonts w:ascii="Calibri" w:eastAsia="Calibri" w:hAnsi="Calibri"/>
          <w:szCs w:val="24"/>
          <w:lang w:val="fr-FR"/>
        </w:rPr>
      </w:pPr>
      <w:r w:rsidRPr="00DD4BCC">
        <w:rPr>
          <w:lang w:val="fr-FR"/>
        </w:rPr>
        <w:lastRenderedPageBreak/>
        <w:t>Figure 1 – Planification opérationnelle pour 2023: ré</w:t>
      </w:r>
      <w:r w:rsidR="007B17D4" w:rsidRPr="00DD4BCC">
        <w:rPr>
          <w:lang w:val="fr-FR"/>
        </w:rPr>
        <w:t>alisations</w:t>
      </w:r>
      <w:r w:rsidRPr="00DD4BCC">
        <w:rPr>
          <w:lang w:val="fr-FR"/>
        </w:rPr>
        <w:t>, produits et activités</w:t>
      </w:r>
    </w:p>
    <w:p w14:paraId="0CE06AB1" w14:textId="35533DEA" w:rsidR="00021341" w:rsidRPr="00DD4BCC" w:rsidRDefault="00C64455" w:rsidP="00B01FE6">
      <w:pPr>
        <w:pStyle w:val="Figure"/>
        <w:keepNext/>
        <w:keepLines/>
        <w:jc w:val="center"/>
        <w:rPr>
          <w:rFonts w:ascii="Calibri" w:eastAsia="Calibri" w:hAnsi="Calibri"/>
          <w:lang w:val="fr-FR"/>
        </w:rPr>
      </w:pPr>
      <w:r w:rsidRPr="00DD4BCC">
        <w:rPr>
          <w:shd w:val="clear" w:color="auto" w:fill="auto"/>
        </w:rPr>
        <mc:AlternateContent>
          <mc:Choice Requires="wps">
            <w:drawing>
              <wp:anchor distT="0" distB="0" distL="114300" distR="114300" simplePos="0" relativeHeight="251669504" behindDoc="0" locked="0" layoutInCell="1" allowOverlap="1" wp14:anchorId="511CE458" wp14:editId="146C4937">
                <wp:simplePos x="0" y="0"/>
                <wp:positionH relativeFrom="column">
                  <wp:posOffset>4186280</wp:posOffset>
                </wp:positionH>
                <wp:positionV relativeFrom="paragraph">
                  <wp:posOffset>1201466</wp:posOffset>
                </wp:positionV>
                <wp:extent cx="991870" cy="415707"/>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991870" cy="415707"/>
                        </a:xfrm>
                        <a:prstGeom prst="rect">
                          <a:avLst/>
                        </a:prstGeom>
                        <a:solidFill>
                          <a:srgbClr val="00B050"/>
                        </a:solidFill>
                        <a:ln w="6350">
                          <a:noFill/>
                        </a:ln>
                      </wps:spPr>
                      <wps:txbx>
                        <w:txbxContent>
                          <w:p w14:paraId="1049AC44" w14:textId="5C8EB9AC" w:rsidR="00970D1B" w:rsidRDefault="00970D1B" w:rsidP="00DE15D2">
                            <w:pPr>
                              <w:tabs>
                                <w:tab w:val="clear" w:pos="794"/>
                                <w:tab w:val="clear" w:pos="1191"/>
                                <w:tab w:val="clear" w:pos="1588"/>
                                <w:tab w:val="clear" w:pos="1985"/>
                                <w:tab w:val="left" w:pos="142"/>
                              </w:tabs>
                              <w:spacing w:before="0"/>
                              <w:ind w:left="142" w:hanging="142"/>
                              <w:jc w:val="left"/>
                              <w:rPr>
                                <w:sz w:val="16"/>
                                <w:szCs w:val="16"/>
                                <w:lang w:val="fr-FR"/>
                              </w:rPr>
                            </w:pPr>
                            <w:r w:rsidRPr="00DE15D2">
                              <w:rPr>
                                <w:sz w:val="16"/>
                                <w:szCs w:val="16"/>
                                <w:lang w:val="fr-FR"/>
                              </w:rPr>
                              <w:t>•</w:t>
                            </w:r>
                            <w:r>
                              <w:rPr>
                                <w:sz w:val="16"/>
                                <w:szCs w:val="16"/>
                                <w:lang w:val="fr-FR"/>
                              </w:rPr>
                              <w:tab/>
                            </w:r>
                            <w:r w:rsidRPr="00DE15D2">
                              <w:rPr>
                                <w:sz w:val="16"/>
                                <w:szCs w:val="16"/>
                                <w:lang w:val="fr-FR"/>
                              </w:rPr>
                              <w:t>Grandes orientations du SMSI</w:t>
                            </w:r>
                          </w:p>
                          <w:p w14:paraId="7DF34281" w14:textId="36921A2C" w:rsidR="00970D1B" w:rsidRPr="00B01FE6" w:rsidRDefault="00970D1B" w:rsidP="00DE15D2">
                            <w:pPr>
                              <w:tabs>
                                <w:tab w:val="clear" w:pos="794"/>
                                <w:tab w:val="clear" w:pos="1191"/>
                                <w:tab w:val="clear" w:pos="1588"/>
                                <w:tab w:val="clear" w:pos="1985"/>
                                <w:tab w:val="left" w:pos="142"/>
                              </w:tabs>
                              <w:spacing w:before="0"/>
                              <w:ind w:left="142" w:hanging="142"/>
                              <w:jc w:val="left"/>
                              <w:rPr>
                                <w:sz w:val="16"/>
                                <w:szCs w:val="16"/>
                                <w:lang w:val="fr-FR"/>
                              </w:rPr>
                            </w:pPr>
                            <w:r w:rsidRPr="00DE15D2">
                              <w:rPr>
                                <w:sz w:val="16"/>
                                <w:szCs w:val="16"/>
                                <w:lang w:val="fr-FR"/>
                              </w:rPr>
                              <w:t>•</w:t>
                            </w:r>
                            <w:r>
                              <w:rPr>
                                <w:sz w:val="16"/>
                                <w:szCs w:val="16"/>
                                <w:lang w:val="fr-FR"/>
                              </w:rPr>
                              <w:tab/>
                            </w:r>
                            <w:r w:rsidRPr="00DE15D2">
                              <w:rPr>
                                <w:sz w:val="16"/>
                                <w:szCs w:val="16"/>
                                <w:lang w:val="fr-FR"/>
                              </w:rPr>
                              <w:t>ODD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CE458" id="_x0000_t202" coordsize="21600,21600" o:spt="202" path="m,l,21600r21600,l21600,xe">
                <v:stroke joinstyle="miter"/>
                <v:path gradientshapeok="t" o:connecttype="rect"/>
              </v:shapetype>
              <v:shape id="Text Box 11" o:spid="_x0000_s1026" type="#_x0000_t202" style="position:absolute;left:0;text-align:left;margin-left:329.65pt;margin-top:94.6pt;width:78.1pt;height:3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" fillcolor="#00b050" stroked="f" strokeweight=".5pt">
                <v:textbox inset="0,0,0,0">
                  <w:txbxContent>
                    <w:p w14:paraId="1049AC44" w14:textId="5C8EB9AC" w:rsidR="00970D1B" w:rsidRDefault="00970D1B" w:rsidP="00DE15D2">
                      <w:pPr>
                        <w:tabs>
                          <w:tab w:val="clear" w:pos="794"/>
                          <w:tab w:val="clear" w:pos="1191"/>
                          <w:tab w:val="clear" w:pos="1588"/>
                          <w:tab w:val="clear" w:pos="1985"/>
                          <w:tab w:val="left" w:pos="142"/>
                        </w:tabs>
                        <w:spacing w:before="0"/>
                        <w:ind w:left="142" w:hanging="142"/>
                        <w:jc w:val="left"/>
                        <w:rPr>
                          <w:sz w:val="16"/>
                          <w:szCs w:val="16"/>
                          <w:lang w:val="fr-FR"/>
                        </w:rPr>
                      </w:pPr>
                      <w:r w:rsidRPr="00DE15D2">
                        <w:rPr>
                          <w:sz w:val="16"/>
                          <w:szCs w:val="16"/>
                          <w:lang w:val="fr-FR"/>
                        </w:rPr>
                        <w:t>•</w:t>
                      </w:r>
                      <w:r>
                        <w:rPr>
                          <w:sz w:val="16"/>
                          <w:szCs w:val="16"/>
                          <w:lang w:val="fr-FR"/>
                        </w:rPr>
                        <w:tab/>
                      </w:r>
                      <w:r w:rsidRPr="00DE15D2">
                        <w:rPr>
                          <w:sz w:val="16"/>
                          <w:szCs w:val="16"/>
                          <w:lang w:val="fr-FR"/>
                        </w:rPr>
                        <w:t>Grandes orientations du SMSI</w:t>
                      </w:r>
                    </w:p>
                    <w:p w14:paraId="7DF34281" w14:textId="36921A2C" w:rsidR="00970D1B" w:rsidRPr="00B01FE6" w:rsidRDefault="00970D1B" w:rsidP="00DE15D2">
                      <w:pPr>
                        <w:tabs>
                          <w:tab w:val="clear" w:pos="794"/>
                          <w:tab w:val="clear" w:pos="1191"/>
                          <w:tab w:val="clear" w:pos="1588"/>
                          <w:tab w:val="clear" w:pos="1985"/>
                          <w:tab w:val="left" w:pos="142"/>
                        </w:tabs>
                        <w:spacing w:before="0"/>
                        <w:ind w:left="142" w:hanging="142"/>
                        <w:jc w:val="left"/>
                        <w:rPr>
                          <w:sz w:val="16"/>
                          <w:szCs w:val="16"/>
                          <w:lang w:val="fr-FR"/>
                        </w:rPr>
                      </w:pPr>
                      <w:r w:rsidRPr="00DE15D2">
                        <w:rPr>
                          <w:sz w:val="16"/>
                          <w:szCs w:val="16"/>
                          <w:lang w:val="fr-FR"/>
                        </w:rPr>
                        <w:t>•</w:t>
                      </w:r>
                      <w:r>
                        <w:rPr>
                          <w:sz w:val="16"/>
                          <w:szCs w:val="16"/>
                          <w:lang w:val="fr-FR"/>
                        </w:rPr>
                        <w:tab/>
                      </w:r>
                      <w:r w:rsidRPr="00DE15D2">
                        <w:rPr>
                          <w:sz w:val="16"/>
                          <w:szCs w:val="16"/>
                          <w:lang w:val="fr-FR"/>
                        </w:rPr>
                        <w:t>ODD</w:t>
                      </w:r>
                    </w:p>
                  </w:txbxContent>
                </v:textbox>
              </v:shape>
            </w:pict>
          </mc:Fallback>
        </mc:AlternateContent>
      </w:r>
      <w:r w:rsidR="00DE15D2" w:rsidRPr="00DD4BCC">
        <w:rPr>
          <w:shd w:val="clear" w:color="auto" w:fill="auto"/>
        </w:rPr>
        <mc:AlternateContent>
          <mc:Choice Requires="wps">
            <w:drawing>
              <wp:anchor distT="0" distB="0" distL="114300" distR="114300" simplePos="0" relativeHeight="251667456" behindDoc="0" locked="0" layoutInCell="1" allowOverlap="1" wp14:anchorId="4DFE9DAF" wp14:editId="78E84325">
                <wp:simplePos x="0" y="0"/>
                <wp:positionH relativeFrom="column">
                  <wp:posOffset>4188339</wp:posOffset>
                </wp:positionH>
                <wp:positionV relativeFrom="paragraph">
                  <wp:posOffset>872119</wp:posOffset>
                </wp:positionV>
                <wp:extent cx="978583" cy="284480"/>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978583" cy="284480"/>
                        </a:xfrm>
                        <a:prstGeom prst="rect">
                          <a:avLst/>
                        </a:prstGeom>
                        <a:solidFill>
                          <a:schemeClr val="bg1">
                            <a:lumMod val="65000"/>
                          </a:schemeClr>
                        </a:solidFill>
                        <a:ln w="6350">
                          <a:noFill/>
                        </a:ln>
                      </wps:spPr>
                      <wps:txbx>
                        <w:txbxContent>
                          <w:p w14:paraId="31A04F5F" w14:textId="1653D921" w:rsidR="00970D1B" w:rsidRPr="00B01FE6" w:rsidRDefault="00970D1B" w:rsidP="00DE15D2">
                            <w:pPr>
                              <w:tabs>
                                <w:tab w:val="clear" w:pos="794"/>
                                <w:tab w:val="clear" w:pos="1191"/>
                                <w:tab w:val="clear" w:pos="1588"/>
                                <w:tab w:val="clear" w:pos="1985"/>
                                <w:tab w:val="left" w:pos="993"/>
                              </w:tabs>
                              <w:spacing w:before="0"/>
                              <w:jc w:val="left"/>
                              <w:rPr>
                                <w:sz w:val="16"/>
                                <w:szCs w:val="16"/>
                                <w:lang w:val="fr-FR"/>
                              </w:rPr>
                            </w:pPr>
                            <w:r w:rsidRPr="00DE15D2">
                              <w:rPr>
                                <w:sz w:val="16"/>
                                <w:szCs w:val="16"/>
                                <w:lang w:val="fr-FR"/>
                              </w:rPr>
                              <w:t>Résultats de la PP-22 intéressant l'UIT-D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E9DAF" id="Text Box 10" o:spid="_x0000_s1027" type="#_x0000_t202" style="position:absolute;left:0;text-align:left;margin-left:329.8pt;margin-top:68.65pt;width:77.05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" fillcolor="#a5a5a5 [2092]" stroked="f" strokeweight=".5pt">
                <v:textbox inset="0,0,0,0">
                  <w:txbxContent>
                    <w:p w14:paraId="31A04F5F" w14:textId="1653D921" w:rsidR="00970D1B" w:rsidRPr="00B01FE6" w:rsidRDefault="00970D1B" w:rsidP="00DE15D2">
                      <w:pPr>
                        <w:tabs>
                          <w:tab w:val="clear" w:pos="794"/>
                          <w:tab w:val="clear" w:pos="1191"/>
                          <w:tab w:val="clear" w:pos="1588"/>
                          <w:tab w:val="clear" w:pos="1985"/>
                          <w:tab w:val="left" w:pos="993"/>
                        </w:tabs>
                        <w:spacing w:before="0"/>
                        <w:jc w:val="left"/>
                        <w:rPr>
                          <w:sz w:val="16"/>
                          <w:szCs w:val="16"/>
                          <w:lang w:val="fr-FR"/>
                        </w:rPr>
                      </w:pPr>
                      <w:r w:rsidRPr="00DE15D2">
                        <w:rPr>
                          <w:sz w:val="16"/>
                          <w:szCs w:val="16"/>
                          <w:lang w:val="fr-FR"/>
                        </w:rPr>
                        <w:t>Résultats de la PP-22 intéressant l'UIT-D</w:t>
                      </w:r>
                    </w:p>
                  </w:txbxContent>
                </v:textbox>
              </v:shape>
            </w:pict>
          </mc:Fallback>
        </mc:AlternateContent>
      </w:r>
      <w:r w:rsidR="00DE15D2" w:rsidRPr="00DD4BCC">
        <w:rPr>
          <w:shd w:val="clear" w:color="auto" w:fill="auto"/>
        </w:rPr>
        <mc:AlternateContent>
          <mc:Choice Requires="wps">
            <w:drawing>
              <wp:anchor distT="0" distB="0" distL="114300" distR="114300" simplePos="0" relativeHeight="251665408" behindDoc="0" locked="0" layoutInCell="1" allowOverlap="1" wp14:anchorId="51C94C8D" wp14:editId="7174190D">
                <wp:simplePos x="0" y="0"/>
                <wp:positionH relativeFrom="column">
                  <wp:posOffset>4188341</wp:posOffset>
                </wp:positionH>
                <wp:positionV relativeFrom="paragraph">
                  <wp:posOffset>61236</wp:posOffset>
                </wp:positionV>
                <wp:extent cx="1069676" cy="775970"/>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1069676" cy="775970"/>
                        </a:xfrm>
                        <a:prstGeom prst="rect">
                          <a:avLst/>
                        </a:prstGeom>
                        <a:solidFill>
                          <a:srgbClr val="00B0F0"/>
                        </a:solidFill>
                        <a:ln w="6350">
                          <a:noFill/>
                        </a:ln>
                      </wps:spPr>
                      <wps:txbx>
                        <w:txbxContent>
                          <w:p w14:paraId="27238983" w14:textId="77777777" w:rsidR="00970D1B" w:rsidRDefault="00970D1B" w:rsidP="00B01FE6">
                            <w:pPr>
                              <w:spacing w:before="0"/>
                              <w:jc w:val="left"/>
                              <w:rPr>
                                <w:sz w:val="16"/>
                                <w:szCs w:val="16"/>
                                <w:lang w:val="fr-FR"/>
                              </w:rPr>
                            </w:pPr>
                            <w:r w:rsidRPr="00B01FE6">
                              <w:rPr>
                                <w:sz w:val="16"/>
                                <w:szCs w:val="16"/>
                                <w:lang w:val="fr-FR"/>
                              </w:rPr>
                              <w:t xml:space="preserve">Résultats de la CMDT-22: </w:t>
                            </w:r>
                          </w:p>
                          <w:p w14:paraId="0579F6E1" w14:textId="77777777" w:rsidR="00970D1B" w:rsidRDefault="00970D1B" w:rsidP="00DE15D2">
                            <w:pPr>
                              <w:tabs>
                                <w:tab w:val="clear" w:pos="794"/>
                                <w:tab w:val="clear" w:pos="1191"/>
                                <w:tab w:val="clear" w:pos="1588"/>
                                <w:tab w:val="clear" w:pos="1985"/>
                                <w:tab w:val="left" w:pos="142"/>
                              </w:tabs>
                              <w:spacing w:before="0"/>
                              <w:jc w:val="left"/>
                              <w:rPr>
                                <w:sz w:val="16"/>
                                <w:szCs w:val="16"/>
                                <w:lang w:val="fr-FR"/>
                              </w:rPr>
                            </w:pPr>
                            <w:r w:rsidRPr="00B01FE6">
                              <w:rPr>
                                <w:sz w:val="16"/>
                                <w:szCs w:val="16"/>
                                <w:lang w:val="fr-FR"/>
                              </w:rPr>
                              <w:t>•</w:t>
                            </w:r>
                            <w:r>
                              <w:rPr>
                                <w:sz w:val="16"/>
                                <w:szCs w:val="16"/>
                                <w:lang w:val="fr-FR"/>
                              </w:rPr>
                              <w:tab/>
                            </w:r>
                            <w:r w:rsidRPr="00B01FE6">
                              <w:rPr>
                                <w:sz w:val="16"/>
                                <w:szCs w:val="16"/>
                                <w:lang w:val="fr-FR"/>
                              </w:rPr>
                              <w:t>Plan d'action de Kigali</w:t>
                            </w:r>
                          </w:p>
                          <w:p w14:paraId="20DA9E65" w14:textId="4F22F7BE" w:rsidR="00970D1B" w:rsidRDefault="00970D1B" w:rsidP="00DE15D2">
                            <w:pPr>
                              <w:tabs>
                                <w:tab w:val="clear" w:pos="794"/>
                                <w:tab w:val="clear" w:pos="1191"/>
                                <w:tab w:val="clear" w:pos="1588"/>
                                <w:tab w:val="clear" w:pos="1985"/>
                                <w:tab w:val="left" w:pos="142"/>
                              </w:tabs>
                              <w:spacing w:before="0"/>
                              <w:jc w:val="left"/>
                              <w:rPr>
                                <w:sz w:val="16"/>
                                <w:szCs w:val="16"/>
                                <w:lang w:val="fr-FR"/>
                              </w:rPr>
                            </w:pPr>
                            <w:r w:rsidRPr="00B01FE6">
                              <w:rPr>
                                <w:sz w:val="16"/>
                                <w:szCs w:val="16"/>
                                <w:lang w:val="fr-FR"/>
                              </w:rPr>
                              <w:t>•</w:t>
                            </w:r>
                            <w:r>
                              <w:rPr>
                                <w:sz w:val="16"/>
                                <w:szCs w:val="16"/>
                                <w:lang w:val="fr-FR"/>
                              </w:rPr>
                              <w:tab/>
                              <w:t>I</w:t>
                            </w:r>
                            <w:r w:rsidRPr="00B01FE6">
                              <w:rPr>
                                <w:sz w:val="16"/>
                                <w:szCs w:val="16"/>
                                <w:lang w:val="fr-FR"/>
                              </w:rPr>
                              <w:t>nitiatives régionales</w:t>
                            </w:r>
                          </w:p>
                          <w:p w14:paraId="394A8758" w14:textId="77777777" w:rsidR="00970D1B" w:rsidRDefault="00970D1B" w:rsidP="00DE15D2">
                            <w:pPr>
                              <w:tabs>
                                <w:tab w:val="clear" w:pos="794"/>
                                <w:tab w:val="clear" w:pos="1191"/>
                                <w:tab w:val="clear" w:pos="1588"/>
                                <w:tab w:val="clear" w:pos="1985"/>
                                <w:tab w:val="left" w:pos="142"/>
                              </w:tabs>
                              <w:spacing w:before="0"/>
                              <w:jc w:val="left"/>
                              <w:rPr>
                                <w:sz w:val="16"/>
                                <w:szCs w:val="16"/>
                                <w:lang w:val="fr-FR"/>
                              </w:rPr>
                            </w:pPr>
                            <w:r w:rsidRPr="00B01FE6">
                              <w:rPr>
                                <w:sz w:val="16"/>
                                <w:szCs w:val="16"/>
                                <w:lang w:val="fr-FR"/>
                              </w:rPr>
                              <w:t>•</w:t>
                            </w:r>
                            <w:r>
                              <w:rPr>
                                <w:sz w:val="16"/>
                                <w:szCs w:val="16"/>
                                <w:lang w:val="fr-FR"/>
                              </w:rPr>
                              <w:tab/>
                            </w:r>
                            <w:r w:rsidRPr="00B01FE6">
                              <w:rPr>
                                <w:sz w:val="16"/>
                                <w:szCs w:val="16"/>
                                <w:lang w:val="fr-FR"/>
                              </w:rPr>
                              <w:t>Résolutions</w:t>
                            </w:r>
                          </w:p>
                          <w:p w14:paraId="49458EBE" w14:textId="7B37018C" w:rsidR="00970D1B" w:rsidRPr="00B01FE6" w:rsidRDefault="00970D1B" w:rsidP="00DE15D2">
                            <w:pPr>
                              <w:tabs>
                                <w:tab w:val="clear" w:pos="794"/>
                                <w:tab w:val="clear" w:pos="1191"/>
                                <w:tab w:val="clear" w:pos="1588"/>
                                <w:tab w:val="clear" w:pos="1985"/>
                                <w:tab w:val="left" w:pos="142"/>
                                <w:tab w:val="left" w:pos="993"/>
                              </w:tabs>
                              <w:spacing w:before="0"/>
                              <w:ind w:left="142" w:hanging="142"/>
                              <w:jc w:val="left"/>
                              <w:rPr>
                                <w:sz w:val="16"/>
                                <w:szCs w:val="16"/>
                                <w:lang w:val="fr-FR"/>
                              </w:rPr>
                            </w:pPr>
                            <w:r w:rsidRPr="00B01FE6">
                              <w:rPr>
                                <w:sz w:val="16"/>
                                <w:szCs w:val="16"/>
                                <w:lang w:val="fr-FR"/>
                              </w:rPr>
                              <w:t>•</w:t>
                            </w:r>
                            <w:r>
                              <w:rPr>
                                <w:sz w:val="16"/>
                                <w:szCs w:val="16"/>
                                <w:lang w:val="fr-FR"/>
                              </w:rPr>
                              <w:tab/>
                            </w:r>
                            <w:r w:rsidRPr="00B01FE6">
                              <w:rPr>
                                <w:sz w:val="16"/>
                                <w:szCs w:val="16"/>
                                <w:lang w:val="fr-FR"/>
                              </w:rPr>
                              <w:t>Questions confiées aux commissions d'études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94C8D" id="Text Box 9" o:spid="_x0000_s1028" type="#_x0000_t202" style="position:absolute;left:0;text-align:left;margin-left:329.8pt;margin-top:4.8pt;width:84.2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" fillcolor="#00b0f0" stroked="f" strokeweight=".5pt">
                <v:textbox inset="0,0,0,0">
                  <w:txbxContent>
                    <w:p w14:paraId="27238983" w14:textId="77777777" w:rsidR="00970D1B" w:rsidRDefault="00970D1B" w:rsidP="00B01FE6">
                      <w:pPr>
                        <w:spacing w:before="0"/>
                        <w:jc w:val="left"/>
                        <w:rPr>
                          <w:sz w:val="16"/>
                          <w:szCs w:val="16"/>
                          <w:lang w:val="fr-FR"/>
                        </w:rPr>
                      </w:pPr>
                      <w:r w:rsidRPr="00B01FE6">
                        <w:rPr>
                          <w:sz w:val="16"/>
                          <w:szCs w:val="16"/>
                          <w:lang w:val="fr-FR"/>
                        </w:rPr>
                        <w:t xml:space="preserve">Résultats de la CMDT-22: </w:t>
                      </w:r>
                    </w:p>
                    <w:p w14:paraId="0579F6E1" w14:textId="77777777" w:rsidR="00970D1B" w:rsidRDefault="00970D1B" w:rsidP="00DE15D2">
                      <w:pPr>
                        <w:tabs>
                          <w:tab w:val="clear" w:pos="794"/>
                          <w:tab w:val="clear" w:pos="1191"/>
                          <w:tab w:val="clear" w:pos="1588"/>
                          <w:tab w:val="clear" w:pos="1985"/>
                          <w:tab w:val="left" w:pos="142"/>
                        </w:tabs>
                        <w:spacing w:before="0"/>
                        <w:jc w:val="left"/>
                        <w:rPr>
                          <w:sz w:val="16"/>
                          <w:szCs w:val="16"/>
                          <w:lang w:val="fr-FR"/>
                        </w:rPr>
                      </w:pPr>
                      <w:r w:rsidRPr="00B01FE6">
                        <w:rPr>
                          <w:sz w:val="16"/>
                          <w:szCs w:val="16"/>
                          <w:lang w:val="fr-FR"/>
                        </w:rPr>
                        <w:t>•</w:t>
                      </w:r>
                      <w:r>
                        <w:rPr>
                          <w:sz w:val="16"/>
                          <w:szCs w:val="16"/>
                          <w:lang w:val="fr-FR"/>
                        </w:rPr>
                        <w:tab/>
                      </w:r>
                      <w:r w:rsidRPr="00B01FE6">
                        <w:rPr>
                          <w:sz w:val="16"/>
                          <w:szCs w:val="16"/>
                          <w:lang w:val="fr-FR"/>
                        </w:rPr>
                        <w:t>Plan d'action de Kigali</w:t>
                      </w:r>
                    </w:p>
                    <w:p w14:paraId="20DA9E65" w14:textId="4F22F7BE" w:rsidR="00970D1B" w:rsidRDefault="00970D1B" w:rsidP="00DE15D2">
                      <w:pPr>
                        <w:tabs>
                          <w:tab w:val="clear" w:pos="794"/>
                          <w:tab w:val="clear" w:pos="1191"/>
                          <w:tab w:val="clear" w:pos="1588"/>
                          <w:tab w:val="clear" w:pos="1985"/>
                          <w:tab w:val="left" w:pos="142"/>
                        </w:tabs>
                        <w:spacing w:before="0"/>
                        <w:jc w:val="left"/>
                        <w:rPr>
                          <w:sz w:val="16"/>
                          <w:szCs w:val="16"/>
                          <w:lang w:val="fr-FR"/>
                        </w:rPr>
                      </w:pPr>
                      <w:r w:rsidRPr="00B01FE6">
                        <w:rPr>
                          <w:sz w:val="16"/>
                          <w:szCs w:val="16"/>
                          <w:lang w:val="fr-FR"/>
                        </w:rPr>
                        <w:t>•</w:t>
                      </w:r>
                      <w:r>
                        <w:rPr>
                          <w:sz w:val="16"/>
                          <w:szCs w:val="16"/>
                          <w:lang w:val="fr-FR"/>
                        </w:rPr>
                        <w:tab/>
                        <w:t>I</w:t>
                      </w:r>
                      <w:r w:rsidRPr="00B01FE6">
                        <w:rPr>
                          <w:sz w:val="16"/>
                          <w:szCs w:val="16"/>
                          <w:lang w:val="fr-FR"/>
                        </w:rPr>
                        <w:t>nitiatives régionales</w:t>
                      </w:r>
                    </w:p>
                    <w:p w14:paraId="394A8758" w14:textId="77777777" w:rsidR="00970D1B" w:rsidRDefault="00970D1B" w:rsidP="00DE15D2">
                      <w:pPr>
                        <w:tabs>
                          <w:tab w:val="clear" w:pos="794"/>
                          <w:tab w:val="clear" w:pos="1191"/>
                          <w:tab w:val="clear" w:pos="1588"/>
                          <w:tab w:val="clear" w:pos="1985"/>
                          <w:tab w:val="left" w:pos="142"/>
                        </w:tabs>
                        <w:spacing w:before="0"/>
                        <w:jc w:val="left"/>
                        <w:rPr>
                          <w:sz w:val="16"/>
                          <w:szCs w:val="16"/>
                          <w:lang w:val="fr-FR"/>
                        </w:rPr>
                      </w:pPr>
                      <w:r w:rsidRPr="00B01FE6">
                        <w:rPr>
                          <w:sz w:val="16"/>
                          <w:szCs w:val="16"/>
                          <w:lang w:val="fr-FR"/>
                        </w:rPr>
                        <w:t>•</w:t>
                      </w:r>
                      <w:r>
                        <w:rPr>
                          <w:sz w:val="16"/>
                          <w:szCs w:val="16"/>
                          <w:lang w:val="fr-FR"/>
                        </w:rPr>
                        <w:tab/>
                      </w:r>
                      <w:r w:rsidRPr="00B01FE6">
                        <w:rPr>
                          <w:sz w:val="16"/>
                          <w:szCs w:val="16"/>
                          <w:lang w:val="fr-FR"/>
                        </w:rPr>
                        <w:t>Résolutions</w:t>
                      </w:r>
                    </w:p>
                    <w:p w14:paraId="49458EBE" w14:textId="7B37018C" w:rsidR="00970D1B" w:rsidRPr="00B01FE6" w:rsidRDefault="00970D1B" w:rsidP="00DE15D2">
                      <w:pPr>
                        <w:tabs>
                          <w:tab w:val="clear" w:pos="794"/>
                          <w:tab w:val="clear" w:pos="1191"/>
                          <w:tab w:val="clear" w:pos="1588"/>
                          <w:tab w:val="clear" w:pos="1985"/>
                          <w:tab w:val="left" w:pos="142"/>
                          <w:tab w:val="left" w:pos="993"/>
                        </w:tabs>
                        <w:spacing w:before="0"/>
                        <w:ind w:left="142" w:hanging="142"/>
                        <w:jc w:val="left"/>
                        <w:rPr>
                          <w:sz w:val="16"/>
                          <w:szCs w:val="16"/>
                          <w:lang w:val="fr-FR"/>
                        </w:rPr>
                      </w:pPr>
                      <w:r w:rsidRPr="00B01FE6">
                        <w:rPr>
                          <w:sz w:val="16"/>
                          <w:szCs w:val="16"/>
                          <w:lang w:val="fr-FR"/>
                        </w:rPr>
                        <w:t>•</w:t>
                      </w:r>
                      <w:r>
                        <w:rPr>
                          <w:sz w:val="16"/>
                          <w:szCs w:val="16"/>
                          <w:lang w:val="fr-FR"/>
                        </w:rPr>
                        <w:tab/>
                      </w:r>
                      <w:r w:rsidRPr="00B01FE6">
                        <w:rPr>
                          <w:sz w:val="16"/>
                          <w:szCs w:val="16"/>
                          <w:lang w:val="fr-FR"/>
                        </w:rPr>
                        <w:t>Questions confiées aux commissions d'études</w:t>
                      </w:r>
                    </w:p>
                  </w:txbxContent>
                </v:textbox>
              </v:shape>
            </w:pict>
          </mc:Fallback>
        </mc:AlternateContent>
      </w:r>
      <w:r w:rsidR="00B01FE6" w:rsidRPr="00DD4BCC">
        <w:rPr>
          <w:shd w:val="clear" w:color="auto" w:fill="auto"/>
        </w:rPr>
        <mc:AlternateContent>
          <mc:Choice Requires="wps">
            <w:drawing>
              <wp:anchor distT="0" distB="0" distL="114300" distR="114300" simplePos="0" relativeHeight="251663360" behindDoc="0" locked="0" layoutInCell="1" allowOverlap="1" wp14:anchorId="2A866AEF" wp14:editId="31BC1736">
                <wp:simplePos x="0" y="0"/>
                <wp:positionH relativeFrom="column">
                  <wp:posOffset>2005378</wp:posOffset>
                </wp:positionH>
                <wp:positionV relativeFrom="paragraph">
                  <wp:posOffset>1148080</wp:posOffset>
                </wp:positionV>
                <wp:extent cx="714471" cy="250166"/>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714471" cy="250166"/>
                        </a:xfrm>
                        <a:prstGeom prst="rect">
                          <a:avLst/>
                        </a:prstGeom>
                        <a:solidFill>
                          <a:srgbClr val="002060"/>
                        </a:solidFill>
                        <a:ln w="6350">
                          <a:noFill/>
                        </a:ln>
                      </wps:spPr>
                      <wps:txbx>
                        <w:txbxContent>
                          <w:p w14:paraId="1499C12B" w14:textId="132ACF38" w:rsidR="00970D1B" w:rsidRPr="00970D1B" w:rsidRDefault="00970D1B" w:rsidP="00B01FE6">
                            <w:pPr>
                              <w:spacing w:before="0"/>
                              <w:jc w:val="center"/>
                              <w:rPr>
                                <w:sz w:val="2"/>
                                <w:szCs w:val="2"/>
                              </w:rPr>
                            </w:pPr>
                            <w:r w:rsidRPr="00B01FE6">
                              <w:rPr>
                                <w:lang w:val="fr-FR"/>
                              </w:rPr>
                              <w:t>Activités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866AEF" id="Text Box 8" o:spid="_x0000_s1029" type="#_x0000_t202" style="position:absolute;left:0;text-align:left;margin-left:157.9pt;margin-top:90.4pt;width:56.25pt;height:19.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" fillcolor="#002060" stroked="f" strokeweight=".5pt">
                <v:textbox inset="0,0,0,0">
                  <w:txbxContent>
                    <w:p w14:paraId="1499C12B" w14:textId="132ACF38" w:rsidR="00970D1B" w:rsidRPr="00970D1B" w:rsidRDefault="00970D1B" w:rsidP="00B01FE6">
                      <w:pPr>
                        <w:spacing w:before="0"/>
                        <w:jc w:val="center"/>
                        <w:rPr>
                          <w:sz w:val="2"/>
                          <w:szCs w:val="2"/>
                        </w:rPr>
                      </w:pPr>
                      <w:r w:rsidRPr="00B01FE6">
                        <w:rPr>
                          <w:lang w:val="fr-FR"/>
                        </w:rPr>
                        <w:t>Activités</w:t>
                      </w:r>
                    </w:p>
                  </w:txbxContent>
                </v:textbox>
              </v:shape>
            </w:pict>
          </mc:Fallback>
        </mc:AlternateContent>
      </w:r>
      <w:r w:rsidR="00B01FE6" w:rsidRPr="00DD4BCC">
        <w:rPr>
          <w:shd w:val="clear" w:color="auto" w:fill="auto"/>
        </w:rPr>
        <mc:AlternateContent>
          <mc:Choice Requires="wps">
            <w:drawing>
              <wp:anchor distT="0" distB="0" distL="114300" distR="114300" simplePos="0" relativeHeight="251661312" behindDoc="0" locked="0" layoutInCell="1" allowOverlap="1" wp14:anchorId="1F73DFF6" wp14:editId="73DA3254">
                <wp:simplePos x="0" y="0"/>
                <wp:positionH relativeFrom="column">
                  <wp:posOffset>1962246</wp:posOffset>
                </wp:positionH>
                <wp:positionV relativeFrom="paragraph">
                  <wp:posOffset>647700</wp:posOffset>
                </wp:positionV>
                <wp:extent cx="801298" cy="250166"/>
                <wp:effectExtent l="0" t="0" r="0" b="0"/>
                <wp:wrapNone/>
                <wp:docPr id="5" name="Text Box 5"/>
                <wp:cNvGraphicFramePr/>
                <a:graphic xmlns:a="http://schemas.openxmlformats.org/drawingml/2006/main">
                  <a:graphicData uri="http://schemas.microsoft.com/office/word/2010/wordprocessingShape">
                    <wps:wsp>
                      <wps:cNvSpPr txBox="1"/>
                      <wps:spPr>
                        <a:xfrm>
                          <a:off x="0" y="0"/>
                          <a:ext cx="801298" cy="250166"/>
                        </a:xfrm>
                        <a:prstGeom prst="rect">
                          <a:avLst/>
                        </a:prstGeom>
                        <a:solidFill>
                          <a:srgbClr val="002060"/>
                        </a:solidFill>
                        <a:ln w="6350">
                          <a:noFill/>
                        </a:ln>
                      </wps:spPr>
                      <wps:txbx>
                        <w:txbxContent>
                          <w:p w14:paraId="7A115683" w14:textId="484A1330" w:rsidR="00970D1B" w:rsidRPr="00970D1B" w:rsidRDefault="00970D1B" w:rsidP="00B01FE6">
                            <w:pPr>
                              <w:spacing w:before="0"/>
                              <w:jc w:val="center"/>
                              <w:rPr>
                                <w:sz w:val="2"/>
                                <w:szCs w:val="2"/>
                              </w:rPr>
                            </w:pPr>
                            <w:r w:rsidRPr="00B01FE6">
                              <w:rPr>
                                <w:lang w:val="fr-FR"/>
                              </w:rPr>
                              <w:t>Produits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73DFF6" id="Text Box 5" o:spid="_x0000_s1030" type="#_x0000_t202" style="position:absolute;left:0;text-align:left;margin-left:154.5pt;margin-top:51pt;width:63.1pt;height:19.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" fillcolor="#002060" stroked="f" strokeweight=".5pt">
                <v:textbox inset="0,0,0,0">
                  <w:txbxContent>
                    <w:p w14:paraId="7A115683" w14:textId="484A1330" w:rsidR="00970D1B" w:rsidRPr="00970D1B" w:rsidRDefault="00970D1B" w:rsidP="00B01FE6">
                      <w:pPr>
                        <w:spacing w:before="0"/>
                        <w:jc w:val="center"/>
                        <w:rPr>
                          <w:sz w:val="2"/>
                          <w:szCs w:val="2"/>
                        </w:rPr>
                      </w:pPr>
                      <w:r w:rsidRPr="00B01FE6">
                        <w:rPr>
                          <w:lang w:val="fr-FR"/>
                        </w:rPr>
                        <w:t>Produits</w:t>
                      </w:r>
                    </w:p>
                  </w:txbxContent>
                </v:textbox>
              </v:shape>
            </w:pict>
          </mc:Fallback>
        </mc:AlternateContent>
      </w:r>
      <w:r w:rsidR="00B01FE6" w:rsidRPr="00DD4BCC">
        <w:rPr>
          <w:shd w:val="clear" w:color="auto" w:fill="auto"/>
        </w:rPr>
        <mc:AlternateContent>
          <mc:Choice Requires="wps">
            <w:drawing>
              <wp:anchor distT="0" distB="0" distL="114300" distR="114300" simplePos="0" relativeHeight="251659264" behindDoc="0" locked="0" layoutInCell="1" allowOverlap="1" wp14:anchorId="4A5B82DA" wp14:editId="7247F096">
                <wp:simplePos x="0" y="0"/>
                <wp:positionH relativeFrom="column">
                  <wp:posOffset>1884763</wp:posOffset>
                </wp:positionH>
                <wp:positionV relativeFrom="paragraph">
                  <wp:posOffset>163854</wp:posOffset>
                </wp:positionV>
                <wp:extent cx="965584" cy="250166"/>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965584" cy="250166"/>
                        </a:xfrm>
                        <a:prstGeom prst="rect">
                          <a:avLst/>
                        </a:prstGeom>
                        <a:solidFill>
                          <a:schemeClr val="accent6">
                            <a:lumMod val="75000"/>
                          </a:schemeClr>
                        </a:solidFill>
                        <a:ln w="6350">
                          <a:noFill/>
                        </a:ln>
                      </wps:spPr>
                      <wps:txbx>
                        <w:txbxContent>
                          <w:p w14:paraId="637C98B1" w14:textId="44BC0B9F" w:rsidR="00970D1B" w:rsidRPr="00970D1B" w:rsidRDefault="00970D1B" w:rsidP="00B01FE6">
                            <w:pPr>
                              <w:spacing w:before="0"/>
                              <w:jc w:val="center"/>
                              <w:rPr>
                                <w:sz w:val="2"/>
                                <w:szCs w:val="2"/>
                              </w:rPr>
                            </w:pPr>
                            <w:r w:rsidRPr="00B01FE6">
                              <w:rPr>
                                <w:lang w:val="fr-FR"/>
                              </w:rPr>
                              <w:t>Réalisations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5B82DA" id="Text Box 4" o:spid="_x0000_s1031" type="#_x0000_t202" style="position:absolute;left:0;text-align:left;margin-left:148.4pt;margin-top:12.9pt;width:76.05pt;height:19.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" fillcolor="#e36c0a [2409]" stroked="f" strokeweight=".5pt">
                <v:textbox inset="0,0,0,0">
                  <w:txbxContent>
                    <w:p w14:paraId="637C98B1" w14:textId="44BC0B9F" w:rsidR="00970D1B" w:rsidRPr="00970D1B" w:rsidRDefault="00970D1B" w:rsidP="00B01FE6">
                      <w:pPr>
                        <w:spacing w:before="0"/>
                        <w:jc w:val="center"/>
                        <w:rPr>
                          <w:sz w:val="2"/>
                          <w:szCs w:val="2"/>
                        </w:rPr>
                      </w:pPr>
                      <w:r w:rsidRPr="00B01FE6">
                        <w:rPr>
                          <w:lang w:val="fr-FR"/>
                        </w:rPr>
                        <w:t>Réalisations</w:t>
                      </w:r>
                    </w:p>
                  </w:txbxContent>
                </v:textbox>
              </v:shape>
            </w:pict>
          </mc:Fallback>
        </mc:AlternateContent>
      </w:r>
      <w:r w:rsidR="00021341" w:rsidRPr="00DD4BCC">
        <w:drawing>
          <wp:inline distT="0" distB="0" distL="0" distR="0" wp14:anchorId="37AC28CE" wp14:editId="5C4119DC">
            <wp:extent cx="4222143" cy="1617100"/>
            <wp:effectExtent l="0" t="0" r="6985" b="2540"/>
            <wp:docPr id="3" name="Picture 3"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a:blip r:embed="rId13"/>
                    <a:stretch>
                      <a:fillRect/>
                    </a:stretch>
                  </pic:blipFill>
                  <pic:spPr>
                    <a:xfrm>
                      <a:off x="0" y="0"/>
                      <a:ext cx="4260094" cy="1631636"/>
                    </a:xfrm>
                    <a:prstGeom prst="rect">
                      <a:avLst/>
                    </a:prstGeom>
                  </pic:spPr>
                </pic:pic>
              </a:graphicData>
            </a:graphic>
          </wp:inline>
        </w:drawing>
      </w:r>
    </w:p>
    <w:p w14:paraId="2F091466" w14:textId="697AA364" w:rsidR="00E80210" w:rsidRPr="00DD4BCC" w:rsidRDefault="00E80210" w:rsidP="00DE15D2">
      <w:pPr>
        <w:tabs>
          <w:tab w:val="clear" w:pos="794"/>
          <w:tab w:val="clear" w:pos="1191"/>
          <w:tab w:val="clear" w:pos="1588"/>
          <w:tab w:val="clear" w:pos="1985"/>
        </w:tabs>
        <w:overflowPunct/>
        <w:autoSpaceDE/>
        <w:autoSpaceDN/>
        <w:adjustRightInd/>
        <w:spacing w:before="360" w:after="120"/>
        <w:jc w:val="left"/>
        <w:textAlignment w:val="auto"/>
        <w:rPr>
          <w:rFonts w:ascii="Calibri" w:eastAsia="Calibri" w:hAnsi="Calibri"/>
          <w:szCs w:val="24"/>
          <w:lang w:val="fr-FR"/>
        </w:rPr>
      </w:pPr>
      <w:r w:rsidRPr="00DD4BCC">
        <w:rPr>
          <w:lang w:val="fr-FR"/>
        </w:rPr>
        <w:t xml:space="preserve">Compte tenu des orientations </w:t>
      </w:r>
      <w:r w:rsidR="008D1ADC" w:rsidRPr="00DD4BCC">
        <w:rPr>
          <w:lang w:val="fr-FR"/>
        </w:rPr>
        <w:t>données dans</w:t>
      </w:r>
      <w:r w:rsidRPr="00DD4BCC">
        <w:rPr>
          <w:lang w:val="fr-FR"/>
        </w:rPr>
        <w:t xml:space="preserve"> le Plan d'action de Kigali, des produits et </w:t>
      </w:r>
      <w:r w:rsidR="002B2D89" w:rsidRPr="00DD4BCC">
        <w:rPr>
          <w:lang w:val="fr-FR"/>
        </w:rPr>
        <w:t xml:space="preserve">les </w:t>
      </w:r>
      <w:r w:rsidRPr="00DD4BCC">
        <w:rPr>
          <w:lang w:val="fr-FR"/>
        </w:rPr>
        <w:t xml:space="preserve">indicateurs fondamentaux de performance (IFP) mesurables </w:t>
      </w:r>
      <w:r w:rsidR="00B0138D" w:rsidRPr="00DD4BCC">
        <w:rPr>
          <w:lang w:val="fr-FR"/>
        </w:rPr>
        <w:t>correspondants</w:t>
      </w:r>
      <w:r w:rsidR="00C64455">
        <w:rPr>
          <w:lang w:val="fr-FR"/>
        </w:rPr>
        <w:t xml:space="preserve"> ont été élaborés au titre du p</w:t>
      </w:r>
      <w:r w:rsidRPr="00DD4BCC">
        <w:rPr>
          <w:lang w:val="fr-FR"/>
        </w:rPr>
        <w:t>lan opérationnel pour 2023,</w:t>
      </w:r>
      <w:r w:rsidR="00535C79" w:rsidRPr="00DD4BCC">
        <w:rPr>
          <w:lang w:val="fr-FR"/>
        </w:rPr>
        <w:t xml:space="preserve"> conformément aux priorités et aux catalyseurs de l'UIT-D,</w:t>
      </w:r>
      <w:r w:rsidRPr="00DD4BCC">
        <w:rPr>
          <w:lang w:val="fr-FR"/>
        </w:rPr>
        <w:t xml:space="preserve"> en tenant compte de l'expérience acquise dans la mise en </w:t>
      </w:r>
      <w:r w:rsidR="00E33635" w:rsidRPr="00DD4BCC">
        <w:rPr>
          <w:lang w:val="fr-FR"/>
        </w:rPr>
        <w:t>œuvre</w:t>
      </w:r>
      <w:r w:rsidRPr="00DD4BCC">
        <w:rPr>
          <w:lang w:val="fr-FR"/>
        </w:rPr>
        <w:t xml:space="preserve"> du Plan d'action de Buenos Aires et en assurant la continuité de la fourniture de services aux membres de l'UIT. Le nouveau cadre de mise en </w:t>
      </w:r>
      <w:r w:rsidR="00E33635" w:rsidRPr="00DD4BCC">
        <w:rPr>
          <w:lang w:val="fr-FR"/>
        </w:rPr>
        <w:t>œuvre</w:t>
      </w:r>
      <w:r w:rsidRPr="00DD4BCC">
        <w:rPr>
          <w:lang w:val="fr-FR"/>
        </w:rPr>
        <w:t xml:space="preserve"> aligné sur la gestion axée sur les résultats (GAR) permettra d'assurer le suivi et l'évaluation appropriés de la mise en </w:t>
      </w:r>
      <w:r w:rsidR="00E33635" w:rsidRPr="00DD4BCC">
        <w:rPr>
          <w:lang w:val="fr-FR"/>
        </w:rPr>
        <w:t>œuvre</w:t>
      </w:r>
      <w:r w:rsidRPr="00DD4BCC">
        <w:rPr>
          <w:lang w:val="fr-FR"/>
        </w:rPr>
        <w:t xml:space="preserve"> des </w:t>
      </w:r>
      <w:r w:rsidR="0001642B" w:rsidRPr="00DD4BCC">
        <w:rPr>
          <w:lang w:val="fr-FR"/>
        </w:rPr>
        <w:t>réalisations escomptées au titre</w:t>
      </w:r>
      <w:r w:rsidRPr="00DD4BCC">
        <w:rPr>
          <w:lang w:val="fr-FR"/>
        </w:rPr>
        <w:t xml:space="preserve"> des priorités de l'UIT-D.</w:t>
      </w:r>
    </w:p>
    <w:p w14:paraId="0A60664C" w14:textId="6CD1457C" w:rsidR="00E80210" w:rsidRPr="00A36690" w:rsidRDefault="008B7DDE" w:rsidP="008B7DDE">
      <w:pPr>
        <w:pStyle w:val="Heading1"/>
        <w:jc w:val="left"/>
        <w:rPr>
          <w:rFonts w:eastAsia="Calibri"/>
          <w:szCs w:val="28"/>
          <w:lang w:val="fr-FR"/>
        </w:rPr>
      </w:pPr>
      <w:r w:rsidRPr="00A36690">
        <w:rPr>
          <w:szCs w:val="28"/>
          <w:lang w:val="fr-FR"/>
        </w:rPr>
        <w:t>2</w:t>
      </w:r>
      <w:r w:rsidRPr="00A36690">
        <w:rPr>
          <w:szCs w:val="28"/>
          <w:lang w:val="fr-FR"/>
        </w:rPr>
        <w:tab/>
      </w:r>
      <w:r w:rsidR="00E80210" w:rsidRPr="00A36690">
        <w:rPr>
          <w:szCs w:val="28"/>
          <w:lang w:val="fr-FR"/>
        </w:rPr>
        <w:t xml:space="preserve">Cycle de mise en </w:t>
      </w:r>
      <w:r w:rsidR="0084520A" w:rsidRPr="00A36690">
        <w:rPr>
          <w:szCs w:val="28"/>
          <w:lang w:val="fr-FR"/>
        </w:rPr>
        <w:t>œuvre</w:t>
      </w:r>
      <w:r w:rsidR="00E80210" w:rsidRPr="00A36690">
        <w:rPr>
          <w:szCs w:val="28"/>
          <w:lang w:val="fr-FR"/>
        </w:rPr>
        <w:t xml:space="preserve"> 2023-2026: </w:t>
      </w:r>
      <w:r w:rsidR="0084520A" w:rsidRPr="00A36690">
        <w:rPr>
          <w:szCs w:val="28"/>
          <w:lang w:val="fr-FR"/>
        </w:rPr>
        <w:t>a</w:t>
      </w:r>
      <w:r w:rsidR="00E80210" w:rsidRPr="00A36690">
        <w:rPr>
          <w:szCs w:val="28"/>
          <w:lang w:val="fr-FR"/>
        </w:rPr>
        <w:t xml:space="preserve">ttribution </w:t>
      </w:r>
      <w:r w:rsidR="002B2D89" w:rsidRPr="00A36690">
        <w:rPr>
          <w:szCs w:val="28"/>
          <w:lang w:val="fr-FR"/>
        </w:rPr>
        <w:t>de</w:t>
      </w:r>
      <w:r w:rsidR="00CF6619" w:rsidRPr="00A36690">
        <w:rPr>
          <w:szCs w:val="28"/>
          <w:lang w:val="fr-FR"/>
        </w:rPr>
        <w:t xml:space="preserve"> </w:t>
      </w:r>
      <w:r w:rsidR="00E80210" w:rsidRPr="00A36690">
        <w:rPr>
          <w:szCs w:val="28"/>
          <w:lang w:val="fr-FR"/>
        </w:rPr>
        <w:t xml:space="preserve">ressources </w:t>
      </w:r>
      <w:r w:rsidR="0084520A" w:rsidRPr="00A36690">
        <w:rPr>
          <w:szCs w:val="28"/>
          <w:lang w:val="fr-FR"/>
        </w:rPr>
        <w:t>dans le cadre</w:t>
      </w:r>
      <w:r w:rsidR="00E80210" w:rsidRPr="00A36690">
        <w:rPr>
          <w:szCs w:val="28"/>
          <w:lang w:val="fr-FR"/>
        </w:rPr>
        <w:t xml:space="preserve"> du </w:t>
      </w:r>
      <w:r w:rsidR="00C64455" w:rsidRPr="00A36690">
        <w:rPr>
          <w:szCs w:val="28"/>
          <w:lang w:val="fr-FR"/>
        </w:rPr>
        <w:t>p</w:t>
      </w:r>
      <w:r w:rsidR="002B2D89" w:rsidRPr="00A36690">
        <w:rPr>
          <w:szCs w:val="28"/>
          <w:lang w:val="fr-FR"/>
        </w:rPr>
        <w:t xml:space="preserve">lan </w:t>
      </w:r>
      <w:r w:rsidR="00E80210" w:rsidRPr="00A36690">
        <w:rPr>
          <w:szCs w:val="28"/>
          <w:lang w:val="fr-FR"/>
        </w:rPr>
        <w:t>opérationnel pour 2023</w:t>
      </w:r>
    </w:p>
    <w:p w14:paraId="2F4131E6" w14:textId="60C9D910" w:rsidR="00E80210" w:rsidRPr="00DD4BCC" w:rsidRDefault="00B77967" w:rsidP="008B7DDE">
      <w:pPr>
        <w:pStyle w:val="Heading2"/>
        <w:jc w:val="left"/>
        <w:rPr>
          <w:rFonts w:eastAsia="Calibri"/>
          <w:szCs w:val="24"/>
          <w:lang w:val="fr-FR"/>
        </w:rPr>
      </w:pPr>
      <w:r w:rsidRPr="00DD4BCC">
        <w:rPr>
          <w:lang w:val="fr-FR"/>
        </w:rPr>
        <w:t>2.1</w:t>
      </w:r>
      <w:r w:rsidRPr="00DD4BCC">
        <w:rPr>
          <w:lang w:val="fr-FR"/>
        </w:rPr>
        <w:tab/>
      </w:r>
      <w:r w:rsidR="000D260E" w:rsidRPr="00DD4BCC">
        <w:rPr>
          <w:lang w:val="fr-FR"/>
        </w:rPr>
        <w:t>Affectation générale de</w:t>
      </w:r>
      <w:r w:rsidRPr="00DD4BCC">
        <w:rPr>
          <w:lang w:val="fr-FR"/>
        </w:rPr>
        <w:t xml:space="preserve"> fonds pour la mise en </w:t>
      </w:r>
      <w:r w:rsidR="000D260E" w:rsidRPr="00DD4BCC">
        <w:rPr>
          <w:lang w:val="fr-FR"/>
        </w:rPr>
        <w:t>œuvre</w:t>
      </w:r>
      <w:r w:rsidRPr="00DD4BCC">
        <w:rPr>
          <w:lang w:val="fr-FR"/>
        </w:rPr>
        <w:t xml:space="preserve"> du </w:t>
      </w:r>
      <w:r w:rsidR="00C64455">
        <w:rPr>
          <w:lang w:val="fr-FR"/>
        </w:rPr>
        <w:t>p</w:t>
      </w:r>
      <w:r w:rsidR="002B2D89" w:rsidRPr="00DD4BCC">
        <w:rPr>
          <w:lang w:val="fr-FR"/>
        </w:rPr>
        <w:t xml:space="preserve">lan </w:t>
      </w:r>
      <w:r w:rsidRPr="00DD4BCC">
        <w:rPr>
          <w:lang w:val="fr-FR"/>
        </w:rPr>
        <w:t>opérationnel pour 2023</w:t>
      </w:r>
    </w:p>
    <w:p w14:paraId="7324188C" w14:textId="05AD1CB3" w:rsidR="00E80210" w:rsidRPr="00DD4BCC"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fr-FR"/>
        </w:rPr>
      </w:pPr>
      <w:r w:rsidRPr="00DD4BCC">
        <w:rPr>
          <w:lang w:val="fr-FR"/>
        </w:rPr>
        <w:t xml:space="preserve">Compte tenu de la nouvelle structure du Plan d'action de Kigali et de l'expérience acquise dans la mise en </w:t>
      </w:r>
      <w:r w:rsidR="00826787" w:rsidRPr="00DD4BCC">
        <w:rPr>
          <w:lang w:val="fr-FR"/>
        </w:rPr>
        <w:t>œuvre</w:t>
      </w:r>
      <w:r w:rsidRPr="00DD4BCC">
        <w:rPr>
          <w:lang w:val="fr-FR"/>
        </w:rPr>
        <w:t xml:space="preserve"> du Plan d'action de Buenos Aires, les fonds disponibles dans le cadre du </w:t>
      </w:r>
      <w:r w:rsidR="00C64455">
        <w:rPr>
          <w:lang w:val="fr-FR"/>
        </w:rPr>
        <w:t>p</w:t>
      </w:r>
      <w:r w:rsidR="002B2D89" w:rsidRPr="00DD4BCC">
        <w:rPr>
          <w:lang w:val="fr-FR"/>
        </w:rPr>
        <w:t xml:space="preserve">lan </w:t>
      </w:r>
      <w:r w:rsidRPr="00DD4BCC">
        <w:rPr>
          <w:lang w:val="fr-FR"/>
        </w:rPr>
        <w:t xml:space="preserve">opérationnel pour 2023 ont été affectés, après consultation du Directeur du BDT, des Chefs de Département, </w:t>
      </w:r>
      <w:r w:rsidR="00826787" w:rsidRPr="00DD4BCC">
        <w:rPr>
          <w:lang w:val="fr-FR"/>
        </w:rPr>
        <w:t>d</w:t>
      </w:r>
      <w:r w:rsidRPr="00DD4BCC">
        <w:rPr>
          <w:lang w:val="fr-FR"/>
        </w:rPr>
        <w:t>es Directeurs des bureaux régionaux et des responsables des priorités thématiques</w:t>
      </w:r>
      <w:r w:rsidR="00826787" w:rsidRPr="00DD4BCC">
        <w:rPr>
          <w:lang w:val="fr-FR"/>
        </w:rPr>
        <w:t xml:space="preserve"> </w:t>
      </w:r>
      <w:r w:rsidR="002B2D89" w:rsidRPr="00DD4BCC">
        <w:rPr>
          <w:lang w:val="fr-FR"/>
        </w:rPr>
        <w:t>à la suite</w:t>
      </w:r>
      <w:r w:rsidR="00CF6619" w:rsidRPr="00DD4BCC">
        <w:rPr>
          <w:lang w:val="fr-FR"/>
        </w:rPr>
        <w:t xml:space="preserve"> </w:t>
      </w:r>
      <w:r w:rsidR="00E06058" w:rsidRPr="00DD4BCC">
        <w:rPr>
          <w:lang w:val="fr-FR"/>
        </w:rPr>
        <w:t>de</w:t>
      </w:r>
      <w:r w:rsidRPr="00DD4BCC">
        <w:rPr>
          <w:lang w:val="fr-FR"/>
        </w:rPr>
        <w:t xml:space="preserve"> la retraite destinée aux hauts fonctionnaires du BDT, </w:t>
      </w:r>
      <w:r w:rsidR="002379A0" w:rsidRPr="00DD4BCC">
        <w:rPr>
          <w:lang w:val="fr-FR"/>
        </w:rPr>
        <w:t xml:space="preserve">qui </w:t>
      </w:r>
      <w:r w:rsidR="002B2D89" w:rsidRPr="00DD4BCC">
        <w:rPr>
          <w:lang w:val="fr-FR"/>
        </w:rPr>
        <w:t>a eu lieu</w:t>
      </w:r>
      <w:r w:rsidR="002379A0" w:rsidRPr="00DD4BCC">
        <w:rPr>
          <w:lang w:val="fr-FR"/>
        </w:rPr>
        <w:t xml:space="preserve"> </w:t>
      </w:r>
      <w:r w:rsidRPr="00DD4BCC">
        <w:rPr>
          <w:lang w:val="fr-FR"/>
        </w:rPr>
        <w:t>en mars 2023 (voir le Tableau 1).</w:t>
      </w:r>
    </w:p>
    <w:p w14:paraId="4ACEA473" w14:textId="35AC18C5" w:rsidR="00E80210" w:rsidRPr="00DD4BCC"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fr-FR"/>
        </w:rPr>
      </w:pPr>
      <w:r w:rsidRPr="00DD4BCC">
        <w:rPr>
          <w:lang w:val="fr-FR"/>
        </w:rPr>
        <w:t xml:space="preserve">Il convient de noter que les chiffres ci-après correspondent aux fonds </w:t>
      </w:r>
      <w:r w:rsidR="007453E8" w:rsidRPr="00DD4BCC">
        <w:rPr>
          <w:lang w:val="fr-FR"/>
        </w:rPr>
        <w:t>mis à disposition</w:t>
      </w:r>
      <w:r w:rsidRPr="00DD4BCC">
        <w:rPr>
          <w:lang w:val="fr-FR"/>
        </w:rPr>
        <w:t xml:space="preserve"> pour les activités opérationnelles et les services externes uniquement. De plus, plusieurs produits et services sont fournis</w:t>
      </w:r>
      <w:r w:rsidR="003E55A3" w:rsidRPr="00DD4BCC">
        <w:rPr>
          <w:lang w:val="fr-FR"/>
        </w:rPr>
        <w:t xml:space="preserve"> actuellement</w:t>
      </w:r>
      <w:r w:rsidRPr="00DD4BCC">
        <w:rPr>
          <w:lang w:val="fr-FR"/>
        </w:rPr>
        <w:t xml:space="preserve"> par le personnel </w:t>
      </w:r>
      <w:r w:rsidR="002B2D89" w:rsidRPr="00DD4BCC">
        <w:rPr>
          <w:lang w:val="fr-FR"/>
        </w:rPr>
        <w:t xml:space="preserve">en </w:t>
      </w:r>
      <w:r w:rsidRPr="00DD4BCC">
        <w:rPr>
          <w:lang w:val="fr-FR"/>
        </w:rPr>
        <w:t>interne</w:t>
      </w:r>
      <w:r w:rsidR="0006307C" w:rsidRPr="00DD4BCC">
        <w:rPr>
          <w:lang w:val="fr-FR"/>
        </w:rPr>
        <w:t>,</w:t>
      </w:r>
      <w:r w:rsidRPr="00DD4BCC">
        <w:rPr>
          <w:lang w:val="fr-FR"/>
        </w:rPr>
        <w:t xml:space="preserve"> sans</w:t>
      </w:r>
      <w:r w:rsidR="002B2D89" w:rsidRPr="00DD4BCC">
        <w:rPr>
          <w:lang w:val="fr-FR"/>
        </w:rPr>
        <w:t xml:space="preserve"> entraîner de</w:t>
      </w:r>
      <w:r w:rsidRPr="00DD4BCC">
        <w:rPr>
          <w:lang w:val="fr-FR"/>
        </w:rPr>
        <w:t xml:space="preserve"> </w:t>
      </w:r>
      <w:r w:rsidR="008B7DDE" w:rsidRPr="00DD4BCC">
        <w:rPr>
          <w:lang w:val="fr-FR"/>
        </w:rPr>
        <w:t>surcoût</w:t>
      </w:r>
      <w:r w:rsidR="00CF6619" w:rsidRPr="00DD4BCC">
        <w:rPr>
          <w:lang w:val="fr-FR"/>
        </w:rPr>
        <w:t>.</w:t>
      </w:r>
      <w:r w:rsidR="00C62E11" w:rsidRPr="00DD4BCC">
        <w:rPr>
          <w:lang w:val="fr-FR"/>
        </w:rPr>
        <w:t xml:space="preserve"> Par conséq</w:t>
      </w:r>
      <w:r w:rsidR="008A0E6D" w:rsidRPr="00DD4BCC">
        <w:rPr>
          <w:lang w:val="fr-FR"/>
        </w:rPr>
        <w:t>u</w:t>
      </w:r>
      <w:r w:rsidR="00C62E11" w:rsidRPr="00DD4BCC">
        <w:rPr>
          <w:lang w:val="fr-FR"/>
        </w:rPr>
        <w:t>ent,</w:t>
      </w:r>
      <w:r w:rsidRPr="00DD4BCC">
        <w:rPr>
          <w:lang w:val="fr-FR"/>
        </w:rPr>
        <w:t xml:space="preserve"> </w:t>
      </w:r>
      <w:r w:rsidR="00C62E11" w:rsidRPr="00DD4BCC">
        <w:rPr>
          <w:lang w:val="fr-FR"/>
        </w:rPr>
        <w:t>ils</w:t>
      </w:r>
      <w:r w:rsidRPr="00DD4BCC">
        <w:rPr>
          <w:lang w:val="fr-FR"/>
        </w:rPr>
        <w:t xml:space="preserve"> ne sont pas pris en compte dans la</w:t>
      </w:r>
      <w:r w:rsidR="00CF6619" w:rsidRPr="00DD4BCC">
        <w:rPr>
          <w:lang w:val="fr-FR"/>
        </w:rPr>
        <w:t xml:space="preserve"> </w:t>
      </w:r>
      <w:r w:rsidR="002B2D89" w:rsidRPr="00DD4BCC">
        <w:rPr>
          <w:lang w:val="fr-FR"/>
        </w:rPr>
        <w:t xml:space="preserve">ventilation </w:t>
      </w:r>
      <w:r w:rsidRPr="00DD4BCC">
        <w:rPr>
          <w:lang w:val="fr-FR"/>
        </w:rPr>
        <w:t>ci-dessous.</w:t>
      </w:r>
    </w:p>
    <w:p w14:paraId="159F4BC3" w14:textId="483CE929" w:rsidR="00E80210" w:rsidRPr="00DD4BCC" w:rsidRDefault="00E80210" w:rsidP="00C64455">
      <w:pPr>
        <w:pStyle w:val="Tabletitle"/>
        <w:tabs>
          <w:tab w:val="left" w:pos="6379"/>
        </w:tabs>
        <w:rPr>
          <w:rFonts w:ascii="Calibri" w:eastAsia="Calibri" w:hAnsi="Calibri"/>
          <w:szCs w:val="24"/>
          <w:lang w:val="fr-FR"/>
        </w:rPr>
      </w:pPr>
      <w:r w:rsidRPr="00DD4BCC">
        <w:rPr>
          <w:lang w:val="fr-FR"/>
        </w:rPr>
        <w:lastRenderedPageBreak/>
        <w:t>Tableau 1 –</w:t>
      </w:r>
      <w:r w:rsidR="00AE3309" w:rsidRPr="00DD4BCC">
        <w:rPr>
          <w:lang w:val="fr-FR"/>
        </w:rPr>
        <w:t xml:space="preserve"> </w:t>
      </w:r>
      <w:r w:rsidR="002B2D89" w:rsidRPr="00DD4BCC">
        <w:rPr>
          <w:lang w:val="fr-FR"/>
        </w:rPr>
        <w:t xml:space="preserve">Ventilation </w:t>
      </w:r>
      <w:r w:rsidRPr="00DD4BCC">
        <w:rPr>
          <w:lang w:val="fr-FR"/>
        </w:rPr>
        <w:t xml:space="preserve">des fonds attribués dans le cadre du </w:t>
      </w:r>
      <w:r w:rsidR="00C64455">
        <w:rPr>
          <w:lang w:val="fr-FR"/>
        </w:rPr>
        <w:t>p</w:t>
      </w:r>
      <w:r w:rsidR="002B2D89" w:rsidRPr="00DD4BCC">
        <w:rPr>
          <w:lang w:val="fr-FR"/>
        </w:rPr>
        <w:t xml:space="preserve">lan </w:t>
      </w:r>
      <w:r w:rsidRPr="00DD4BCC">
        <w:rPr>
          <w:lang w:val="fr-FR"/>
        </w:rPr>
        <w:t>opérationnel pour 2023,</w:t>
      </w:r>
      <w:r w:rsidR="008B7DDE" w:rsidRPr="00DD4BCC">
        <w:rPr>
          <w:lang w:val="fr-FR"/>
        </w:rPr>
        <w:br/>
      </w:r>
      <w:r w:rsidRPr="00DD4BCC">
        <w:rPr>
          <w:lang w:val="fr-FR"/>
        </w:rPr>
        <w:t>par priorité de l'UIT-D</w:t>
      </w:r>
    </w:p>
    <w:tbl>
      <w:tblPr>
        <w:tblStyle w:val="GridTable2-Accent11"/>
        <w:tblW w:w="9810" w:type="dxa"/>
        <w:tblLayout w:type="fixed"/>
        <w:tblLook w:val="04A0" w:firstRow="1" w:lastRow="0" w:firstColumn="1" w:lastColumn="0" w:noHBand="0" w:noVBand="1"/>
      </w:tblPr>
      <w:tblGrid>
        <w:gridCol w:w="7371"/>
        <w:gridCol w:w="1276"/>
        <w:gridCol w:w="1163"/>
      </w:tblGrid>
      <w:tr w:rsidR="008B7DDE" w:rsidRPr="00DD4BCC" w14:paraId="41235CF4" w14:textId="77777777" w:rsidTr="00251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548DD4" w:themeFill="text2" w:themeFillTint="99"/>
          </w:tcPr>
          <w:p w14:paraId="51A7B89D" w14:textId="7ED4261B" w:rsidR="008B7DDE" w:rsidRPr="00DD4BCC" w:rsidRDefault="008B7DDE" w:rsidP="002518B7">
            <w:pPr>
              <w:pStyle w:val="Tablehead"/>
              <w:keepLines/>
              <w:jc w:val="left"/>
              <w:rPr>
                <w:b/>
                <w:bCs w:val="0"/>
                <w:color w:val="FFFFFF" w:themeColor="background1"/>
                <w:sz w:val="20"/>
                <w:szCs w:val="20"/>
                <w:lang w:val="fr-FR"/>
              </w:rPr>
            </w:pPr>
            <w:r w:rsidRPr="00DD4BCC">
              <w:rPr>
                <w:b/>
                <w:color w:val="FFFFFF" w:themeColor="background1"/>
                <w:sz w:val="20"/>
                <w:szCs w:val="20"/>
                <w:lang w:val="fr-FR"/>
              </w:rPr>
              <w:t>Priorités et catalyseurs de l'UIT-D</w:t>
            </w:r>
          </w:p>
        </w:tc>
        <w:tc>
          <w:tcPr>
            <w:tcW w:w="1276" w:type="dxa"/>
            <w:shd w:val="clear" w:color="auto" w:fill="548DD4" w:themeFill="text2" w:themeFillTint="99"/>
          </w:tcPr>
          <w:p w14:paraId="2A62398D" w14:textId="749FCAD4" w:rsidR="008B7DDE" w:rsidRPr="00DD4BCC" w:rsidRDefault="008B7DDE" w:rsidP="002518B7">
            <w:pPr>
              <w:pStyle w:val="Tablehead"/>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20"/>
                <w:szCs w:val="20"/>
                <w:lang w:val="fr-FR"/>
              </w:rPr>
            </w:pPr>
            <w:r w:rsidRPr="00DD4BCC">
              <w:rPr>
                <w:b/>
                <w:color w:val="FFFFFF" w:themeColor="background1"/>
                <w:sz w:val="20"/>
                <w:szCs w:val="20"/>
                <w:lang w:val="fr-FR"/>
              </w:rPr>
              <w:t>Budget 2023 (CHF)</w:t>
            </w:r>
          </w:p>
        </w:tc>
        <w:tc>
          <w:tcPr>
            <w:tcW w:w="1163" w:type="dxa"/>
            <w:shd w:val="clear" w:color="auto" w:fill="548DD4" w:themeFill="text2" w:themeFillTint="99"/>
          </w:tcPr>
          <w:p w14:paraId="184C45ED" w14:textId="7242DD49" w:rsidR="008B7DDE" w:rsidRPr="00DD4BCC" w:rsidRDefault="008B7DDE" w:rsidP="002518B7">
            <w:pPr>
              <w:pStyle w:val="Tablehead"/>
              <w:keepLines/>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fr-FR"/>
              </w:rPr>
            </w:pPr>
            <w:r w:rsidRPr="00DD4BCC">
              <w:rPr>
                <w:b/>
                <w:color w:val="FFFFFF" w:themeColor="background1"/>
                <w:sz w:val="20"/>
                <w:szCs w:val="20"/>
                <w:lang w:val="fr-FR"/>
              </w:rPr>
              <w:t>% du budget</w:t>
            </w:r>
          </w:p>
        </w:tc>
      </w:tr>
      <w:tr w:rsidR="008B7DDE" w:rsidRPr="00DD4BCC" w14:paraId="132ECE3A" w14:textId="77777777" w:rsidTr="008B7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14:paraId="7DBB5782" w14:textId="62AE5F21" w:rsidR="008B7DDE" w:rsidRPr="00DD4BCC" w:rsidRDefault="008B7DDE" w:rsidP="002518B7">
            <w:pPr>
              <w:pStyle w:val="Tabletext"/>
              <w:keepNext/>
              <w:keepLines/>
              <w:jc w:val="left"/>
              <w:rPr>
                <w:rFonts w:ascii="Calibri" w:hAnsi="Calibri" w:cs="Calibri"/>
                <w:sz w:val="20"/>
                <w:szCs w:val="20"/>
                <w:lang w:val="fr-FR"/>
              </w:rPr>
            </w:pPr>
            <w:r w:rsidRPr="00DD4BCC">
              <w:rPr>
                <w:sz w:val="20"/>
                <w:szCs w:val="20"/>
                <w:lang w:val="fr-FR"/>
              </w:rPr>
              <w:t>P1 – Connectivité financièrement abordable</w:t>
            </w:r>
            <w:r w:rsidR="00F27EBE" w:rsidRPr="00DD4BCC">
              <w:rPr>
                <w:sz w:val="20"/>
                <w:szCs w:val="20"/>
                <w:lang w:val="fr-FR"/>
              </w:rPr>
              <w:br/>
            </w:r>
            <w:r w:rsidRPr="00DD4BCC">
              <w:rPr>
                <w:b w:val="0"/>
                <w:bCs w:val="0"/>
                <w:sz w:val="20"/>
                <w:szCs w:val="20"/>
                <w:lang w:val="fr-FR"/>
              </w:rPr>
              <w:t>(réseau et infrastructure numérique, télécommunications d'urgence compris)</w:t>
            </w:r>
          </w:p>
        </w:tc>
        <w:tc>
          <w:tcPr>
            <w:tcW w:w="1276" w:type="dxa"/>
          </w:tcPr>
          <w:p w14:paraId="17190C17" w14:textId="4C0FB7C7" w:rsidR="008B7DDE" w:rsidRPr="00DD4BCC" w:rsidRDefault="002518B7" w:rsidP="002518B7">
            <w:pPr>
              <w:pStyle w:val="Tabletext"/>
              <w:keepNext/>
              <w:keepLines/>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FR"/>
              </w:rPr>
            </w:pPr>
            <w:r w:rsidRPr="00DD4BCC">
              <w:rPr>
                <w:rFonts w:ascii="Calibri" w:hAnsi="Calibri" w:cs="Calibri"/>
                <w:sz w:val="20"/>
                <w:szCs w:val="20"/>
                <w:lang w:val="fr-FR"/>
              </w:rPr>
              <w:t>519 000</w:t>
            </w:r>
          </w:p>
        </w:tc>
        <w:tc>
          <w:tcPr>
            <w:tcW w:w="1163" w:type="dxa"/>
          </w:tcPr>
          <w:p w14:paraId="1EED5DA9" w14:textId="10711471" w:rsidR="008B7DDE" w:rsidRPr="00DD4BCC" w:rsidRDefault="002518B7" w:rsidP="002518B7">
            <w:pPr>
              <w:pStyle w:val="Tabletext"/>
              <w:keepNext/>
              <w:keepLines/>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FR"/>
              </w:rPr>
            </w:pPr>
            <w:r w:rsidRPr="00DD4BCC">
              <w:rPr>
                <w:rFonts w:ascii="Calibri" w:hAnsi="Calibri" w:cs="Calibri"/>
                <w:sz w:val="20"/>
                <w:szCs w:val="20"/>
                <w:lang w:val="fr-FR"/>
              </w:rPr>
              <w:t>12,4%</w:t>
            </w:r>
          </w:p>
        </w:tc>
      </w:tr>
      <w:tr w:rsidR="008B7DDE" w:rsidRPr="00DD4BCC" w14:paraId="6D614C5E" w14:textId="77777777" w:rsidTr="008B7DDE">
        <w:tc>
          <w:tcPr>
            <w:cnfStyle w:val="001000000000" w:firstRow="0" w:lastRow="0" w:firstColumn="1" w:lastColumn="0" w:oddVBand="0" w:evenVBand="0" w:oddHBand="0" w:evenHBand="0" w:firstRowFirstColumn="0" w:firstRowLastColumn="0" w:lastRowFirstColumn="0" w:lastRowLastColumn="0"/>
            <w:tcW w:w="7371" w:type="dxa"/>
          </w:tcPr>
          <w:p w14:paraId="7C22B077" w14:textId="3165B7EC" w:rsidR="008B7DDE" w:rsidRPr="00DD4BCC" w:rsidRDefault="008B7DDE" w:rsidP="002518B7">
            <w:pPr>
              <w:pStyle w:val="Tabletext"/>
              <w:keepNext/>
              <w:keepLines/>
              <w:jc w:val="left"/>
              <w:rPr>
                <w:rFonts w:ascii="Calibri" w:hAnsi="Calibri" w:cs="Calibri"/>
                <w:sz w:val="20"/>
                <w:szCs w:val="20"/>
                <w:lang w:val="fr-FR"/>
              </w:rPr>
            </w:pPr>
            <w:r w:rsidRPr="00DD4BCC">
              <w:rPr>
                <w:sz w:val="20"/>
                <w:szCs w:val="20"/>
                <w:lang w:val="fr-FR"/>
              </w:rPr>
              <w:t>P2 – Transformation numérique</w:t>
            </w:r>
            <w:r w:rsidR="00F27EBE" w:rsidRPr="00DD4BCC">
              <w:rPr>
                <w:sz w:val="20"/>
                <w:szCs w:val="20"/>
                <w:lang w:val="fr-FR"/>
              </w:rPr>
              <w:br/>
            </w:r>
            <w:r w:rsidR="002518B7" w:rsidRPr="00DD4BCC">
              <w:rPr>
                <w:b w:val="0"/>
                <w:bCs w:val="0"/>
                <w:sz w:val="20"/>
                <w:szCs w:val="20"/>
                <w:lang w:val="fr-FR"/>
              </w:rPr>
              <w:t>(</w:t>
            </w:r>
            <w:r w:rsidRPr="00DD4BCC">
              <w:rPr>
                <w:b w:val="0"/>
                <w:bCs w:val="0"/>
                <w:sz w:val="20"/>
                <w:szCs w:val="20"/>
                <w:lang w:val="fr-FR"/>
              </w:rPr>
              <w:t>services et applications numériques, écosystèmes de l'innovation numérique compris)</w:t>
            </w:r>
          </w:p>
        </w:tc>
        <w:tc>
          <w:tcPr>
            <w:tcW w:w="1276" w:type="dxa"/>
          </w:tcPr>
          <w:p w14:paraId="59D8CF66" w14:textId="3E082E38" w:rsidR="008B7DDE" w:rsidRPr="00DD4BCC" w:rsidRDefault="002518B7" w:rsidP="002518B7">
            <w:pPr>
              <w:pStyle w:val="Tabletext"/>
              <w:keepNext/>
              <w:keepLines/>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FR"/>
              </w:rPr>
            </w:pPr>
            <w:r w:rsidRPr="00DD4BCC">
              <w:rPr>
                <w:rFonts w:ascii="Calibri" w:hAnsi="Calibri" w:cs="Calibri"/>
                <w:sz w:val="20"/>
                <w:szCs w:val="20"/>
                <w:lang w:val="fr-FR"/>
              </w:rPr>
              <w:t>756 000</w:t>
            </w:r>
          </w:p>
        </w:tc>
        <w:tc>
          <w:tcPr>
            <w:tcW w:w="1163" w:type="dxa"/>
          </w:tcPr>
          <w:p w14:paraId="05AA3288" w14:textId="2DEB935F" w:rsidR="008B7DDE" w:rsidRPr="00DD4BCC" w:rsidRDefault="002518B7" w:rsidP="002518B7">
            <w:pPr>
              <w:pStyle w:val="Tabletext"/>
              <w:keepNext/>
              <w:keepLines/>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FR"/>
              </w:rPr>
            </w:pPr>
            <w:r w:rsidRPr="00DD4BCC">
              <w:rPr>
                <w:rFonts w:ascii="Calibri" w:hAnsi="Calibri" w:cs="Calibri"/>
                <w:sz w:val="20"/>
                <w:szCs w:val="20"/>
                <w:lang w:val="fr-FR"/>
              </w:rPr>
              <w:t>18,0%</w:t>
            </w:r>
          </w:p>
        </w:tc>
      </w:tr>
      <w:tr w:rsidR="008B7DDE" w:rsidRPr="00DD4BCC" w14:paraId="60BC3AC9" w14:textId="77777777" w:rsidTr="008B7DDE">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7371" w:type="dxa"/>
          </w:tcPr>
          <w:p w14:paraId="1173F51D" w14:textId="0EB43879" w:rsidR="008B7DDE" w:rsidRPr="00DD4BCC" w:rsidRDefault="008B7DDE" w:rsidP="002518B7">
            <w:pPr>
              <w:pStyle w:val="Tabletext"/>
              <w:keepNext/>
              <w:keepLines/>
              <w:jc w:val="left"/>
              <w:rPr>
                <w:rFonts w:ascii="Calibri" w:hAnsi="Calibri" w:cs="Calibri"/>
                <w:sz w:val="20"/>
                <w:szCs w:val="20"/>
                <w:lang w:val="fr-FR"/>
              </w:rPr>
            </w:pPr>
            <w:r w:rsidRPr="00DD4BCC">
              <w:rPr>
                <w:sz w:val="20"/>
                <w:szCs w:val="20"/>
                <w:lang w:val="fr-FR"/>
              </w:rPr>
              <w:t>P3 – Environnement politique et réglementaire propice</w:t>
            </w:r>
            <w:r w:rsidR="00F27EBE" w:rsidRPr="00DD4BCC">
              <w:rPr>
                <w:sz w:val="20"/>
                <w:szCs w:val="20"/>
                <w:lang w:val="fr-FR"/>
              </w:rPr>
              <w:br/>
            </w:r>
            <w:r w:rsidR="002518B7" w:rsidRPr="00DD4BCC">
              <w:rPr>
                <w:b w:val="0"/>
                <w:bCs w:val="0"/>
                <w:sz w:val="20"/>
                <w:szCs w:val="20"/>
                <w:lang w:val="fr-FR"/>
              </w:rPr>
              <w:t>(</w:t>
            </w:r>
            <w:r w:rsidRPr="00DD4BCC">
              <w:rPr>
                <w:b w:val="0"/>
                <w:bCs w:val="0"/>
                <w:sz w:val="20"/>
                <w:szCs w:val="20"/>
                <w:lang w:val="fr-FR"/>
              </w:rPr>
              <w:t>politiques et réglementation, renforcement des capacités et statistiques compris)</w:t>
            </w:r>
          </w:p>
        </w:tc>
        <w:tc>
          <w:tcPr>
            <w:tcW w:w="1276" w:type="dxa"/>
          </w:tcPr>
          <w:p w14:paraId="288F05E5" w14:textId="5ABCB2F5" w:rsidR="008B7DDE" w:rsidRPr="00DD4BCC" w:rsidRDefault="002518B7" w:rsidP="002518B7">
            <w:pPr>
              <w:pStyle w:val="Tabletext"/>
              <w:keepNext/>
              <w:keepLines/>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FR"/>
              </w:rPr>
            </w:pPr>
            <w:r w:rsidRPr="00DD4BCC">
              <w:rPr>
                <w:rFonts w:ascii="Calibri" w:hAnsi="Calibri" w:cs="Calibri"/>
                <w:sz w:val="20"/>
                <w:szCs w:val="20"/>
                <w:lang w:val="fr-FR"/>
              </w:rPr>
              <w:t>1 111 000</w:t>
            </w:r>
          </w:p>
        </w:tc>
        <w:tc>
          <w:tcPr>
            <w:tcW w:w="1163" w:type="dxa"/>
          </w:tcPr>
          <w:p w14:paraId="48BB9E7F" w14:textId="4241B60A" w:rsidR="008B7DDE" w:rsidRPr="00DD4BCC" w:rsidRDefault="002518B7" w:rsidP="002518B7">
            <w:pPr>
              <w:pStyle w:val="Tabletext"/>
              <w:keepNext/>
              <w:keepLines/>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FR"/>
              </w:rPr>
            </w:pPr>
            <w:r w:rsidRPr="00DD4BCC">
              <w:rPr>
                <w:rFonts w:ascii="Calibri" w:hAnsi="Calibri" w:cs="Calibri"/>
                <w:sz w:val="20"/>
                <w:szCs w:val="20"/>
                <w:lang w:val="fr-FR"/>
              </w:rPr>
              <w:t>26,5%</w:t>
            </w:r>
          </w:p>
        </w:tc>
      </w:tr>
      <w:tr w:rsidR="008B7DDE" w:rsidRPr="00DD4BCC" w14:paraId="0FE9D569" w14:textId="77777777" w:rsidTr="008B7DDE">
        <w:trPr>
          <w:trHeight w:val="445"/>
        </w:trPr>
        <w:tc>
          <w:tcPr>
            <w:cnfStyle w:val="001000000000" w:firstRow="0" w:lastRow="0" w:firstColumn="1" w:lastColumn="0" w:oddVBand="0" w:evenVBand="0" w:oddHBand="0" w:evenHBand="0" w:firstRowFirstColumn="0" w:firstRowLastColumn="0" w:lastRowFirstColumn="0" w:lastRowLastColumn="0"/>
            <w:tcW w:w="7371" w:type="dxa"/>
          </w:tcPr>
          <w:p w14:paraId="56396EDD" w14:textId="6ACF4119" w:rsidR="008B7DDE" w:rsidRPr="00DD4BCC" w:rsidRDefault="008B7DDE" w:rsidP="002518B7">
            <w:pPr>
              <w:pStyle w:val="Tabletext"/>
              <w:keepNext/>
              <w:keepLines/>
              <w:jc w:val="left"/>
              <w:rPr>
                <w:rFonts w:ascii="Calibri" w:hAnsi="Calibri" w:cs="Calibri"/>
                <w:color w:val="000000"/>
                <w:sz w:val="20"/>
                <w:szCs w:val="20"/>
                <w:lang w:val="fr-FR"/>
              </w:rPr>
            </w:pPr>
            <w:r w:rsidRPr="00DD4BCC">
              <w:rPr>
                <w:sz w:val="20"/>
                <w:szCs w:val="20"/>
                <w:lang w:val="fr-FR"/>
              </w:rPr>
              <w:t>P4 – Télécommunications/TIC inclusives et sûres au service du développement durable</w:t>
            </w:r>
            <w:r w:rsidR="00F27EBE" w:rsidRPr="00DD4BCC">
              <w:rPr>
                <w:sz w:val="20"/>
                <w:szCs w:val="20"/>
                <w:lang w:val="fr-FR"/>
              </w:rPr>
              <w:br/>
            </w:r>
            <w:r w:rsidR="002518B7" w:rsidRPr="00DD4BCC">
              <w:rPr>
                <w:b w:val="0"/>
                <w:bCs w:val="0"/>
                <w:sz w:val="20"/>
                <w:szCs w:val="20"/>
                <w:lang w:val="fr-FR"/>
              </w:rPr>
              <w:t>(</w:t>
            </w:r>
            <w:r w:rsidRPr="00DD4BCC">
              <w:rPr>
                <w:b w:val="0"/>
                <w:bCs w:val="0"/>
                <w:sz w:val="20"/>
                <w:szCs w:val="20"/>
                <w:lang w:val="fr-FR"/>
              </w:rPr>
              <w:t>cybersécurité et renforcement des capacités compris)</w:t>
            </w:r>
          </w:p>
        </w:tc>
        <w:tc>
          <w:tcPr>
            <w:tcW w:w="1276" w:type="dxa"/>
          </w:tcPr>
          <w:p w14:paraId="745EFFF4" w14:textId="59AB5013" w:rsidR="008B7DDE" w:rsidRPr="00DD4BCC" w:rsidRDefault="002518B7" w:rsidP="002518B7">
            <w:pPr>
              <w:pStyle w:val="Tabletext"/>
              <w:keepNext/>
              <w:keepLines/>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fr-FR"/>
              </w:rPr>
            </w:pPr>
            <w:r w:rsidRPr="00DD4BCC">
              <w:rPr>
                <w:rFonts w:ascii="Calibri" w:hAnsi="Calibri" w:cs="Calibri"/>
                <w:color w:val="000000"/>
                <w:sz w:val="20"/>
                <w:szCs w:val="20"/>
                <w:lang w:val="fr-FR"/>
              </w:rPr>
              <w:t>480 000</w:t>
            </w:r>
          </w:p>
        </w:tc>
        <w:tc>
          <w:tcPr>
            <w:tcW w:w="1163" w:type="dxa"/>
          </w:tcPr>
          <w:p w14:paraId="30282A41" w14:textId="34AEA077" w:rsidR="008B7DDE" w:rsidRPr="00DD4BCC" w:rsidRDefault="002518B7" w:rsidP="002518B7">
            <w:pPr>
              <w:pStyle w:val="Tabletext"/>
              <w:keepNext/>
              <w:keepLines/>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fr-FR"/>
              </w:rPr>
            </w:pPr>
            <w:r w:rsidRPr="00DD4BCC">
              <w:rPr>
                <w:rFonts w:ascii="Calibri" w:hAnsi="Calibri" w:cs="Calibri"/>
                <w:color w:val="000000"/>
                <w:sz w:val="20"/>
                <w:szCs w:val="20"/>
                <w:lang w:val="fr-FR"/>
              </w:rPr>
              <w:t>11,4</w:t>
            </w:r>
            <w:r w:rsidRPr="00DD4BCC">
              <w:rPr>
                <w:rFonts w:ascii="Calibri" w:hAnsi="Calibri" w:cs="Calibri"/>
                <w:sz w:val="20"/>
                <w:szCs w:val="20"/>
                <w:lang w:val="fr-FR"/>
              </w:rPr>
              <w:t>%</w:t>
            </w:r>
          </w:p>
        </w:tc>
      </w:tr>
      <w:tr w:rsidR="008B7DDE" w:rsidRPr="00DD4BCC" w14:paraId="38AC96DB" w14:textId="77777777" w:rsidTr="008B7DDE">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7371" w:type="dxa"/>
          </w:tcPr>
          <w:p w14:paraId="51C93E55" w14:textId="77777777" w:rsidR="008B7DDE" w:rsidRPr="00DD4BCC" w:rsidRDefault="008B7DDE" w:rsidP="002518B7">
            <w:pPr>
              <w:pStyle w:val="Tabletext"/>
              <w:keepNext/>
              <w:keepLines/>
              <w:jc w:val="left"/>
              <w:rPr>
                <w:rFonts w:ascii="Calibri" w:hAnsi="Calibri" w:cs="Calibri"/>
                <w:color w:val="000000"/>
                <w:sz w:val="20"/>
                <w:szCs w:val="20"/>
                <w:lang w:val="fr-FR"/>
              </w:rPr>
            </w:pPr>
            <w:r w:rsidRPr="00DD4BCC">
              <w:rPr>
                <w:sz w:val="20"/>
                <w:szCs w:val="20"/>
                <w:lang w:val="fr-FR"/>
              </w:rPr>
              <w:t>P5/E6/E7 – Mobilisation de ressources, partenariats et coopération internationale</w:t>
            </w:r>
          </w:p>
        </w:tc>
        <w:tc>
          <w:tcPr>
            <w:tcW w:w="1276" w:type="dxa"/>
          </w:tcPr>
          <w:p w14:paraId="3069311A" w14:textId="28F1E478" w:rsidR="008B7DDE" w:rsidRPr="00DD4BCC" w:rsidRDefault="002518B7" w:rsidP="002518B7">
            <w:pPr>
              <w:pStyle w:val="Tabletext"/>
              <w:keepNext/>
              <w:keepLines/>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fr-FR"/>
              </w:rPr>
            </w:pPr>
            <w:r w:rsidRPr="00DD4BCC">
              <w:rPr>
                <w:rFonts w:ascii="Calibri" w:hAnsi="Calibri" w:cs="Calibri"/>
                <w:color w:val="000000"/>
                <w:sz w:val="20"/>
                <w:szCs w:val="20"/>
                <w:lang w:val="fr-FR"/>
              </w:rPr>
              <w:t>120 000</w:t>
            </w:r>
          </w:p>
        </w:tc>
        <w:tc>
          <w:tcPr>
            <w:tcW w:w="1163" w:type="dxa"/>
          </w:tcPr>
          <w:p w14:paraId="18ACCFCC" w14:textId="404A0030" w:rsidR="008B7DDE" w:rsidRPr="00DD4BCC" w:rsidRDefault="002518B7" w:rsidP="002518B7">
            <w:pPr>
              <w:pStyle w:val="Tabletext"/>
              <w:keepNext/>
              <w:keepLines/>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fr-FR"/>
              </w:rPr>
            </w:pPr>
            <w:r w:rsidRPr="00DD4BCC">
              <w:rPr>
                <w:rFonts w:ascii="Calibri" w:hAnsi="Calibri" w:cs="Calibri"/>
                <w:color w:val="000000"/>
                <w:sz w:val="20"/>
                <w:szCs w:val="20"/>
                <w:lang w:val="fr-FR"/>
              </w:rPr>
              <w:t>2,9</w:t>
            </w:r>
            <w:r w:rsidRPr="00DD4BCC">
              <w:rPr>
                <w:rFonts w:ascii="Calibri" w:hAnsi="Calibri" w:cs="Calibri"/>
                <w:sz w:val="20"/>
                <w:szCs w:val="20"/>
                <w:lang w:val="fr-FR"/>
              </w:rPr>
              <w:t>%</w:t>
            </w:r>
          </w:p>
        </w:tc>
      </w:tr>
      <w:tr w:rsidR="008B7DDE" w:rsidRPr="00DD4BCC" w14:paraId="174F147A" w14:textId="77777777" w:rsidTr="008B7DDE">
        <w:tc>
          <w:tcPr>
            <w:cnfStyle w:val="001000000000" w:firstRow="0" w:lastRow="0" w:firstColumn="1" w:lastColumn="0" w:oddVBand="0" w:evenVBand="0" w:oddHBand="0" w:evenHBand="0" w:firstRowFirstColumn="0" w:firstRowLastColumn="0" w:lastRowFirstColumn="0" w:lastRowLastColumn="0"/>
            <w:tcW w:w="7371" w:type="dxa"/>
          </w:tcPr>
          <w:p w14:paraId="1F10803B" w14:textId="77777777" w:rsidR="008B7DDE" w:rsidRPr="00DD4BCC" w:rsidRDefault="008B7DDE" w:rsidP="008B7DDE">
            <w:pPr>
              <w:pStyle w:val="Tabletext"/>
              <w:jc w:val="left"/>
              <w:rPr>
                <w:rFonts w:ascii="Calibri" w:hAnsi="Calibri" w:cs="Calibri"/>
                <w:sz w:val="20"/>
                <w:szCs w:val="20"/>
                <w:lang w:val="fr-FR"/>
              </w:rPr>
            </w:pPr>
            <w:r w:rsidRPr="00DD4BCC">
              <w:rPr>
                <w:sz w:val="20"/>
                <w:szCs w:val="20"/>
                <w:lang w:val="fr-FR"/>
              </w:rPr>
              <w:t>E1 – Travaux reposant sur les contributions des membres</w:t>
            </w:r>
          </w:p>
        </w:tc>
        <w:tc>
          <w:tcPr>
            <w:tcW w:w="1276" w:type="dxa"/>
          </w:tcPr>
          <w:p w14:paraId="57140B95" w14:textId="2F569CB8" w:rsidR="008B7DDE" w:rsidRPr="00DD4BCC" w:rsidRDefault="002518B7" w:rsidP="002518B7">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FR"/>
              </w:rPr>
            </w:pPr>
            <w:r w:rsidRPr="00DD4BCC">
              <w:rPr>
                <w:rFonts w:ascii="Calibri" w:hAnsi="Calibri" w:cs="Calibri"/>
                <w:sz w:val="20"/>
                <w:szCs w:val="20"/>
                <w:lang w:val="fr-FR"/>
              </w:rPr>
              <w:t>15 000</w:t>
            </w:r>
          </w:p>
        </w:tc>
        <w:tc>
          <w:tcPr>
            <w:tcW w:w="1163" w:type="dxa"/>
          </w:tcPr>
          <w:p w14:paraId="50242FEA" w14:textId="3AF1D997" w:rsidR="008B7DDE" w:rsidRPr="00DD4BCC" w:rsidRDefault="002518B7" w:rsidP="002518B7">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FR"/>
              </w:rPr>
            </w:pPr>
            <w:r w:rsidRPr="00DD4BCC">
              <w:rPr>
                <w:rFonts w:ascii="Calibri" w:hAnsi="Calibri" w:cs="Calibri"/>
                <w:sz w:val="20"/>
                <w:szCs w:val="20"/>
                <w:lang w:val="fr-FR"/>
              </w:rPr>
              <w:t>0,4%</w:t>
            </w:r>
          </w:p>
        </w:tc>
      </w:tr>
      <w:tr w:rsidR="008B7DDE" w:rsidRPr="00DD4BCC" w14:paraId="2D3AFC3C" w14:textId="77777777" w:rsidTr="008B7DD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371" w:type="dxa"/>
          </w:tcPr>
          <w:p w14:paraId="206D2A64" w14:textId="77777777" w:rsidR="008B7DDE" w:rsidRPr="00DD4BCC" w:rsidRDefault="008B7DDE" w:rsidP="008B7DDE">
            <w:pPr>
              <w:pStyle w:val="Tabletext"/>
              <w:jc w:val="left"/>
              <w:rPr>
                <w:rFonts w:ascii="Calibri" w:hAnsi="Calibri" w:cs="Calibri"/>
                <w:sz w:val="20"/>
                <w:szCs w:val="20"/>
                <w:lang w:val="fr-FR"/>
              </w:rPr>
            </w:pPr>
            <w:r w:rsidRPr="00DD4BCC">
              <w:rPr>
                <w:sz w:val="20"/>
                <w:szCs w:val="20"/>
                <w:lang w:val="fr-FR"/>
              </w:rPr>
              <w:t>E2 – Présence régionale</w:t>
            </w:r>
          </w:p>
        </w:tc>
        <w:tc>
          <w:tcPr>
            <w:tcW w:w="1276" w:type="dxa"/>
          </w:tcPr>
          <w:p w14:paraId="17000DD4" w14:textId="1B98A66A" w:rsidR="008B7DDE" w:rsidRPr="00DD4BCC" w:rsidRDefault="002518B7" w:rsidP="002518B7">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FR"/>
              </w:rPr>
            </w:pPr>
            <w:r w:rsidRPr="00DD4BCC">
              <w:rPr>
                <w:rFonts w:ascii="Calibri" w:hAnsi="Calibri" w:cs="Calibri"/>
                <w:sz w:val="20"/>
                <w:szCs w:val="20"/>
                <w:lang w:val="fr-FR"/>
              </w:rPr>
              <w:t>280 000</w:t>
            </w:r>
          </w:p>
        </w:tc>
        <w:tc>
          <w:tcPr>
            <w:tcW w:w="1163" w:type="dxa"/>
          </w:tcPr>
          <w:p w14:paraId="4FD15872" w14:textId="5E2CDDF2" w:rsidR="008B7DDE" w:rsidRPr="00DD4BCC" w:rsidRDefault="002518B7" w:rsidP="002518B7">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FR"/>
              </w:rPr>
            </w:pPr>
            <w:r w:rsidRPr="00DD4BCC">
              <w:rPr>
                <w:rFonts w:ascii="Calibri" w:hAnsi="Calibri" w:cs="Calibri"/>
                <w:sz w:val="20"/>
                <w:szCs w:val="20"/>
                <w:lang w:val="fr-FR"/>
              </w:rPr>
              <w:t>6,7%</w:t>
            </w:r>
          </w:p>
        </w:tc>
      </w:tr>
      <w:tr w:rsidR="008B7DDE" w:rsidRPr="00DD4BCC" w14:paraId="4151ED4B" w14:textId="77777777" w:rsidTr="008B7DDE">
        <w:trPr>
          <w:trHeight w:val="292"/>
        </w:trPr>
        <w:tc>
          <w:tcPr>
            <w:cnfStyle w:val="001000000000" w:firstRow="0" w:lastRow="0" w:firstColumn="1" w:lastColumn="0" w:oddVBand="0" w:evenVBand="0" w:oddHBand="0" w:evenHBand="0" w:firstRowFirstColumn="0" w:firstRowLastColumn="0" w:lastRowFirstColumn="0" w:lastRowLastColumn="0"/>
            <w:tcW w:w="7371" w:type="dxa"/>
          </w:tcPr>
          <w:p w14:paraId="7AEC0F55" w14:textId="4619A97F" w:rsidR="008B7DDE" w:rsidRPr="00DD4BCC" w:rsidRDefault="008B7DDE" w:rsidP="008B7DDE">
            <w:pPr>
              <w:pStyle w:val="Tabletext"/>
              <w:jc w:val="left"/>
              <w:rPr>
                <w:rFonts w:ascii="Calibri" w:hAnsi="Calibri" w:cs="Calibri"/>
                <w:sz w:val="20"/>
                <w:szCs w:val="20"/>
                <w:lang w:val="fr-FR"/>
              </w:rPr>
            </w:pPr>
            <w:r w:rsidRPr="00DD4BCC">
              <w:rPr>
                <w:sz w:val="20"/>
                <w:szCs w:val="20"/>
                <w:lang w:val="fr-FR"/>
              </w:rPr>
              <w:t>E3 – Diversité et inclusion</w:t>
            </w:r>
            <w:r w:rsidR="00F27EBE" w:rsidRPr="00DD4BCC">
              <w:rPr>
                <w:sz w:val="20"/>
                <w:szCs w:val="20"/>
                <w:lang w:val="fr-FR"/>
              </w:rPr>
              <w:br/>
            </w:r>
            <w:r w:rsidR="002518B7" w:rsidRPr="00DD4BCC">
              <w:rPr>
                <w:b w:val="0"/>
                <w:bCs w:val="0"/>
                <w:sz w:val="20"/>
                <w:szCs w:val="20"/>
                <w:lang w:val="fr-FR"/>
              </w:rPr>
              <w:t>(</w:t>
            </w:r>
            <w:r w:rsidRPr="00DD4BCC">
              <w:rPr>
                <w:b w:val="0"/>
                <w:bCs w:val="0"/>
                <w:sz w:val="20"/>
                <w:szCs w:val="20"/>
                <w:lang w:val="fr-FR"/>
              </w:rPr>
              <w:t>inclusion numérique comprise)</w:t>
            </w:r>
          </w:p>
        </w:tc>
        <w:tc>
          <w:tcPr>
            <w:tcW w:w="1276" w:type="dxa"/>
          </w:tcPr>
          <w:p w14:paraId="4D151974" w14:textId="74A5E138" w:rsidR="008B7DDE" w:rsidRPr="00DD4BCC" w:rsidRDefault="002518B7" w:rsidP="002518B7">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FR"/>
              </w:rPr>
            </w:pPr>
            <w:r w:rsidRPr="00DD4BCC">
              <w:rPr>
                <w:rFonts w:ascii="Calibri" w:hAnsi="Calibri" w:cs="Calibri"/>
                <w:sz w:val="20"/>
                <w:szCs w:val="20"/>
                <w:lang w:val="fr-FR"/>
              </w:rPr>
              <w:t>404 500</w:t>
            </w:r>
          </w:p>
        </w:tc>
        <w:tc>
          <w:tcPr>
            <w:tcW w:w="1163" w:type="dxa"/>
          </w:tcPr>
          <w:p w14:paraId="4AEB5613" w14:textId="6BE09498" w:rsidR="008B7DDE" w:rsidRPr="00DD4BCC" w:rsidRDefault="002518B7" w:rsidP="002518B7">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FR"/>
              </w:rPr>
            </w:pPr>
            <w:r w:rsidRPr="00DD4BCC">
              <w:rPr>
                <w:rFonts w:ascii="Calibri" w:hAnsi="Calibri" w:cs="Calibri"/>
                <w:sz w:val="20"/>
                <w:szCs w:val="20"/>
                <w:lang w:val="fr-FR"/>
              </w:rPr>
              <w:t>9,6%</w:t>
            </w:r>
          </w:p>
        </w:tc>
      </w:tr>
      <w:tr w:rsidR="008B7DDE" w:rsidRPr="00DD4BCC" w14:paraId="2101D116" w14:textId="77777777" w:rsidTr="008B7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14:paraId="36CA5E8F" w14:textId="4636FE0D" w:rsidR="008B7DDE" w:rsidRPr="00DD4BCC" w:rsidRDefault="008B7DDE" w:rsidP="008B7DDE">
            <w:pPr>
              <w:pStyle w:val="Tabletext"/>
              <w:jc w:val="left"/>
              <w:rPr>
                <w:rFonts w:ascii="Calibri" w:hAnsi="Calibri" w:cs="Calibri"/>
                <w:sz w:val="20"/>
                <w:szCs w:val="20"/>
                <w:lang w:val="fr-FR"/>
              </w:rPr>
            </w:pPr>
            <w:r w:rsidRPr="00DD4BCC">
              <w:rPr>
                <w:sz w:val="20"/>
                <w:szCs w:val="20"/>
                <w:lang w:val="fr-FR"/>
              </w:rPr>
              <w:t>E4 – Engagement en faveur de la durabilité environnementale</w:t>
            </w:r>
            <w:r w:rsidR="00F27EBE" w:rsidRPr="00DD4BCC">
              <w:rPr>
                <w:sz w:val="20"/>
                <w:szCs w:val="20"/>
                <w:lang w:val="fr-FR"/>
              </w:rPr>
              <w:br/>
            </w:r>
            <w:r w:rsidR="002518B7" w:rsidRPr="00DD4BCC">
              <w:rPr>
                <w:b w:val="0"/>
                <w:bCs w:val="0"/>
                <w:sz w:val="20"/>
                <w:szCs w:val="20"/>
                <w:lang w:val="fr-FR"/>
              </w:rPr>
              <w:t>(</w:t>
            </w:r>
            <w:r w:rsidRPr="00DD4BCC">
              <w:rPr>
                <w:b w:val="0"/>
                <w:bCs w:val="0"/>
                <w:sz w:val="20"/>
                <w:szCs w:val="20"/>
                <w:lang w:val="fr-FR"/>
              </w:rPr>
              <w:t>environnement compris)</w:t>
            </w:r>
          </w:p>
        </w:tc>
        <w:tc>
          <w:tcPr>
            <w:tcW w:w="1276" w:type="dxa"/>
          </w:tcPr>
          <w:p w14:paraId="0C9A5B82" w14:textId="6252CF0B" w:rsidR="008B7DDE" w:rsidRPr="00DD4BCC" w:rsidRDefault="002518B7" w:rsidP="002518B7">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FR"/>
              </w:rPr>
            </w:pPr>
            <w:r w:rsidRPr="00DD4BCC">
              <w:rPr>
                <w:rFonts w:ascii="Calibri" w:hAnsi="Calibri" w:cs="Calibri"/>
                <w:sz w:val="20"/>
                <w:szCs w:val="20"/>
                <w:lang w:val="fr-FR"/>
              </w:rPr>
              <w:t>155 000</w:t>
            </w:r>
          </w:p>
        </w:tc>
        <w:tc>
          <w:tcPr>
            <w:tcW w:w="1163" w:type="dxa"/>
          </w:tcPr>
          <w:p w14:paraId="7F0940A4" w14:textId="5F68E3CC" w:rsidR="008B7DDE" w:rsidRPr="00DD4BCC" w:rsidRDefault="002518B7" w:rsidP="002518B7">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FR"/>
              </w:rPr>
            </w:pPr>
            <w:r w:rsidRPr="00DD4BCC">
              <w:rPr>
                <w:rFonts w:ascii="Calibri" w:hAnsi="Calibri" w:cs="Calibri"/>
                <w:sz w:val="20"/>
                <w:szCs w:val="20"/>
                <w:lang w:val="fr-FR"/>
              </w:rPr>
              <w:t>3,7%</w:t>
            </w:r>
          </w:p>
        </w:tc>
      </w:tr>
      <w:tr w:rsidR="008B7DDE" w:rsidRPr="00DD4BCC" w14:paraId="01F278B7" w14:textId="77777777" w:rsidTr="008B7DDE">
        <w:tc>
          <w:tcPr>
            <w:cnfStyle w:val="001000000000" w:firstRow="0" w:lastRow="0" w:firstColumn="1" w:lastColumn="0" w:oddVBand="0" w:evenVBand="0" w:oddHBand="0" w:evenHBand="0" w:firstRowFirstColumn="0" w:firstRowLastColumn="0" w:lastRowFirstColumn="0" w:lastRowLastColumn="0"/>
            <w:tcW w:w="7371" w:type="dxa"/>
          </w:tcPr>
          <w:p w14:paraId="107B39CC" w14:textId="77777777" w:rsidR="008B7DDE" w:rsidRPr="00DD4BCC" w:rsidRDefault="008B7DDE" w:rsidP="008B7DDE">
            <w:pPr>
              <w:pStyle w:val="Tabletext"/>
              <w:jc w:val="left"/>
              <w:rPr>
                <w:sz w:val="20"/>
                <w:szCs w:val="20"/>
                <w:lang w:val="fr-FR"/>
              </w:rPr>
            </w:pPr>
            <w:r w:rsidRPr="00DD4BCC">
              <w:rPr>
                <w:sz w:val="20"/>
                <w:szCs w:val="20"/>
                <w:lang w:val="fr-FR"/>
              </w:rPr>
              <w:t>E5 – Excellence en matière de ressources humaines et innovation organisationnelle</w:t>
            </w:r>
          </w:p>
        </w:tc>
        <w:tc>
          <w:tcPr>
            <w:tcW w:w="1276" w:type="dxa"/>
          </w:tcPr>
          <w:p w14:paraId="1246BB4A" w14:textId="3BB1CB38" w:rsidR="008B7DDE" w:rsidRPr="00DD4BCC" w:rsidRDefault="002518B7" w:rsidP="002518B7">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FR"/>
              </w:rPr>
            </w:pPr>
            <w:r w:rsidRPr="00DD4BCC">
              <w:rPr>
                <w:rFonts w:ascii="Calibri" w:hAnsi="Calibri" w:cs="Calibri"/>
                <w:sz w:val="20"/>
                <w:szCs w:val="20"/>
                <w:lang w:val="fr-FR"/>
              </w:rPr>
              <w:t>359 500</w:t>
            </w:r>
          </w:p>
        </w:tc>
        <w:tc>
          <w:tcPr>
            <w:tcW w:w="1163" w:type="dxa"/>
          </w:tcPr>
          <w:p w14:paraId="5DBEF60F" w14:textId="5CD9CDB8" w:rsidR="008B7DDE" w:rsidRPr="00DD4BCC" w:rsidRDefault="002518B7" w:rsidP="002518B7">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FR"/>
              </w:rPr>
            </w:pPr>
            <w:r w:rsidRPr="00DD4BCC">
              <w:rPr>
                <w:rFonts w:ascii="Calibri" w:hAnsi="Calibri" w:cs="Calibri"/>
                <w:sz w:val="20"/>
                <w:szCs w:val="20"/>
                <w:lang w:val="fr-FR"/>
              </w:rPr>
              <w:t>8,6%</w:t>
            </w:r>
          </w:p>
        </w:tc>
      </w:tr>
      <w:tr w:rsidR="008B7DDE" w:rsidRPr="00DD4BCC" w14:paraId="3734A21D" w14:textId="77777777" w:rsidTr="008B7DDE">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7371" w:type="dxa"/>
          </w:tcPr>
          <w:p w14:paraId="15229999" w14:textId="521E0294" w:rsidR="008B7DDE" w:rsidRPr="00DD4BCC" w:rsidRDefault="008B7DDE" w:rsidP="008B7DDE">
            <w:pPr>
              <w:pStyle w:val="Tabletext"/>
              <w:jc w:val="left"/>
              <w:rPr>
                <w:sz w:val="20"/>
                <w:szCs w:val="20"/>
                <w:lang w:val="fr-FR"/>
              </w:rPr>
            </w:pPr>
            <w:r w:rsidRPr="00DD4BCC">
              <w:rPr>
                <w:sz w:val="20"/>
                <w:szCs w:val="20"/>
                <w:lang w:val="fr-FR"/>
              </w:rPr>
              <w:t>Total général</w:t>
            </w:r>
          </w:p>
        </w:tc>
        <w:tc>
          <w:tcPr>
            <w:tcW w:w="1276" w:type="dxa"/>
          </w:tcPr>
          <w:p w14:paraId="6B6B305C" w14:textId="42B0460B" w:rsidR="008B7DDE" w:rsidRPr="00DD4BCC" w:rsidRDefault="002518B7" w:rsidP="002518B7">
            <w:pPr>
              <w:pStyle w:val="Tabletext"/>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DD4BCC">
              <w:rPr>
                <w:sz w:val="20"/>
                <w:szCs w:val="20"/>
                <w:lang w:val="fr-FR"/>
              </w:rPr>
              <w:t>4 200 000</w:t>
            </w:r>
          </w:p>
        </w:tc>
        <w:tc>
          <w:tcPr>
            <w:tcW w:w="1163" w:type="dxa"/>
          </w:tcPr>
          <w:p w14:paraId="0A2B38F4" w14:textId="77777777" w:rsidR="008B7DDE" w:rsidRPr="00DD4BCC" w:rsidRDefault="008B7DDE" w:rsidP="002518B7">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FR"/>
              </w:rPr>
            </w:pPr>
          </w:p>
        </w:tc>
      </w:tr>
    </w:tbl>
    <w:p w14:paraId="7D050C4A" w14:textId="5E13D2B5" w:rsidR="00D900DE" w:rsidRPr="00970D1B" w:rsidRDefault="002518B7" w:rsidP="002518B7">
      <w:pPr>
        <w:pStyle w:val="Tablelegend"/>
        <w:rPr>
          <w:rFonts w:ascii="Calibri" w:eastAsia="Calibri" w:hAnsi="Calibri"/>
          <w:sz w:val="20"/>
          <w:lang w:val="fr-FR"/>
        </w:rPr>
      </w:pPr>
      <w:r w:rsidRPr="00970D1B">
        <w:rPr>
          <w:sz w:val="20"/>
          <w:lang w:val="fr-FR"/>
        </w:rPr>
        <w:t xml:space="preserve">Notes: Il s'agit de chiffres préliminaires. </w:t>
      </w:r>
      <w:r w:rsidRPr="00970D1B">
        <w:rPr>
          <w:sz w:val="20"/>
          <w:lang w:val="fr-FR"/>
        </w:rPr>
        <w:br/>
        <w:t>La lettre "P" désigne les priorités de l'UIT-D; la lettre "E" désigne les catalyseurs de l'UIT-D.</w:t>
      </w:r>
    </w:p>
    <w:p w14:paraId="7899C717" w14:textId="66FF1DA3" w:rsidR="00E80210" w:rsidRPr="00DD4BCC" w:rsidRDefault="00E80210" w:rsidP="00645595">
      <w:pPr>
        <w:pStyle w:val="Heading2"/>
        <w:jc w:val="left"/>
        <w:rPr>
          <w:rFonts w:eastAsia="Calibri"/>
          <w:szCs w:val="24"/>
          <w:lang w:val="fr-FR"/>
        </w:rPr>
      </w:pPr>
      <w:r w:rsidRPr="00DD4BCC">
        <w:rPr>
          <w:lang w:val="fr-FR"/>
        </w:rPr>
        <w:t>2.2</w:t>
      </w:r>
      <w:r w:rsidRPr="00DD4BCC">
        <w:rPr>
          <w:lang w:val="fr-FR"/>
        </w:rPr>
        <w:tab/>
      </w:r>
      <w:r w:rsidR="008F2B40" w:rsidRPr="00DD4BCC">
        <w:rPr>
          <w:lang w:val="fr-FR"/>
        </w:rPr>
        <w:t>Affectation de</w:t>
      </w:r>
      <w:r w:rsidR="00CF6619" w:rsidRPr="00DD4BCC">
        <w:rPr>
          <w:lang w:val="fr-FR"/>
        </w:rPr>
        <w:t xml:space="preserve"> </w:t>
      </w:r>
      <w:r w:rsidRPr="00DD4BCC">
        <w:rPr>
          <w:lang w:val="fr-FR"/>
        </w:rPr>
        <w:t xml:space="preserve">fonds dans le cadre du </w:t>
      </w:r>
      <w:r w:rsidR="008F2B40" w:rsidRPr="00DD4BCC">
        <w:rPr>
          <w:lang w:val="fr-FR"/>
        </w:rPr>
        <w:t xml:space="preserve">plan </w:t>
      </w:r>
      <w:r w:rsidRPr="00DD4BCC">
        <w:rPr>
          <w:lang w:val="fr-FR"/>
        </w:rPr>
        <w:t xml:space="preserve">opérationnel </w:t>
      </w:r>
      <w:r w:rsidR="008F2B40" w:rsidRPr="00DD4BCC">
        <w:rPr>
          <w:lang w:val="fr-FR"/>
        </w:rPr>
        <w:t xml:space="preserve">pour </w:t>
      </w:r>
      <w:r w:rsidRPr="00DD4BCC">
        <w:rPr>
          <w:lang w:val="fr-FR"/>
        </w:rPr>
        <w:t>2023, par région bénéficiaire</w:t>
      </w:r>
    </w:p>
    <w:p w14:paraId="3E77C474" w14:textId="2B7B9771" w:rsidR="00E80210" w:rsidRPr="00DD4BCC" w:rsidRDefault="00E80210" w:rsidP="00645595">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fr-FR"/>
        </w:rPr>
      </w:pPr>
      <w:r w:rsidRPr="00DD4BCC">
        <w:rPr>
          <w:lang w:val="fr-FR"/>
        </w:rPr>
        <w:t xml:space="preserve">Compte tenu de l'expérience acquise dans la mise en </w:t>
      </w:r>
      <w:r w:rsidR="00225A73" w:rsidRPr="00DD4BCC">
        <w:rPr>
          <w:lang w:val="fr-FR"/>
        </w:rPr>
        <w:t>œuvre</w:t>
      </w:r>
      <w:r w:rsidRPr="00DD4BCC">
        <w:rPr>
          <w:lang w:val="fr-FR"/>
        </w:rPr>
        <w:t xml:space="preserve"> du Plan d'action de Buenos Aires et des besoins identifiés par les </w:t>
      </w:r>
      <w:r w:rsidR="008F2B40" w:rsidRPr="00DD4BCC">
        <w:rPr>
          <w:lang w:val="fr-FR"/>
        </w:rPr>
        <w:t xml:space="preserve">membres </w:t>
      </w:r>
      <w:r w:rsidRPr="00DD4BCC">
        <w:rPr>
          <w:lang w:val="fr-FR"/>
        </w:rPr>
        <w:t xml:space="preserve">de l'UIT dans le Plan d'action de Kigali, un peu plus de la moitié du budget prévu dans le </w:t>
      </w:r>
      <w:r w:rsidR="008F2B40" w:rsidRPr="00DD4BCC">
        <w:rPr>
          <w:lang w:val="fr-FR"/>
        </w:rPr>
        <w:t xml:space="preserve">plan </w:t>
      </w:r>
      <w:r w:rsidRPr="00DD4BCC">
        <w:rPr>
          <w:lang w:val="fr-FR"/>
        </w:rPr>
        <w:t xml:space="preserve">opérationnel pour 2023 (54 pour cent) a été affecté à des produits de portée mondiale et </w:t>
      </w:r>
      <w:r w:rsidR="00225A73" w:rsidRPr="00DD4BCC">
        <w:rPr>
          <w:lang w:val="fr-FR"/>
        </w:rPr>
        <w:t xml:space="preserve">à des </w:t>
      </w:r>
      <w:r w:rsidRPr="00DD4BCC">
        <w:rPr>
          <w:lang w:val="fr-FR"/>
        </w:rPr>
        <w:t>activités multirégionales,</w:t>
      </w:r>
      <w:r w:rsidR="00CF6619" w:rsidRPr="00DD4BCC">
        <w:rPr>
          <w:lang w:val="fr-FR"/>
        </w:rPr>
        <w:t xml:space="preserve"> </w:t>
      </w:r>
      <w:r w:rsidR="008F2B40" w:rsidRPr="00DD4BCC">
        <w:rPr>
          <w:lang w:val="fr-FR"/>
        </w:rPr>
        <w:t>qui</w:t>
      </w:r>
      <w:r w:rsidR="00CF6619" w:rsidRPr="00DD4BCC">
        <w:rPr>
          <w:lang w:val="fr-FR"/>
        </w:rPr>
        <w:t xml:space="preserve"> </w:t>
      </w:r>
      <w:r w:rsidRPr="00DD4BCC">
        <w:rPr>
          <w:lang w:val="fr-FR"/>
        </w:rPr>
        <w:t>devraient</w:t>
      </w:r>
      <w:r w:rsidR="00CF6619" w:rsidRPr="00DD4BCC">
        <w:rPr>
          <w:lang w:val="fr-FR"/>
        </w:rPr>
        <w:t xml:space="preserve"> </w:t>
      </w:r>
      <w:r w:rsidR="008F2B40" w:rsidRPr="00DD4BCC">
        <w:rPr>
          <w:lang w:val="fr-FR"/>
        </w:rPr>
        <w:t>avoir de vastes répercussions</w:t>
      </w:r>
      <w:r w:rsidR="008F2B40" w:rsidRPr="00DD4BCC" w:rsidDel="008F2B40">
        <w:rPr>
          <w:lang w:val="fr-FR"/>
        </w:rPr>
        <w:t xml:space="preserve"> </w:t>
      </w:r>
      <w:r w:rsidRPr="00DD4BCC">
        <w:rPr>
          <w:lang w:val="fr-FR"/>
        </w:rPr>
        <w:t xml:space="preserve">et permettre </w:t>
      </w:r>
      <w:r w:rsidR="002704E5" w:rsidRPr="00DD4BCC">
        <w:rPr>
          <w:lang w:val="fr-FR"/>
        </w:rPr>
        <w:t xml:space="preserve">de </w:t>
      </w:r>
      <w:r w:rsidR="008F2B40" w:rsidRPr="00DD4BCC">
        <w:rPr>
          <w:lang w:val="fr-FR"/>
        </w:rPr>
        <w:t>tirer parti des gains d</w:t>
      </w:r>
      <w:r w:rsidR="00B01FE6" w:rsidRPr="00DD4BCC">
        <w:rPr>
          <w:lang w:val="fr-FR"/>
        </w:rPr>
        <w:t>'</w:t>
      </w:r>
      <w:r w:rsidR="008F2B40" w:rsidRPr="00DD4BCC">
        <w:rPr>
          <w:lang w:val="fr-FR"/>
        </w:rPr>
        <w:t>efficacité</w:t>
      </w:r>
      <w:r w:rsidR="00645595" w:rsidRPr="00DD4BCC">
        <w:rPr>
          <w:lang w:val="fr-FR"/>
        </w:rPr>
        <w:t>.</w:t>
      </w:r>
    </w:p>
    <w:p w14:paraId="13B85CCD" w14:textId="15433D7B" w:rsidR="00E80210" w:rsidRPr="00DD4BCC" w:rsidRDefault="00E80210" w:rsidP="00645595">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fr-FR"/>
        </w:rPr>
      </w:pPr>
      <w:r w:rsidRPr="00DD4BCC">
        <w:rPr>
          <w:lang w:val="fr-FR"/>
        </w:rPr>
        <w:t xml:space="preserve">Un financement à peu près égal (7 à 8 pour cent) a été affecté à des produits relevant des différentes priorités et des différents catalyseurs de l'UIT-D, au bénéfice des six régions de l'UIT. D'autres synergies </w:t>
      </w:r>
      <w:r w:rsidR="008F2B40" w:rsidRPr="00DD4BCC">
        <w:rPr>
          <w:lang w:val="fr-FR"/>
        </w:rPr>
        <w:t>dans la</w:t>
      </w:r>
      <w:r w:rsidR="00CF6619" w:rsidRPr="00DD4BCC">
        <w:rPr>
          <w:lang w:val="fr-FR"/>
        </w:rPr>
        <w:t xml:space="preserve"> </w:t>
      </w:r>
      <w:r w:rsidRPr="00DD4BCC">
        <w:rPr>
          <w:lang w:val="fr-FR"/>
        </w:rPr>
        <w:t xml:space="preserve">mise en </w:t>
      </w:r>
      <w:r w:rsidR="00753A0F" w:rsidRPr="00DD4BCC">
        <w:rPr>
          <w:lang w:val="fr-FR"/>
        </w:rPr>
        <w:t>œuvre</w:t>
      </w:r>
      <w:r w:rsidRPr="00DD4BCC">
        <w:rPr>
          <w:lang w:val="fr-FR"/>
        </w:rPr>
        <w:t xml:space="preserve"> seront recherchées </w:t>
      </w:r>
      <w:r w:rsidR="008F2B40" w:rsidRPr="00DD4BCC">
        <w:rPr>
          <w:lang w:val="fr-FR"/>
        </w:rPr>
        <w:t>en ce qui concerne les</w:t>
      </w:r>
      <w:r w:rsidR="00CF6619" w:rsidRPr="00DD4BCC">
        <w:rPr>
          <w:lang w:val="fr-FR"/>
        </w:rPr>
        <w:t xml:space="preserve"> </w:t>
      </w:r>
      <w:r w:rsidRPr="00DD4BCC">
        <w:rPr>
          <w:lang w:val="fr-FR"/>
        </w:rPr>
        <w:t xml:space="preserve">produits régionaux, et entre les produits régionaux et </w:t>
      </w:r>
      <w:r w:rsidR="00C54B0C" w:rsidRPr="00DD4BCC">
        <w:rPr>
          <w:lang w:val="fr-FR"/>
        </w:rPr>
        <w:t xml:space="preserve">les produits </w:t>
      </w:r>
      <w:r w:rsidRPr="00DD4BCC">
        <w:rPr>
          <w:lang w:val="fr-FR"/>
        </w:rPr>
        <w:t>mondiaux</w:t>
      </w:r>
      <w:r w:rsidR="00C54B0C" w:rsidRPr="00DD4BCC">
        <w:rPr>
          <w:lang w:val="fr-FR"/>
        </w:rPr>
        <w:t xml:space="preserve">, </w:t>
      </w:r>
      <w:r w:rsidRPr="00DD4BCC">
        <w:rPr>
          <w:lang w:val="fr-FR"/>
        </w:rPr>
        <w:t>ainsi qu'avec les produits des autres Bureaux et du Secrétariat général</w:t>
      </w:r>
      <w:r w:rsidR="000D6EAD" w:rsidRPr="00DD4BCC">
        <w:rPr>
          <w:lang w:val="fr-FR"/>
        </w:rPr>
        <w:t xml:space="preserve"> de l'UIT</w:t>
      </w:r>
      <w:r w:rsidRPr="00DD4BCC">
        <w:rPr>
          <w:lang w:val="fr-FR"/>
        </w:rPr>
        <w:t>. Les partenariats avec des entités nationales, régionales</w:t>
      </w:r>
      <w:r w:rsidR="00CF6619" w:rsidRPr="00DD4BCC">
        <w:rPr>
          <w:lang w:val="fr-FR"/>
        </w:rPr>
        <w:t xml:space="preserve"> </w:t>
      </w:r>
      <w:r w:rsidR="008F2B40" w:rsidRPr="00DD4BCC">
        <w:rPr>
          <w:lang w:val="fr-FR"/>
        </w:rPr>
        <w:t>ou</w:t>
      </w:r>
      <w:r w:rsidR="00CF6619" w:rsidRPr="00DD4BCC">
        <w:rPr>
          <w:lang w:val="fr-FR"/>
        </w:rPr>
        <w:t xml:space="preserve"> </w:t>
      </w:r>
      <w:r w:rsidRPr="00DD4BCC">
        <w:rPr>
          <w:lang w:val="fr-FR"/>
        </w:rPr>
        <w:t xml:space="preserve">mondiales et les projets mis en </w:t>
      </w:r>
      <w:r w:rsidR="000D6EAD" w:rsidRPr="00DD4BCC">
        <w:rPr>
          <w:lang w:val="fr-FR"/>
        </w:rPr>
        <w:t>œuvre</w:t>
      </w:r>
      <w:r w:rsidRPr="00DD4BCC">
        <w:rPr>
          <w:lang w:val="fr-FR"/>
        </w:rPr>
        <w:t xml:space="preserve"> par le BDT </w:t>
      </w:r>
      <w:r w:rsidR="008F2B40" w:rsidRPr="00DD4BCC">
        <w:rPr>
          <w:lang w:val="fr-FR"/>
        </w:rPr>
        <w:t xml:space="preserve">renforceront </w:t>
      </w:r>
      <w:r w:rsidRPr="00DD4BCC">
        <w:rPr>
          <w:lang w:val="fr-FR"/>
        </w:rPr>
        <w:t xml:space="preserve">encore les incidences de la mise en </w:t>
      </w:r>
      <w:r w:rsidR="000D6EAD" w:rsidRPr="00DD4BCC">
        <w:rPr>
          <w:lang w:val="fr-FR"/>
        </w:rPr>
        <w:t>œuvre</w:t>
      </w:r>
      <w:r w:rsidRPr="00DD4BCC">
        <w:rPr>
          <w:lang w:val="fr-FR"/>
        </w:rPr>
        <w:t xml:space="preserve"> du </w:t>
      </w:r>
      <w:r w:rsidR="00D900DE" w:rsidRPr="00DD4BCC">
        <w:rPr>
          <w:lang w:val="fr-FR"/>
        </w:rPr>
        <w:t xml:space="preserve">Plan d'action de Kigali </w:t>
      </w:r>
      <w:r w:rsidRPr="00DD4BCC">
        <w:rPr>
          <w:lang w:val="fr-FR"/>
        </w:rPr>
        <w:t>dans les régions et à l'échelle mondiale.</w:t>
      </w:r>
    </w:p>
    <w:p w14:paraId="22CCE2F7" w14:textId="462B02F0" w:rsidR="00E80210" w:rsidRPr="00DD4BCC" w:rsidRDefault="00E80210" w:rsidP="00970D1B">
      <w:pPr>
        <w:pStyle w:val="Figuretitle"/>
        <w:keepNext/>
        <w:spacing w:before="360" w:after="240"/>
        <w:rPr>
          <w:rFonts w:ascii="Calibri" w:eastAsia="Calibri" w:hAnsi="Calibri"/>
          <w:szCs w:val="24"/>
          <w:lang w:val="fr-FR"/>
        </w:rPr>
      </w:pPr>
      <w:r w:rsidRPr="00DD4BCC">
        <w:rPr>
          <w:lang w:val="fr-FR"/>
        </w:rPr>
        <w:lastRenderedPageBreak/>
        <w:t xml:space="preserve">Figure 2 – </w:t>
      </w:r>
      <w:r w:rsidR="008F2B40" w:rsidRPr="00DD4BCC">
        <w:rPr>
          <w:lang w:val="fr-FR"/>
        </w:rPr>
        <w:t xml:space="preserve">Ventilation </w:t>
      </w:r>
      <w:r w:rsidRPr="00DD4BCC">
        <w:rPr>
          <w:lang w:val="fr-FR"/>
        </w:rPr>
        <w:t xml:space="preserve">des produits prévus dans le </w:t>
      </w:r>
      <w:r w:rsidR="00C64455">
        <w:rPr>
          <w:lang w:val="fr-FR"/>
        </w:rPr>
        <w:t>p</w:t>
      </w:r>
      <w:r w:rsidR="008F2B40" w:rsidRPr="00DD4BCC">
        <w:rPr>
          <w:lang w:val="fr-FR"/>
        </w:rPr>
        <w:t xml:space="preserve">lan </w:t>
      </w:r>
      <w:r w:rsidRPr="00DD4BCC">
        <w:rPr>
          <w:lang w:val="fr-FR"/>
        </w:rPr>
        <w:t>opérationnel pour 2023, par région bénéficiaire (</w:t>
      </w:r>
      <w:r w:rsidR="008F2B40" w:rsidRPr="00DD4BCC">
        <w:rPr>
          <w:lang w:val="fr-FR"/>
        </w:rPr>
        <w:t xml:space="preserve">cumulée </w:t>
      </w:r>
      <w:r w:rsidRPr="00DD4BCC">
        <w:rPr>
          <w:lang w:val="fr-FR"/>
        </w:rPr>
        <w:t>pour toutes les priorités et tous les catalyseurs de l'UIT-D)</w:t>
      </w:r>
    </w:p>
    <w:p w14:paraId="292BE3F1" w14:textId="1F98CE72" w:rsidR="00E80210" w:rsidRPr="00DD4BCC" w:rsidRDefault="00C64455" w:rsidP="00645595">
      <w:pPr>
        <w:pStyle w:val="Figure"/>
        <w:jc w:val="center"/>
        <w:rPr>
          <w:lang w:val="fr-FR"/>
        </w:rPr>
      </w:pPr>
      <w:r w:rsidRPr="00DD4BCC">
        <w:rPr>
          <w:shd w:val="clear" w:color="auto" w:fill="auto"/>
        </w:rPr>
        <mc:AlternateContent>
          <mc:Choice Requires="wps">
            <w:drawing>
              <wp:anchor distT="0" distB="0" distL="114300" distR="114300" simplePos="0" relativeHeight="251676672" behindDoc="0" locked="0" layoutInCell="1" allowOverlap="1" wp14:anchorId="0884AC2C" wp14:editId="5F1A0A64">
                <wp:simplePos x="0" y="0"/>
                <wp:positionH relativeFrom="column">
                  <wp:posOffset>3797300</wp:posOffset>
                </wp:positionH>
                <wp:positionV relativeFrom="paragraph">
                  <wp:posOffset>653558</wp:posOffset>
                </wp:positionV>
                <wp:extent cx="689610" cy="23241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89610" cy="232410"/>
                        </a:xfrm>
                        <a:prstGeom prst="rect">
                          <a:avLst/>
                        </a:prstGeom>
                        <a:solidFill>
                          <a:schemeClr val="lt1"/>
                        </a:solidFill>
                        <a:ln w="6350">
                          <a:noFill/>
                        </a:ln>
                      </wps:spPr>
                      <wps:txbx>
                        <w:txbxContent>
                          <w:p w14:paraId="1C1E9C13" w14:textId="02251BCE" w:rsidR="00970D1B" w:rsidRDefault="00970D1B" w:rsidP="00645595">
                            <w:pPr>
                              <w:spacing w:before="0"/>
                              <w:jc w:val="center"/>
                              <w:rPr>
                                <w:sz w:val="16"/>
                                <w:szCs w:val="16"/>
                                <w:lang w:val="fr-FR"/>
                              </w:rPr>
                            </w:pPr>
                            <w:r w:rsidRPr="00645595">
                              <w:rPr>
                                <w:sz w:val="16"/>
                                <w:szCs w:val="16"/>
                                <w:lang w:val="fr-FR"/>
                              </w:rPr>
                              <w:t>Asie-Pacifique</w:t>
                            </w:r>
                          </w:p>
                          <w:p w14:paraId="5D565573" w14:textId="77777777" w:rsidR="00970D1B" w:rsidRPr="00645595" w:rsidRDefault="00970D1B" w:rsidP="00645595">
                            <w:pPr>
                              <w:spacing w:before="0"/>
                              <w:jc w:val="center"/>
                              <w:rPr>
                                <w:sz w:val="16"/>
                                <w:szCs w:val="16"/>
                              </w:rPr>
                            </w:pPr>
                            <w:r>
                              <w:rPr>
                                <w:sz w:val="16"/>
                                <w:szCs w:val="16"/>
                                <w:lang w:val="fr-FR"/>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4AC2C" id="Text Box 15" o:spid="_x0000_s1032" type="#_x0000_t202" style="position:absolute;left:0;text-align:left;margin-left:299pt;margin-top:51.45pt;width:54.3pt;height:1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" fillcolor="white [3201]" stroked="f" strokeweight=".5pt">
                <v:textbox inset="0,0,0,0">
                  <w:txbxContent>
                    <w:p w14:paraId="1C1E9C13" w14:textId="02251BCE" w:rsidR="00970D1B" w:rsidRDefault="00970D1B" w:rsidP="00645595">
                      <w:pPr>
                        <w:spacing w:before="0"/>
                        <w:jc w:val="center"/>
                        <w:rPr>
                          <w:sz w:val="16"/>
                          <w:szCs w:val="16"/>
                          <w:lang w:val="fr-FR"/>
                        </w:rPr>
                      </w:pPr>
                      <w:r w:rsidRPr="00645595">
                        <w:rPr>
                          <w:sz w:val="16"/>
                          <w:szCs w:val="16"/>
                          <w:lang w:val="fr-FR"/>
                        </w:rPr>
                        <w:t>Asie-Pacifique</w:t>
                      </w:r>
                    </w:p>
                    <w:p w14:paraId="5D565573" w14:textId="77777777" w:rsidR="00970D1B" w:rsidRPr="00645595" w:rsidRDefault="00970D1B" w:rsidP="00645595">
                      <w:pPr>
                        <w:spacing w:before="0"/>
                        <w:jc w:val="center"/>
                        <w:rPr>
                          <w:sz w:val="16"/>
                          <w:szCs w:val="16"/>
                        </w:rPr>
                      </w:pPr>
                      <w:r>
                        <w:rPr>
                          <w:sz w:val="16"/>
                          <w:szCs w:val="16"/>
                          <w:lang w:val="fr-FR"/>
                        </w:rPr>
                        <w:t>8%</w:t>
                      </w:r>
                    </w:p>
                  </w:txbxContent>
                </v:textbox>
              </v:shape>
            </w:pict>
          </mc:Fallback>
        </mc:AlternateContent>
      </w:r>
      <w:r w:rsidRPr="00DD4BCC">
        <w:rPr>
          <w:shd w:val="clear" w:color="auto" w:fill="auto"/>
        </w:rPr>
        <mc:AlternateContent>
          <mc:Choice Requires="wps">
            <w:drawing>
              <wp:anchor distT="0" distB="0" distL="114300" distR="114300" simplePos="0" relativeHeight="251699200" behindDoc="0" locked="0" layoutInCell="1" allowOverlap="1" wp14:anchorId="08FD31CC" wp14:editId="2DFF44D1">
                <wp:simplePos x="0" y="0"/>
                <wp:positionH relativeFrom="column">
                  <wp:posOffset>3800333</wp:posOffset>
                </wp:positionH>
                <wp:positionV relativeFrom="paragraph">
                  <wp:posOffset>1318260</wp:posOffset>
                </wp:positionV>
                <wp:extent cx="569343" cy="284480"/>
                <wp:effectExtent l="0" t="0" r="2540" b="1270"/>
                <wp:wrapNone/>
                <wp:docPr id="1" name="Text Box 1"/>
                <wp:cNvGraphicFramePr/>
                <a:graphic xmlns:a="http://schemas.openxmlformats.org/drawingml/2006/main">
                  <a:graphicData uri="http://schemas.microsoft.com/office/word/2010/wordprocessingShape">
                    <wps:wsp>
                      <wps:cNvSpPr txBox="1"/>
                      <wps:spPr>
                        <a:xfrm>
                          <a:off x="0" y="0"/>
                          <a:ext cx="569343" cy="284480"/>
                        </a:xfrm>
                        <a:prstGeom prst="rect">
                          <a:avLst/>
                        </a:prstGeom>
                        <a:solidFill>
                          <a:schemeClr val="lt1"/>
                        </a:solidFill>
                        <a:ln w="6350">
                          <a:noFill/>
                        </a:ln>
                      </wps:spPr>
                      <wps:txbx>
                        <w:txbxContent>
                          <w:p w14:paraId="706BE3D5" w14:textId="7D849805" w:rsidR="00970D1B" w:rsidRDefault="00970D1B" w:rsidP="00C64455">
                            <w:pPr>
                              <w:spacing w:before="0"/>
                              <w:jc w:val="center"/>
                              <w:rPr>
                                <w:sz w:val="16"/>
                                <w:szCs w:val="16"/>
                                <w:lang w:val="fr-FR"/>
                              </w:rPr>
                            </w:pPr>
                            <w:r>
                              <w:rPr>
                                <w:sz w:val="16"/>
                                <w:szCs w:val="16"/>
                                <w:lang w:val="fr-FR"/>
                              </w:rPr>
                              <w:t>Europe</w:t>
                            </w:r>
                          </w:p>
                          <w:p w14:paraId="76105398" w14:textId="61F4B5A7" w:rsidR="00970D1B" w:rsidRPr="00645595" w:rsidRDefault="00970D1B" w:rsidP="00C64455">
                            <w:pPr>
                              <w:spacing w:before="0"/>
                              <w:jc w:val="center"/>
                              <w:rPr>
                                <w:sz w:val="16"/>
                                <w:szCs w:val="16"/>
                              </w:rPr>
                            </w:pPr>
                            <w:r>
                              <w:rPr>
                                <w:sz w:val="16"/>
                                <w:szCs w:val="16"/>
                                <w:lang w:val="fr-FR"/>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31CC" id="Text Box 1" o:spid="_x0000_s1033" type="#_x0000_t202" style="position:absolute;left:0;text-align:left;margin-left:299.25pt;margin-top:103.8pt;width:44.85pt;height:2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" fillcolor="white [3201]" stroked="f" strokeweight=".5pt">
                <v:textbox inset="0,0,0,0">
                  <w:txbxContent>
                    <w:p w14:paraId="706BE3D5" w14:textId="7D849805" w:rsidR="00970D1B" w:rsidRDefault="00970D1B" w:rsidP="00C64455">
                      <w:pPr>
                        <w:spacing w:before="0"/>
                        <w:jc w:val="center"/>
                        <w:rPr>
                          <w:sz w:val="16"/>
                          <w:szCs w:val="16"/>
                          <w:lang w:val="fr-FR"/>
                        </w:rPr>
                      </w:pPr>
                      <w:r>
                        <w:rPr>
                          <w:sz w:val="16"/>
                          <w:szCs w:val="16"/>
                          <w:lang w:val="fr-FR"/>
                        </w:rPr>
                        <w:t>Europe</w:t>
                      </w:r>
                    </w:p>
                    <w:p w14:paraId="76105398" w14:textId="61F4B5A7" w:rsidR="00970D1B" w:rsidRPr="00645595" w:rsidRDefault="00970D1B" w:rsidP="00C64455">
                      <w:pPr>
                        <w:spacing w:before="0"/>
                        <w:jc w:val="center"/>
                        <w:rPr>
                          <w:sz w:val="16"/>
                          <w:szCs w:val="16"/>
                        </w:rPr>
                      </w:pPr>
                      <w:r>
                        <w:rPr>
                          <w:sz w:val="16"/>
                          <w:szCs w:val="16"/>
                          <w:lang w:val="fr-FR"/>
                        </w:rPr>
                        <w:t>7%</w:t>
                      </w:r>
                    </w:p>
                  </w:txbxContent>
                </v:textbox>
              </v:shape>
            </w:pict>
          </mc:Fallback>
        </mc:AlternateContent>
      </w:r>
      <w:r w:rsidR="00074300" w:rsidRPr="00DD4BCC">
        <w:rPr>
          <w:shd w:val="clear" w:color="auto" w:fill="auto"/>
        </w:rPr>
        <mc:AlternateContent>
          <mc:Choice Requires="wps">
            <w:drawing>
              <wp:anchor distT="0" distB="0" distL="114300" distR="114300" simplePos="0" relativeHeight="251680768" behindDoc="0" locked="0" layoutInCell="1" allowOverlap="1" wp14:anchorId="62233DE5" wp14:editId="5936B0FA">
                <wp:simplePos x="0" y="0"/>
                <wp:positionH relativeFrom="column">
                  <wp:posOffset>3462547</wp:posOffset>
                </wp:positionH>
                <wp:positionV relativeFrom="paragraph">
                  <wp:posOffset>1600200</wp:posOffset>
                </wp:positionV>
                <wp:extent cx="568960" cy="284480"/>
                <wp:effectExtent l="0" t="0" r="2540" b="1270"/>
                <wp:wrapNone/>
                <wp:docPr id="17" name="Text Box 17"/>
                <wp:cNvGraphicFramePr/>
                <a:graphic xmlns:a="http://schemas.openxmlformats.org/drawingml/2006/main">
                  <a:graphicData uri="http://schemas.microsoft.com/office/word/2010/wordprocessingShape">
                    <wps:wsp>
                      <wps:cNvSpPr txBox="1"/>
                      <wps:spPr>
                        <a:xfrm>
                          <a:off x="0" y="0"/>
                          <a:ext cx="568960" cy="284480"/>
                        </a:xfrm>
                        <a:prstGeom prst="rect">
                          <a:avLst/>
                        </a:prstGeom>
                        <a:solidFill>
                          <a:schemeClr val="lt1"/>
                        </a:solidFill>
                        <a:ln w="6350">
                          <a:noFill/>
                        </a:ln>
                      </wps:spPr>
                      <wps:txbx>
                        <w:txbxContent>
                          <w:p w14:paraId="5AD168D0" w14:textId="53A0F3A8" w:rsidR="00970D1B" w:rsidRDefault="00970D1B" w:rsidP="00645595">
                            <w:pPr>
                              <w:spacing w:before="0"/>
                              <w:jc w:val="center"/>
                              <w:rPr>
                                <w:sz w:val="16"/>
                                <w:szCs w:val="16"/>
                                <w:lang w:val="fr-FR"/>
                              </w:rPr>
                            </w:pPr>
                            <w:r w:rsidRPr="00074300">
                              <w:rPr>
                                <w:sz w:val="16"/>
                                <w:szCs w:val="16"/>
                                <w:lang w:val="fr-FR"/>
                              </w:rPr>
                              <w:t>Amériques</w:t>
                            </w:r>
                          </w:p>
                          <w:p w14:paraId="2EAECA2E" w14:textId="77777777" w:rsidR="00970D1B" w:rsidRPr="00645595" w:rsidRDefault="00970D1B" w:rsidP="00645595">
                            <w:pPr>
                              <w:spacing w:before="0"/>
                              <w:jc w:val="center"/>
                              <w:rPr>
                                <w:sz w:val="16"/>
                                <w:szCs w:val="16"/>
                              </w:rPr>
                            </w:pPr>
                            <w:r>
                              <w:rPr>
                                <w:sz w:val="16"/>
                                <w:szCs w:val="16"/>
                                <w:lang w:val="fr-FR"/>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33DE5" id="Text Box 17" o:spid="_x0000_s1034" type="#_x0000_t202" style="position:absolute;left:0;text-align:left;margin-left:272.65pt;margin-top:126pt;width:44.8pt;height:2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" fillcolor="white [3201]" stroked="f" strokeweight=".5pt">
                <v:textbox inset="0,0,0,0">
                  <w:txbxContent>
                    <w:p w14:paraId="5AD168D0" w14:textId="53A0F3A8" w:rsidR="00970D1B" w:rsidRDefault="00970D1B" w:rsidP="00645595">
                      <w:pPr>
                        <w:spacing w:before="0"/>
                        <w:jc w:val="center"/>
                        <w:rPr>
                          <w:sz w:val="16"/>
                          <w:szCs w:val="16"/>
                          <w:lang w:val="fr-FR"/>
                        </w:rPr>
                      </w:pPr>
                      <w:r w:rsidRPr="00074300">
                        <w:rPr>
                          <w:sz w:val="16"/>
                          <w:szCs w:val="16"/>
                          <w:lang w:val="fr-FR"/>
                        </w:rPr>
                        <w:t>Amériques</w:t>
                      </w:r>
                    </w:p>
                    <w:p w14:paraId="2EAECA2E" w14:textId="77777777" w:rsidR="00970D1B" w:rsidRPr="00645595" w:rsidRDefault="00970D1B" w:rsidP="00645595">
                      <w:pPr>
                        <w:spacing w:before="0"/>
                        <w:jc w:val="center"/>
                        <w:rPr>
                          <w:sz w:val="16"/>
                          <w:szCs w:val="16"/>
                        </w:rPr>
                      </w:pPr>
                      <w:r>
                        <w:rPr>
                          <w:sz w:val="16"/>
                          <w:szCs w:val="16"/>
                          <w:lang w:val="fr-FR"/>
                        </w:rPr>
                        <w:t>8%</w:t>
                      </w:r>
                    </w:p>
                  </w:txbxContent>
                </v:textbox>
              </v:shape>
            </w:pict>
          </mc:Fallback>
        </mc:AlternateContent>
      </w:r>
      <w:r w:rsidR="00645595" w:rsidRPr="00DD4BCC">
        <w:rPr>
          <w:shd w:val="clear" w:color="auto" w:fill="auto"/>
        </w:rPr>
        <mc:AlternateContent>
          <mc:Choice Requires="wps">
            <w:drawing>
              <wp:anchor distT="0" distB="0" distL="114300" distR="114300" simplePos="0" relativeHeight="251678720" behindDoc="0" locked="0" layoutInCell="1" allowOverlap="1" wp14:anchorId="7425FE85" wp14:editId="7B9D6AD4">
                <wp:simplePos x="0" y="0"/>
                <wp:positionH relativeFrom="column">
                  <wp:posOffset>3851598</wp:posOffset>
                </wp:positionH>
                <wp:positionV relativeFrom="paragraph">
                  <wp:posOffset>935990</wp:posOffset>
                </wp:positionV>
                <wp:extent cx="499745" cy="284480"/>
                <wp:effectExtent l="0" t="0" r="0" b="1270"/>
                <wp:wrapNone/>
                <wp:docPr id="16" name="Text Box 16"/>
                <wp:cNvGraphicFramePr/>
                <a:graphic xmlns:a="http://schemas.openxmlformats.org/drawingml/2006/main">
                  <a:graphicData uri="http://schemas.microsoft.com/office/word/2010/wordprocessingShape">
                    <wps:wsp>
                      <wps:cNvSpPr txBox="1"/>
                      <wps:spPr>
                        <a:xfrm>
                          <a:off x="0" y="0"/>
                          <a:ext cx="499745" cy="284480"/>
                        </a:xfrm>
                        <a:prstGeom prst="rect">
                          <a:avLst/>
                        </a:prstGeom>
                        <a:solidFill>
                          <a:schemeClr val="lt1"/>
                        </a:solidFill>
                        <a:ln w="6350">
                          <a:noFill/>
                        </a:ln>
                      </wps:spPr>
                      <wps:txbx>
                        <w:txbxContent>
                          <w:p w14:paraId="093859CE" w14:textId="31FA753A" w:rsidR="00970D1B" w:rsidRDefault="00970D1B" w:rsidP="00645595">
                            <w:pPr>
                              <w:spacing w:before="0"/>
                              <w:jc w:val="center"/>
                              <w:rPr>
                                <w:sz w:val="16"/>
                                <w:szCs w:val="16"/>
                                <w:lang w:val="fr-FR"/>
                              </w:rPr>
                            </w:pPr>
                            <w:r w:rsidRPr="00645595">
                              <w:rPr>
                                <w:sz w:val="16"/>
                                <w:szCs w:val="16"/>
                                <w:lang w:val="fr-FR"/>
                              </w:rPr>
                              <w:t>CEI</w:t>
                            </w:r>
                          </w:p>
                          <w:p w14:paraId="51D9E0CB" w14:textId="77777777" w:rsidR="00970D1B" w:rsidRPr="00645595" w:rsidRDefault="00970D1B" w:rsidP="00645595">
                            <w:pPr>
                              <w:spacing w:before="0"/>
                              <w:jc w:val="center"/>
                              <w:rPr>
                                <w:sz w:val="16"/>
                                <w:szCs w:val="16"/>
                              </w:rPr>
                            </w:pPr>
                            <w:r>
                              <w:rPr>
                                <w:sz w:val="16"/>
                                <w:szCs w:val="16"/>
                                <w:lang w:val="fr-FR"/>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5FE85" id="Text Box 16" o:spid="_x0000_s1035" type="#_x0000_t202" style="position:absolute;left:0;text-align:left;margin-left:303.3pt;margin-top:73.7pt;width:39.35pt;height:2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" fillcolor="white [3201]" stroked="f" strokeweight=".5pt">
                <v:textbox inset="0,0,0,0">
                  <w:txbxContent>
                    <w:p w14:paraId="093859CE" w14:textId="31FA753A" w:rsidR="00970D1B" w:rsidRDefault="00970D1B" w:rsidP="00645595">
                      <w:pPr>
                        <w:spacing w:before="0"/>
                        <w:jc w:val="center"/>
                        <w:rPr>
                          <w:sz w:val="16"/>
                          <w:szCs w:val="16"/>
                          <w:lang w:val="fr-FR"/>
                        </w:rPr>
                      </w:pPr>
                      <w:r w:rsidRPr="00645595">
                        <w:rPr>
                          <w:sz w:val="16"/>
                          <w:szCs w:val="16"/>
                          <w:lang w:val="fr-FR"/>
                        </w:rPr>
                        <w:t>CEI</w:t>
                      </w:r>
                    </w:p>
                    <w:p w14:paraId="51D9E0CB" w14:textId="77777777" w:rsidR="00970D1B" w:rsidRPr="00645595" w:rsidRDefault="00970D1B" w:rsidP="00645595">
                      <w:pPr>
                        <w:spacing w:before="0"/>
                        <w:jc w:val="center"/>
                        <w:rPr>
                          <w:sz w:val="16"/>
                          <w:szCs w:val="16"/>
                        </w:rPr>
                      </w:pPr>
                      <w:r>
                        <w:rPr>
                          <w:sz w:val="16"/>
                          <w:szCs w:val="16"/>
                          <w:lang w:val="fr-FR"/>
                        </w:rPr>
                        <w:t>8%</w:t>
                      </w:r>
                    </w:p>
                  </w:txbxContent>
                </v:textbox>
              </v:shape>
            </w:pict>
          </mc:Fallback>
        </mc:AlternateContent>
      </w:r>
      <w:r w:rsidR="00645595" w:rsidRPr="00DD4BCC">
        <w:rPr>
          <w:shd w:val="clear" w:color="auto" w:fill="auto"/>
        </w:rPr>
        <mc:AlternateContent>
          <mc:Choice Requires="wps">
            <w:drawing>
              <wp:anchor distT="0" distB="0" distL="114300" distR="114300" simplePos="0" relativeHeight="251674624" behindDoc="0" locked="0" layoutInCell="1" allowOverlap="1" wp14:anchorId="686FEFF6" wp14:editId="6AA95750">
                <wp:simplePos x="0" y="0"/>
                <wp:positionH relativeFrom="column">
                  <wp:posOffset>3541228</wp:posOffset>
                </wp:positionH>
                <wp:positionV relativeFrom="paragraph">
                  <wp:posOffset>193819</wp:posOffset>
                </wp:positionV>
                <wp:extent cx="569343" cy="284480"/>
                <wp:effectExtent l="0" t="0" r="2540" b="1270"/>
                <wp:wrapNone/>
                <wp:docPr id="14" name="Text Box 14"/>
                <wp:cNvGraphicFramePr/>
                <a:graphic xmlns:a="http://schemas.openxmlformats.org/drawingml/2006/main">
                  <a:graphicData uri="http://schemas.microsoft.com/office/word/2010/wordprocessingShape">
                    <wps:wsp>
                      <wps:cNvSpPr txBox="1"/>
                      <wps:spPr>
                        <a:xfrm>
                          <a:off x="0" y="0"/>
                          <a:ext cx="569343" cy="284480"/>
                        </a:xfrm>
                        <a:prstGeom prst="rect">
                          <a:avLst/>
                        </a:prstGeom>
                        <a:solidFill>
                          <a:schemeClr val="lt1"/>
                        </a:solidFill>
                        <a:ln w="6350">
                          <a:noFill/>
                        </a:ln>
                      </wps:spPr>
                      <wps:txbx>
                        <w:txbxContent>
                          <w:p w14:paraId="0489A4A7" w14:textId="1B241834" w:rsidR="00970D1B" w:rsidRDefault="00970D1B" w:rsidP="00645595">
                            <w:pPr>
                              <w:spacing w:before="0"/>
                              <w:jc w:val="center"/>
                              <w:rPr>
                                <w:sz w:val="16"/>
                                <w:szCs w:val="16"/>
                                <w:lang w:val="fr-FR"/>
                              </w:rPr>
                            </w:pPr>
                            <w:r w:rsidRPr="00645595">
                              <w:rPr>
                                <w:sz w:val="16"/>
                                <w:szCs w:val="16"/>
                                <w:lang w:val="fr-FR"/>
                              </w:rPr>
                              <w:t>États arabes</w:t>
                            </w:r>
                          </w:p>
                          <w:p w14:paraId="2F7E4468" w14:textId="0074C22C" w:rsidR="00970D1B" w:rsidRPr="00645595" w:rsidRDefault="00970D1B" w:rsidP="00645595">
                            <w:pPr>
                              <w:spacing w:before="0"/>
                              <w:jc w:val="center"/>
                              <w:rPr>
                                <w:sz w:val="16"/>
                                <w:szCs w:val="16"/>
                              </w:rPr>
                            </w:pPr>
                            <w:r>
                              <w:rPr>
                                <w:sz w:val="16"/>
                                <w:szCs w:val="16"/>
                                <w:lang w:val="fr-FR"/>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FEFF6" id="Text Box 14" o:spid="_x0000_s1036" type="#_x0000_t202" style="position:absolute;left:0;text-align:left;margin-left:278.85pt;margin-top:15.25pt;width:44.85pt;height:2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" fillcolor="white [3201]" stroked="f" strokeweight=".5pt">
                <v:textbox inset="0,0,0,0">
                  <w:txbxContent>
                    <w:p w14:paraId="0489A4A7" w14:textId="1B241834" w:rsidR="00970D1B" w:rsidRDefault="00970D1B" w:rsidP="00645595">
                      <w:pPr>
                        <w:spacing w:before="0"/>
                        <w:jc w:val="center"/>
                        <w:rPr>
                          <w:sz w:val="16"/>
                          <w:szCs w:val="16"/>
                          <w:lang w:val="fr-FR"/>
                        </w:rPr>
                      </w:pPr>
                      <w:r w:rsidRPr="00645595">
                        <w:rPr>
                          <w:sz w:val="16"/>
                          <w:szCs w:val="16"/>
                          <w:lang w:val="fr-FR"/>
                        </w:rPr>
                        <w:t>États arabes</w:t>
                      </w:r>
                    </w:p>
                    <w:p w14:paraId="2F7E4468" w14:textId="0074C22C" w:rsidR="00970D1B" w:rsidRPr="00645595" w:rsidRDefault="00970D1B" w:rsidP="00645595">
                      <w:pPr>
                        <w:spacing w:before="0"/>
                        <w:jc w:val="center"/>
                        <w:rPr>
                          <w:sz w:val="16"/>
                          <w:szCs w:val="16"/>
                        </w:rPr>
                      </w:pPr>
                      <w:r>
                        <w:rPr>
                          <w:sz w:val="16"/>
                          <w:szCs w:val="16"/>
                          <w:lang w:val="fr-FR"/>
                        </w:rPr>
                        <w:t>8%</w:t>
                      </w:r>
                    </w:p>
                  </w:txbxContent>
                </v:textbox>
              </v:shape>
            </w:pict>
          </mc:Fallback>
        </mc:AlternateContent>
      </w:r>
      <w:r w:rsidR="00645595" w:rsidRPr="00DD4BCC">
        <w:rPr>
          <w:shd w:val="clear" w:color="auto" w:fill="auto"/>
        </w:rPr>
        <mc:AlternateContent>
          <mc:Choice Requires="wps">
            <w:drawing>
              <wp:anchor distT="0" distB="0" distL="114300" distR="114300" simplePos="0" relativeHeight="251672576" behindDoc="0" locked="0" layoutInCell="1" allowOverlap="1" wp14:anchorId="1765327E" wp14:editId="2DE657A2">
                <wp:simplePos x="0" y="0"/>
                <wp:positionH relativeFrom="column">
                  <wp:posOffset>3066367</wp:posOffset>
                </wp:positionH>
                <wp:positionV relativeFrom="paragraph">
                  <wp:posOffset>65021</wp:posOffset>
                </wp:positionV>
                <wp:extent cx="396504" cy="284671"/>
                <wp:effectExtent l="0" t="0" r="3810" b="1270"/>
                <wp:wrapNone/>
                <wp:docPr id="13" name="Text Box 13"/>
                <wp:cNvGraphicFramePr/>
                <a:graphic xmlns:a="http://schemas.openxmlformats.org/drawingml/2006/main">
                  <a:graphicData uri="http://schemas.microsoft.com/office/word/2010/wordprocessingShape">
                    <wps:wsp>
                      <wps:cNvSpPr txBox="1"/>
                      <wps:spPr>
                        <a:xfrm>
                          <a:off x="0" y="0"/>
                          <a:ext cx="396504" cy="284671"/>
                        </a:xfrm>
                        <a:prstGeom prst="rect">
                          <a:avLst/>
                        </a:prstGeom>
                        <a:solidFill>
                          <a:schemeClr val="lt1"/>
                        </a:solidFill>
                        <a:ln w="6350">
                          <a:noFill/>
                        </a:ln>
                      </wps:spPr>
                      <wps:txbx>
                        <w:txbxContent>
                          <w:p w14:paraId="0CC41734" w14:textId="12157AA5" w:rsidR="00970D1B" w:rsidRDefault="00970D1B" w:rsidP="00645595">
                            <w:pPr>
                              <w:spacing w:before="0"/>
                              <w:jc w:val="center"/>
                              <w:rPr>
                                <w:sz w:val="16"/>
                                <w:szCs w:val="16"/>
                                <w:lang w:val="fr-FR"/>
                              </w:rPr>
                            </w:pPr>
                            <w:r w:rsidRPr="00645595">
                              <w:rPr>
                                <w:sz w:val="16"/>
                                <w:szCs w:val="16"/>
                                <w:lang w:val="fr-FR"/>
                              </w:rPr>
                              <w:t>Afrique</w:t>
                            </w:r>
                          </w:p>
                          <w:p w14:paraId="59BACA9B" w14:textId="0EB56A97" w:rsidR="00970D1B" w:rsidRPr="00645595" w:rsidRDefault="00970D1B" w:rsidP="00645595">
                            <w:pPr>
                              <w:spacing w:before="0"/>
                              <w:jc w:val="center"/>
                              <w:rPr>
                                <w:sz w:val="16"/>
                                <w:szCs w:val="16"/>
                              </w:rPr>
                            </w:pPr>
                            <w:r>
                              <w:rPr>
                                <w:sz w:val="16"/>
                                <w:szCs w:val="16"/>
                                <w:lang w:val="fr-FR"/>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5327E" id="Text Box 13" o:spid="_x0000_s1037" type="#_x0000_t202" style="position:absolute;left:0;text-align:left;margin-left:241.45pt;margin-top:5.1pt;width:31.2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" fillcolor="white [3201]" stroked="f" strokeweight=".5pt">
                <v:textbox inset="0,0,0,0">
                  <w:txbxContent>
                    <w:p w14:paraId="0CC41734" w14:textId="12157AA5" w:rsidR="00970D1B" w:rsidRDefault="00970D1B" w:rsidP="00645595">
                      <w:pPr>
                        <w:spacing w:before="0"/>
                        <w:jc w:val="center"/>
                        <w:rPr>
                          <w:sz w:val="16"/>
                          <w:szCs w:val="16"/>
                          <w:lang w:val="fr-FR"/>
                        </w:rPr>
                      </w:pPr>
                      <w:r w:rsidRPr="00645595">
                        <w:rPr>
                          <w:sz w:val="16"/>
                          <w:szCs w:val="16"/>
                          <w:lang w:val="fr-FR"/>
                        </w:rPr>
                        <w:t>Afrique</w:t>
                      </w:r>
                    </w:p>
                    <w:p w14:paraId="59BACA9B" w14:textId="0EB56A97" w:rsidR="00970D1B" w:rsidRPr="00645595" w:rsidRDefault="00970D1B" w:rsidP="00645595">
                      <w:pPr>
                        <w:spacing w:before="0"/>
                        <w:jc w:val="center"/>
                        <w:rPr>
                          <w:sz w:val="16"/>
                          <w:szCs w:val="16"/>
                        </w:rPr>
                      </w:pPr>
                      <w:r>
                        <w:rPr>
                          <w:sz w:val="16"/>
                          <w:szCs w:val="16"/>
                          <w:lang w:val="fr-FR"/>
                        </w:rPr>
                        <w:t>7%</w:t>
                      </w:r>
                    </w:p>
                  </w:txbxContent>
                </v:textbox>
              </v:shape>
            </w:pict>
          </mc:Fallback>
        </mc:AlternateContent>
      </w:r>
      <w:r w:rsidR="00645595" w:rsidRPr="00DD4BCC">
        <w:rPr>
          <w:shd w:val="clear" w:color="auto" w:fill="auto"/>
        </w:rPr>
        <mc:AlternateContent>
          <mc:Choice Requires="wps">
            <w:drawing>
              <wp:anchor distT="0" distB="0" distL="114300" distR="114300" simplePos="0" relativeHeight="251670528" behindDoc="0" locked="0" layoutInCell="1" allowOverlap="1" wp14:anchorId="3637179B" wp14:editId="733D40BA">
                <wp:simplePos x="0" y="0"/>
                <wp:positionH relativeFrom="column">
                  <wp:posOffset>1427288</wp:posOffset>
                </wp:positionH>
                <wp:positionV relativeFrom="paragraph">
                  <wp:posOffset>349010</wp:posOffset>
                </wp:positionV>
                <wp:extent cx="862642" cy="431321"/>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862642" cy="431321"/>
                        </a:xfrm>
                        <a:prstGeom prst="rect">
                          <a:avLst/>
                        </a:prstGeom>
                        <a:solidFill>
                          <a:schemeClr val="lt1"/>
                        </a:solidFill>
                        <a:ln w="6350">
                          <a:noFill/>
                        </a:ln>
                      </wps:spPr>
                      <wps:txbx>
                        <w:txbxContent>
                          <w:p w14:paraId="0B11A0ED" w14:textId="726AC3A1" w:rsidR="00970D1B" w:rsidRDefault="00970D1B" w:rsidP="00645595">
                            <w:pPr>
                              <w:spacing w:before="0"/>
                              <w:jc w:val="center"/>
                              <w:rPr>
                                <w:sz w:val="16"/>
                                <w:szCs w:val="16"/>
                                <w:lang w:val="fr-FR"/>
                              </w:rPr>
                            </w:pPr>
                            <w:r w:rsidRPr="00645595">
                              <w:rPr>
                                <w:sz w:val="16"/>
                                <w:szCs w:val="16"/>
                                <w:lang w:val="fr-FR"/>
                              </w:rPr>
                              <w:t>Monde ou multirégional</w:t>
                            </w:r>
                          </w:p>
                          <w:p w14:paraId="4659BFB3" w14:textId="22219513" w:rsidR="00970D1B" w:rsidRPr="00645595" w:rsidRDefault="00970D1B" w:rsidP="00645595">
                            <w:pPr>
                              <w:spacing w:before="0"/>
                              <w:jc w:val="center"/>
                              <w:rPr>
                                <w:sz w:val="16"/>
                                <w:szCs w:val="16"/>
                              </w:rPr>
                            </w:pPr>
                            <w:r>
                              <w:rPr>
                                <w:sz w:val="16"/>
                                <w:szCs w:val="16"/>
                                <w:lang w:val="fr-FR"/>
                              </w:rPr>
                              <w:t>54%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7179B" id="Text Box 12" o:spid="_x0000_s1038" type="#_x0000_t202" style="position:absolute;left:0;text-align:left;margin-left:112.4pt;margin-top:27.5pt;width:67.9pt;height:3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" fillcolor="white [3201]" stroked="f" strokeweight=".5pt">
                <v:textbox inset="0,0,0,0">
                  <w:txbxContent>
                    <w:p w14:paraId="0B11A0ED" w14:textId="726AC3A1" w:rsidR="00970D1B" w:rsidRDefault="00970D1B" w:rsidP="00645595">
                      <w:pPr>
                        <w:spacing w:before="0"/>
                        <w:jc w:val="center"/>
                        <w:rPr>
                          <w:sz w:val="16"/>
                          <w:szCs w:val="16"/>
                          <w:lang w:val="fr-FR"/>
                        </w:rPr>
                      </w:pPr>
                      <w:r w:rsidRPr="00645595">
                        <w:rPr>
                          <w:sz w:val="16"/>
                          <w:szCs w:val="16"/>
                          <w:lang w:val="fr-FR"/>
                        </w:rPr>
                        <w:t>Monde ou multirégional</w:t>
                      </w:r>
                    </w:p>
                    <w:p w14:paraId="4659BFB3" w14:textId="22219513" w:rsidR="00970D1B" w:rsidRPr="00645595" w:rsidRDefault="00970D1B" w:rsidP="00645595">
                      <w:pPr>
                        <w:spacing w:before="0"/>
                        <w:jc w:val="center"/>
                        <w:rPr>
                          <w:sz w:val="16"/>
                          <w:szCs w:val="16"/>
                        </w:rPr>
                      </w:pPr>
                      <w:r>
                        <w:rPr>
                          <w:sz w:val="16"/>
                          <w:szCs w:val="16"/>
                          <w:lang w:val="fr-FR"/>
                        </w:rPr>
                        <w:t>54%</w:t>
                      </w:r>
                    </w:p>
                  </w:txbxContent>
                </v:textbox>
              </v:shape>
            </w:pict>
          </mc:Fallback>
        </mc:AlternateContent>
      </w:r>
      <w:r w:rsidR="00E80210" w:rsidRPr="00DD4BCC">
        <w:drawing>
          <wp:inline distT="0" distB="0" distL="0" distR="0" wp14:anchorId="5CEF56E1" wp14:editId="2CFB7A2D">
            <wp:extent cx="3264538" cy="1842871"/>
            <wp:effectExtent l="0" t="0" r="0" b="5080"/>
            <wp:docPr id="6" name="Picture 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pie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8730" cy="1850882"/>
                    </a:xfrm>
                    <a:prstGeom prst="rect">
                      <a:avLst/>
                    </a:prstGeom>
                    <a:noFill/>
                  </pic:spPr>
                </pic:pic>
              </a:graphicData>
            </a:graphic>
          </wp:inline>
        </w:drawing>
      </w:r>
    </w:p>
    <w:p w14:paraId="6B0D6396" w14:textId="388999EE" w:rsidR="00601AB4" w:rsidRPr="00DD4BCC" w:rsidRDefault="00601AB4" w:rsidP="00C64455">
      <w:pPr>
        <w:pStyle w:val="Figurelegend"/>
        <w:tabs>
          <w:tab w:val="left" w:pos="284"/>
        </w:tabs>
        <w:spacing w:before="240"/>
        <w:ind w:left="284" w:hanging="284"/>
        <w:jc w:val="left"/>
        <w:rPr>
          <w:sz w:val="24"/>
          <w:szCs w:val="24"/>
          <w:lang w:val="fr-FR"/>
        </w:rPr>
      </w:pPr>
      <w:r w:rsidRPr="00DD4BCC">
        <w:rPr>
          <w:sz w:val="24"/>
          <w:szCs w:val="24"/>
          <w:lang w:val="fr-FR"/>
        </w:rPr>
        <w:t>*</w:t>
      </w:r>
      <w:r w:rsidR="00074300" w:rsidRPr="00DD4BCC">
        <w:rPr>
          <w:sz w:val="24"/>
          <w:szCs w:val="24"/>
          <w:lang w:val="fr-FR"/>
        </w:rPr>
        <w:tab/>
      </w:r>
      <w:r w:rsidR="00BE7E56" w:rsidRPr="00DD4BCC">
        <w:rPr>
          <w:sz w:val="24"/>
          <w:szCs w:val="24"/>
          <w:lang w:val="fr-FR"/>
        </w:rPr>
        <w:t>en</w:t>
      </w:r>
      <w:r w:rsidR="00CF6619" w:rsidRPr="00DD4BCC">
        <w:rPr>
          <w:sz w:val="24"/>
          <w:szCs w:val="24"/>
          <w:lang w:val="fr-FR"/>
        </w:rPr>
        <w:t xml:space="preserve"> </w:t>
      </w:r>
      <w:r w:rsidR="000D6EAD" w:rsidRPr="00DD4BCC">
        <w:rPr>
          <w:sz w:val="24"/>
          <w:szCs w:val="24"/>
          <w:lang w:val="fr-FR"/>
        </w:rPr>
        <w:t>pourcentage</w:t>
      </w:r>
      <w:r w:rsidRPr="00DD4BCC">
        <w:rPr>
          <w:sz w:val="24"/>
          <w:szCs w:val="24"/>
          <w:lang w:val="fr-FR"/>
        </w:rPr>
        <w:t xml:space="preserve"> du budget </w:t>
      </w:r>
      <w:r w:rsidR="000F5DE0" w:rsidRPr="00DD4BCC">
        <w:rPr>
          <w:sz w:val="24"/>
          <w:szCs w:val="24"/>
          <w:lang w:val="fr-FR"/>
        </w:rPr>
        <w:t>prévu dans le</w:t>
      </w:r>
      <w:r w:rsidRPr="00DD4BCC">
        <w:rPr>
          <w:sz w:val="24"/>
          <w:szCs w:val="24"/>
          <w:lang w:val="fr-FR"/>
        </w:rPr>
        <w:t xml:space="preserve"> </w:t>
      </w:r>
      <w:r w:rsidR="00C64455">
        <w:rPr>
          <w:sz w:val="24"/>
          <w:szCs w:val="24"/>
          <w:lang w:val="fr-FR"/>
        </w:rPr>
        <w:t>p</w:t>
      </w:r>
      <w:r w:rsidR="00BE7E56" w:rsidRPr="00DD4BCC">
        <w:rPr>
          <w:sz w:val="24"/>
          <w:szCs w:val="24"/>
          <w:lang w:val="fr-FR"/>
        </w:rPr>
        <w:t xml:space="preserve">lan </w:t>
      </w:r>
      <w:r w:rsidRPr="00DD4BCC">
        <w:rPr>
          <w:sz w:val="24"/>
          <w:szCs w:val="24"/>
          <w:lang w:val="fr-FR"/>
        </w:rPr>
        <w:t>opérationnel pour 2023, sur la base de chiffres préliminaires.</w:t>
      </w:r>
    </w:p>
    <w:p w14:paraId="02AF0C55" w14:textId="36F7B863" w:rsidR="00E80210" w:rsidRPr="00DD4BCC" w:rsidRDefault="00E80210" w:rsidP="00074300">
      <w:pPr>
        <w:pStyle w:val="Heading2"/>
        <w:jc w:val="left"/>
        <w:rPr>
          <w:rFonts w:eastAsia="Calibri"/>
          <w:szCs w:val="24"/>
          <w:lang w:val="fr-FR"/>
        </w:rPr>
      </w:pPr>
      <w:r w:rsidRPr="00DD4BCC">
        <w:rPr>
          <w:lang w:val="fr-FR"/>
        </w:rPr>
        <w:t>2.3</w:t>
      </w:r>
      <w:r w:rsidRPr="00DD4BCC">
        <w:rPr>
          <w:lang w:val="fr-FR"/>
        </w:rPr>
        <w:tab/>
        <w:t xml:space="preserve">Ressources humaines nécessaires pour fournir les produits prévus dans le </w:t>
      </w:r>
      <w:r w:rsidR="00BE7E56" w:rsidRPr="00DD4BCC">
        <w:rPr>
          <w:lang w:val="fr-FR"/>
        </w:rPr>
        <w:t xml:space="preserve">plan </w:t>
      </w:r>
      <w:r w:rsidRPr="00DD4BCC">
        <w:rPr>
          <w:lang w:val="fr-FR"/>
        </w:rPr>
        <w:t>opérationnel pour 2023</w:t>
      </w:r>
    </w:p>
    <w:p w14:paraId="1078C038" w14:textId="216CF534" w:rsidR="00E80210" w:rsidRPr="00DD4BCC"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fr-FR"/>
        </w:rPr>
      </w:pPr>
      <w:r w:rsidRPr="00DD4BCC">
        <w:rPr>
          <w:lang w:val="fr-FR"/>
        </w:rPr>
        <w:t xml:space="preserve">La mise en </w:t>
      </w:r>
      <w:r w:rsidR="0004573C" w:rsidRPr="00DD4BCC">
        <w:rPr>
          <w:lang w:val="fr-FR"/>
        </w:rPr>
        <w:t>œuvre</w:t>
      </w:r>
      <w:r w:rsidRPr="00DD4BCC">
        <w:rPr>
          <w:lang w:val="fr-FR"/>
        </w:rPr>
        <w:t xml:space="preserve"> des produits prévus dans le </w:t>
      </w:r>
      <w:r w:rsidR="00BE7E56" w:rsidRPr="00DD4BCC">
        <w:rPr>
          <w:lang w:val="fr-FR"/>
        </w:rPr>
        <w:t xml:space="preserve">plan </w:t>
      </w:r>
      <w:r w:rsidRPr="00DD4BCC">
        <w:rPr>
          <w:lang w:val="fr-FR"/>
        </w:rPr>
        <w:t>opérationnel pour 2023 est</w:t>
      </w:r>
      <w:r w:rsidR="00CF6619" w:rsidRPr="00DD4BCC">
        <w:rPr>
          <w:lang w:val="fr-FR"/>
        </w:rPr>
        <w:t xml:space="preserve"> </w:t>
      </w:r>
      <w:r w:rsidR="00BE7E56" w:rsidRPr="00DD4BCC">
        <w:rPr>
          <w:lang w:val="fr-FR"/>
        </w:rPr>
        <w:t xml:space="preserve">dirigée </w:t>
      </w:r>
      <w:r w:rsidRPr="00DD4BCC">
        <w:rPr>
          <w:lang w:val="fr-FR"/>
        </w:rPr>
        <w:t>et assurée en partie par le personnel de l'UIT. Selon le type de produit et les compétences requises, les produits pourraient être élaborés</w:t>
      </w:r>
      <w:r w:rsidR="005748B7" w:rsidRPr="00DD4BCC">
        <w:rPr>
          <w:lang w:val="fr-FR"/>
        </w:rPr>
        <w:t xml:space="preserve"> soit</w:t>
      </w:r>
      <w:r w:rsidRPr="00DD4BCC">
        <w:rPr>
          <w:lang w:val="fr-FR"/>
        </w:rPr>
        <w:t xml:space="preserve"> exclusivement en faisant appel à des experts et à des services externes, </w:t>
      </w:r>
      <w:r w:rsidR="00063FAB" w:rsidRPr="00DD4BCC">
        <w:rPr>
          <w:lang w:val="fr-FR"/>
        </w:rPr>
        <w:t xml:space="preserve">soit </w:t>
      </w:r>
      <w:r w:rsidRPr="00DD4BCC">
        <w:rPr>
          <w:lang w:val="fr-FR"/>
        </w:rPr>
        <w:t>exclusivement par des fonctionnaires de l'UIT</w:t>
      </w:r>
      <w:r w:rsidR="00063FAB" w:rsidRPr="00DD4BCC">
        <w:rPr>
          <w:lang w:val="fr-FR"/>
        </w:rPr>
        <w:t>, soit</w:t>
      </w:r>
      <w:r w:rsidRPr="00DD4BCC">
        <w:rPr>
          <w:lang w:val="fr-FR"/>
        </w:rPr>
        <w:t xml:space="preserve"> </w:t>
      </w:r>
      <w:r w:rsidR="00063FAB" w:rsidRPr="00DD4BCC">
        <w:rPr>
          <w:lang w:val="fr-FR"/>
        </w:rPr>
        <w:t>en faisant appel</w:t>
      </w:r>
      <w:r w:rsidRPr="00DD4BCC">
        <w:rPr>
          <w:lang w:val="fr-FR"/>
        </w:rPr>
        <w:t xml:space="preserve"> à des experts </w:t>
      </w:r>
      <w:r w:rsidR="00F35193" w:rsidRPr="00DD4BCC">
        <w:rPr>
          <w:lang w:val="fr-FR"/>
        </w:rPr>
        <w:t xml:space="preserve">tant </w:t>
      </w:r>
      <w:r w:rsidRPr="00DD4BCC">
        <w:rPr>
          <w:lang w:val="fr-FR"/>
        </w:rPr>
        <w:t xml:space="preserve">internes </w:t>
      </w:r>
      <w:r w:rsidR="00F35193" w:rsidRPr="00DD4BCC">
        <w:rPr>
          <w:lang w:val="fr-FR"/>
        </w:rPr>
        <w:t>qu'e</w:t>
      </w:r>
      <w:r w:rsidRPr="00DD4BCC">
        <w:rPr>
          <w:lang w:val="fr-FR"/>
        </w:rPr>
        <w:t>xternes.</w:t>
      </w:r>
    </w:p>
    <w:p w14:paraId="0372E5B0" w14:textId="243E6AE7" w:rsidR="00E80210" w:rsidRPr="00DD4BCC"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fr-FR"/>
        </w:rPr>
      </w:pPr>
      <w:r w:rsidRPr="00DD4BCC">
        <w:rPr>
          <w:lang w:val="fr-FR"/>
        </w:rPr>
        <w:t xml:space="preserve">Pour la plupart des produits prévus dans le </w:t>
      </w:r>
      <w:r w:rsidR="00BE7E56" w:rsidRPr="00DD4BCC">
        <w:rPr>
          <w:lang w:val="fr-FR"/>
        </w:rPr>
        <w:t xml:space="preserve">plan </w:t>
      </w:r>
      <w:r w:rsidRPr="00DD4BCC">
        <w:rPr>
          <w:lang w:val="fr-FR"/>
        </w:rPr>
        <w:t xml:space="preserve">opérationnel pour 2023 </w:t>
      </w:r>
      <w:r w:rsidR="00061513" w:rsidRPr="00DD4BCC">
        <w:rPr>
          <w:lang w:val="fr-FR"/>
        </w:rPr>
        <w:t>auxquel</w:t>
      </w:r>
      <w:r w:rsidRPr="00DD4BCC">
        <w:rPr>
          <w:lang w:val="fr-FR"/>
        </w:rPr>
        <w:t>s un budget a été a</w:t>
      </w:r>
      <w:r w:rsidR="00061513" w:rsidRPr="00DD4BCC">
        <w:rPr>
          <w:lang w:val="fr-FR"/>
        </w:rPr>
        <w:t>ffecté</w:t>
      </w:r>
      <w:r w:rsidRPr="00DD4BCC">
        <w:rPr>
          <w:lang w:val="fr-FR"/>
        </w:rPr>
        <w:t xml:space="preserve"> (environ 60 pour cent), la mise en </w:t>
      </w:r>
      <w:r w:rsidR="00061513" w:rsidRPr="00DD4BCC">
        <w:rPr>
          <w:lang w:val="fr-FR"/>
        </w:rPr>
        <w:t>œuvre</w:t>
      </w:r>
      <w:r w:rsidRPr="00DD4BCC">
        <w:rPr>
          <w:lang w:val="fr-FR"/>
        </w:rPr>
        <w:t xml:space="preserve"> sera assurée en combinant les connaissances et les efforts</w:t>
      </w:r>
      <w:r w:rsidR="00CF6619" w:rsidRPr="00DD4BCC">
        <w:rPr>
          <w:lang w:val="fr-FR"/>
        </w:rPr>
        <w:t xml:space="preserve"> </w:t>
      </w:r>
      <w:r w:rsidRPr="00DD4BCC">
        <w:rPr>
          <w:lang w:val="fr-FR"/>
        </w:rPr>
        <w:t>interne</w:t>
      </w:r>
      <w:r w:rsidR="00F91A2E" w:rsidRPr="00DD4BCC">
        <w:rPr>
          <w:lang w:val="fr-FR"/>
        </w:rPr>
        <w:t>s</w:t>
      </w:r>
      <w:r w:rsidRPr="00DD4BCC">
        <w:rPr>
          <w:lang w:val="fr-FR"/>
        </w:rPr>
        <w:t xml:space="preserve"> et</w:t>
      </w:r>
      <w:r w:rsidR="00CF6619" w:rsidRPr="00DD4BCC">
        <w:rPr>
          <w:lang w:val="fr-FR"/>
        </w:rPr>
        <w:t xml:space="preserve"> </w:t>
      </w:r>
      <w:r w:rsidRPr="00DD4BCC">
        <w:rPr>
          <w:lang w:val="fr-FR"/>
        </w:rPr>
        <w:t>externe</w:t>
      </w:r>
      <w:r w:rsidR="00F91A2E" w:rsidRPr="00DD4BCC">
        <w:rPr>
          <w:lang w:val="fr-FR"/>
        </w:rPr>
        <w:t>s</w:t>
      </w:r>
      <w:r w:rsidRPr="00DD4BCC">
        <w:rPr>
          <w:lang w:val="fr-FR"/>
        </w:rPr>
        <w:t xml:space="preserve">. Près d'un tiers des produits </w:t>
      </w:r>
      <w:r w:rsidR="00F91A2E" w:rsidRPr="00DD4BCC">
        <w:rPr>
          <w:lang w:val="fr-FR"/>
        </w:rPr>
        <w:t>du</w:t>
      </w:r>
      <w:r w:rsidRPr="00DD4BCC">
        <w:rPr>
          <w:lang w:val="fr-FR"/>
        </w:rPr>
        <w:t xml:space="preserve"> </w:t>
      </w:r>
      <w:r w:rsidR="00F91A2E" w:rsidRPr="00DD4BCC">
        <w:rPr>
          <w:lang w:val="fr-FR"/>
        </w:rPr>
        <w:t xml:space="preserve">plan </w:t>
      </w:r>
      <w:r w:rsidRPr="00DD4BCC">
        <w:rPr>
          <w:lang w:val="fr-FR"/>
        </w:rPr>
        <w:t xml:space="preserve">opérationnel pour 2023 </w:t>
      </w:r>
      <w:r w:rsidR="00F91A2E" w:rsidRPr="00DD4BCC">
        <w:rPr>
          <w:lang w:val="fr-FR"/>
        </w:rPr>
        <w:t>inscrits au</w:t>
      </w:r>
      <w:r w:rsidRPr="00DD4BCC">
        <w:rPr>
          <w:lang w:val="fr-FR"/>
        </w:rPr>
        <w:t xml:space="preserve"> budget (environ 30 pour cent) seront fournis par les fonctionnaires de l'UIT, tout en</w:t>
      </w:r>
      <w:r w:rsidR="00CF6619" w:rsidRPr="00DD4BCC">
        <w:rPr>
          <w:lang w:val="fr-FR"/>
        </w:rPr>
        <w:t xml:space="preserve"> </w:t>
      </w:r>
      <w:r w:rsidR="00F91A2E" w:rsidRPr="00DD4BCC">
        <w:rPr>
          <w:lang w:val="fr-FR"/>
        </w:rPr>
        <w:t>s</w:t>
      </w:r>
      <w:r w:rsidR="00B01FE6" w:rsidRPr="00DD4BCC">
        <w:rPr>
          <w:lang w:val="fr-FR"/>
        </w:rPr>
        <w:t>'</w:t>
      </w:r>
      <w:r w:rsidR="00F91A2E" w:rsidRPr="00DD4BCC">
        <w:rPr>
          <w:lang w:val="fr-FR"/>
        </w:rPr>
        <w:t xml:space="preserve">appuyant sur </w:t>
      </w:r>
      <w:r w:rsidRPr="00DD4BCC">
        <w:rPr>
          <w:lang w:val="fr-FR"/>
        </w:rPr>
        <w:t>des contrats de prestataire</w:t>
      </w:r>
      <w:r w:rsidR="002B4B3A" w:rsidRPr="00DD4BCC">
        <w:rPr>
          <w:lang w:val="fr-FR"/>
        </w:rPr>
        <w:t>s</w:t>
      </w:r>
      <w:r w:rsidRPr="00DD4BCC">
        <w:rPr>
          <w:lang w:val="fr-FR"/>
        </w:rPr>
        <w:t xml:space="preserve"> de services externe</w:t>
      </w:r>
      <w:r w:rsidR="00B528DB" w:rsidRPr="00DD4BCC">
        <w:rPr>
          <w:lang w:val="fr-FR"/>
        </w:rPr>
        <w:t>s</w:t>
      </w:r>
      <w:r w:rsidRPr="00DD4BCC">
        <w:rPr>
          <w:lang w:val="fr-FR"/>
        </w:rPr>
        <w:t xml:space="preserve">. Les services d'achats pour ces contrats extérieurs </w:t>
      </w:r>
      <w:r w:rsidR="00F91A2E" w:rsidRPr="00DD4BCC">
        <w:rPr>
          <w:lang w:val="fr-FR"/>
        </w:rPr>
        <w:t>représenteront</w:t>
      </w:r>
      <w:r w:rsidR="00CF6619" w:rsidRPr="00DD4BCC">
        <w:rPr>
          <w:lang w:val="fr-FR"/>
        </w:rPr>
        <w:t xml:space="preserve"> </w:t>
      </w:r>
      <w:r w:rsidRPr="00DD4BCC">
        <w:rPr>
          <w:lang w:val="fr-FR"/>
        </w:rPr>
        <w:t xml:space="preserve">un peu plus d'un dixième du budget total approuvé au titre du </w:t>
      </w:r>
      <w:r w:rsidR="00F91A2E" w:rsidRPr="00DD4BCC">
        <w:rPr>
          <w:lang w:val="fr-FR"/>
        </w:rPr>
        <w:t xml:space="preserve">plan </w:t>
      </w:r>
      <w:r w:rsidRPr="00DD4BCC">
        <w:rPr>
          <w:lang w:val="fr-FR"/>
        </w:rPr>
        <w:t>opérationnel pour 2023 (environ 12 pour cent), au 8 mai 2023.</w:t>
      </w:r>
    </w:p>
    <w:p w14:paraId="69E24409" w14:textId="74F35FE3" w:rsidR="00E80210" w:rsidRPr="00DD4BCC" w:rsidRDefault="00E80210" w:rsidP="00970D1B">
      <w:pPr>
        <w:pStyle w:val="Figuretitle"/>
        <w:spacing w:before="360" w:after="240"/>
        <w:rPr>
          <w:rFonts w:ascii="Calibri" w:eastAsia="Calibri" w:hAnsi="Calibri"/>
          <w:szCs w:val="24"/>
          <w:lang w:val="fr-FR"/>
        </w:rPr>
      </w:pPr>
      <w:r w:rsidRPr="00DD4BCC">
        <w:rPr>
          <w:lang w:val="fr-FR"/>
        </w:rPr>
        <w:t xml:space="preserve">Figure 3 – Ressources humaines nécessaires pour fournir les produits </w:t>
      </w:r>
      <w:r w:rsidR="00A36690">
        <w:rPr>
          <w:lang w:val="fr-FR"/>
        </w:rPr>
        <w:br/>
      </w:r>
      <w:r w:rsidR="00F91A2E" w:rsidRPr="00DD4BCC">
        <w:rPr>
          <w:lang w:val="fr-FR"/>
        </w:rPr>
        <w:t>du</w:t>
      </w:r>
      <w:r w:rsidRPr="00DD4BCC">
        <w:rPr>
          <w:lang w:val="fr-FR"/>
        </w:rPr>
        <w:t xml:space="preserve"> </w:t>
      </w:r>
      <w:r w:rsidR="00F91A2E" w:rsidRPr="00DD4BCC">
        <w:rPr>
          <w:lang w:val="fr-FR"/>
        </w:rPr>
        <w:t xml:space="preserve">plan </w:t>
      </w:r>
      <w:r w:rsidRPr="00DD4BCC">
        <w:rPr>
          <w:lang w:val="fr-FR"/>
        </w:rPr>
        <w:t>opérationnel</w:t>
      </w:r>
      <w:r w:rsidR="00A36690">
        <w:rPr>
          <w:lang w:val="fr-FR"/>
        </w:rPr>
        <w:t xml:space="preserve"> </w:t>
      </w:r>
      <w:r w:rsidRPr="00DD4BCC">
        <w:rPr>
          <w:lang w:val="fr-FR"/>
        </w:rPr>
        <w:t>pour 2023*</w:t>
      </w:r>
    </w:p>
    <w:p w14:paraId="285908D4" w14:textId="4F0912B0" w:rsidR="00E80210" w:rsidRPr="00DD4BCC" w:rsidRDefault="0006039F" w:rsidP="0006039F">
      <w:pPr>
        <w:pStyle w:val="Figure"/>
        <w:jc w:val="center"/>
        <w:rPr>
          <w:lang w:val="fr-FR"/>
        </w:rPr>
      </w:pPr>
      <w:r w:rsidRPr="00DD4BCC">
        <w:rPr>
          <w:shd w:val="clear" w:color="auto" w:fill="auto"/>
        </w:rPr>
        <mc:AlternateContent>
          <mc:Choice Requires="wps">
            <w:drawing>
              <wp:anchor distT="0" distB="0" distL="114300" distR="114300" simplePos="0" relativeHeight="251697152" behindDoc="0" locked="0" layoutInCell="1" allowOverlap="1" wp14:anchorId="2A1ED636" wp14:editId="54BF97EA">
                <wp:simplePos x="0" y="0"/>
                <wp:positionH relativeFrom="column">
                  <wp:posOffset>3174796</wp:posOffset>
                </wp:positionH>
                <wp:positionV relativeFrom="paragraph">
                  <wp:posOffset>1236070</wp:posOffset>
                </wp:positionV>
                <wp:extent cx="327803" cy="1552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27803" cy="155275"/>
                        </a:xfrm>
                        <a:prstGeom prst="rect">
                          <a:avLst/>
                        </a:prstGeom>
                        <a:solidFill>
                          <a:schemeClr val="lt1"/>
                        </a:solidFill>
                        <a:ln w="6350">
                          <a:noFill/>
                        </a:ln>
                      </wps:spPr>
                      <wps:txbx>
                        <w:txbxContent>
                          <w:p w14:paraId="303F9585" w14:textId="1195EAB6" w:rsidR="00970D1B" w:rsidRPr="00645595" w:rsidRDefault="00970D1B" w:rsidP="0006039F">
                            <w:pPr>
                              <w:spacing w:before="0"/>
                              <w:jc w:val="left"/>
                              <w:rPr>
                                <w:sz w:val="16"/>
                                <w:szCs w:val="16"/>
                              </w:rPr>
                            </w:pPr>
                            <w:r>
                              <w:rPr>
                                <w:sz w:val="16"/>
                                <w:szCs w:val="16"/>
                                <w:lang w:val="fr-FR"/>
                              </w:rPr>
                              <w:t>11,7%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ED636" id="Text Box 25" o:spid="_x0000_s1039" type="#_x0000_t202" style="position:absolute;left:0;text-align:left;margin-left:250pt;margin-top:97.35pt;width:25.8pt;height:1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" fillcolor="white [3201]" stroked="f" strokeweight=".5pt">
                <v:textbox inset="0,0,0,0">
                  <w:txbxContent>
                    <w:p w14:paraId="303F9585" w14:textId="1195EAB6" w:rsidR="00970D1B" w:rsidRPr="00645595" w:rsidRDefault="00970D1B" w:rsidP="0006039F">
                      <w:pPr>
                        <w:spacing w:before="0"/>
                        <w:jc w:val="left"/>
                        <w:rPr>
                          <w:sz w:val="16"/>
                          <w:szCs w:val="16"/>
                        </w:rPr>
                      </w:pPr>
                      <w:r>
                        <w:rPr>
                          <w:sz w:val="16"/>
                          <w:szCs w:val="16"/>
                          <w:lang w:val="fr-FR"/>
                        </w:rPr>
                        <w:t>11,7%</w:t>
                      </w:r>
                    </w:p>
                  </w:txbxContent>
                </v:textbox>
              </v:shape>
            </w:pict>
          </mc:Fallback>
        </mc:AlternateContent>
      </w:r>
      <w:r w:rsidRPr="00DD4BCC">
        <w:rPr>
          <w:shd w:val="clear" w:color="auto" w:fill="auto"/>
        </w:rPr>
        <mc:AlternateContent>
          <mc:Choice Requires="wps">
            <w:drawing>
              <wp:anchor distT="0" distB="0" distL="114300" distR="114300" simplePos="0" relativeHeight="251695104" behindDoc="0" locked="0" layoutInCell="1" allowOverlap="1" wp14:anchorId="0094C7F7" wp14:editId="0C5E692A">
                <wp:simplePos x="0" y="0"/>
                <wp:positionH relativeFrom="column">
                  <wp:posOffset>3589272</wp:posOffset>
                </wp:positionH>
                <wp:positionV relativeFrom="paragraph">
                  <wp:posOffset>709978</wp:posOffset>
                </wp:positionV>
                <wp:extent cx="327803" cy="1552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27803" cy="155275"/>
                        </a:xfrm>
                        <a:prstGeom prst="rect">
                          <a:avLst/>
                        </a:prstGeom>
                        <a:solidFill>
                          <a:schemeClr val="lt1"/>
                        </a:solidFill>
                        <a:ln w="6350">
                          <a:noFill/>
                        </a:ln>
                      </wps:spPr>
                      <wps:txbx>
                        <w:txbxContent>
                          <w:p w14:paraId="303BE36D" w14:textId="569549DA" w:rsidR="00970D1B" w:rsidRPr="00645595" w:rsidRDefault="00970D1B" w:rsidP="0006039F">
                            <w:pPr>
                              <w:spacing w:before="0"/>
                              <w:jc w:val="left"/>
                              <w:rPr>
                                <w:sz w:val="16"/>
                                <w:szCs w:val="16"/>
                              </w:rPr>
                            </w:pPr>
                            <w:r>
                              <w:rPr>
                                <w:sz w:val="16"/>
                                <w:szCs w:val="16"/>
                                <w:lang w:val="fr-FR"/>
                              </w:rPr>
                              <w:t>29,5%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4C7F7" id="Text Box 24" o:spid="_x0000_s1040" type="#_x0000_t202" style="position:absolute;left:0;text-align:left;margin-left:282.6pt;margin-top:55.9pt;width:25.8pt;height:1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" fillcolor="white [3201]" stroked="f" strokeweight=".5pt">
                <v:textbox inset="0,0,0,0">
                  <w:txbxContent>
                    <w:p w14:paraId="303BE36D" w14:textId="569549DA" w:rsidR="00970D1B" w:rsidRPr="00645595" w:rsidRDefault="00970D1B" w:rsidP="0006039F">
                      <w:pPr>
                        <w:spacing w:before="0"/>
                        <w:jc w:val="left"/>
                        <w:rPr>
                          <w:sz w:val="16"/>
                          <w:szCs w:val="16"/>
                        </w:rPr>
                      </w:pPr>
                      <w:r>
                        <w:rPr>
                          <w:sz w:val="16"/>
                          <w:szCs w:val="16"/>
                          <w:lang w:val="fr-FR"/>
                        </w:rPr>
                        <w:t>29,5%</w:t>
                      </w:r>
                    </w:p>
                  </w:txbxContent>
                </v:textbox>
              </v:shape>
            </w:pict>
          </mc:Fallback>
        </mc:AlternateContent>
      </w:r>
      <w:r w:rsidRPr="00DD4BCC">
        <w:rPr>
          <w:shd w:val="clear" w:color="auto" w:fill="auto"/>
        </w:rPr>
        <mc:AlternateContent>
          <mc:Choice Requires="wps">
            <w:drawing>
              <wp:anchor distT="0" distB="0" distL="114300" distR="114300" simplePos="0" relativeHeight="251693056" behindDoc="0" locked="0" layoutInCell="1" allowOverlap="1" wp14:anchorId="3B5CC7BD" wp14:editId="4DE80C7C">
                <wp:simplePos x="0" y="0"/>
                <wp:positionH relativeFrom="column">
                  <wp:posOffset>4265750</wp:posOffset>
                </wp:positionH>
                <wp:positionV relativeFrom="paragraph">
                  <wp:posOffset>213121</wp:posOffset>
                </wp:positionV>
                <wp:extent cx="327803" cy="1552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27803" cy="155275"/>
                        </a:xfrm>
                        <a:prstGeom prst="rect">
                          <a:avLst/>
                        </a:prstGeom>
                        <a:solidFill>
                          <a:schemeClr val="lt1"/>
                        </a:solidFill>
                        <a:ln w="6350">
                          <a:noFill/>
                        </a:ln>
                      </wps:spPr>
                      <wps:txbx>
                        <w:txbxContent>
                          <w:p w14:paraId="206919B0" w14:textId="13240D99" w:rsidR="00970D1B" w:rsidRPr="00645595" w:rsidRDefault="00970D1B" w:rsidP="0006039F">
                            <w:pPr>
                              <w:spacing w:before="0"/>
                              <w:jc w:val="left"/>
                              <w:rPr>
                                <w:sz w:val="16"/>
                                <w:szCs w:val="16"/>
                              </w:rPr>
                            </w:pPr>
                            <w:r>
                              <w:rPr>
                                <w:sz w:val="16"/>
                                <w:szCs w:val="16"/>
                                <w:lang w:val="fr-FR"/>
                              </w:rPr>
                              <w:t>58,8%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CC7BD" id="Text Box 23" o:spid="_x0000_s1041" type="#_x0000_t202" style="position:absolute;left:0;text-align:left;margin-left:335.9pt;margin-top:16.8pt;width:25.8pt;height:1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" fillcolor="white [3201]" stroked="f" strokeweight=".5pt">
                <v:textbox inset="0,0,0,0">
                  <w:txbxContent>
                    <w:p w14:paraId="206919B0" w14:textId="13240D99" w:rsidR="00970D1B" w:rsidRPr="00645595" w:rsidRDefault="00970D1B" w:rsidP="0006039F">
                      <w:pPr>
                        <w:spacing w:before="0"/>
                        <w:jc w:val="left"/>
                        <w:rPr>
                          <w:sz w:val="16"/>
                          <w:szCs w:val="16"/>
                        </w:rPr>
                      </w:pPr>
                      <w:r>
                        <w:rPr>
                          <w:sz w:val="16"/>
                          <w:szCs w:val="16"/>
                          <w:lang w:val="fr-FR"/>
                        </w:rPr>
                        <w:t>58,8%</w:t>
                      </w:r>
                    </w:p>
                  </w:txbxContent>
                </v:textbox>
              </v:shape>
            </w:pict>
          </mc:Fallback>
        </mc:AlternateContent>
      </w:r>
      <w:r w:rsidRPr="00DD4BCC">
        <w:rPr>
          <w:shd w:val="clear" w:color="auto" w:fill="auto"/>
        </w:rPr>
        <mc:AlternateContent>
          <mc:Choice Requires="wps">
            <w:drawing>
              <wp:anchor distT="0" distB="0" distL="114300" distR="114300" simplePos="0" relativeHeight="251691008" behindDoc="0" locked="0" layoutInCell="1" allowOverlap="1" wp14:anchorId="4643C1B6" wp14:editId="198848E4">
                <wp:simplePos x="0" y="0"/>
                <wp:positionH relativeFrom="column">
                  <wp:posOffset>1898770</wp:posOffset>
                </wp:positionH>
                <wp:positionV relativeFrom="paragraph">
                  <wp:posOffset>1202007</wp:posOffset>
                </wp:positionV>
                <wp:extent cx="887946" cy="198407"/>
                <wp:effectExtent l="0" t="0" r="7620" b="0"/>
                <wp:wrapNone/>
                <wp:docPr id="22" name="Text Box 22"/>
                <wp:cNvGraphicFramePr/>
                <a:graphic xmlns:a="http://schemas.openxmlformats.org/drawingml/2006/main">
                  <a:graphicData uri="http://schemas.microsoft.com/office/word/2010/wordprocessingShape">
                    <wps:wsp>
                      <wps:cNvSpPr txBox="1"/>
                      <wps:spPr>
                        <a:xfrm>
                          <a:off x="0" y="0"/>
                          <a:ext cx="887946" cy="198407"/>
                        </a:xfrm>
                        <a:prstGeom prst="rect">
                          <a:avLst/>
                        </a:prstGeom>
                        <a:solidFill>
                          <a:schemeClr val="lt1"/>
                        </a:solidFill>
                        <a:ln w="6350">
                          <a:noFill/>
                        </a:ln>
                      </wps:spPr>
                      <wps:txbx>
                        <w:txbxContent>
                          <w:p w14:paraId="44F13935" w14:textId="44E0587B" w:rsidR="00970D1B" w:rsidRPr="00645595" w:rsidRDefault="00970D1B" w:rsidP="0006039F">
                            <w:pPr>
                              <w:spacing w:before="0"/>
                              <w:jc w:val="center"/>
                              <w:rPr>
                                <w:sz w:val="16"/>
                                <w:szCs w:val="16"/>
                              </w:rPr>
                            </w:pPr>
                            <w:r w:rsidRPr="0006039F">
                              <w:rPr>
                                <w:sz w:val="16"/>
                                <w:szCs w:val="16"/>
                                <w:lang w:val="fr-FR"/>
                              </w:rPr>
                              <w:t>Contrats externes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3C1B6" id="Text Box 22" o:spid="_x0000_s1042" type="#_x0000_t202" style="position:absolute;left:0;text-align:left;margin-left:149.5pt;margin-top:94.65pt;width:69.9pt;height:1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" fillcolor="white [3201]" stroked="f" strokeweight=".5pt">
                <v:textbox inset="0,0,0,0">
                  <w:txbxContent>
                    <w:p w14:paraId="44F13935" w14:textId="44E0587B" w:rsidR="00970D1B" w:rsidRPr="00645595" w:rsidRDefault="00970D1B" w:rsidP="0006039F">
                      <w:pPr>
                        <w:spacing w:before="0"/>
                        <w:jc w:val="center"/>
                        <w:rPr>
                          <w:sz w:val="16"/>
                          <w:szCs w:val="16"/>
                        </w:rPr>
                      </w:pPr>
                      <w:r w:rsidRPr="0006039F">
                        <w:rPr>
                          <w:sz w:val="16"/>
                          <w:szCs w:val="16"/>
                          <w:lang w:val="fr-FR"/>
                        </w:rPr>
                        <w:t>Contrats externes</w:t>
                      </w:r>
                    </w:p>
                  </w:txbxContent>
                </v:textbox>
              </v:shape>
            </w:pict>
          </mc:Fallback>
        </mc:AlternateContent>
      </w:r>
      <w:r w:rsidRPr="00DD4BCC">
        <w:rPr>
          <w:shd w:val="clear" w:color="auto" w:fill="auto"/>
        </w:rPr>
        <mc:AlternateContent>
          <mc:Choice Requires="wps">
            <w:drawing>
              <wp:anchor distT="0" distB="0" distL="114300" distR="114300" simplePos="0" relativeHeight="251684864" behindDoc="0" locked="0" layoutInCell="1" allowOverlap="1" wp14:anchorId="1C4D070D" wp14:editId="10832449">
                <wp:simplePos x="0" y="0"/>
                <wp:positionH relativeFrom="column">
                  <wp:posOffset>1479334</wp:posOffset>
                </wp:positionH>
                <wp:positionV relativeFrom="paragraph">
                  <wp:posOffset>169305</wp:posOffset>
                </wp:positionV>
                <wp:extent cx="1311215" cy="258792"/>
                <wp:effectExtent l="0" t="0" r="3810" b="8255"/>
                <wp:wrapNone/>
                <wp:docPr id="19" name="Text Box 19"/>
                <wp:cNvGraphicFramePr/>
                <a:graphic xmlns:a="http://schemas.openxmlformats.org/drawingml/2006/main">
                  <a:graphicData uri="http://schemas.microsoft.com/office/word/2010/wordprocessingShape">
                    <wps:wsp>
                      <wps:cNvSpPr txBox="1"/>
                      <wps:spPr>
                        <a:xfrm>
                          <a:off x="0" y="0"/>
                          <a:ext cx="1311215" cy="258792"/>
                        </a:xfrm>
                        <a:prstGeom prst="rect">
                          <a:avLst/>
                        </a:prstGeom>
                        <a:solidFill>
                          <a:schemeClr val="lt1"/>
                        </a:solidFill>
                        <a:ln w="6350">
                          <a:noFill/>
                        </a:ln>
                      </wps:spPr>
                      <wps:txbx>
                        <w:txbxContent>
                          <w:p w14:paraId="24B8BD4D" w14:textId="56BF26F4" w:rsidR="00970D1B" w:rsidRPr="00645595" w:rsidRDefault="00970D1B" w:rsidP="0006039F">
                            <w:pPr>
                              <w:spacing w:before="0"/>
                              <w:jc w:val="right"/>
                              <w:rPr>
                                <w:sz w:val="16"/>
                                <w:szCs w:val="16"/>
                              </w:rPr>
                            </w:pPr>
                            <w:r w:rsidRPr="0006039F">
                              <w:rPr>
                                <w:sz w:val="16"/>
                                <w:szCs w:val="16"/>
                                <w:lang w:val="fr-FR"/>
                              </w:rPr>
                              <w:t>Personnel interne + contrats externes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D070D" id="Text Box 19" o:spid="_x0000_s1043" type="#_x0000_t202" style="position:absolute;left:0;text-align:left;margin-left:116.5pt;margin-top:13.35pt;width:103.25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" fillcolor="white [3201]" stroked="f" strokeweight=".5pt">
                <v:textbox inset="0,0,0,0">
                  <w:txbxContent>
                    <w:p w14:paraId="24B8BD4D" w14:textId="56BF26F4" w:rsidR="00970D1B" w:rsidRPr="00645595" w:rsidRDefault="00970D1B" w:rsidP="0006039F">
                      <w:pPr>
                        <w:spacing w:before="0"/>
                        <w:jc w:val="right"/>
                        <w:rPr>
                          <w:sz w:val="16"/>
                          <w:szCs w:val="16"/>
                        </w:rPr>
                      </w:pPr>
                      <w:r w:rsidRPr="0006039F">
                        <w:rPr>
                          <w:sz w:val="16"/>
                          <w:szCs w:val="16"/>
                          <w:lang w:val="fr-FR"/>
                        </w:rPr>
                        <w:t>Personnel interne + contrats externes</w:t>
                      </w:r>
                    </w:p>
                  </w:txbxContent>
                </v:textbox>
              </v:shape>
            </w:pict>
          </mc:Fallback>
        </mc:AlternateContent>
      </w:r>
      <w:r w:rsidRPr="00DD4BCC">
        <w:rPr>
          <w:shd w:val="clear" w:color="auto" w:fill="auto"/>
        </w:rPr>
        <mc:AlternateContent>
          <mc:Choice Requires="wps">
            <w:drawing>
              <wp:anchor distT="0" distB="0" distL="114300" distR="114300" simplePos="0" relativeHeight="251686912" behindDoc="0" locked="0" layoutInCell="1" allowOverlap="1" wp14:anchorId="4E6DB0B7" wp14:editId="59EFD47F">
                <wp:simplePos x="0" y="0"/>
                <wp:positionH relativeFrom="column">
                  <wp:posOffset>1901993</wp:posOffset>
                </wp:positionH>
                <wp:positionV relativeFrom="paragraph">
                  <wp:posOffset>713105</wp:posOffset>
                </wp:positionV>
                <wp:extent cx="887946" cy="198407"/>
                <wp:effectExtent l="0" t="0" r="7620" b="0"/>
                <wp:wrapNone/>
                <wp:docPr id="20" name="Text Box 20"/>
                <wp:cNvGraphicFramePr/>
                <a:graphic xmlns:a="http://schemas.openxmlformats.org/drawingml/2006/main">
                  <a:graphicData uri="http://schemas.microsoft.com/office/word/2010/wordprocessingShape">
                    <wps:wsp>
                      <wps:cNvSpPr txBox="1"/>
                      <wps:spPr>
                        <a:xfrm>
                          <a:off x="0" y="0"/>
                          <a:ext cx="887946" cy="198407"/>
                        </a:xfrm>
                        <a:prstGeom prst="rect">
                          <a:avLst/>
                        </a:prstGeom>
                        <a:solidFill>
                          <a:schemeClr val="lt1"/>
                        </a:solidFill>
                        <a:ln w="6350">
                          <a:noFill/>
                        </a:ln>
                      </wps:spPr>
                      <wps:txbx>
                        <w:txbxContent>
                          <w:p w14:paraId="19FFDA70" w14:textId="098B6329" w:rsidR="00970D1B" w:rsidRPr="00645595" w:rsidRDefault="00970D1B" w:rsidP="0006039F">
                            <w:pPr>
                              <w:spacing w:before="0"/>
                              <w:jc w:val="center"/>
                              <w:rPr>
                                <w:sz w:val="16"/>
                                <w:szCs w:val="16"/>
                              </w:rPr>
                            </w:pPr>
                            <w:r w:rsidRPr="0006039F">
                              <w:rPr>
                                <w:sz w:val="16"/>
                                <w:szCs w:val="16"/>
                                <w:lang w:val="fr-FR"/>
                              </w:rPr>
                              <w:t>Personnel interne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DB0B7" id="Text Box 20" o:spid="_x0000_s1044" type="#_x0000_t202" style="position:absolute;left:0;text-align:left;margin-left:149.75pt;margin-top:56.15pt;width:69.9pt;height:1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" fillcolor="white [3201]" stroked="f" strokeweight=".5pt">
                <v:textbox inset="0,0,0,0">
                  <w:txbxContent>
                    <w:p w14:paraId="19FFDA70" w14:textId="098B6329" w:rsidR="00970D1B" w:rsidRPr="00645595" w:rsidRDefault="00970D1B" w:rsidP="0006039F">
                      <w:pPr>
                        <w:spacing w:before="0"/>
                        <w:jc w:val="center"/>
                        <w:rPr>
                          <w:sz w:val="16"/>
                          <w:szCs w:val="16"/>
                        </w:rPr>
                      </w:pPr>
                      <w:r w:rsidRPr="0006039F">
                        <w:rPr>
                          <w:sz w:val="16"/>
                          <w:szCs w:val="16"/>
                          <w:lang w:val="fr-FR"/>
                        </w:rPr>
                        <w:t>Personnel interne</w:t>
                      </w:r>
                    </w:p>
                  </w:txbxContent>
                </v:textbox>
              </v:shape>
            </w:pict>
          </mc:Fallback>
        </mc:AlternateContent>
      </w:r>
      <w:r w:rsidRPr="00DD4BCC">
        <w:rPr>
          <w:shd w:val="clear" w:color="auto" w:fill="auto"/>
        </w:rPr>
        <mc:AlternateContent>
          <mc:Choice Requires="wps">
            <w:drawing>
              <wp:anchor distT="0" distB="0" distL="114300" distR="114300" simplePos="0" relativeHeight="251682816" behindDoc="0" locked="0" layoutInCell="1" allowOverlap="1" wp14:anchorId="4D44B1BA" wp14:editId="14A82011">
                <wp:simplePos x="0" y="0"/>
                <wp:positionH relativeFrom="column">
                  <wp:posOffset>612871</wp:posOffset>
                </wp:positionH>
                <wp:positionV relativeFrom="paragraph">
                  <wp:posOffset>746173</wp:posOffset>
                </wp:positionV>
                <wp:extent cx="1491615" cy="188891"/>
                <wp:effectExtent l="3810" t="0" r="0" b="0"/>
                <wp:wrapNone/>
                <wp:docPr id="18" name="Text Box 18"/>
                <wp:cNvGraphicFramePr/>
                <a:graphic xmlns:a="http://schemas.openxmlformats.org/drawingml/2006/main">
                  <a:graphicData uri="http://schemas.microsoft.com/office/word/2010/wordprocessingShape">
                    <wps:wsp>
                      <wps:cNvSpPr txBox="1"/>
                      <wps:spPr>
                        <a:xfrm rot="16200000">
                          <a:off x="0" y="0"/>
                          <a:ext cx="1491615" cy="188891"/>
                        </a:xfrm>
                        <a:prstGeom prst="rect">
                          <a:avLst/>
                        </a:prstGeom>
                        <a:solidFill>
                          <a:schemeClr val="lt1"/>
                        </a:solidFill>
                        <a:ln w="6350">
                          <a:noFill/>
                        </a:ln>
                      </wps:spPr>
                      <wps:txbx>
                        <w:txbxContent>
                          <w:p w14:paraId="4758A9B5" w14:textId="358B7B68" w:rsidR="00970D1B" w:rsidRPr="00645595" w:rsidRDefault="00970D1B" w:rsidP="0006039F">
                            <w:pPr>
                              <w:spacing w:before="0"/>
                              <w:jc w:val="center"/>
                              <w:rPr>
                                <w:sz w:val="16"/>
                                <w:szCs w:val="16"/>
                              </w:rPr>
                            </w:pPr>
                            <w:r w:rsidRPr="0006039F">
                              <w:rPr>
                                <w:sz w:val="16"/>
                                <w:szCs w:val="16"/>
                                <w:lang w:val="fr-FR"/>
                              </w:rPr>
                              <w:t>Type de ressources humaines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4B1BA" id="Text Box 18" o:spid="_x0000_s1045" type="#_x0000_t202" style="position:absolute;left:0;text-align:left;margin-left:48.25pt;margin-top:58.75pt;width:117.45pt;height:14.8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" fillcolor="white [3201]" stroked="f" strokeweight=".5pt">
                <v:textbox inset="0,0,0,0">
                  <w:txbxContent>
                    <w:p w14:paraId="4758A9B5" w14:textId="358B7B68" w:rsidR="00970D1B" w:rsidRPr="00645595" w:rsidRDefault="00970D1B" w:rsidP="0006039F">
                      <w:pPr>
                        <w:spacing w:before="0"/>
                        <w:jc w:val="center"/>
                        <w:rPr>
                          <w:sz w:val="16"/>
                          <w:szCs w:val="16"/>
                        </w:rPr>
                      </w:pPr>
                      <w:r w:rsidRPr="0006039F">
                        <w:rPr>
                          <w:sz w:val="16"/>
                          <w:szCs w:val="16"/>
                          <w:lang w:val="fr-FR"/>
                        </w:rPr>
                        <w:t>Type de ressources humaines</w:t>
                      </w:r>
                    </w:p>
                  </w:txbxContent>
                </v:textbox>
              </v:shape>
            </w:pict>
          </mc:Fallback>
        </mc:AlternateContent>
      </w:r>
      <w:r w:rsidR="00E80210" w:rsidRPr="00DD4BCC">
        <w:drawing>
          <wp:inline distT="0" distB="0" distL="0" distR="0" wp14:anchorId="3B2F9917" wp14:editId="3DA56DA3">
            <wp:extent cx="3588248" cy="1663700"/>
            <wp:effectExtent l="0" t="0" r="0" b="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t="22714"/>
                    <a:stretch/>
                  </pic:blipFill>
                  <pic:spPr bwMode="auto">
                    <a:xfrm>
                      <a:off x="0" y="0"/>
                      <a:ext cx="3589130" cy="1664109"/>
                    </a:xfrm>
                    <a:prstGeom prst="rect">
                      <a:avLst/>
                    </a:prstGeom>
                    <a:noFill/>
                    <a:ln>
                      <a:noFill/>
                    </a:ln>
                    <a:extLst>
                      <a:ext uri="{53640926-AAD7-44D8-BBD7-CCE9431645EC}">
                        <a14:shadowObscured xmlns:a14="http://schemas.microsoft.com/office/drawing/2010/main"/>
                      </a:ext>
                    </a:extLst>
                  </pic:spPr>
                </pic:pic>
              </a:graphicData>
            </a:graphic>
          </wp:inline>
        </w:drawing>
      </w:r>
    </w:p>
    <w:p w14:paraId="7AB474A5" w14:textId="0515E371" w:rsidR="00E80210" w:rsidRPr="00DD4BCC" w:rsidRDefault="00E80210" w:rsidP="00970D1B">
      <w:pPr>
        <w:pStyle w:val="Figurelegend"/>
        <w:keepNext w:val="0"/>
        <w:keepLines w:val="0"/>
        <w:tabs>
          <w:tab w:val="left" w:pos="284"/>
        </w:tabs>
        <w:spacing w:before="120"/>
        <w:ind w:left="284" w:hanging="284"/>
        <w:jc w:val="left"/>
        <w:rPr>
          <w:rFonts w:ascii="Calibri" w:eastAsia="Calibri" w:hAnsi="Calibri"/>
          <w:sz w:val="24"/>
          <w:szCs w:val="24"/>
          <w:lang w:val="fr-FR"/>
        </w:rPr>
      </w:pPr>
      <w:r w:rsidRPr="00DD4BCC">
        <w:rPr>
          <w:sz w:val="24"/>
          <w:szCs w:val="24"/>
          <w:lang w:val="fr-FR"/>
        </w:rPr>
        <w:t>*</w:t>
      </w:r>
      <w:r w:rsidR="0006039F" w:rsidRPr="00DD4BCC">
        <w:rPr>
          <w:sz w:val="24"/>
          <w:szCs w:val="24"/>
          <w:lang w:val="fr-FR"/>
        </w:rPr>
        <w:tab/>
      </w:r>
      <w:r w:rsidR="00F91A2E" w:rsidRPr="00DD4BCC">
        <w:rPr>
          <w:sz w:val="24"/>
          <w:szCs w:val="24"/>
          <w:lang w:val="fr-FR"/>
        </w:rPr>
        <w:t xml:space="preserve">en </w:t>
      </w:r>
      <w:r w:rsidR="00495671" w:rsidRPr="00DD4BCC">
        <w:rPr>
          <w:sz w:val="24"/>
          <w:szCs w:val="24"/>
          <w:lang w:val="fr-FR"/>
        </w:rPr>
        <w:t>pourcentage</w:t>
      </w:r>
      <w:r w:rsidRPr="00DD4BCC">
        <w:rPr>
          <w:sz w:val="24"/>
          <w:szCs w:val="24"/>
          <w:lang w:val="fr-FR"/>
        </w:rPr>
        <w:t xml:space="preserve"> du budget </w:t>
      </w:r>
      <w:r w:rsidR="007E6CD4" w:rsidRPr="00DD4BCC">
        <w:rPr>
          <w:sz w:val="24"/>
          <w:szCs w:val="24"/>
          <w:lang w:val="fr-FR"/>
        </w:rPr>
        <w:t xml:space="preserve">prévu dans le </w:t>
      </w:r>
      <w:r w:rsidR="00F91A2E" w:rsidRPr="00DD4BCC">
        <w:rPr>
          <w:sz w:val="24"/>
          <w:szCs w:val="24"/>
          <w:lang w:val="fr-FR"/>
        </w:rPr>
        <w:t xml:space="preserve">plan </w:t>
      </w:r>
      <w:r w:rsidRPr="00DD4BCC">
        <w:rPr>
          <w:sz w:val="24"/>
          <w:szCs w:val="24"/>
          <w:lang w:val="fr-FR"/>
        </w:rPr>
        <w:t>opérationnel pour 2023, sur la base de chiffres préliminaires.</w:t>
      </w:r>
    </w:p>
    <w:p w14:paraId="77EBD0A7" w14:textId="7FD8731F" w:rsidR="00E80210" w:rsidRPr="00DD4BCC" w:rsidRDefault="00E80210" w:rsidP="0006039F">
      <w:pPr>
        <w:pStyle w:val="Note"/>
        <w:jc w:val="left"/>
        <w:rPr>
          <w:lang w:val="fr-FR"/>
        </w:rPr>
      </w:pPr>
      <w:r w:rsidRPr="00DD4BCC">
        <w:rPr>
          <w:lang w:val="fr-FR"/>
        </w:rPr>
        <w:t>Note</w:t>
      </w:r>
      <w:r w:rsidR="00E41CC1" w:rsidRPr="00DD4BCC">
        <w:rPr>
          <w:lang w:val="fr-FR"/>
        </w:rPr>
        <w:t xml:space="preserve">: </w:t>
      </w:r>
      <w:r w:rsidRPr="00DD4BCC">
        <w:rPr>
          <w:lang w:val="fr-FR"/>
        </w:rPr>
        <w:t xml:space="preserve">Cette </w:t>
      </w:r>
      <w:r w:rsidR="00C92ED9" w:rsidRPr="00DD4BCC">
        <w:rPr>
          <w:lang w:val="fr-FR"/>
        </w:rPr>
        <w:t>ventilation</w:t>
      </w:r>
      <w:r w:rsidRPr="00DD4BCC">
        <w:rPr>
          <w:lang w:val="fr-FR"/>
        </w:rPr>
        <w:t xml:space="preserve"> n'inclut pas les produits fournis exclusivement par le personnel de l'UIT.</w:t>
      </w:r>
    </w:p>
    <w:p w14:paraId="2CB09A78" w14:textId="7D4BBA62" w:rsidR="00E80210" w:rsidRPr="00DD4BCC" w:rsidRDefault="00E80210" w:rsidP="00B01FE6">
      <w:pPr>
        <w:pStyle w:val="Heading2"/>
        <w:rPr>
          <w:rFonts w:eastAsia="Calibri"/>
          <w:szCs w:val="24"/>
          <w:lang w:val="fr-FR"/>
        </w:rPr>
      </w:pPr>
      <w:r w:rsidRPr="00DD4BCC">
        <w:rPr>
          <w:lang w:val="fr-FR"/>
        </w:rPr>
        <w:lastRenderedPageBreak/>
        <w:t>2.4</w:t>
      </w:r>
      <w:r w:rsidRPr="00DD4BCC">
        <w:rPr>
          <w:lang w:val="fr-FR"/>
        </w:rPr>
        <w:tab/>
        <w:t>Liens entre les priorités et les catalyseurs de l'UIT-D et les priorités thématiques de l'UIT</w:t>
      </w:r>
    </w:p>
    <w:p w14:paraId="0E22B48E" w14:textId="5D72E148" w:rsidR="00E80210" w:rsidRPr="00DD4BCC" w:rsidRDefault="00A3669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b/>
          <w:szCs w:val="24"/>
          <w:lang w:val="fr-FR"/>
        </w:rPr>
      </w:pPr>
      <w:r>
        <w:rPr>
          <w:lang w:val="fr-FR"/>
        </w:rPr>
        <w:t>Le P</w:t>
      </w:r>
      <w:r w:rsidR="00E80210" w:rsidRPr="00DD4BCC">
        <w:rPr>
          <w:lang w:val="fr-FR"/>
        </w:rPr>
        <w:t>lan d'action de Kigali est utilisé pour élaborer le</w:t>
      </w:r>
      <w:r w:rsidR="00D928B9" w:rsidRPr="00DD4BCC">
        <w:rPr>
          <w:lang w:val="fr-FR"/>
        </w:rPr>
        <w:t xml:space="preserve"> </w:t>
      </w:r>
      <w:r w:rsidR="00F91A2E" w:rsidRPr="00DD4BCC">
        <w:rPr>
          <w:lang w:val="fr-FR"/>
        </w:rPr>
        <w:t>plan</w:t>
      </w:r>
      <w:r w:rsidR="00CF6619" w:rsidRPr="00DD4BCC">
        <w:rPr>
          <w:lang w:val="fr-FR"/>
        </w:rPr>
        <w:t xml:space="preserve"> </w:t>
      </w:r>
      <w:r w:rsidR="00E80210" w:rsidRPr="00DD4BCC">
        <w:rPr>
          <w:lang w:val="fr-FR"/>
        </w:rPr>
        <w:t>opérationnel de l'UIT-D</w:t>
      </w:r>
      <w:r w:rsidR="00D928B9" w:rsidRPr="00DD4BCC">
        <w:rPr>
          <w:lang w:val="fr-FR"/>
        </w:rPr>
        <w:t xml:space="preserve">, qui vise à assurer le suivi des priorités identifiées </w:t>
      </w:r>
      <w:r w:rsidR="00E80210" w:rsidRPr="00DD4BCC">
        <w:rPr>
          <w:lang w:val="fr-FR"/>
        </w:rPr>
        <w:t>par les États Membres à la CMDT-22</w:t>
      </w:r>
      <w:r w:rsidR="00D928B9" w:rsidRPr="00DD4BCC">
        <w:rPr>
          <w:lang w:val="fr-FR"/>
        </w:rPr>
        <w:t xml:space="preserve"> et à les concrétiser</w:t>
      </w:r>
      <w:r w:rsidR="0064213F" w:rsidRPr="00DD4BCC">
        <w:rPr>
          <w:lang w:val="fr-FR"/>
        </w:rPr>
        <w:t>,</w:t>
      </w:r>
      <w:r w:rsidR="00E80210" w:rsidRPr="00DD4BCC">
        <w:rPr>
          <w:lang w:val="fr-FR"/>
        </w:rPr>
        <w:t xml:space="preserve"> tout au long du cycle de mise en </w:t>
      </w:r>
      <w:r w:rsidR="00D928B9" w:rsidRPr="00DD4BCC">
        <w:rPr>
          <w:lang w:val="fr-FR"/>
        </w:rPr>
        <w:t>œuvre</w:t>
      </w:r>
      <w:r w:rsidR="00E80210" w:rsidRPr="00DD4BCC">
        <w:rPr>
          <w:lang w:val="fr-FR"/>
        </w:rPr>
        <w:t xml:space="preserve"> 2023-2026. Ce plan est fondé sur les résultats et oriente la mise en œuvre de ces priorités conformément aux priorités thématiques, </w:t>
      </w:r>
      <w:r w:rsidR="001D7EC5" w:rsidRPr="00DD4BCC">
        <w:rPr>
          <w:lang w:val="fr-FR"/>
        </w:rPr>
        <w:t>aux</w:t>
      </w:r>
      <w:r w:rsidR="00E80210" w:rsidRPr="00DD4BCC">
        <w:rPr>
          <w:lang w:val="fr-FR"/>
        </w:rPr>
        <w:t xml:space="preserve"> </w:t>
      </w:r>
      <w:r w:rsidR="00500435" w:rsidRPr="00DD4BCC">
        <w:rPr>
          <w:lang w:val="fr-FR"/>
        </w:rPr>
        <w:t xml:space="preserve">offres de </w:t>
      </w:r>
      <w:r w:rsidR="00E80210" w:rsidRPr="00DD4BCC">
        <w:rPr>
          <w:lang w:val="fr-FR"/>
        </w:rPr>
        <w:t xml:space="preserve">produits et </w:t>
      </w:r>
      <w:r w:rsidR="00500435" w:rsidRPr="00DD4BCC">
        <w:rPr>
          <w:lang w:val="fr-FR"/>
        </w:rPr>
        <w:t>de</w:t>
      </w:r>
      <w:r w:rsidR="00E80210" w:rsidRPr="00DD4BCC">
        <w:rPr>
          <w:lang w:val="fr-FR"/>
        </w:rPr>
        <w:t xml:space="preserve"> services et aux catalyseurs définis dans le </w:t>
      </w:r>
      <w:r w:rsidR="00F91A2E" w:rsidRPr="00DD4BCC">
        <w:rPr>
          <w:lang w:val="fr-FR"/>
        </w:rPr>
        <w:t>plan</w:t>
      </w:r>
      <w:r w:rsidR="00CF6619" w:rsidRPr="00DD4BCC">
        <w:rPr>
          <w:lang w:val="fr-FR"/>
        </w:rPr>
        <w:t xml:space="preserve"> </w:t>
      </w:r>
      <w:r w:rsidR="00E80210" w:rsidRPr="00DD4BCC">
        <w:rPr>
          <w:lang w:val="fr-FR"/>
        </w:rPr>
        <w:t>stratégique de l</w:t>
      </w:r>
      <w:r w:rsidR="00B01FE6" w:rsidRPr="00DD4BCC">
        <w:rPr>
          <w:lang w:val="fr-FR"/>
        </w:rPr>
        <w:t>'</w:t>
      </w:r>
      <w:r w:rsidR="00E80210" w:rsidRPr="00DD4BCC">
        <w:rPr>
          <w:lang w:val="fr-FR"/>
        </w:rPr>
        <w:t>UIT pour la période 2024-2027, dans les limites fixées dans les plans financiers pour les périodes considérées.</w:t>
      </w:r>
    </w:p>
    <w:p w14:paraId="64755F96" w14:textId="286B7A1F" w:rsidR="00E80210" w:rsidRPr="00DD4BCC"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fr-FR"/>
        </w:rPr>
      </w:pPr>
      <w:r w:rsidRPr="00DD4BCC">
        <w:rPr>
          <w:lang w:val="fr-FR"/>
        </w:rPr>
        <w:t>Il existe des liens étroits entre les priorités et les catalyseurs de l'UIT-D</w:t>
      </w:r>
      <w:r w:rsidR="002057E8" w:rsidRPr="00DD4BCC">
        <w:rPr>
          <w:lang w:val="fr-FR"/>
        </w:rPr>
        <w:t>, tels que</w:t>
      </w:r>
      <w:r w:rsidRPr="00DD4BCC">
        <w:rPr>
          <w:lang w:val="fr-FR"/>
        </w:rPr>
        <w:t xml:space="preserve"> définis dans le Plan d'action de Kigali</w:t>
      </w:r>
      <w:r w:rsidR="002057E8" w:rsidRPr="00DD4BCC">
        <w:rPr>
          <w:lang w:val="fr-FR"/>
        </w:rPr>
        <w:t>,</w:t>
      </w:r>
      <w:r w:rsidRPr="00DD4BCC">
        <w:rPr>
          <w:lang w:val="fr-FR"/>
        </w:rPr>
        <w:t xml:space="preserve"> et les priorités thématiques énoncées dans le </w:t>
      </w:r>
      <w:r w:rsidR="00F91A2E" w:rsidRPr="00DD4BCC">
        <w:rPr>
          <w:lang w:val="fr-FR"/>
        </w:rPr>
        <w:t>plan</w:t>
      </w:r>
      <w:r w:rsidR="00CF6619" w:rsidRPr="00DD4BCC">
        <w:rPr>
          <w:lang w:val="fr-FR"/>
        </w:rPr>
        <w:t xml:space="preserve"> </w:t>
      </w:r>
      <w:r w:rsidRPr="00DD4BCC">
        <w:rPr>
          <w:lang w:val="fr-FR"/>
        </w:rPr>
        <w:t>stratégique de l'UIT pour la période 2024-2027, comme indiqué dans le tableau ci-dessous.</w:t>
      </w:r>
    </w:p>
    <w:p w14:paraId="1E07E5AC" w14:textId="10BA4E40" w:rsidR="00E80210" w:rsidRPr="00DD4BCC" w:rsidRDefault="00E80210" w:rsidP="00A36690">
      <w:pPr>
        <w:pStyle w:val="Figuretitle"/>
        <w:spacing w:before="360" w:after="240"/>
        <w:rPr>
          <w:rFonts w:ascii="Calibri" w:eastAsia="Calibri" w:hAnsi="Calibri"/>
          <w:szCs w:val="24"/>
          <w:lang w:val="fr-FR"/>
        </w:rPr>
      </w:pPr>
      <w:r w:rsidRPr="00DD4BCC">
        <w:rPr>
          <w:lang w:val="fr-FR"/>
        </w:rPr>
        <w:t xml:space="preserve">Figure 4 – Liens entre les priorités et les catalyseurs de l'UIT-D </w:t>
      </w:r>
      <w:r w:rsidR="00A36690">
        <w:rPr>
          <w:lang w:val="fr-FR"/>
        </w:rPr>
        <w:br/>
      </w:r>
      <w:r w:rsidRPr="00DD4BCC">
        <w:rPr>
          <w:lang w:val="fr-FR"/>
        </w:rPr>
        <w:t>et les priorités thématiques</w:t>
      </w:r>
      <w:r w:rsidR="00A36690">
        <w:rPr>
          <w:lang w:val="fr-FR"/>
        </w:rPr>
        <w:t xml:space="preserve"> </w:t>
      </w:r>
      <w:r w:rsidRPr="00DD4BCC">
        <w:rPr>
          <w:lang w:val="fr-FR"/>
        </w:rPr>
        <w:t>de l'UIT</w:t>
      </w:r>
    </w:p>
    <w:tbl>
      <w:tblPr>
        <w:tblStyle w:val="GridTable2-Accent11"/>
        <w:tblW w:w="9810" w:type="dxa"/>
        <w:tblLayout w:type="fixed"/>
        <w:tblLook w:val="04A0" w:firstRow="1" w:lastRow="0" w:firstColumn="1" w:lastColumn="0" w:noHBand="0" w:noVBand="1"/>
      </w:tblPr>
      <w:tblGrid>
        <w:gridCol w:w="4678"/>
        <w:gridCol w:w="1082"/>
        <w:gridCol w:w="1080"/>
        <w:gridCol w:w="1260"/>
        <w:gridCol w:w="900"/>
        <w:gridCol w:w="810"/>
      </w:tblGrid>
      <w:tr w:rsidR="007D41BE" w:rsidRPr="00DD4BCC" w14:paraId="5D3A81DE" w14:textId="77777777" w:rsidTr="00EC7905">
        <w:trPr>
          <w:cnfStyle w:val="100000000000" w:firstRow="1" w:lastRow="0" w:firstColumn="0" w:lastColumn="0" w:oddVBand="0" w:evenVBand="0" w:oddHBand="0" w:evenHBand="0" w:firstRowFirstColumn="0" w:firstRowLastColumn="0" w:lastRowFirstColumn="0" w:lastRowLastColumn="0"/>
          <w:cantSplit/>
          <w:trHeight w:val="1877"/>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l2br w:val="single" w:sz="4" w:space="0" w:color="auto"/>
            </w:tcBorders>
          </w:tcPr>
          <w:p w14:paraId="37808B2A" w14:textId="5A11D7C2" w:rsidR="00E80210" w:rsidRPr="00DD4BCC" w:rsidRDefault="00E80210" w:rsidP="00C3011A">
            <w:pPr>
              <w:pStyle w:val="Tablehead"/>
              <w:spacing w:before="240"/>
              <w:jc w:val="right"/>
              <w:rPr>
                <w:b/>
                <w:bCs w:val="0"/>
                <w:i/>
                <w:iCs/>
                <w:sz w:val="16"/>
                <w:szCs w:val="16"/>
                <w:lang w:val="fr-FR"/>
              </w:rPr>
            </w:pPr>
            <w:r w:rsidRPr="00DD4BCC">
              <w:rPr>
                <w:b/>
                <w:bCs w:val="0"/>
                <w:i/>
                <w:iCs/>
                <w:sz w:val="16"/>
                <w:szCs w:val="16"/>
                <w:lang w:val="fr-FR"/>
              </w:rPr>
              <w:t>Priorités thématiques de l'UIT →</w:t>
            </w:r>
          </w:p>
          <w:p w14:paraId="3971BFF7" w14:textId="77777777" w:rsidR="00E80210" w:rsidRPr="00DD4BCC" w:rsidRDefault="00E80210" w:rsidP="00C3011A">
            <w:pPr>
              <w:pStyle w:val="Tablehead"/>
              <w:spacing w:before="960"/>
              <w:jc w:val="left"/>
              <w:rPr>
                <w:rFonts w:ascii="Calibri" w:hAnsi="Calibri" w:cs="Calibri"/>
                <w:sz w:val="16"/>
                <w:szCs w:val="16"/>
                <w:lang w:val="fr-FR"/>
              </w:rPr>
            </w:pPr>
            <w:r w:rsidRPr="00DD4BCC">
              <w:rPr>
                <w:b/>
                <w:bCs w:val="0"/>
                <w:i/>
                <w:iCs/>
                <w:sz w:val="16"/>
                <w:szCs w:val="16"/>
                <w:lang w:val="fr-FR"/>
              </w:rPr>
              <w:t>Priorités et catalyseurs de l'UIT-D ↓</w:t>
            </w:r>
          </w:p>
        </w:tc>
        <w:tc>
          <w:tcPr>
            <w:tcW w:w="1082" w:type="dxa"/>
            <w:tcBorders>
              <w:top w:val="single" w:sz="4" w:space="0" w:color="auto"/>
              <w:left w:val="single" w:sz="4" w:space="0" w:color="auto"/>
              <w:bottom w:val="single" w:sz="4" w:space="0" w:color="auto"/>
              <w:right w:val="single" w:sz="4" w:space="0" w:color="auto"/>
            </w:tcBorders>
            <w:textDirection w:val="btLr"/>
          </w:tcPr>
          <w:p w14:paraId="5BDE2718" w14:textId="42D69B38" w:rsidR="00E80210" w:rsidRPr="00DD4BCC" w:rsidRDefault="002D33CE" w:rsidP="00C3011A">
            <w:pPr>
              <w:pStyle w:val="Tablehead"/>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18"/>
                <w:szCs w:val="18"/>
                <w:lang w:val="fr-FR"/>
              </w:rPr>
            </w:pPr>
            <w:r w:rsidRPr="00DD4BCC">
              <w:rPr>
                <w:b/>
                <w:bCs w:val="0"/>
                <w:sz w:val="18"/>
                <w:szCs w:val="18"/>
                <w:lang w:val="fr-FR"/>
              </w:rPr>
              <w:t>TP</w:t>
            </w:r>
            <w:r w:rsidR="00E80210" w:rsidRPr="00DD4BCC">
              <w:rPr>
                <w:b/>
                <w:bCs w:val="0"/>
                <w:sz w:val="18"/>
                <w:szCs w:val="18"/>
                <w:lang w:val="fr-FR"/>
              </w:rPr>
              <w:t>1 – Utilisation du spectre pour les services spatiaux et les services de Terre</w:t>
            </w:r>
          </w:p>
        </w:tc>
        <w:tc>
          <w:tcPr>
            <w:tcW w:w="1080" w:type="dxa"/>
            <w:tcBorders>
              <w:top w:val="single" w:sz="4" w:space="0" w:color="auto"/>
              <w:left w:val="single" w:sz="4" w:space="0" w:color="auto"/>
              <w:bottom w:val="single" w:sz="4" w:space="0" w:color="auto"/>
              <w:right w:val="single" w:sz="4" w:space="0" w:color="auto"/>
            </w:tcBorders>
            <w:textDirection w:val="btLr"/>
          </w:tcPr>
          <w:p w14:paraId="748E9EAE" w14:textId="74900D60" w:rsidR="00E80210" w:rsidRPr="00DD4BCC" w:rsidRDefault="002D33CE" w:rsidP="00C3011A">
            <w:pPr>
              <w:pStyle w:val="Tablehead"/>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18"/>
                <w:szCs w:val="18"/>
                <w:lang w:val="fr-FR"/>
              </w:rPr>
            </w:pPr>
            <w:r w:rsidRPr="00DD4BCC">
              <w:rPr>
                <w:b/>
                <w:bCs w:val="0"/>
                <w:sz w:val="18"/>
                <w:szCs w:val="18"/>
                <w:lang w:val="fr-FR"/>
              </w:rPr>
              <w:t>T</w:t>
            </w:r>
            <w:r w:rsidR="009D47DA" w:rsidRPr="00DD4BCC">
              <w:rPr>
                <w:b/>
                <w:bCs w:val="0"/>
                <w:sz w:val="18"/>
                <w:szCs w:val="18"/>
                <w:lang w:val="fr-FR"/>
              </w:rPr>
              <w:t>P</w:t>
            </w:r>
            <w:r w:rsidRPr="00DD4BCC">
              <w:rPr>
                <w:b/>
                <w:bCs w:val="0"/>
                <w:sz w:val="18"/>
                <w:szCs w:val="18"/>
                <w:lang w:val="fr-FR"/>
              </w:rPr>
              <w:t xml:space="preserve"> </w:t>
            </w:r>
            <w:r w:rsidR="00E80210" w:rsidRPr="00DD4BCC">
              <w:rPr>
                <w:b/>
                <w:bCs w:val="0"/>
                <w:sz w:val="18"/>
                <w:szCs w:val="18"/>
                <w:lang w:val="fr-FR"/>
              </w:rPr>
              <w:t>2 – Ressources internationales de numérotage des télécommunications</w:t>
            </w:r>
          </w:p>
        </w:tc>
        <w:tc>
          <w:tcPr>
            <w:tcW w:w="1260" w:type="dxa"/>
            <w:tcBorders>
              <w:top w:val="single" w:sz="4" w:space="0" w:color="auto"/>
              <w:left w:val="single" w:sz="4" w:space="0" w:color="auto"/>
              <w:bottom w:val="single" w:sz="4" w:space="0" w:color="auto"/>
              <w:right w:val="single" w:sz="4" w:space="0" w:color="auto"/>
            </w:tcBorders>
            <w:textDirection w:val="btLr"/>
          </w:tcPr>
          <w:p w14:paraId="1E6A66AF" w14:textId="5AF2A381" w:rsidR="00E80210" w:rsidRPr="00DD4BCC" w:rsidRDefault="002D33CE" w:rsidP="00C3011A">
            <w:pPr>
              <w:pStyle w:val="Tablehead"/>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18"/>
                <w:szCs w:val="18"/>
                <w:lang w:val="fr-FR"/>
              </w:rPr>
            </w:pPr>
            <w:r w:rsidRPr="00DD4BCC">
              <w:rPr>
                <w:b/>
                <w:bCs w:val="0"/>
                <w:sz w:val="18"/>
                <w:szCs w:val="18"/>
                <w:lang w:val="fr-FR"/>
              </w:rPr>
              <w:t xml:space="preserve">TP </w:t>
            </w:r>
            <w:r w:rsidR="00E80210" w:rsidRPr="00DD4BCC">
              <w:rPr>
                <w:b/>
                <w:bCs w:val="0"/>
                <w:sz w:val="18"/>
                <w:szCs w:val="18"/>
                <w:lang w:val="fr-FR"/>
              </w:rPr>
              <w:t xml:space="preserve">3 </w:t>
            </w:r>
            <w:r w:rsidR="008B0FB6" w:rsidRPr="00DD4BCC">
              <w:rPr>
                <w:b/>
                <w:bCs w:val="0"/>
                <w:sz w:val="18"/>
                <w:szCs w:val="18"/>
                <w:lang w:val="fr-FR"/>
              </w:rPr>
              <w:t>– Infrastructure</w:t>
            </w:r>
            <w:r w:rsidR="00E80210" w:rsidRPr="00DD4BCC">
              <w:rPr>
                <w:b/>
                <w:bCs w:val="0"/>
                <w:sz w:val="18"/>
                <w:szCs w:val="18"/>
                <w:lang w:val="fr-FR"/>
              </w:rPr>
              <w:t xml:space="preserve"> et services de télécommunication/TIC inclusifs et sûrs</w:t>
            </w:r>
          </w:p>
        </w:tc>
        <w:tc>
          <w:tcPr>
            <w:tcW w:w="900" w:type="dxa"/>
            <w:tcBorders>
              <w:top w:val="single" w:sz="4" w:space="0" w:color="auto"/>
              <w:left w:val="single" w:sz="4" w:space="0" w:color="auto"/>
              <w:bottom w:val="single" w:sz="4" w:space="0" w:color="auto"/>
              <w:right w:val="single" w:sz="4" w:space="0" w:color="auto"/>
            </w:tcBorders>
            <w:textDirection w:val="btLr"/>
          </w:tcPr>
          <w:p w14:paraId="72F20995" w14:textId="7B014C43" w:rsidR="00E80210" w:rsidRPr="00DD4BCC" w:rsidRDefault="002D33CE" w:rsidP="00C3011A">
            <w:pPr>
              <w:pStyle w:val="Tablehead"/>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18"/>
                <w:szCs w:val="18"/>
                <w:lang w:val="fr-FR"/>
              </w:rPr>
            </w:pPr>
            <w:r w:rsidRPr="00DD4BCC">
              <w:rPr>
                <w:b/>
                <w:bCs w:val="0"/>
                <w:sz w:val="18"/>
                <w:szCs w:val="18"/>
                <w:lang w:val="fr-FR"/>
              </w:rPr>
              <w:t xml:space="preserve">TP </w:t>
            </w:r>
            <w:r w:rsidR="00E80210" w:rsidRPr="00DD4BCC">
              <w:rPr>
                <w:b/>
                <w:bCs w:val="0"/>
                <w:sz w:val="18"/>
                <w:szCs w:val="18"/>
                <w:lang w:val="fr-FR"/>
              </w:rPr>
              <w:t>4 – Applications numériques</w:t>
            </w:r>
          </w:p>
        </w:tc>
        <w:tc>
          <w:tcPr>
            <w:tcW w:w="810" w:type="dxa"/>
            <w:tcBorders>
              <w:top w:val="single" w:sz="4" w:space="0" w:color="auto"/>
              <w:left w:val="single" w:sz="4" w:space="0" w:color="auto"/>
              <w:bottom w:val="single" w:sz="4" w:space="0" w:color="auto"/>
              <w:right w:val="single" w:sz="4" w:space="0" w:color="auto"/>
            </w:tcBorders>
            <w:textDirection w:val="btLr"/>
          </w:tcPr>
          <w:p w14:paraId="4A669A4E" w14:textId="001D9724" w:rsidR="00E80210" w:rsidRPr="00DD4BCC" w:rsidRDefault="002D33CE" w:rsidP="00C3011A">
            <w:pPr>
              <w:pStyle w:val="Tablehead"/>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18"/>
                <w:szCs w:val="18"/>
                <w:lang w:val="fr-FR"/>
              </w:rPr>
            </w:pPr>
            <w:r w:rsidRPr="00DD4BCC">
              <w:rPr>
                <w:b/>
                <w:bCs w:val="0"/>
                <w:sz w:val="18"/>
                <w:szCs w:val="18"/>
                <w:lang w:val="fr-FR"/>
              </w:rPr>
              <w:t xml:space="preserve">TP </w:t>
            </w:r>
            <w:r w:rsidR="00E80210" w:rsidRPr="00DD4BCC">
              <w:rPr>
                <w:b/>
                <w:bCs w:val="0"/>
                <w:sz w:val="18"/>
                <w:szCs w:val="18"/>
                <w:lang w:val="fr-FR"/>
              </w:rPr>
              <w:t xml:space="preserve">5 </w:t>
            </w:r>
            <w:r w:rsidR="008B0FB6" w:rsidRPr="00DD4BCC">
              <w:rPr>
                <w:b/>
                <w:bCs w:val="0"/>
                <w:sz w:val="18"/>
                <w:szCs w:val="18"/>
                <w:lang w:val="fr-FR"/>
              </w:rPr>
              <w:t>– Environnement</w:t>
            </w:r>
            <w:r w:rsidR="00E80210" w:rsidRPr="00DD4BCC">
              <w:rPr>
                <w:b/>
                <w:bCs w:val="0"/>
                <w:sz w:val="18"/>
                <w:szCs w:val="18"/>
                <w:lang w:val="fr-FR"/>
              </w:rPr>
              <w:t xml:space="preserve"> propice</w:t>
            </w:r>
          </w:p>
        </w:tc>
      </w:tr>
      <w:tr w:rsidR="00E80210" w:rsidRPr="00DD4BCC" w14:paraId="798AA532" w14:textId="77777777" w:rsidTr="00A3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left w:val="single" w:sz="4" w:space="0" w:color="auto"/>
            </w:tcBorders>
          </w:tcPr>
          <w:p w14:paraId="28951231" w14:textId="2C5F5F3F" w:rsidR="00E80210" w:rsidRPr="00DD4BCC" w:rsidRDefault="00E80210" w:rsidP="00F27EBE">
            <w:pPr>
              <w:pStyle w:val="Tabletext"/>
              <w:jc w:val="left"/>
              <w:rPr>
                <w:rFonts w:ascii="Calibri" w:hAnsi="Calibri" w:cs="Calibri"/>
                <w:sz w:val="18"/>
                <w:szCs w:val="18"/>
                <w:lang w:val="fr-FR"/>
              </w:rPr>
            </w:pPr>
            <w:r w:rsidRPr="00DD4BCC">
              <w:rPr>
                <w:sz w:val="18"/>
                <w:szCs w:val="18"/>
                <w:lang w:val="fr-FR"/>
              </w:rPr>
              <w:t xml:space="preserve">P1 – Connectivité financièrement abordable </w:t>
            </w:r>
            <w:r w:rsidR="008654EF" w:rsidRPr="00DD4BCC">
              <w:rPr>
                <w:sz w:val="18"/>
                <w:szCs w:val="18"/>
                <w:lang w:val="fr-FR"/>
              </w:rPr>
              <w:br/>
            </w:r>
            <w:r w:rsidR="002518B7" w:rsidRPr="00DD4BCC">
              <w:rPr>
                <w:b w:val="0"/>
                <w:bCs w:val="0"/>
                <w:sz w:val="18"/>
                <w:szCs w:val="18"/>
                <w:lang w:val="fr-FR"/>
              </w:rPr>
              <w:t>(</w:t>
            </w:r>
            <w:r w:rsidRPr="00DD4BCC">
              <w:rPr>
                <w:b w:val="0"/>
                <w:bCs w:val="0"/>
                <w:sz w:val="18"/>
                <w:szCs w:val="18"/>
                <w:lang w:val="fr-FR"/>
              </w:rPr>
              <w:t xml:space="preserve">réseau et </w:t>
            </w:r>
            <w:r w:rsidR="00D900DE" w:rsidRPr="00DD4BCC">
              <w:rPr>
                <w:b w:val="0"/>
                <w:bCs w:val="0"/>
                <w:sz w:val="18"/>
                <w:szCs w:val="18"/>
                <w:lang w:val="fr-FR"/>
              </w:rPr>
              <w:t>infrastructure</w:t>
            </w:r>
            <w:r w:rsidRPr="00DD4BCC">
              <w:rPr>
                <w:b w:val="0"/>
                <w:bCs w:val="0"/>
                <w:sz w:val="18"/>
                <w:szCs w:val="18"/>
                <w:lang w:val="fr-FR"/>
              </w:rPr>
              <w:t xml:space="preserve"> numérique, télécommunications d'urgence</w:t>
            </w:r>
            <w:r w:rsidR="00074E78" w:rsidRPr="00DD4BCC">
              <w:rPr>
                <w:b w:val="0"/>
                <w:bCs w:val="0"/>
                <w:sz w:val="18"/>
                <w:szCs w:val="18"/>
                <w:lang w:val="fr-FR"/>
              </w:rPr>
              <w:t xml:space="preserve"> compris</w:t>
            </w:r>
            <w:r w:rsidRPr="00DD4BCC">
              <w:rPr>
                <w:b w:val="0"/>
                <w:bCs w:val="0"/>
                <w:sz w:val="18"/>
                <w:szCs w:val="18"/>
                <w:lang w:val="fr-FR"/>
              </w:rPr>
              <w:t>)</w:t>
            </w:r>
          </w:p>
        </w:tc>
        <w:tc>
          <w:tcPr>
            <w:tcW w:w="1082" w:type="dxa"/>
            <w:tcBorders>
              <w:top w:val="single" w:sz="4" w:space="0" w:color="auto"/>
            </w:tcBorders>
          </w:tcPr>
          <w:p w14:paraId="49139FE4" w14:textId="290C7C51"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1080" w:type="dxa"/>
            <w:tcBorders>
              <w:top w:val="single" w:sz="4" w:space="0" w:color="auto"/>
            </w:tcBorders>
          </w:tcPr>
          <w:p w14:paraId="71A3D38D" w14:textId="5F09FDA6"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1260" w:type="dxa"/>
            <w:tcBorders>
              <w:top w:val="single" w:sz="4" w:space="0" w:color="auto"/>
            </w:tcBorders>
          </w:tcPr>
          <w:p w14:paraId="20359655" w14:textId="1D54BB6C"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900" w:type="dxa"/>
            <w:tcBorders>
              <w:top w:val="single" w:sz="4" w:space="0" w:color="auto"/>
            </w:tcBorders>
          </w:tcPr>
          <w:p w14:paraId="7D9DCCAB" w14:textId="56A6EA36"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810" w:type="dxa"/>
            <w:tcBorders>
              <w:top w:val="single" w:sz="4" w:space="0" w:color="auto"/>
              <w:right w:val="single" w:sz="4" w:space="0" w:color="auto"/>
            </w:tcBorders>
          </w:tcPr>
          <w:p w14:paraId="0615487D" w14:textId="5C73FA80"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r>
      <w:tr w:rsidR="00E80210" w:rsidRPr="00DD4BCC" w14:paraId="3F8F37E5" w14:textId="77777777" w:rsidTr="00A36690">
        <w:tc>
          <w:tcPr>
            <w:cnfStyle w:val="001000000000" w:firstRow="0" w:lastRow="0" w:firstColumn="1" w:lastColumn="0" w:oddVBand="0" w:evenVBand="0" w:oddHBand="0" w:evenHBand="0" w:firstRowFirstColumn="0" w:firstRowLastColumn="0" w:lastRowFirstColumn="0" w:lastRowLastColumn="0"/>
            <w:tcW w:w="4678" w:type="dxa"/>
            <w:tcBorders>
              <w:left w:val="single" w:sz="4" w:space="0" w:color="auto"/>
            </w:tcBorders>
          </w:tcPr>
          <w:p w14:paraId="56F05B6F" w14:textId="5DA4BF65" w:rsidR="00E80210" w:rsidRPr="00DD4BCC" w:rsidRDefault="00E80210" w:rsidP="00F27EBE">
            <w:pPr>
              <w:pStyle w:val="Tabletext"/>
              <w:jc w:val="left"/>
              <w:rPr>
                <w:rFonts w:ascii="Calibri" w:hAnsi="Calibri" w:cs="Calibri"/>
                <w:sz w:val="18"/>
                <w:szCs w:val="18"/>
                <w:lang w:val="fr-FR"/>
              </w:rPr>
            </w:pPr>
            <w:r w:rsidRPr="00DD4BCC">
              <w:rPr>
                <w:sz w:val="18"/>
                <w:szCs w:val="18"/>
                <w:lang w:val="fr-FR"/>
              </w:rPr>
              <w:t xml:space="preserve">P2 – Transformation numérique </w:t>
            </w:r>
            <w:r w:rsidR="008654EF" w:rsidRPr="00DD4BCC">
              <w:rPr>
                <w:sz w:val="18"/>
                <w:szCs w:val="18"/>
                <w:lang w:val="fr-FR"/>
              </w:rPr>
              <w:br/>
            </w:r>
            <w:r w:rsidR="002518B7" w:rsidRPr="00DD4BCC">
              <w:rPr>
                <w:b w:val="0"/>
                <w:bCs w:val="0"/>
                <w:sz w:val="18"/>
                <w:szCs w:val="18"/>
                <w:lang w:val="fr-FR"/>
              </w:rPr>
              <w:t>(</w:t>
            </w:r>
            <w:r w:rsidRPr="00DD4BCC">
              <w:rPr>
                <w:b w:val="0"/>
                <w:bCs w:val="0"/>
                <w:sz w:val="18"/>
                <w:szCs w:val="18"/>
                <w:lang w:val="fr-FR"/>
              </w:rPr>
              <w:t>services et applications numériques, écosystèmes de l'innovation numérique</w:t>
            </w:r>
            <w:r w:rsidR="00074E78" w:rsidRPr="00DD4BCC">
              <w:rPr>
                <w:b w:val="0"/>
                <w:bCs w:val="0"/>
                <w:sz w:val="18"/>
                <w:szCs w:val="18"/>
                <w:lang w:val="fr-FR"/>
              </w:rPr>
              <w:t xml:space="preserve"> compris</w:t>
            </w:r>
            <w:r w:rsidRPr="00DD4BCC">
              <w:rPr>
                <w:b w:val="0"/>
                <w:bCs w:val="0"/>
                <w:sz w:val="18"/>
                <w:szCs w:val="18"/>
                <w:lang w:val="fr-FR"/>
              </w:rPr>
              <w:t>)</w:t>
            </w:r>
          </w:p>
        </w:tc>
        <w:tc>
          <w:tcPr>
            <w:tcW w:w="1082" w:type="dxa"/>
          </w:tcPr>
          <w:p w14:paraId="5DF09D4B" w14:textId="77777777" w:rsidR="00E80210" w:rsidRPr="00DD4BCC" w:rsidRDefault="00E80210"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p>
        </w:tc>
        <w:tc>
          <w:tcPr>
            <w:tcW w:w="1080" w:type="dxa"/>
          </w:tcPr>
          <w:p w14:paraId="72CF3CA1" w14:textId="77777777" w:rsidR="00E80210" w:rsidRPr="00DD4BCC" w:rsidRDefault="00E80210"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p>
        </w:tc>
        <w:tc>
          <w:tcPr>
            <w:tcW w:w="1260" w:type="dxa"/>
          </w:tcPr>
          <w:p w14:paraId="625A9490" w14:textId="685DD504" w:rsidR="00E80210" w:rsidRPr="00DD4BCC" w:rsidRDefault="00E80210"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900" w:type="dxa"/>
          </w:tcPr>
          <w:p w14:paraId="1ABD4C24" w14:textId="72C1F675" w:rsidR="00E80210" w:rsidRPr="00DD4BCC" w:rsidRDefault="00E80210"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810" w:type="dxa"/>
            <w:tcBorders>
              <w:right w:val="single" w:sz="4" w:space="0" w:color="auto"/>
            </w:tcBorders>
          </w:tcPr>
          <w:p w14:paraId="140FDC9D" w14:textId="1618D7F3" w:rsidR="00E80210" w:rsidRPr="00DD4BCC" w:rsidRDefault="00E80210"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r>
      <w:tr w:rsidR="00E80210" w:rsidRPr="00DD4BCC" w14:paraId="464CF666" w14:textId="77777777" w:rsidTr="00A36690">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678" w:type="dxa"/>
            <w:tcBorders>
              <w:left w:val="single" w:sz="4" w:space="0" w:color="auto"/>
            </w:tcBorders>
          </w:tcPr>
          <w:p w14:paraId="74602341" w14:textId="44DCCCE5" w:rsidR="00E80210" w:rsidRPr="00DD4BCC" w:rsidRDefault="00E80210" w:rsidP="00F27EBE">
            <w:pPr>
              <w:pStyle w:val="Tabletext"/>
              <w:jc w:val="left"/>
              <w:rPr>
                <w:rFonts w:ascii="Calibri" w:hAnsi="Calibri" w:cs="Calibri"/>
                <w:sz w:val="18"/>
                <w:szCs w:val="18"/>
                <w:lang w:val="fr-FR"/>
              </w:rPr>
            </w:pPr>
            <w:r w:rsidRPr="00DD4BCC">
              <w:rPr>
                <w:sz w:val="18"/>
                <w:szCs w:val="18"/>
                <w:lang w:val="fr-FR"/>
              </w:rPr>
              <w:t xml:space="preserve">P3 – Environnement politique et réglementaire propice </w:t>
            </w:r>
            <w:r w:rsidR="008654EF" w:rsidRPr="00DD4BCC">
              <w:rPr>
                <w:sz w:val="18"/>
                <w:szCs w:val="18"/>
                <w:lang w:val="fr-FR"/>
              </w:rPr>
              <w:br/>
            </w:r>
            <w:r w:rsidR="002518B7" w:rsidRPr="00DD4BCC">
              <w:rPr>
                <w:b w:val="0"/>
                <w:bCs w:val="0"/>
                <w:sz w:val="18"/>
                <w:szCs w:val="18"/>
                <w:lang w:val="fr-FR"/>
              </w:rPr>
              <w:t>(</w:t>
            </w:r>
            <w:r w:rsidRPr="00DD4BCC">
              <w:rPr>
                <w:b w:val="0"/>
                <w:bCs w:val="0"/>
                <w:sz w:val="18"/>
                <w:szCs w:val="18"/>
                <w:lang w:val="fr-FR"/>
              </w:rPr>
              <w:t>politique</w:t>
            </w:r>
            <w:r w:rsidR="00074E78" w:rsidRPr="00DD4BCC">
              <w:rPr>
                <w:b w:val="0"/>
                <w:bCs w:val="0"/>
                <w:sz w:val="18"/>
                <w:szCs w:val="18"/>
                <w:lang w:val="fr-FR"/>
              </w:rPr>
              <w:t>s</w:t>
            </w:r>
            <w:r w:rsidRPr="00DD4BCC">
              <w:rPr>
                <w:b w:val="0"/>
                <w:bCs w:val="0"/>
                <w:sz w:val="18"/>
                <w:szCs w:val="18"/>
                <w:lang w:val="fr-FR"/>
              </w:rPr>
              <w:t xml:space="preserve"> et réglementation, renforcement des capacités, statistiques</w:t>
            </w:r>
            <w:r w:rsidR="00074E78" w:rsidRPr="00DD4BCC">
              <w:rPr>
                <w:b w:val="0"/>
                <w:bCs w:val="0"/>
                <w:sz w:val="18"/>
                <w:szCs w:val="18"/>
                <w:lang w:val="fr-FR"/>
              </w:rPr>
              <w:t xml:space="preserve"> compris</w:t>
            </w:r>
            <w:r w:rsidRPr="00DD4BCC">
              <w:rPr>
                <w:b w:val="0"/>
                <w:bCs w:val="0"/>
                <w:sz w:val="18"/>
                <w:szCs w:val="18"/>
                <w:lang w:val="fr-FR"/>
              </w:rPr>
              <w:t>)</w:t>
            </w:r>
          </w:p>
        </w:tc>
        <w:tc>
          <w:tcPr>
            <w:tcW w:w="1082" w:type="dxa"/>
          </w:tcPr>
          <w:p w14:paraId="49310346" w14:textId="5221390D"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1080" w:type="dxa"/>
          </w:tcPr>
          <w:p w14:paraId="5027DC77" w14:textId="5F969544"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1260" w:type="dxa"/>
          </w:tcPr>
          <w:p w14:paraId="06E9308E" w14:textId="2EE940F9"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900" w:type="dxa"/>
          </w:tcPr>
          <w:p w14:paraId="6855494A" w14:textId="456E602E"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810" w:type="dxa"/>
            <w:tcBorders>
              <w:right w:val="single" w:sz="4" w:space="0" w:color="auto"/>
            </w:tcBorders>
          </w:tcPr>
          <w:p w14:paraId="5F43C798" w14:textId="366CA8BE"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r>
      <w:tr w:rsidR="00E80210" w:rsidRPr="00DD4BCC" w14:paraId="1665289F" w14:textId="77777777" w:rsidTr="00A36690">
        <w:trPr>
          <w:trHeight w:val="445"/>
        </w:trPr>
        <w:tc>
          <w:tcPr>
            <w:cnfStyle w:val="001000000000" w:firstRow="0" w:lastRow="0" w:firstColumn="1" w:lastColumn="0" w:oddVBand="0" w:evenVBand="0" w:oddHBand="0" w:evenHBand="0" w:firstRowFirstColumn="0" w:firstRowLastColumn="0" w:lastRowFirstColumn="0" w:lastRowLastColumn="0"/>
            <w:tcW w:w="4678" w:type="dxa"/>
            <w:tcBorders>
              <w:left w:val="single" w:sz="4" w:space="0" w:color="auto"/>
            </w:tcBorders>
          </w:tcPr>
          <w:p w14:paraId="11957B47" w14:textId="459E97A7" w:rsidR="00E80210" w:rsidRPr="00DD4BCC" w:rsidRDefault="00E80210" w:rsidP="00F27EBE">
            <w:pPr>
              <w:pStyle w:val="Tabletext"/>
              <w:jc w:val="left"/>
              <w:rPr>
                <w:rFonts w:ascii="Calibri" w:hAnsi="Calibri" w:cs="Calibri"/>
                <w:color w:val="000000"/>
                <w:sz w:val="18"/>
                <w:szCs w:val="18"/>
                <w:lang w:val="fr-FR"/>
              </w:rPr>
            </w:pPr>
            <w:r w:rsidRPr="00DD4BCC">
              <w:rPr>
                <w:sz w:val="18"/>
                <w:szCs w:val="18"/>
                <w:lang w:val="fr-FR"/>
              </w:rPr>
              <w:t xml:space="preserve">P4 – Télécommunications/TIC inclusives et sûres au service du développement durable </w:t>
            </w:r>
            <w:r w:rsidR="008654EF" w:rsidRPr="00DD4BCC">
              <w:rPr>
                <w:sz w:val="18"/>
                <w:szCs w:val="18"/>
                <w:lang w:val="fr-FR"/>
              </w:rPr>
              <w:br/>
            </w:r>
            <w:r w:rsidR="002518B7" w:rsidRPr="00DD4BCC">
              <w:rPr>
                <w:b w:val="0"/>
                <w:bCs w:val="0"/>
                <w:sz w:val="18"/>
                <w:szCs w:val="18"/>
                <w:lang w:val="fr-FR"/>
              </w:rPr>
              <w:t>(</w:t>
            </w:r>
            <w:r w:rsidRPr="00DD4BCC">
              <w:rPr>
                <w:b w:val="0"/>
                <w:bCs w:val="0"/>
                <w:sz w:val="18"/>
                <w:szCs w:val="18"/>
                <w:lang w:val="fr-FR"/>
              </w:rPr>
              <w:t>cybersécurité</w:t>
            </w:r>
            <w:r w:rsidR="00074E78" w:rsidRPr="00DD4BCC">
              <w:rPr>
                <w:b w:val="0"/>
                <w:bCs w:val="0"/>
                <w:sz w:val="18"/>
                <w:szCs w:val="18"/>
                <w:lang w:val="fr-FR"/>
              </w:rPr>
              <w:t xml:space="preserve"> et</w:t>
            </w:r>
            <w:r w:rsidR="00CF6619" w:rsidRPr="00DD4BCC">
              <w:rPr>
                <w:b w:val="0"/>
                <w:bCs w:val="0"/>
                <w:sz w:val="18"/>
                <w:szCs w:val="18"/>
                <w:lang w:val="fr-FR"/>
              </w:rPr>
              <w:t xml:space="preserve"> </w:t>
            </w:r>
            <w:r w:rsidRPr="00DD4BCC">
              <w:rPr>
                <w:b w:val="0"/>
                <w:bCs w:val="0"/>
                <w:sz w:val="18"/>
                <w:szCs w:val="18"/>
                <w:lang w:val="fr-FR"/>
              </w:rPr>
              <w:t>inclusion numérique</w:t>
            </w:r>
            <w:r w:rsidR="00074E78" w:rsidRPr="00DD4BCC">
              <w:rPr>
                <w:b w:val="0"/>
                <w:bCs w:val="0"/>
                <w:sz w:val="18"/>
                <w:szCs w:val="18"/>
                <w:lang w:val="fr-FR"/>
              </w:rPr>
              <w:t xml:space="preserve"> comprises</w:t>
            </w:r>
            <w:r w:rsidRPr="00DD4BCC">
              <w:rPr>
                <w:b w:val="0"/>
                <w:bCs w:val="0"/>
                <w:sz w:val="18"/>
                <w:szCs w:val="18"/>
                <w:lang w:val="fr-FR"/>
              </w:rPr>
              <w:t>)</w:t>
            </w:r>
          </w:p>
        </w:tc>
        <w:tc>
          <w:tcPr>
            <w:tcW w:w="1082" w:type="dxa"/>
          </w:tcPr>
          <w:p w14:paraId="2EA70C90" w14:textId="77777777" w:rsidR="00E80210" w:rsidRPr="00DD4BCC" w:rsidRDefault="00E80210"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p>
        </w:tc>
        <w:tc>
          <w:tcPr>
            <w:tcW w:w="1080" w:type="dxa"/>
          </w:tcPr>
          <w:p w14:paraId="5999CBE0" w14:textId="77777777" w:rsidR="00E80210" w:rsidRPr="00DD4BCC" w:rsidRDefault="00E80210"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p>
        </w:tc>
        <w:tc>
          <w:tcPr>
            <w:tcW w:w="1260" w:type="dxa"/>
          </w:tcPr>
          <w:p w14:paraId="383F93FB" w14:textId="0192474F" w:rsidR="00E80210" w:rsidRPr="00DD4BCC" w:rsidRDefault="00E80210"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900" w:type="dxa"/>
          </w:tcPr>
          <w:p w14:paraId="400B6306" w14:textId="63C663B6" w:rsidR="00E80210" w:rsidRPr="00DD4BCC" w:rsidRDefault="00E80210"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810" w:type="dxa"/>
            <w:tcBorders>
              <w:right w:val="single" w:sz="4" w:space="0" w:color="auto"/>
            </w:tcBorders>
          </w:tcPr>
          <w:p w14:paraId="093D795A" w14:textId="4CEC17EE" w:rsidR="00E80210" w:rsidRPr="00DD4BCC" w:rsidRDefault="00E80210"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r>
      <w:tr w:rsidR="00E80210" w:rsidRPr="00DD4BCC" w14:paraId="46F08E43" w14:textId="77777777" w:rsidTr="00A36690">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678" w:type="dxa"/>
            <w:tcBorders>
              <w:left w:val="single" w:sz="4" w:space="0" w:color="auto"/>
            </w:tcBorders>
          </w:tcPr>
          <w:p w14:paraId="41D414B5" w14:textId="5419D9E7" w:rsidR="00E80210" w:rsidRPr="00DD4BCC" w:rsidRDefault="00E80210" w:rsidP="00F27EBE">
            <w:pPr>
              <w:pStyle w:val="Tabletext"/>
              <w:jc w:val="left"/>
              <w:rPr>
                <w:rFonts w:ascii="Calibri" w:hAnsi="Calibri" w:cs="Calibri"/>
                <w:color w:val="000000"/>
                <w:sz w:val="18"/>
                <w:szCs w:val="18"/>
                <w:lang w:val="fr-FR"/>
              </w:rPr>
            </w:pPr>
            <w:r w:rsidRPr="00DD4BCC">
              <w:rPr>
                <w:sz w:val="18"/>
                <w:szCs w:val="18"/>
                <w:lang w:val="fr-FR"/>
              </w:rPr>
              <w:t>P5/E6/E7 – Mobilisation de ressources</w:t>
            </w:r>
            <w:r w:rsidR="008654EF" w:rsidRPr="00DD4BCC">
              <w:rPr>
                <w:sz w:val="18"/>
                <w:szCs w:val="18"/>
                <w:lang w:val="fr-FR"/>
              </w:rPr>
              <w:t xml:space="preserve">, partenariats </w:t>
            </w:r>
            <w:r w:rsidRPr="00DD4BCC">
              <w:rPr>
                <w:sz w:val="18"/>
                <w:szCs w:val="18"/>
                <w:lang w:val="fr-FR"/>
              </w:rPr>
              <w:t>et coopération internationale</w:t>
            </w:r>
          </w:p>
        </w:tc>
        <w:tc>
          <w:tcPr>
            <w:tcW w:w="1082" w:type="dxa"/>
          </w:tcPr>
          <w:p w14:paraId="162BBECA" w14:textId="185EF076"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1080" w:type="dxa"/>
          </w:tcPr>
          <w:p w14:paraId="5293C2CD" w14:textId="0D3BA108"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1260" w:type="dxa"/>
          </w:tcPr>
          <w:p w14:paraId="1EC468FC" w14:textId="439D724B"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900" w:type="dxa"/>
          </w:tcPr>
          <w:p w14:paraId="3AC2BE16" w14:textId="0A367E8B"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810" w:type="dxa"/>
            <w:tcBorders>
              <w:right w:val="single" w:sz="4" w:space="0" w:color="auto"/>
            </w:tcBorders>
          </w:tcPr>
          <w:p w14:paraId="7ED83184" w14:textId="67A13F0F"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r>
      <w:tr w:rsidR="00284CD5" w:rsidRPr="00DD4BCC" w14:paraId="4DDA6309" w14:textId="77777777" w:rsidTr="00A36690">
        <w:tc>
          <w:tcPr>
            <w:cnfStyle w:val="001000000000" w:firstRow="0" w:lastRow="0" w:firstColumn="1" w:lastColumn="0" w:oddVBand="0" w:evenVBand="0" w:oddHBand="0" w:evenHBand="0" w:firstRowFirstColumn="0" w:firstRowLastColumn="0" w:lastRowFirstColumn="0" w:lastRowLastColumn="0"/>
            <w:tcW w:w="4678" w:type="dxa"/>
            <w:tcBorders>
              <w:left w:val="single" w:sz="4" w:space="0" w:color="auto"/>
            </w:tcBorders>
          </w:tcPr>
          <w:p w14:paraId="754B9CE4" w14:textId="11E49EC4" w:rsidR="00284CD5" w:rsidRPr="00DD4BCC" w:rsidRDefault="00284CD5" w:rsidP="00F27EBE">
            <w:pPr>
              <w:pStyle w:val="Tabletext"/>
              <w:jc w:val="left"/>
              <w:rPr>
                <w:rFonts w:ascii="Calibri" w:hAnsi="Calibri" w:cs="Calibri"/>
                <w:sz w:val="18"/>
                <w:szCs w:val="18"/>
                <w:lang w:val="fr-FR"/>
              </w:rPr>
            </w:pPr>
            <w:r w:rsidRPr="00DD4BCC">
              <w:rPr>
                <w:sz w:val="18"/>
                <w:szCs w:val="18"/>
                <w:lang w:val="fr-FR"/>
              </w:rPr>
              <w:t>E1 – Travaux reposant sur les contributions des membres</w:t>
            </w:r>
          </w:p>
        </w:tc>
        <w:tc>
          <w:tcPr>
            <w:tcW w:w="1082" w:type="dxa"/>
          </w:tcPr>
          <w:p w14:paraId="70CEDD19" w14:textId="2FFD14DE" w:rsidR="00284CD5" w:rsidRPr="00DD4BCC" w:rsidRDefault="00284CD5"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1080" w:type="dxa"/>
          </w:tcPr>
          <w:p w14:paraId="4B04F51A" w14:textId="77777777" w:rsidR="00284CD5" w:rsidRPr="00DD4BCC" w:rsidRDefault="00284CD5"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p>
        </w:tc>
        <w:tc>
          <w:tcPr>
            <w:tcW w:w="1260" w:type="dxa"/>
          </w:tcPr>
          <w:p w14:paraId="183BCB60" w14:textId="1B164A23" w:rsidR="00284CD5" w:rsidRPr="00DD4BCC" w:rsidRDefault="00284CD5"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900" w:type="dxa"/>
          </w:tcPr>
          <w:p w14:paraId="48F5EF0D" w14:textId="4126F11D" w:rsidR="00284CD5" w:rsidRPr="00DD4BCC" w:rsidRDefault="00284CD5"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810" w:type="dxa"/>
            <w:tcBorders>
              <w:right w:val="single" w:sz="4" w:space="0" w:color="auto"/>
            </w:tcBorders>
          </w:tcPr>
          <w:p w14:paraId="1DE0A303" w14:textId="0DFCBB8E" w:rsidR="00284CD5" w:rsidRPr="00DD4BCC" w:rsidRDefault="00284CD5"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r>
      <w:tr w:rsidR="00284CD5" w:rsidRPr="00DD4BCC" w14:paraId="08B1FFB2" w14:textId="77777777" w:rsidTr="00A3669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678" w:type="dxa"/>
            <w:tcBorders>
              <w:left w:val="single" w:sz="4" w:space="0" w:color="auto"/>
            </w:tcBorders>
          </w:tcPr>
          <w:p w14:paraId="4E162BE8" w14:textId="5A1B27EF" w:rsidR="00284CD5" w:rsidRPr="00DD4BCC" w:rsidRDefault="00284CD5" w:rsidP="00F27EBE">
            <w:pPr>
              <w:pStyle w:val="Tabletext"/>
              <w:jc w:val="left"/>
              <w:rPr>
                <w:rFonts w:ascii="Calibri" w:hAnsi="Calibri" w:cs="Calibri"/>
                <w:sz w:val="18"/>
                <w:szCs w:val="18"/>
                <w:lang w:val="fr-FR"/>
              </w:rPr>
            </w:pPr>
            <w:r w:rsidRPr="00DD4BCC">
              <w:rPr>
                <w:sz w:val="18"/>
                <w:szCs w:val="18"/>
                <w:lang w:val="fr-FR"/>
              </w:rPr>
              <w:t>E2 – Présence régionale</w:t>
            </w:r>
          </w:p>
        </w:tc>
        <w:tc>
          <w:tcPr>
            <w:tcW w:w="1082" w:type="dxa"/>
          </w:tcPr>
          <w:p w14:paraId="439F42BD" w14:textId="33B3FE25" w:rsidR="00284CD5" w:rsidRPr="00DD4BCC" w:rsidRDefault="00284CD5"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1080" w:type="dxa"/>
          </w:tcPr>
          <w:p w14:paraId="4FD0363C" w14:textId="1B2996D4" w:rsidR="00284CD5" w:rsidRPr="00DD4BCC" w:rsidRDefault="00284CD5"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1260" w:type="dxa"/>
          </w:tcPr>
          <w:p w14:paraId="01BD7304" w14:textId="258BFE23" w:rsidR="00284CD5" w:rsidRPr="00DD4BCC" w:rsidRDefault="00284CD5"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900" w:type="dxa"/>
          </w:tcPr>
          <w:p w14:paraId="5BF22469" w14:textId="06A14442" w:rsidR="00284CD5" w:rsidRPr="00DD4BCC" w:rsidRDefault="00284CD5"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810" w:type="dxa"/>
            <w:tcBorders>
              <w:right w:val="single" w:sz="4" w:space="0" w:color="auto"/>
            </w:tcBorders>
          </w:tcPr>
          <w:p w14:paraId="736BC6AE" w14:textId="73C44CA6" w:rsidR="00284CD5" w:rsidRPr="00DD4BCC" w:rsidRDefault="00284CD5"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r>
      <w:tr w:rsidR="00284CD5" w:rsidRPr="00DD4BCC" w14:paraId="531B922A" w14:textId="77777777" w:rsidTr="00A36690">
        <w:trPr>
          <w:trHeight w:val="292"/>
        </w:trPr>
        <w:tc>
          <w:tcPr>
            <w:cnfStyle w:val="001000000000" w:firstRow="0" w:lastRow="0" w:firstColumn="1" w:lastColumn="0" w:oddVBand="0" w:evenVBand="0" w:oddHBand="0" w:evenHBand="0" w:firstRowFirstColumn="0" w:firstRowLastColumn="0" w:lastRowFirstColumn="0" w:lastRowLastColumn="0"/>
            <w:tcW w:w="4678" w:type="dxa"/>
            <w:tcBorders>
              <w:left w:val="single" w:sz="4" w:space="0" w:color="auto"/>
            </w:tcBorders>
          </w:tcPr>
          <w:p w14:paraId="073367E6" w14:textId="7B7D8BDA" w:rsidR="00284CD5" w:rsidRPr="00DD4BCC" w:rsidRDefault="00284CD5" w:rsidP="00F27EBE">
            <w:pPr>
              <w:pStyle w:val="Tabletext"/>
              <w:jc w:val="left"/>
              <w:rPr>
                <w:rFonts w:ascii="Calibri" w:hAnsi="Calibri" w:cs="Calibri"/>
                <w:sz w:val="18"/>
                <w:szCs w:val="18"/>
                <w:lang w:val="fr-FR"/>
              </w:rPr>
            </w:pPr>
            <w:r w:rsidRPr="00DD4BCC">
              <w:rPr>
                <w:sz w:val="18"/>
                <w:szCs w:val="18"/>
                <w:lang w:val="fr-FR"/>
              </w:rPr>
              <w:t>E3 – Diversité et inclusion</w:t>
            </w:r>
            <w:r w:rsidR="00F27EBE" w:rsidRPr="00DD4BCC">
              <w:rPr>
                <w:sz w:val="18"/>
                <w:szCs w:val="18"/>
                <w:lang w:val="fr-FR"/>
              </w:rPr>
              <w:br/>
            </w:r>
            <w:r w:rsidR="002518B7" w:rsidRPr="00DD4BCC">
              <w:rPr>
                <w:b w:val="0"/>
                <w:bCs w:val="0"/>
                <w:sz w:val="18"/>
                <w:szCs w:val="18"/>
                <w:lang w:val="fr-FR"/>
              </w:rPr>
              <w:t>(</w:t>
            </w:r>
            <w:r w:rsidRPr="00DD4BCC">
              <w:rPr>
                <w:b w:val="0"/>
                <w:bCs w:val="0"/>
                <w:sz w:val="18"/>
                <w:szCs w:val="18"/>
                <w:lang w:val="fr-FR"/>
              </w:rPr>
              <w:t>inclusion numérique</w:t>
            </w:r>
            <w:r w:rsidR="00074E78" w:rsidRPr="00DD4BCC">
              <w:rPr>
                <w:b w:val="0"/>
                <w:bCs w:val="0"/>
                <w:sz w:val="18"/>
                <w:szCs w:val="18"/>
                <w:lang w:val="fr-FR"/>
              </w:rPr>
              <w:t xml:space="preserve"> comprise</w:t>
            </w:r>
            <w:r w:rsidRPr="00DD4BCC">
              <w:rPr>
                <w:b w:val="0"/>
                <w:bCs w:val="0"/>
                <w:sz w:val="18"/>
                <w:szCs w:val="18"/>
                <w:lang w:val="fr-FR"/>
              </w:rPr>
              <w:t>)</w:t>
            </w:r>
          </w:p>
        </w:tc>
        <w:tc>
          <w:tcPr>
            <w:tcW w:w="1082" w:type="dxa"/>
          </w:tcPr>
          <w:p w14:paraId="5A25A95C" w14:textId="77777777" w:rsidR="00284CD5" w:rsidRPr="00DD4BCC" w:rsidRDefault="00284CD5"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p>
        </w:tc>
        <w:tc>
          <w:tcPr>
            <w:tcW w:w="1080" w:type="dxa"/>
          </w:tcPr>
          <w:p w14:paraId="71DF2136" w14:textId="77777777" w:rsidR="00284CD5" w:rsidRPr="00DD4BCC" w:rsidRDefault="00284CD5"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p>
        </w:tc>
        <w:tc>
          <w:tcPr>
            <w:tcW w:w="1260" w:type="dxa"/>
          </w:tcPr>
          <w:p w14:paraId="1809F8F3" w14:textId="4CBD70BE" w:rsidR="00284CD5" w:rsidRPr="00DD4BCC" w:rsidRDefault="00284CD5"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900" w:type="dxa"/>
          </w:tcPr>
          <w:p w14:paraId="51A03E25" w14:textId="1A9B0D5B" w:rsidR="00284CD5" w:rsidRPr="00DD4BCC" w:rsidRDefault="00284CD5"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810" w:type="dxa"/>
            <w:tcBorders>
              <w:right w:val="single" w:sz="4" w:space="0" w:color="auto"/>
            </w:tcBorders>
          </w:tcPr>
          <w:p w14:paraId="0B7CF04E" w14:textId="495C17DA" w:rsidR="00284CD5" w:rsidRPr="00DD4BCC" w:rsidRDefault="00284CD5"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r>
      <w:tr w:rsidR="00E80210" w:rsidRPr="00DD4BCC" w14:paraId="4E61DD43" w14:textId="77777777" w:rsidTr="00A3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left w:val="single" w:sz="4" w:space="0" w:color="auto"/>
            </w:tcBorders>
          </w:tcPr>
          <w:p w14:paraId="158E7D2E" w14:textId="655267BF" w:rsidR="00E80210" w:rsidRPr="00DD4BCC" w:rsidRDefault="00E80210" w:rsidP="00F27EBE">
            <w:pPr>
              <w:pStyle w:val="Tabletext"/>
              <w:jc w:val="left"/>
              <w:rPr>
                <w:rFonts w:ascii="Calibri" w:hAnsi="Calibri" w:cs="Calibri"/>
                <w:sz w:val="18"/>
                <w:szCs w:val="18"/>
                <w:lang w:val="fr-FR"/>
              </w:rPr>
            </w:pPr>
            <w:r w:rsidRPr="00DD4BCC">
              <w:rPr>
                <w:sz w:val="18"/>
                <w:szCs w:val="18"/>
                <w:lang w:val="fr-FR"/>
              </w:rPr>
              <w:t>E4 – Engagement en faveur de la durabilité environnementale</w:t>
            </w:r>
            <w:r w:rsidR="00F27EBE" w:rsidRPr="00DD4BCC">
              <w:rPr>
                <w:sz w:val="18"/>
                <w:szCs w:val="18"/>
                <w:lang w:val="fr-FR"/>
              </w:rPr>
              <w:br/>
            </w:r>
            <w:r w:rsidR="002518B7" w:rsidRPr="00DD4BCC">
              <w:rPr>
                <w:b w:val="0"/>
                <w:bCs w:val="0"/>
                <w:sz w:val="18"/>
                <w:szCs w:val="18"/>
                <w:lang w:val="fr-FR"/>
              </w:rPr>
              <w:t>(</w:t>
            </w:r>
            <w:r w:rsidRPr="00DD4BCC">
              <w:rPr>
                <w:b w:val="0"/>
                <w:bCs w:val="0"/>
                <w:sz w:val="18"/>
                <w:szCs w:val="18"/>
                <w:lang w:val="fr-FR"/>
              </w:rPr>
              <w:t>environnement</w:t>
            </w:r>
            <w:r w:rsidR="00074E78" w:rsidRPr="00DD4BCC">
              <w:rPr>
                <w:b w:val="0"/>
                <w:bCs w:val="0"/>
                <w:sz w:val="18"/>
                <w:szCs w:val="18"/>
                <w:lang w:val="fr-FR"/>
              </w:rPr>
              <w:t xml:space="preserve"> compris</w:t>
            </w:r>
            <w:r w:rsidRPr="00DD4BCC">
              <w:rPr>
                <w:b w:val="0"/>
                <w:bCs w:val="0"/>
                <w:sz w:val="18"/>
                <w:szCs w:val="18"/>
                <w:lang w:val="fr-FR"/>
              </w:rPr>
              <w:t>)</w:t>
            </w:r>
          </w:p>
        </w:tc>
        <w:tc>
          <w:tcPr>
            <w:tcW w:w="1082" w:type="dxa"/>
          </w:tcPr>
          <w:p w14:paraId="3C38FC9E" w14:textId="6D0BDE15"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1080" w:type="dxa"/>
          </w:tcPr>
          <w:p w14:paraId="7140169B" w14:textId="77777777"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p>
        </w:tc>
        <w:tc>
          <w:tcPr>
            <w:tcW w:w="1260" w:type="dxa"/>
          </w:tcPr>
          <w:p w14:paraId="7D3B4DEB" w14:textId="7B53CE4D"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900" w:type="dxa"/>
          </w:tcPr>
          <w:p w14:paraId="340DD425" w14:textId="591E57C8"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c>
          <w:tcPr>
            <w:tcW w:w="810" w:type="dxa"/>
            <w:tcBorders>
              <w:right w:val="single" w:sz="4" w:space="0" w:color="auto"/>
            </w:tcBorders>
          </w:tcPr>
          <w:p w14:paraId="6B3AEB4D" w14:textId="7C1A7E93" w:rsidR="00E80210" w:rsidRPr="00DD4BCC" w:rsidRDefault="00E80210" w:rsidP="00F27EB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r>
      <w:tr w:rsidR="00E80210" w:rsidRPr="00DD4BCC" w14:paraId="42BD01EE" w14:textId="77777777" w:rsidTr="00A36690">
        <w:tc>
          <w:tcPr>
            <w:cnfStyle w:val="001000000000" w:firstRow="0" w:lastRow="0" w:firstColumn="1" w:lastColumn="0" w:oddVBand="0" w:evenVBand="0" w:oddHBand="0" w:evenHBand="0" w:firstRowFirstColumn="0" w:firstRowLastColumn="0" w:lastRowFirstColumn="0" w:lastRowLastColumn="0"/>
            <w:tcW w:w="4678" w:type="dxa"/>
            <w:tcBorders>
              <w:left w:val="single" w:sz="4" w:space="0" w:color="auto"/>
              <w:bottom w:val="single" w:sz="4" w:space="0" w:color="auto"/>
            </w:tcBorders>
          </w:tcPr>
          <w:p w14:paraId="5E561C9C" w14:textId="4E238702" w:rsidR="00E80210" w:rsidRPr="00DD4BCC" w:rsidRDefault="00E80210" w:rsidP="00F27EBE">
            <w:pPr>
              <w:pStyle w:val="Tabletext"/>
              <w:jc w:val="left"/>
              <w:rPr>
                <w:rFonts w:ascii="Calibri" w:hAnsi="Calibri" w:cs="Calibri"/>
                <w:sz w:val="18"/>
                <w:szCs w:val="18"/>
                <w:lang w:val="fr-FR"/>
              </w:rPr>
            </w:pPr>
            <w:r w:rsidRPr="00DD4BCC">
              <w:rPr>
                <w:sz w:val="18"/>
                <w:szCs w:val="18"/>
                <w:lang w:val="fr-FR"/>
              </w:rPr>
              <w:t>E5 – Excellence en matière de ressources humaines et innovation organisationnelle</w:t>
            </w:r>
          </w:p>
        </w:tc>
        <w:tc>
          <w:tcPr>
            <w:tcW w:w="1082" w:type="dxa"/>
            <w:tcBorders>
              <w:bottom w:val="single" w:sz="4" w:space="0" w:color="auto"/>
            </w:tcBorders>
          </w:tcPr>
          <w:p w14:paraId="28947D24" w14:textId="77777777" w:rsidR="00E80210" w:rsidRPr="00DD4BCC" w:rsidRDefault="00E80210"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p>
        </w:tc>
        <w:tc>
          <w:tcPr>
            <w:tcW w:w="1080" w:type="dxa"/>
            <w:tcBorders>
              <w:bottom w:val="single" w:sz="4" w:space="0" w:color="auto"/>
            </w:tcBorders>
          </w:tcPr>
          <w:p w14:paraId="63919A34" w14:textId="77777777" w:rsidR="00E80210" w:rsidRPr="00DD4BCC" w:rsidRDefault="00E80210"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p>
        </w:tc>
        <w:tc>
          <w:tcPr>
            <w:tcW w:w="1260" w:type="dxa"/>
            <w:tcBorders>
              <w:bottom w:val="single" w:sz="4" w:space="0" w:color="auto"/>
            </w:tcBorders>
          </w:tcPr>
          <w:p w14:paraId="63D5ABB5" w14:textId="77777777" w:rsidR="00E80210" w:rsidRPr="00DD4BCC" w:rsidRDefault="00E80210"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p>
        </w:tc>
        <w:tc>
          <w:tcPr>
            <w:tcW w:w="900" w:type="dxa"/>
            <w:tcBorders>
              <w:bottom w:val="single" w:sz="4" w:space="0" w:color="auto"/>
            </w:tcBorders>
          </w:tcPr>
          <w:p w14:paraId="2258C616" w14:textId="77777777" w:rsidR="00E80210" w:rsidRPr="00DD4BCC" w:rsidRDefault="00E80210"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p>
        </w:tc>
        <w:tc>
          <w:tcPr>
            <w:tcW w:w="810" w:type="dxa"/>
            <w:tcBorders>
              <w:bottom w:val="single" w:sz="4" w:space="0" w:color="auto"/>
              <w:right w:val="single" w:sz="4" w:space="0" w:color="auto"/>
            </w:tcBorders>
          </w:tcPr>
          <w:p w14:paraId="0E2529B0" w14:textId="1F76D553" w:rsidR="00E80210" w:rsidRPr="00DD4BCC" w:rsidRDefault="00E80210" w:rsidP="00F27EB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p>
        </w:tc>
      </w:tr>
    </w:tbl>
    <w:p w14:paraId="08C30570" w14:textId="20773B3D" w:rsidR="00E80210" w:rsidRPr="00DD4BCC" w:rsidRDefault="00E80210" w:rsidP="00A36690">
      <w:pPr>
        <w:pStyle w:val="Note"/>
        <w:spacing w:before="120"/>
        <w:rPr>
          <w:rFonts w:ascii="Calibri" w:eastAsia="Calibri" w:hAnsi="Calibri"/>
          <w:sz w:val="20"/>
          <w:lang w:val="fr-FR"/>
        </w:rPr>
      </w:pPr>
      <w:r w:rsidRPr="00DD4BCC">
        <w:rPr>
          <w:sz w:val="20"/>
          <w:lang w:val="fr-FR"/>
        </w:rPr>
        <w:t>Note</w:t>
      </w:r>
      <w:r w:rsidR="00F6306A" w:rsidRPr="00DD4BCC">
        <w:rPr>
          <w:sz w:val="20"/>
          <w:lang w:val="fr-FR"/>
        </w:rPr>
        <w:t xml:space="preserve">: </w:t>
      </w:r>
      <w:r w:rsidRPr="00DD4BCC">
        <w:rPr>
          <w:sz w:val="20"/>
          <w:lang w:val="fr-FR"/>
        </w:rPr>
        <w:t xml:space="preserve">Après chaque priorité/catalyseur de l'UIT-D, les thèmes correspondants (ou les priorités thématiques du BDT qui ont </w:t>
      </w:r>
      <w:r w:rsidR="00F6306A" w:rsidRPr="00DD4BCC">
        <w:rPr>
          <w:sz w:val="20"/>
          <w:lang w:val="fr-FR"/>
        </w:rPr>
        <w:t xml:space="preserve">structuré </w:t>
      </w:r>
      <w:r w:rsidRPr="00DD4BCC">
        <w:rPr>
          <w:sz w:val="20"/>
          <w:lang w:val="fr-FR"/>
        </w:rPr>
        <w:t xml:space="preserve">la mise en </w:t>
      </w:r>
      <w:r w:rsidR="008B0FB6" w:rsidRPr="00DD4BCC">
        <w:rPr>
          <w:sz w:val="20"/>
          <w:lang w:val="fr-FR"/>
        </w:rPr>
        <w:t>œuvre</w:t>
      </w:r>
      <w:r w:rsidRPr="00DD4BCC">
        <w:rPr>
          <w:sz w:val="20"/>
          <w:lang w:val="fr-FR"/>
        </w:rPr>
        <w:t xml:space="preserve"> du Plan d'action</w:t>
      </w:r>
      <w:r w:rsidR="008B0FB6" w:rsidRPr="00DD4BCC">
        <w:rPr>
          <w:sz w:val="20"/>
          <w:lang w:val="fr-FR"/>
        </w:rPr>
        <w:t xml:space="preserve"> </w:t>
      </w:r>
      <w:r w:rsidRPr="00DD4BCC">
        <w:rPr>
          <w:sz w:val="20"/>
          <w:lang w:val="fr-FR"/>
        </w:rPr>
        <w:t xml:space="preserve">de Buenos Aires) sont </w:t>
      </w:r>
      <w:r w:rsidR="00DB4708" w:rsidRPr="00DD4BCC">
        <w:rPr>
          <w:sz w:val="20"/>
          <w:lang w:val="fr-FR"/>
        </w:rPr>
        <w:t>indiqués</w:t>
      </w:r>
      <w:r w:rsidRPr="00DD4BCC">
        <w:rPr>
          <w:sz w:val="20"/>
          <w:lang w:val="fr-FR"/>
        </w:rPr>
        <w:t xml:space="preserve"> entre parenthèses.</w:t>
      </w:r>
    </w:p>
    <w:p w14:paraId="3CB45375" w14:textId="523BB7E0" w:rsidR="00E80210" w:rsidRPr="00DD4BCC" w:rsidRDefault="00E80210" w:rsidP="00F27EBE">
      <w:pPr>
        <w:pStyle w:val="Heading2"/>
        <w:jc w:val="left"/>
        <w:rPr>
          <w:rFonts w:eastAsia="Calibri"/>
          <w:szCs w:val="24"/>
          <w:lang w:val="fr-FR"/>
        </w:rPr>
      </w:pPr>
      <w:r w:rsidRPr="00DD4BCC">
        <w:rPr>
          <w:lang w:val="fr-FR"/>
        </w:rPr>
        <w:lastRenderedPageBreak/>
        <w:t>2.5</w:t>
      </w:r>
      <w:r w:rsidRPr="00DD4BCC">
        <w:rPr>
          <w:lang w:val="fr-FR"/>
        </w:rPr>
        <w:tab/>
        <w:t xml:space="preserve">Mise en </w:t>
      </w:r>
      <w:r w:rsidR="00EC4EBB" w:rsidRPr="00DD4BCC">
        <w:rPr>
          <w:lang w:val="fr-FR"/>
        </w:rPr>
        <w:t>œuvre</w:t>
      </w:r>
      <w:r w:rsidRPr="00DD4BCC">
        <w:rPr>
          <w:lang w:val="fr-FR"/>
        </w:rPr>
        <w:t xml:space="preserve"> du </w:t>
      </w:r>
      <w:r w:rsidR="00F91A2E" w:rsidRPr="00DD4BCC">
        <w:rPr>
          <w:lang w:val="fr-FR"/>
        </w:rPr>
        <w:t>plan</w:t>
      </w:r>
      <w:r w:rsidR="00CF6619" w:rsidRPr="00DD4BCC">
        <w:rPr>
          <w:lang w:val="fr-FR"/>
        </w:rPr>
        <w:t xml:space="preserve"> </w:t>
      </w:r>
      <w:r w:rsidRPr="00DD4BCC">
        <w:rPr>
          <w:lang w:val="fr-FR"/>
        </w:rPr>
        <w:t>opérationnel pour 2023 – Répartition des responsabilités et établissement de rapports</w:t>
      </w:r>
    </w:p>
    <w:p w14:paraId="6CF28B10" w14:textId="5809E8FC" w:rsidR="00E80210" w:rsidRPr="00DD4BCC" w:rsidRDefault="00E80210" w:rsidP="00F27EBE">
      <w:pPr>
        <w:keepNext/>
        <w:keepLines/>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fr-FR"/>
        </w:rPr>
      </w:pPr>
      <w:r w:rsidRPr="00DD4BCC">
        <w:rPr>
          <w:lang w:val="fr-FR"/>
        </w:rPr>
        <w:t xml:space="preserve">Les produits définis dans </w:t>
      </w:r>
      <w:r w:rsidR="00EC4EBB" w:rsidRPr="00DD4BCC">
        <w:rPr>
          <w:lang w:val="fr-FR"/>
        </w:rPr>
        <w:t>l</w:t>
      </w:r>
      <w:r w:rsidRPr="00DD4BCC">
        <w:rPr>
          <w:lang w:val="fr-FR"/>
        </w:rPr>
        <w:t>e plan opérationnel</w:t>
      </w:r>
      <w:r w:rsidR="00CF6619" w:rsidRPr="00DD4BCC">
        <w:rPr>
          <w:lang w:val="fr-FR"/>
        </w:rPr>
        <w:t xml:space="preserve"> </w:t>
      </w:r>
      <w:r w:rsidRPr="00DD4BCC">
        <w:rPr>
          <w:lang w:val="fr-FR"/>
        </w:rPr>
        <w:t>seront fournis par les Départements concernés du Bureau de développement des télécommunications (BDT) et les Bureaux régionaux. Les services d'appui sont fournis par le BDT</w:t>
      </w:r>
      <w:r w:rsidR="004B06E1" w:rsidRPr="00DD4BCC">
        <w:rPr>
          <w:lang w:val="fr-FR"/>
        </w:rPr>
        <w:t xml:space="preserve"> </w:t>
      </w:r>
      <w:r w:rsidRPr="00DD4BCC">
        <w:rPr>
          <w:lang w:val="fr-FR"/>
        </w:rPr>
        <w:t xml:space="preserve">et le Secrétariat général, selon des accords de niveau de service annuels convenus (pour la fourniture </w:t>
      </w:r>
      <w:r w:rsidR="00074E78" w:rsidRPr="00DD4BCC">
        <w:rPr>
          <w:lang w:val="fr-FR"/>
        </w:rPr>
        <w:t>de</w:t>
      </w:r>
      <w:r w:rsidR="00CF6619" w:rsidRPr="00DD4BCC">
        <w:rPr>
          <w:lang w:val="fr-FR"/>
        </w:rPr>
        <w:t xml:space="preserve"> </w:t>
      </w:r>
      <w:r w:rsidRPr="00DD4BCC">
        <w:rPr>
          <w:lang w:val="fr-FR"/>
        </w:rPr>
        <w:t xml:space="preserve">services internes). Les services d'appui fournis par le Secrétariat général sont décrits dans le </w:t>
      </w:r>
      <w:r w:rsidR="00F91A2E" w:rsidRPr="00DD4BCC">
        <w:rPr>
          <w:lang w:val="fr-FR"/>
        </w:rPr>
        <w:t>plan</w:t>
      </w:r>
      <w:r w:rsidR="00CF6619" w:rsidRPr="00DD4BCC">
        <w:rPr>
          <w:lang w:val="fr-FR"/>
        </w:rPr>
        <w:t xml:space="preserve"> </w:t>
      </w:r>
      <w:r w:rsidRPr="00DD4BCC">
        <w:rPr>
          <w:lang w:val="fr-FR"/>
        </w:rPr>
        <w:t>opérationnel du Secrétariat général.</w:t>
      </w:r>
    </w:p>
    <w:p w14:paraId="2FCDE3AB" w14:textId="3F39C426" w:rsidR="00E80210" w:rsidRPr="00DD4BCC"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fr-FR"/>
        </w:rPr>
      </w:pPr>
      <w:r w:rsidRPr="00DD4BCC">
        <w:rPr>
          <w:lang w:val="fr-FR"/>
        </w:rPr>
        <w:t xml:space="preserve">La fourniture des produits et des services de l'UIT-D et </w:t>
      </w:r>
      <w:r w:rsidR="00DD6D72" w:rsidRPr="00DD4BCC">
        <w:rPr>
          <w:lang w:val="fr-FR"/>
        </w:rPr>
        <w:t>d</w:t>
      </w:r>
      <w:r w:rsidRPr="00DD4BCC">
        <w:rPr>
          <w:lang w:val="fr-FR"/>
        </w:rPr>
        <w:t xml:space="preserve">es services d'appui correspondants est planifiée, suivie et évaluée par la direction de l'UIT, compte tenu des priorités et des catalyseurs de l'UIT-D définis dans le Plan d'action de Kigali et </w:t>
      </w:r>
      <w:r w:rsidR="00AC0802" w:rsidRPr="00DD4BCC">
        <w:rPr>
          <w:lang w:val="fr-FR"/>
        </w:rPr>
        <w:t>conformément</w:t>
      </w:r>
      <w:r w:rsidRPr="00DD4BCC">
        <w:rPr>
          <w:lang w:val="fr-FR"/>
        </w:rPr>
        <w:t xml:space="preserve"> aux objectifs </w:t>
      </w:r>
      <w:r w:rsidR="00C058DA" w:rsidRPr="00DD4BCC">
        <w:rPr>
          <w:lang w:val="fr-FR"/>
        </w:rPr>
        <w:t>énoncés dans le</w:t>
      </w:r>
      <w:r w:rsidRPr="00DD4BCC">
        <w:rPr>
          <w:lang w:val="fr-FR"/>
        </w:rPr>
        <w:t xml:space="preserve"> </w:t>
      </w:r>
      <w:r w:rsidR="00BD6CAF" w:rsidRPr="00DD4BCC">
        <w:rPr>
          <w:lang w:val="fr-FR"/>
        </w:rPr>
        <w:t>p</w:t>
      </w:r>
      <w:r w:rsidRPr="00DD4BCC">
        <w:rPr>
          <w:lang w:val="fr-FR"/>
        </w:rPr>
        <w:t>lan stratégique de l'UIT. De plus:</w:t>
      </w:r>
    </w:p>
    <w:p w14:paraId="08A3DE88" w14:textId="614F9B64" w:rsidR="00E80210" w:rsidRPr="00DD4BCC" w:rsidRDefault="00F27EBE" w:rsidP="00F27EBE">
      <w:pPr>
        <w:pStyle w:val="enumlev1"/>
        <w:jc w:val="left"/>
        <w:rPr>
          <w:rFonts w:ascii="Calibri" w:eastAsia="Calibri" w:hAnsi="Calibri"/>
          <w:szCs w:val="24"/>
          <w:lang w:val="fr-FR"/>
        </w:rPr>
      </w:pPr>
      <w:r w:rsidRPr="00DD4BCC">
        <w:rPr>
          <w:lang w:val="fr-FR"/>
        </w:rPr>
        <w:t>–</w:t>
      </w:r>
      <w:r w:rsidRPr="00DD4BCC">
        <w:rPr>
          <w:lang w:val="fr-FR"/>
        </w:rPr>
        <w:tab/>
      </w:r>
      <w:r w:rsidR="00E80210" w:rsidRPr="00DD4BCC">
        <w:rPr>
          <w:lang w:val="fr-FR"/>
        </w:rPr>
        <w:t xml:space="preserve">Le rapport annuel soumis au GCDT sur la mise en </w:t>
      </w:r>
      <w:r w:rsidR="000A09E3" w:rsidRPr="00DD4BCC">
        <w:rPr>
          <w:lang w:val="fr-FR"/>
        </w:rPr>
        <w:t>œuvre</w:t>
      </w:r>
      <w:r w:rsidR="00E80210" w:rsidRPr="00DD4BCC">
        <w:rPr>
          <w:lang w:val="fr-FR"/>
        </w:rPr>
        <w:t xml:space="preserve"> du Plan d'action de Kigali rendra compte des progrès accomplis en vue </w:t>
      </w:r>
      <w:r w:rsidR="006E72FC" w:rsidRPr="00DD4BCC">
        <w:rPr>
          <w:lang w:val="fr-FR"/>
        </w:rPr>
        <w:t>de concrétiser les réalisations définies</w:t>
      </w:r>
      <w:r w:rsidR="00E80210" w:rsidRPr="00DD4BCC">
        <w:rPr>
          <w:lang w:val="fr-FR"/>
        </w:rPr>
        <w:t xml:space="preserve"> dans </w:t>
      </w:r>
      <w:r w:rsidR="000A09E3" w:rsidRPr="00DD4BCC">
        <w:rPr>
          <w:lang w:val="fr-FR"/>
        </w:rPr>
        <w:t xml:space="preserve">le Plan </w:t>
      </w:r>
      <w:r w:rsidR="00F91A2E" w:rsidRPr="00DD4BCC">
        <w:rPr>
          <w:lang w:val="fr-FR"/>
        </w:rPr>
        <w:t>d</w:t>
      </w:r>
      <w:r w:rsidR="00B01FE6" w:rsidRPr="00DD4BCC">
        <w:rPr>
          <w:lang w:val="fr-FR"/>
        </w:rPr>
        <w:t>'</w:t>
      </w:r>
      <w:r w:rsidR="00F91A2E" w:rsidRPr="00DD4BCC">
        <w:rPr>
          <w:lang w:val="fr-FR"/>
        </w:rPr>
        <w:t xml:space="preserve">action </w:t>
      </w:r>
      <w:r w:rsidR="000A09E3" w:rsidRPr="00DD4BCC">
        <w:rPr>
          <w:lang w:val="fr-FR"/>
        </w:rPr>
        <w:t xml:space="preserve">de Kigali </w:t>
      </w:r>
      <w:r w:rsidR="00E80210" w:rsidRPr="00DD4BCC">
        <w:rPr>
          <w:lang w:val="fr-FR"/>
        </w:rPr>
        <w:t>par les États Membres.</w:t>
      </w:r>
    </w:p>
    <w:p w14:paraId="119CBEDB" w14:textId="46094191" w:rsidR="00E80210" w:rsidRPr="00DD4BCC" w:rsidRDefault="00F27EBE" w:rsidP="00F27EBE">
      <w:pPr>
        <w:pStyle w:val="enumlev1"/>
        <w:jc w:val="left"/>
        <w:rPr>
          <w:rFonts w:ascii="Calibri" w:eastAsia="Calibri" w:hAnsi="Calibri"/>
          <w:szCs w:val="24"/>
          <w:lang w:val="fr-FR"/>
        </w:rPr>
      </w:pPr>
      <w:r w:rsidRPr="00DD4BCC">
        <w:rPr>
          <w:lang w:val="fr-FR"/>
        </w:rPr>
        <w:t>–</w:t>
      </w:r>
      <w:r w:rsidRPr="00DD4BCC">
        <w:rPr>
          <w:lang w:val="fr-FR"/>
        </w:rPr>
        <w:tab/>
      </w:r>
      <w:r w:rsidR="00E80210" w:rsidRPr="00DD4BCC">
        <w:rPr>
          <w:lang w:val="fr-FR"/>
        </w:rPr>
        <w:t xml:space="preserve">Le rapport annuel soumis au Conseil sur la mise en </w:t>
      </w:r>
      <w:r w:rsidR="00966BA7" w:rsidRPr="00DD4BCC">
        <w:rPr>
          <w:lang w:val="fr-FR"/>
        </w:rPr>
        <w:t>œuvre</w:t>
      </w:r>
      <w:r w:rsidR="00E80210" w:rsidRPr="00DD4BCC">
        <w:rPr>
          <w:lang w:val="fr-FR"/>
        </w:rPr>
        <w:t xml:space="preserve"> du </w:t>
      </w:r>
      <w:r w:rsidR="00966BA7" w:rsidRPr="00DD4BCC">
        <w:rPr>
          <w:lang w:val="fr-FR"/>
        </w:rPr>
        <w:t>p</w:t>
      </w:r>
      <w:r w:rsidR="00E80210" w:rsidRPr="00DD4BCC">
        <w:rPr>
          <w:lang w:val="fr-FR"/>
        </w:rPr>
        <w:t xml:space="preserve">lan stratégique de l'UIT rendra compte des progrès accomplis dans les domaines thématiques prioritaires et </w:t>
      </w:r>
      <w:r w:rsidR="00074E78" w:rsidRPr="00DD4BCC">
        <w:rPr>
          <w:lang w:val="fr-FR"/>
        </w:rPr>
        <w:t>dans</w:t>
      </w:r>
      <w:r w:rsidR="00CF6619" w:rsidRPr="00DD4BCC">
        <w:rPr>
          <w:lang w:val="fr-FR"/>
        </w:rPr>
        <w:t xml:space="preserve"> </w:t>
      </w:r>
      <w:r w:rsidR="00074E78" w:rsidRPr="00DD4BCC">
        <w:rPr>
          <w:lang w:val="fr-FR"/>
        </w:rPr>
        <w:t>la réalisation des</w:t>
      </w:r>
      <w:r w:rsidR="00E80210" w:rsidRPr="00DD4BCC">
        <w:rPr>
          <w:lang w:val="fr-FR"/>
        </w:rPr>
        <w:t xml:space="preserve"> objectifs stratégiques de l'UIT.</w:t>
      </w:r>
    </w:p>
    <w:p w14:paraId="45529AEB" w14:textId="5AA59BBE" w:rsidR="00E80210" w:rsidRPr="00DD4BCC"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fr-FR"/>
        </w:rPr>
      </w:pPr>
      <w:r w:rsidRPr="00DD4BCC">
        <w:rPr>
          <w:lang w:val="fr-FR"/>
        </w:rPr>
        <w:t>En ce qui concerne la gestion des risques, mis à part les risques opérationnels figurant dans le plan opérationnel</w:t>
      </w:r>
      <w:r w:rsidR="00FF4778" w:rsidRPr="00DD4BCC">
        <w:rPr>
          <w:lang w:val="fr-FR"/>
        </w:rPr>
        <w:t xml:space="preserve"> considéré</w:t>
      </w:r>
      <w:r w:rsidRPr="00DD4BCC">
        <w:rPr>
          <w:lang w:val="fr-FR"/>
        </w:rPr>
        <w:t>, qui donneront lieu à un examen périodique par la haute direction, chaque Département e</w:t>
      </w:r>
      <w:r w:rsidR="00F52812" w:rsidRPr="00DD4BCC">
        <w:rPr>
          <w:lang w:val="fr-FR"/>
        </w:rPr>
        <w:t>t</w:t>
      </w:r>
      <w:r w:rsidRPr="00DD4BCC">
        <w:rPr>
          <w:lang w:val="fr-FR"/>
        </w:rPr>
        <w:t xml:space="preserve"> chaque Bureau régional identifie, évalue et gère </w:t>
      </w:r>
      <w:r w:rsidR="00F52812" w:rsidRPr="00DD4BCC">
        <w:rPr>
          <w:lang w:val="fr-FR"/>
        </w:rPr>
        <w:t xml:space="preserve">actuellement </w:t>
      </w:r>
      <w:r w:rsidRPr="00DD4BCC">
        <w:rPr>
          <w:lang w:val="fr-FR"/>
        </w:rPr>
        <w:t>les risques associés à la fourniture de ses produits et services d'appui, dans le cadre d'une approche de gestion des risques mu</w:t>
      </w:r>
      <w:r w:rsidR="00A36690">
        <w:rPr>
          <w:lang w:val="fr-FR"/>
        </w:rPr>
        <w:t>lti</w:t>
      </w:r>
      <w:r w:rsidRPr="00DD4BCC">
        <w:rPr>
          <w:lang w:val="fr-FR"/>
        </w:rPr>
        <w:t>niveaux.</w:t>
      </w:r>
    </w:p>
    <w:p w14:paraId="4FDA12BB" w14:textId="18A9E350" w:rsidR="0085423A" w:rsidRPr="00DD4BCC" w:rsidRDefault="005273A5"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fr-FR"/>
        </w:rPr>
      </w:pPr>
      <w:r w:rsidRPr="00DD4BCC">
        <w:rPr>
          <w:lang w:val="fr-FR"/>
        </w:rPr>
        <w:t xml:space="preserve">Les travaux relatifs à la mise en </w:t>
      </w:r>
      <w:r w:rsidR="00D0218C" w:rsidRPr="00DD4BCC">
        <w:rPr>
          <w:lang w:val="fr-FR"/>
        </w:rPr>
        <w:t>œuvre</w:t>
      </w:r>
      <w:r w:rsidRPr="00DD4BCC">
        <w:rPr>
          <w:lang w:val="fr-FR"/>
        </w:rPr>
        <w:t xml:space="preserve"> du Plan d'action de Kigali ont débuté en janvier 2023 et les principales mesures mises en </w:t>
      </w:r>
      <w:r w:rsidR="00D0218C" w:rsidRPr="00DD4BCC">
        <w:rPr>
          <w:lang w:val="fr-FR"/>
        </w:rPr>
        <w:t>œuvre</w:t>
      </w:r>
      <w:r w:rsidR="00CF6619" w:rsidRPr="00DD4BCC">
        <w:rPr>
          <w:lang w:val="fr-FR"/>
        </w:rPr>
        <w:t xml:space="preserve"> </w:t>
      </w:r>
      <w:r w:rsidR="00074E78" w:rsidRPr="00DD4BCC">
        <w:rPr>
          <w:lang w:val="fr-FR"/>
        </w:rPr>
        <w:t>à ce jour</w:t>
      </w:r>
      <w:r w:rsidR="00CF6619" w:rsidRPr="00DD4BCC">
        <w:rPr>
          <w:lang w:val="fr-FR"/>
        </w:rPr>
        <w:t xml:space="preserve"> </w:t>
      </w:r>
      <w:r w:rsidR="00212B84" w:rsidRPr="00DD4BCC">
        <w:rPr>
          <w:lang w:val="fr-FR"/>
        </w:rPr>
        <w:t>sont indiquées</w:t>
      </w:r>
      <w:r w:rsidRPr="00DD4BCC">
        <w:rPr>
          <w:lang w:val="fr-FR"/>
        </w:rPr>
        <w:t xml:space="preserve"> sous chaque priorité et catalyseur de l'UIT-D dans le §</w:t>
      </w:r>
      <w:r w:rsidR="008D5379" w:rsidRPr="00DD4BCC">
        <w:rPr>
          <w:lang w:val="fr-FR"/>
        </w:rPr>
        <w:t xml:space="preserve"> </w:t>
      </w:r>
      <w:r w:rsidRPr="00DD4BCC">
        <w:rPr>
          <w:lang w:val="fr-FR"/>
        </w:rPr>
        <w:t>3 ci-</w:t>
      </w:r>
      <w:r w:rsidR="00F42EFD" w:rsidRPr="00DD4BCC">
        <w:rPr>
          <w:lang w:val="fr-FR"/>
        </w:rPr>
        <w:t>après</w:t>
      </w:r>
      <w:r w:rsidRPr="00DD4BCC">
        <w:rPr>
          <w:lang w:val="fr-FR"/>
        </w:rPr>
        <w:t xml:space="preserve">. Cette liste de mesures n'est pas exhaustive et ne constitue pas un compte rendu </w:t>
      </w:r>
      <w:r w:rsidR="00074E78" w:rsidRPr="00DD4BCC">
        <w:rPr>
          <w:lang w:val="fr-FR"/>
        </w:rPr>
        <w:t xml:space="preserve">détaillé </w:t>
      </w:r>
      <w:r w:rsidR="00AD4EFE" w:rsidRPr="00DD4BCC">
        <w:rPr>
          <w:lang w:val="fr-FR"/>
        </w:rPr>
        <w:t>de ce que le BDT a accompli</w:t>
      </w:r>
      <w:r w:rsidRPr="00DD4BCC">
        <w:rPr>
          <w:lang w:val="fr-FR"/>
        </w:rPr>
        <w:t xml:space="preserve"> </w:t>
      </w:r>
      <w:r w:rsidR="008D2770" w:rsidRPr="00DD4BCC">
        <w:rPr>
          <w:lang w:val="fr-FR"/>
        </w:rPr>
        <w:t>durant</w:t>
      </w:r>
      <w:r w:rsidRPr="00DD4BCC">
        <w:rPr>
          <w:lang w:val="fr-FR"/>
        </w:rPr>
        <w:t xml:space="preserve"> la période considérée. </w:t>
      </w:r>
      <w:r w:rsidR="008D2770" w:rsidRPr="00DD4BCC">
        <w:rPr>
          <w:lang w:val="fr-FR"/>
        </w:rPr>
        <w:t>Un rapport complet</w:t>
      </w:r>
      <w:r w:rsidRPr="00DD4BCC">
        <w:rPr>
          <w:lang w:val="fr-FR"/>
        </w:rPr>
        <w:t xml:space="preserve"> sur la mise en </w:t>
      </w:r>
      <w:r w:rsidR="008D2770" w:rsidRPr="00DD4BCC">
        <w:rPr>
          <w:lang w:val="fr-FR"/>
        </w:rPr>
        <w:t>œuvre</w:t>
      </w:r>
      <w:r w:rsidRPr="00DD4BCC">
        <w:rPr>
          <w:lang w:val="fr-FR"/>
        </w:rPr>
        <w:t xml:space="preserve"> du Plan d'action de Kigali en 2023 ser</w:t>
      </w:r>
      <w:r w:rsidR="008D2770" w:rsidRPr="00DD4BCC">
        <w:rPr>
          <w:lang w:val="fr-FR"/>
        </w:rPr>
        <w:t xml:space="preserve">a </w:t>
      </w:r>
      <w:r w:rsidR="00A36690">
        <w:rPr>
          <w:lang w:val="fr-FR"/>
        </w:rPr>
        <w:t>soumis au GCDT à sa </w:t>
      </w:r>
      <w:r w:rsidRPr="00DD4BCC">
        <w:rPr>
          <w:lang w:val="fr-FR"/>
        </w:rPr>
        <w:t>24ème</w:t>
      </w:r>
      <w:r w:rsidR="008D5379" w:rsidRPr="00DD4BCC">
        <w:rPr>
          <w:lang w:val="fr-FR"/>
        </w:rPr>
        <w:t> </w:t>
      </w:r>
      <w:r w:rsidRPr="00DD4BCC">
        <w:rPr>
          <w:lang w:val="fr-FR"/>
        </w:rPr>
        <w:t>réunion.</w:t>
      </w:r>
    </w:p>
    <w:p w14:paraId="0D0E0E87" w14:textId="1610C8C1" w:rsidR="00E80210" w:rsidRPr="00DD4BCC" w:rsidRDefault="00E80210" w:rsidP="008D5379">
      <w:pPr>
        <w:pStyle w:val="Heading2"/>
        <w:jc w:val="left"/>
        <w:rPr>
          <w:rFonts w:eastAsia="SimSun"/>
          <w:szCs w:val="24"/>
          <w:lang w:val="fr-FR"/>
        </w:rPr>
      </w:pPr>
      <w:r w:rsidRPr="00DD4BCC">
        <w:rPr>
          <w:lang w:val="fr-FR"/>
        </w:rPr>
        <w:t>2.6</w:t>
      </w:r>
      <w:r w:rsidRPr="00DD4BCC">
        <w:rPr>
          <w:lang w:val="fr-FR"/>
        </w:rPr>
        <w:tab/>
        <w:t>Analyse des risques</w:t>
      </w:r>
    </w:p>
    <w:p w14:paraId="7643ED85" w14:textId="524D993A" w:rsidR="008D5379" w:rsidRPr="00DD4BCC" w:rsidRDefault="00E80210" w:rsidP="001D2782">
      <w:pPr>
        <w:tabs>
          <w:tab w:val="clear" w:pos="794"/>
          <w:tab w:val="clear" w:pos="1191"/>
          <w:tab w:val="clear" w:pos="1588"/>
          <w:tab w:val="clear" w:pos="1985"/>
        </w:tabs>
        <w:overflowPunct/>
        <w:autoSpaceDE/>
        <w:autoSpaceDN/>
        <w:adjustRightInd/>
        <w:spacing w:after="120"/>
        <w:jc w:val="left"/>
        <w:textAlignment w:val="auto"/>
        <w:rPr>
          <w:lang w:val="fr-FR"/>
        </w:rPr>
      </w:pPr>
      <w:r w:rsidRPr="00DD4BCC">
        <w:rPr>
          <w:lang w:val="fr-FR"/>
        </w:rPr>
        <w:t>Le tableau ci-</w:t>
      </w:r>
      <w:r w:rsidR="00F42EFD" w:rsidRPr="00DD4BCC">
        <w:rPr>
          <w:lang w:val="fr-FR"/>
        </w:rPr>
        <w:t>dessou</w:t>
      </w:r>
      <w:r w:rsidRPr="00DD4BCC">
        <w:rPr>
          <w:lang w:val="fr-FR"/>
        </w:rPr>
        <w:t xml:space="preserve">s </w:t>
      </w:r>
      <w:r w:rsidR="00074E78" w:rsidRPr="00DD4BCC">
        <w:rPr>
          <w:lang w:val="fr-FR"/>
        </w:rPr>
        <w:t xml:space="preserve">recense </w:t>
      </w:r>
      <w:r w:rsidRPr="00DD4BCC">
        <w:rPr>
          <w:lang w:val="fr-FR"/>
        </w:rPr>
        <w:t>les principaux risques opérationnels pour la période 2023-2026. Ces risques seront réévalués à intervalles réguliers</w:t>
      </w:r>
      <w:r w:rsidR="00026CB2" w:rsidRPr="00DD4BCC">
        <w:rPr>
          <w:lang w:val="fr-FR"/>
        </w:rPr>
        <w:t>,</w:t>
      </w:r>
      <w:r w:rsidRPr="00DD4BCC">
        <w:rPr>
          <w:lang w:val="fr-FR"/>
        </w:rPr>
        <w:t xml:space="preserve"> afin de tenir compte </w:t>
      </w:r>
      <w:r w:rsidR="00074E78" w:rsidRPr="00DD4BCC">
        <w:rPr>
          <w:lang w:val="fr-FR"/>
        </w:rPr>
        <w:t>de l</w:t>
      </w:r>
      <w:r w:rsidR="00B01FE6" w:rsidRPr="00DD4BCC">
        <w:rPr>
          <w:lang w:val="fr-FR"/>
        </w:rPr>
        <w:t>'</w:t>
      </w:r>
      <w:r w:rsidR="00074E78" w:rsidRPr="00DD4BCC">
        <w:rPr>
          <w:lang w:val="fr-FR"/>
        </w:rPr>
        <w:t>évolution</w:t>
      </w:r>
      <w:r w:rsidRPr="00DD4BCC">
        <w:rPr>
          <w:lang w:val="fr-FR"/>
        </w:rPr>
        <w:t xml:space="preserve"> </w:t>
      </w:r>
      <w:r w:rsidR="00074E78" w:rsidRPr="00DD4BCC">
        <w:rPr>
          <w:lang w:val="fr-FR"/>
        </w:rPr>
        <w:t xml:space="preserve">de </w:t>
      </w:r>
      <w:r w:rsidRPr="00DD4BCC">
        <w:rPr>
          <w:lang w:val="fr-FR"/>
        </w:rPr>
        <w:t xml:space="preserve">l'environnement interne et externe </w:t>
      </w:r>
      <w:r w:rsidR="00074E78" w:rsidRPr="00DD4BCC">
        <w:rPr>
          <w:lang w:val="fr-FR"/>
        </w:rPr>
        <w:t>susceptible</w:t>
      </w:r>
      <w:r w:rsidR="00CF6619" w:rsidRPr="00DD4BCC">
        <w:rPr>
          <w:lang w:val="fr-FR"/>
        </w:rPr>
        <w:t xml:space="preserve"> </w:t>
      </w:r>
      <w:r w:rsidRPr="00DD4BCC">
        <w:rPr>
          <w:lang w:val="fr-FR"/>
        </w:rPr>
        <w:t xml:space="preserve">d'influer sur la mise en </w:t>
      </w:r>
      <w:r w:rsidR="00026CB2" w:rsidRPr="00DD4BCC">
        <w:rPr>
          <w:lang w:val="fr-FR"/>
        </w:rPr>
        <w:t>œuvre</w:t>
      </w:r>
      <w:r w:rsidRPr="00DD4BCC">
        <w:rPr>
          <w:lang w:val="fr-FR"/>
        </w:rPr>
        <w:t xml:space="preserve"> des plans opérationnels de l'UIT-D.</w:t>
      </w:r>
    </w:p>
    <w:tbl>
      <w:tblPr>
        <w:tblStyle w:val="GridTable4-Accent11"/>
        <w:tblW w:w="9085" w:type="dxa"/>
        <w:jc w:val="center"/>
        <w:tblLayout w:type="fixed"/>
        <w:tblLook w:val="06A0" w:firstRow="1" w:lastRow="0" w:firstColumn="1" w:lastColumn="0" w:noHBand="1" w:noVBand="1"/>
      </w:tblPr>
      <w:tblGrid>
        <w:gridCol w:w="1413"/>
        <w:gridCol w:w="1282"/>
        <w:gridCol w:w="1269"/>
        <w:gridCol w:w="1276"/>
        <w:gridCol w:w="3845"/>
      </w:tblGrid>
      <w:tr w:rsidR="00E80210" w:rsidRPr="00DD4BCC" w14:paraId="499F6A6D" w14:textId="77777777" w:rsidTr="00C3011A">
        <w:trPr>
          <w:cnfStyle w:val="100000000000" w:firstRow="1" w:lastRow="0" w:firstColumn="0" w:lastColumn="0" w:oddVBand="0" w:evenVBand="0" w:oddHBand="0" w:evenHBand="0" w:firstRowFirstColumn="0" w:firstRowLastColumn="0" w:lastRowFirstColumn="0" w:lastRowLastColumn="0"/>
          <w:trHeight w:val="799"/>
          <w:jc w:val="center"/>
        </w:trPr>
        <w:tc>
          <w:tcPr>
            <w:cnfStyle w:val="001000000000" w:firstRow="0" w:lastRow="0" w:firstColumn="1" w:lastColumn="0" w:oddVBand="0" w:evenVBand="0" w:oddHBand="0" w:evenHBand="0" w:firstRowFirstColumn="0" w:firstRowLastColumn="0" w:lastRowFirstColumn="0" w:lastRowLastColumn="0"/>
            <w:tcW w:w="1413" w:type="dxa"/>
          </w:tcPr>
          <w:p w14:paraId="6D0665C3" w14:textId="77777777" w:rsidR="00E80210" w:rsidRPr="00DD4BCC" w:rsidRDefault="00E80210" w:rsidP="008D5379">
            <w:pPr>
              <w:pStyle w:val="Tablehead"/>
              <w:keepLines/>
              <w:rPr>
                <w:rFonts w:ascii="Calibri" w:hAnsi="Calibri"/>
                <w:b/>
                <w:bCs w:val="0"/>
                <w:sz w:val="18"/>
                <w:szCs w:val="18"/>
                <w:lang w:val="fr-FR"/>
              </w:rPr>
            </w:pPr>
            <w:r w:rsidRPr="00DD4BCC">
              <w:rPr>
                <w:b/>
                <w:bCs w:val="0"/>
                <w:sz w:val="18"/>
                <w:szCs w:val="18"/>
                <w:lang w:val="fr-FR"/>
              </w:rPr>
              <w:lastRenderedPageBreak/>
              <w:t>Perspective</w:t>
            </w:r>
          </w:p>
        </w:tc>
        <w:tc>
          <w:tcPr>
            <w:tcW w:w="1282" w:type="dxa"/>
          </w:tcPr>
          <w:p w14:paraId="297ACA46" w14:textId="77777777" w:rsidR="00E80210" w:rsidRPr="00DD4BCC" w:rsidRDefault="00E80210" w:rsidP="008D5379">
            <w:pPr>
              <w:pStyle w:val="Tablehead"/>
              <w:keepLines/>
              <w:cnfStyle w:val="100000000000" w:firstRow="1" w:lastRow="0" w:firstColumn="0" w:lastColumn="0" w:oddVBand="0" w:evenVBand="0" w:oddHBand="0" w:evenHBand="0" w:firstRowFirstColumn="0" w:firstRowLastColumn="0" w:lastRowFirstColumn="0" w:lastRowLastColumn="0"/>
              <w:rPr>
                <w:rFonts w:ascii="Calibri" w:hAnsi="Calibri"/>
                <w:b/>
                <w:bCs w:val="0"/>
                <w:sz w:val="18"/>
                <w:szCs w:val="18"/>
                <w:lang w:val="fr-FR"/>
              </w:rPr>
            </w:pPr>
            <w:r w:rsidRPr="00DD4BCC">
              <w:rPr>
                <w:b/>
                <w:bCs w:val="0"/>
                <w:sz w:val="18"/>
                <w:szCs w:val="18"/>
                <w:lang w:val="fr-FR"/>
              </w:rPr>
              <w:t>Description du risque</w:t>
            </w:r>
          </w:p>
        </w:tc>
        <w:tc>
          <w:tcPr>
            <w:tcW w:w="1269" w:type="dxa"/>
          </w:tcPr>
          <w:p w14:paraId="66AEB093" w14:textId="77777777" w:rsidR="00E80210" w:rsidRPr="00DD4BCC" w:rsidRDefault="00E80210" w:rsidP="008D5379">
            <w:pPr>
              <w:pStyle w:val="Tablehead"/>
              <w:keepLines/>
              <w:cnfStyle w:val="100000000000" w:firstRow="1" w:lastRow="0" w:firstColumn="0" w:lastColumn="0" w:oddVBand="0" w:evenVBand="0" w:oddHBand="0" w:evenHBand="0" w:firstRowFirstColumn="0" w:firstRowLastColumn="0" w:lastRowFirstColumn="0" w:lastRowLastColumn="0"/>
              <w:rPr>
                <w:rFonts w:ascii="Calibri" w:hAnsi="Calibri"/>
                <w:b/>
                <w:bCs w:val="0"/>
                <w:sz w:val="18"/>
                <w:szCs w:val="18"/>
                <w:lang w:val="fr-FR"/>
              </w:rPr>
            </w:pPr>
            <w:r w:rsidRPr="00DD4BCC">
              <w:rPr>
                <w:b/>
                <w:bCs w:val="0"/>
                <w:sz w:val="18"/>
                <w:szCs w:val="18"/>
                <w:lang w:val="fr-FR"/>
              </w:rPr>
              <w:t>Probabilité</w:t>
            </w:r>
          </w:p>
        </w:tc>
        <w:tc>
          <w:tcPr>
            <w:tcW w:w="1276" w:type="dxa"/>
          </w:tcPr>
          <w:p w14:paraId="56B8ECBD" w14:textId="77777777" w:rsidR="00E80210" w:rsidRPr="00DD4BCC" w:rsidRDefault="00E80210" w:rsidP="008D5379">
            <w:pPr>
              <w:pStyle w:val="Tablehead"/>
              <w:keepLines/>
              <w:cnfStyle w:val="100000000000" w:firstRow="1" w:lastRow="0" w:firstColumn="0" w:lastColumn="0" w:oddVBand="0" w:evenVBand="0" w:oddHBand="0" w:evenHBand="0" w:firstRowFirstColumn="0" w:firstRowLastColumn="0" w:lastRowFirstColumn="0" w:lastRowLastColumn="0"/>
              <w:rPr>
                <w:rFonts w:ascii="Calibri" w:hAnsi="Calibri"/>
                <w:b/>
                <w:bCs w:val="0"/>
                <w:sz w:val="18"/>
                <w:szCs w:val="18"/>
                <w:lang w:val="fr-FR"/>
              </w:rPr>
            </w:pPr>
            <w:r w:rsidRPr="00DD4BCC">
              <w:rPr>
                <w:b/>
                <w:bCs w:val="0"/>
                <w:sz w:val="18"/>
                <w:szCs w:val="18"/>
                <w:lang w:val="fr-FR"/>
              </w:rPr>
              <w:t>Niveau d'incidence</w:t>
            </w:r>
          </w:p>
        </w:tc>
        <w:tc>
          <w:tcPr>
            <w:tcW w:w="3845" w:type="dxa"/>
          </w:tcPr>
          <w:p w14:paraId="0F5EF9BC" w14:textId="77777777" w:rsidR="00E80210" w:rsidRPr="00DD4BCC" w:rsidRDefault="00E80210" w:rsidP="008D5379">
            <w:pPr>
              <w:pStyle w:val="Tablehead"/>
              <w:keepLines/>
              <w:cnfStyle w:val="100000000000" w:firstRow="1" w:lastRow="0" w:firstColumn="0" w:lastColumn="0" w:oddVBand="0" w:evenVBand="0" w:oddHBand="0" w:evenHBand="0" w:firstRowFirstColumn="0" w:firstRowLastColumn="0" w:lastRowFirstColumn="0" w:lastRowLastColumn="0"/>
              <w:rPr>
                <w:rFonts w:ascii="Calibri" w:hAnsi="Calibri"/>
                <w:b/>
                <w:bCs w:val="0"/>
                <w:sz w:val="18"/>
                <w:szCs w:val="18"/>
                <w:lang w:val="fr-FR"/>
              </w:rPr>
            </w:pPr>
            <w:r w:rsidRPr="00DD4BCC">
              <w:rPr>
                <w:b/>
                <w:bCs w:val="0"/>
                <w:sz w:val="18"/>
                <w:szCs w:val="18"/>
                <w:lang w:val="fr-FR"/>
              </w:rPr>
              <w:t>Atténuation</w:t>
            </w:r>
            <w:r w:rsidRPr="00A36690">
              <w:rPr>
                <w:rStyle w:val="FootnoteReference"/>
                <w:sz w:val="16"/>
                <w:szCs w:val="16"/>
                <w:lang w:val="fr-FR"/>
              </w:rPr>
              <w:footnoteReference w:id="2"/>
            </w:r>
          </w:p>
        </w:tc>
      </w:tr>
      <w:tr w:rsidR="00E80210" w:rsidRPr="00DD4BCC" w14:paraId="05641EC1" w14:textId="77777777" w:rsidTr="00C3011A">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03C2BC3B" w14:textId="77777777" w:rsidR="00E80210" w:rsidRPr="00DD4BCC" w:rsidRDefault="00E80210" w:rsidP="008D5379">
            <w:pPr>
              <w:pStyle w:val="Tabletext"/>
              <w:keepNext/>
              <w:keepLines/>
              <w:jc w:val="left"/>
              <w:rPr>
                <w:rFonts w:ascii="Calibri" w:hAnsi="Calibri" w:cs="Calibri"/>
                <w:sz w:val="18"/>
                <w:szCs w:val="18"/>
                <w:lang w:val="fr-FR"/>
              </w:rPr>
            </w:pPr>
            <w:r w:rsidRPr="00DD4BCC">
              <w:rPr>
                <w:sz w:val="18"/>
                <w:szCs w:val="18"/>
                <w:lang w:val="fr-FR"/>
              </w:rPr>
              <w:t>Financement</w:t>
            </w:r>
          </w:p>
        </w:tc>
        <w:tc>
          <w:tcPr>
            <w:tcW w:w="1282" w:type="dxa"/>
          </w:tcPr>
          <w:p w14:paraId="60BBD4BC" w14:textId="0EDA0EE5" w:rsidR="00E80210" w:rsidRPr="00DD4BCC" w:rsidRDefault="00E80210" w:rsidP="008D5379">
            <w:pPr>
              <w:pStyle w:val="Tabletext"/>
              <w:keepNext/>
              <w:keepLines/>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Manque de ressources/</w:t>
            </w:r>
            <w:r w:rsidR="00026CB2" w:rsidRPr="00DD4BCC">
              <w:rPr>
                <w:sz w:val="18"/>
                <w:szCs w:val="18"/>
                <w:lang w:val="fr-FR"/>
              </w:rPr>
              <w:br/>
            </w:r>
            <w:r w:rsidRPr="00DD4BCC">
              <w:rPr>
                <w:sz w:val="18"/>
                <w:szCs w:val="18"/>
                <w:lang w:val="fr-FR"/>
              </w:rPr>
              <w:t>financement insuffisant</w:t>
            </w:r>
          </w:p>
        </w:tc>
        <w:tc>
          <w:tcPr>
            <w:tcW w:w="1269" w:type="dxa"/>
          </w:tcPr>
          <w:p w14:paraId="20DD1E12" w14:textId="77777777" w:rsidR="00E80210" w:rsidRPr="00DD4BCC" w:rsidRDefault="00E80210" w:rsidP="008D5379">
            <w:pPr>
              <w:pStyle w:val="Tabletext"/>
              <w:keepNext/>
              <w:keepLines/>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 xml:space="preserve">Moyenne </w:t>
            </w:r>
          </w:p>
        </w:tc>
        <w:tc>
          <w:tcPr>
            <w:tcW w:w="1276" w:type="dxa"/>
          </w:tcPr>
          <w:p w14:paraId="5DD74FFC" w14:textId="77777777" w:rsidR="00E80210" w:rsidRPr="00DD4BCC" w:rsidRDefault="00E80210" w:rsidP="008D5379">
            <w:pPr>
              <w:pStyle w:val="Tabletext"/>
              <w:keepNext/>
              <w:keepLines/>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Élevé</w:t>
            </w:r>
          </w:p>
        </w:tc>
        <w:tc>
          <w:tcPr>
            <w:tcW w:w="3845" w:type="dxa"/>
          </w:tcPr>
          <w:p w14:paraId="28246046" w14:textId="0E67D851" w:rsidR="00E80210" w:rsidRPr="00DD4BCC" w:rsidRDefault="008D5379" w:rsidP="008D5379">
            <w:pPr>
              <w:pStyle w:val="Tabletext"/>
              <w:keepNext/>
              <w:keepLines/>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E80210" w:rsidRPr="00DD4BCC">
              <w:rPr>
                <w:sz w:val="18"/>
                <w:szCs w:val="18"/>
                <w:lang w:val="fr-FR"/>
              </w:rPr>
              <w:t>Élaboration de prévisions budgétaires appropriées.</w:t>
            </w:r>
          </w:p>
          <w:p w14:paraId="168E1C39" w14:textId="71EF7DBD" w:rsidR="00E80210" w:rsidRPr="00DD4BCC" w:rsidRDefault="008D5379" w:rsidP="008D5379">
            <w:pPr>
              <w:pStyle w:val="Tabletext"/>
              <w:keepNext/>
              <w:keepLines/>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E80210" w:rsidRPr="00DD4BCC">
              <w:rPr>
                <w:sz w:val="18"/>
                <w:szCs w:val="18"/>
                <w:lang w:val="fr-FR"/>
              </w:rPr>
              <w:t xml:space="preserve">Élaboration de stratégies de mise en </w:t>
            </w:r>
            <w:r w:rsidR="006A0F55" w:rsidRPr="00DD4BCC">
              <w:rPr>
                <w:sz w:val="18"/>
                <w:szCs w:val="18"/>
                <w:lang w:val="fr-FR"/>
              </w:rPr>
              <w:t>œuvre</w:t>
            </w:r>
            <w:r w:rsidR="00E80210" w:rsidRPr="00DD4BCC">
              <w:rPr>
                <w:sz w:val="18"/>
                <w:szCs w:val="18"/>
                <w:lang w:val="fr-FR"/>
              </w:rPr>
              <w:t xml:space="preserve"> adaptées pour réduire les coûts et améliorer l'efficacité.</w:t>
            </w:r>
          </w:p>
          <w:p w14:paraId="64DD726C" w14:textId="0BB7BB57" w:rsidR="00E80210" w:rsidRPr="00DD4BCC" w:rsidRDefault="008D5379" w:rsidP="008D5379">
            <w:pPr>
              <w:pStyle w:val="Tabletext"/>
              <w:keepNext/>
              <w:keepLines/>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E80210" w:rsidRPr="00DD4BCC">
              <w:rPr>
                <w:sz w:val="18"/>
                <w:szCs w:val="18"/>
                <w:lang w:val="fr-FR"/>
              </w:rPr>
              <w:t>Mobilisation de ressources supplémentaires/extrabudgétaires, s'il y a lieu.</w:t>
            </w:r>
          </w:p>
          <w:p w14:paraId="1E7B9086" w14:textId="229ABFDD" w:rsidR="00E80210" w:rsidRPr="00DD4BCC" w:rsidRDefault="008D5379" w:rsidP="008D5379">
            <w:pPr>
              <w:pStyle w:val="Tabletext"/>
              <w:keepNext/>
              <w:keepLines/>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E80210" w:rsidRPr="00DD4BCC">
              <w:rPr>
                <w:sz w:val="18"/>
                <w:szCs w:val="18"/>
                <w:lang w:val="fr-FR"/>
              </w:rPr>
              <w:t>Développement de nouveaux partenariats.</w:t>
            </w:r>
          </w:p>
        </w:tc>
      </w:tr>
      <w:tr w:rsidR="00E80210" w:rsidRPr="00970D1B" w14:paraId="1AE36097" w14:textId="77777777" w:rsidTr="00C3011A">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6CFC7CD2" w14:textId="77777777" w:rsidR="00E80210" w:rsidRPr="00DD4BCC" w:rsidRDefault="00E80210" w:rsidP="008D5379">
            <w:pPr>
              <w:pStyle w:val="Tabletext"/>
              <w:keepNext/>
              <w:keepLines/>
              <w:jc w:val="left"/>
              <w:rPr>
                <w:rFonts w:ascii="Calibri" w:hAnsi="Calibri" w:cs="Calibri"/>
                <w:sz w:val="18"/>
                <w:szCs w:val="18"/>
                <w:lang w:val="fr-FR"/>
              </w:rPr>
            </w:pPr>
            <w:r w:rsidRPr="00DD4BCC">
              <w:rPr>
                <w:sz w:val="18"/>
                <w:szCs w:val="18"/>
                <w:lang w:val="fr-FR"/>
              </w:rPr>
              <w:t>Ressources humaines</w:t>
            </w:r>
          </w:p>
        </w:tc>
        <w:tc>
          <w:tcPr>
            <w:tcW w:w="1282" w:type="dxa"/>
          </w:tcPr>
          <w:p w14:paraId="2D4D72A9" w14:textId="77777777" w:rsidR="00E80210" w:rsidRPr="00DD4BCC" w:rsidRDefault="00E80210" w:rsidP="008D5379">
            <w:pPr>
              <w:pStyle w:val="Tabletext"/>
              <w:keepNext/>
              <w:keepLines/>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FR"/>
              </w:rPr>
            </w:pPr>
            <w:r w:rsidRPr="00DD4BCC">
              <w:rPr>
                <w:sz w:val="18"/>
                <w:szCs w:val="18"/>
                <w:lang w:val="fr-FR"/>
              </w:rPr>
              <w:t>Manque d'experts qualifiés dans le domaine d'activité</w:t>
            </w:r>
          </w:p>
        </w:tc>
        <w:tc>
          <w:tcPr>
            <w:tcW w:w="1269" w:type="dxa"/>
          </w:tcPr>
          <w:p w14:paraId="0F34864E" w14:textId="77777777" w:rsidR="00E80210" w:rsidRPr="00DD4BCC" w:rsidRDefault="00E80210" w:rsidP="008D5379">
            <w:pPr>
              <w:pStyle w:val="Tabletext"/>
              <w:keepNext/>
              <w:keepLines/>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FR"/>
              </w:rPr>
            </w:pPr>
            <w:r w:rsidRPr="00DD4BCC">
              <w:rPr>
                <w:sz w:val="18"/>
                <w:szCs w:val="18"/>
                <w:lang w:val="fr-FR"/>
              </w:rPr>
              <w:t>Élevée</w:t>
            </w:r>
          </w:p>
        </w:tc>
        <w:tc>
          <w:tcPr>
            <w:tcW w:w="1276" w:type="dxa"/>
          </w:tcPr>
          <w:p w14:paraId="6D1107B2" w14:textId="77777777" w:rsidR="00E80210" w:rsidRPr="00DD4BCC" w:rsidRDefault="00E80210" w:rsidP="008D5379">
            <w:pPr>
              <w:pStyle w:val="Tabletext"/>
              <w:keepNext/>
              <w:keepLines/>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FR"/>
              </w:rPr>
            </w:pPr>
            <w:r w:rsidRPr="00DD4BCC">
              <w:rPr>
                <w:sz w:val="18"/>
                <w:szCs w:val="18"/>
                <w:lang w:val="fr-FR"/>
              </w:rPr>
              <w:t>Élevé</w:t>
            </w:r>
          </w:p>
        </w:tc>
        <w:tc>
          <w:tcPr>
            <w:tcW w:w="3845" w:type="dxa"/>
          </w:tcPr>
          <w:p w14:paraId="41611BB2" w14:textId="25BF5129" w:rsidR="00E80210" w:rsidRPr="00DD4BCC" w:rsidRDefault="008D5379" w:rsidP="008D5379">
            <w:pPr>
              <w:pStyle w:val="Tabletext"/>
              <w:keepNext/>
              <w:keepLines/>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E80210" w:rsidRPr="00DD4BCC">
              <w:rPr>
                <w:sz w:val="18"/>
                <w:szCs w:val="18"/>
                <w:lang w:val="fr-FR"/>
              </w:rPr>
              <w:t xml:space="preserve">Anticiper les besoins de ressources et engager les procédures de recrutement et d'achat </w:t>
            </w:r>
            <w:r w:rsidR="006A0F55" w:rsidRPr="00DD4BCC">
              <w:rPr>
                <w:sz w:val="18"/>
                <w:szCs w:val="18"/>
                <w:lang w:val="fr-FR"/>
              </w:rPr>
              <w:t>en temps voulu.</w:t>
            </w:r>
          </w:p>
          <w:p w14:paraId="45704206" w14:textId="37995D7F" w:rsidR="00E80210" w:rsidRPr="00DD4BCC" w:rsidRDefault="008D5379" w:rsidP="008D5379">
            <w:pPr>
              <w:pStyle w:val="Tabletext"/>
              <w:keepNext/>
              <w:keepLines/>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E80210" w:rsidRPr="00DD4BCC">
              <w:rPr>
                <w:sz w:val="18"/>
                <w:szCs w:val="18"/>
                <w:lang w:val="fr-FR"/>
              </w:rPr>
              <w:t>Créer, tenir à jour et alimenter davantage un</w:t>
            </w:r>
            <w:r w:rsidR="00C43CD0" w:rsidRPr="00DD4BCC">
              <w:rPr>
                <w:sz w:val="18"/>
                <w:szCs w:val="18"/>
                <w:lang w:val="fr-FR"/>
              </w:rPr>
              <w:t xml:space="preserve"> fichier </w:t>
            </w:r>
            <w:r w:rsidR="00E80210" w:rsidRPr="00DD4BCC">
              <w:rPr>
                <w:sz w:val="18"/>
                <w:szCs w:val="18"/>
                <w:lang w:val="fr-FR"/>
              </w:rPr>
              <w:t>d'experts</w:t>
            </w:r>
            <w:r w:rsidR="00C43CD0" w:rsidRPr="00DD4BCC">
              <w:rPr>
                <w:sz w:val="18"/>
                <w:szCs w:val="18"/>
                <w:lang w:val="fr-FR"/>
              </w:rPr>
              <w:t>.</w:t>
            </w:r>
          </w:p>
          <w:p w14:paraId="7EA1A928" w14:textId="11A4B58B" w:rsidR="00E80210" w:rsidRPr="00DD4BCC" w:rsidRDefault="008D5379" w:rsidP="008D5379">
            <w:pPr>
              <w:pStyle w:val="Tabletext"/>
              <w:keepNext/>
              <w:keepLines/>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FR"/>
              </w:rPr>
            </w:pPr>
            <w:r w:rsidRPr="00DD4BCC">
              <w:rPr>
                <w:sz w:val="18"/>
                <w:szCs w:val="18"/>
                <w:lang w:val="fr-FR"/>
              </w:rPr>
              <w:t>•</w:t>
            </w:r>
            <w:r w:rsidRPr="00DD4BCC">
              <w:rPr>
                <w:sz w:val="18"/>
                <w:szCs w:val="18"/>
                <w:lang w:val="fr-FR"/>
              </w:rPr>
              <w:tab/>
            </w:r>
            <w:r w:rsidR="00E80210" w:rsidRPr="00DD4BCC">
              <w:rPr>
                <w:sz w:val="18"/>
                <w:szCs w:val="18"/>
                <w:lang w:val="fr-FR"/>
              </w:rPr>
              <w:t xml:space="preserve">Renforcer les compétences </w:t>
            </w:r>
            <w:r w:rsidR="00FF0E6A" w:rsidRPr="00DD4BCC">
              <w:rPr>
                <w:sz w:val="18"/>
                <w:szCs w:val="18"/>
                <w:lang w:val="fr-FR"/>
              </w:rPr>
              <w:t>spécialisées</w:t>
            </w:r>
            <w:r w:rsidR="00E80210" w:rsidRPr="00DD4BCC">
              <w:rPr>
                <w:sz w:val="18"/>
                <w:szCs w:val="18"/>
                <w:lang w:val="fr-FR"/>
              </w:rPr>
              <w:t xml:space="preserve"> internes dans des domaines importants</w:t>
            </w:r>
            <w:r w:rsidR="00FF0E6A" w:rsidRPr="00DD4BCC">
              <w:rPr>
                <w:sz w:val="18"/>
                <w:szCs w:val="18"/>
                <w:lang w:val="fr-FR"/>
              </w:rPr>
              <w:t>.</w:t>
            </w:r>
          </w:p>
        </w:tc>
      </w:tr>
      <w:tr w:rsidR="00E80210" w:rsidRPr="00970D1B" w14:paraId="5EE3A115" w14:textId="77777777" w:rsidTr="00C3011A">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1FFD3A7A" w14:textId="4497CE81" w:rsidR="00E80210" w:rsidRPr="00DD4BCC" w:rsidRDefault="00E80210" w:rsidP="008D5379">
            <w:pPr>
              <w:pStyle w:val="Tabletext"/>
              <w:jc w:val="left"/>
              <w:rPr>
                <w:rFonts w:ascii="Calibri" w:hAnsi="Calibri" w:cs="Calibri"/>
                <w:sz w:val="18"/>
                <w:szCs w:val="18"/>
                <w:lang w:val="fr-FR"/>
              </w:rPr>
            </w:pPr>
            <w:r w:rsidRPr="00DD4BCC">
              <w:rPr>
                <w:sz w:val="18"/>
                <w:szCs w:val="18"/>
                <w:lang w:val="fr-FR"/>
              </w:rPr>
              <w:t>Parties prenantes/</w:t>
            </w:r>
            <w:r w:rsidR="00026CB2" w:rsidRPr="00DD4BCC">
              <w:rPr>
                <w:sz w:val="18"/>
                <w:szCs w:val="18"/>
                <w:lang w:val="fr-FR"/>
              </w:rPr>
              <w:br/>
            </w:r>
            <w:r w:rsidRPr="00DD4BCC">
              <w:rPr>
                <w:sz w:val="18"/>
                <w:szCs w:val="18"/>
                <w:lang w:val="fr-FR"/>
              </w:rPr>
              <w:t>partenaires</w:t>
            </w:r>
          </w:p>
        </w:tc>
        <w:tc>
          <w:tcPr>
            <w:tcW w:w="1282" w:type="dxa"/>
          </w:tcPr>
          <w:p w14:paraId="50B927F2" w14:textId="565A0BA0" w:rsidR="00E80210" w:rsidRPr="00DD4BCC" w:rsidRDefault="00E80210" w:rsidP="008D5379">
            <w:pPr>
              <w:pStyle w:val="Tabletext"/>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Manque de soutien/</w:t>
            </w:r>
            <w:r w:rsidR="0062057E" w:rsidRPr="00DD4BCC">
              <w:rPr>
                <w:sz w:val="18"/>
                <w:szCs w:val="18"/>
                <w:lang w:val="fr-FR"/>
              </w:rPr>
              <w:br/>
            </w:r>
            <w:r w:rsidRPr="00DD4BCC">
              <w:rPr>
                <w:sz w:val="18"/>
                <w:szCs w:val="18"/>
                <w:lang w:val="fr-FR"/>
              </w:rPr>
              <w:t>d'engagement de la part des partenaires et des pays</w:t>
            </w:r>
          </w:p>
        </w:tc>
        <w:tc>
          <w:tcPr>
            <w:tcW w:w="1269" w:type="dxa"/>
          </w:tcPr>
          <w:p w14:paraId="6A3E4FA5" w14:textId="77777777" w:rsidR="00E80210" w:rsidRPr="00DD4BCC" w:rsidRDefault="00E80210" w:rsidP="008D5379">
            <w:pPr>
              <w:pStyle w:val="Tabletext"/>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FR"/>
              </w:rPr>
            </w:pPr>
            <w:r w:rsidRPr="00DD4BCC">
              <w:rPr>
                <w:sz w:val="18"/>
                <w:szCs w:val="18"/>
                <w:lang w:val="fr-FR"/>
              </w:rPr>
              <w:t>Moyenne</w:t>
            </w:r>
          </w:p>
        </w:tc>
        <w:tc>
          <w:tcPr>
            <w:tcW w:w="1276" w:type="dxa"/>
          </w:tcPr>
          <w:p w14:paraId="738259E2" w14:textId="77777777" w:rsidR="00E80210" w:rsidRPr="00DD4BCC" w:rsidRDefault="00E80210" w:rsidP="008D5379">
            <w:pPr>
              <w:pStyle w:val="Tabletext"/>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FR"/>
              </w:rPr>
            </w:pPr>
            <w:r w:rsidRPr="00DD4BCC">
              <w:rPr>
                <w:sz w:val="18"/>
                <w:szCs w:val="18"/>
                <w:lang w:val="fr-FR"/>
              </w:rPr>
              <w:t>Moyen</w:t>
            </w:r>
          </w:p>
        </w:tc>
        <w:tc>
          <w:tcPr>
            <w:tcW w:w="3845" w:type="dxa"/>
          </w:tcPr>
          <w:p w14:paraId="6ABF3759" w14:textId="76D55841" w:rsidR="00E80210" w:rsidRPr="00DD4BCC" w:rsidRDefault="008D5379" w:rsidP="008D5379">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E80210" w:rsidRPr="00DD4BCC">
              <w:rPr>
                <w:sz w:val="18"/>
                <w:szCs w:val="18"/>
                <w:lang w:val="fr-FR"/>
              </w:rPr>
              <w:t xml:space="preserve">Assurer et renforcer la coopération avec les États Membres de façon à garantir un niveau de participation </w:t>
            </w:r>
            <w:r w:rsidR="00074E78" w:rsidRPr="00DD4BCC">
              <w:rPr>
                <w:sz w:val="18"/>
                <w:szCs w:val="18"/>
                <w:lang w:val="fr-FR"/>
              </w:rPr>
              <w:t>approprié</w:t>
            </w:r>
            <w:r w:rsidR="00CF6619" w:rsidRPr="00DD4BCC">
              <w:rPr>
                <w:sz w:val="18"/>
                <w:szCs w:val="18"/>
                <w:lang w:val="fr-FR"/>
              </w:rPr>
              <w:t xml:space="preserve"> </w:t>
            </w:r>
            <w:r w:rsidR="00E80210" w:rsidRPr="00DD4BCC">
              <w:rPr>
                <w:sz w:val="18"/>
                <w:szCs w:val="18"/>
                <w:lang w:val="fr-FR"/>
              </w:rPr>
              <w:t>des pays.</w:t>
            </w:r>
          </w:p>
          <w:p w14:paraId="25527343" w14:textId="236C4DC9" w:rsidR="000E605A" w:rsidRPr="00DD4BCC" w:rsidRDefault="008D5379" w:rsidP="008D5379">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0E605A" w:rsidRPr="00DD4BCC">
              <w:rPr>
                <w:sz w:val="18"/>
                <w:szCs w:val="18"/>
                <w:lang w:val="fr-FR"/>
              </w:rPr>
              <w:t>Assurer une coordination avec les Bureaux des coord</w:t>
            </w:r>
            <w:r w:rsidR="00A36690">
              <w:rPr>
                <w:sz w:val="18"/>
                <w:szCs w:val="18"/>
                <w:lang w:val="fr-FR"/>
              </w:rPr>
              <w:t>onnateurs résidents des Nations </w:t>
            </w:r>
            <w:r w:rsidR="000E605A" w:rsidRPr="00DD4BCC">
              <w:rPr>
                <w:sz w:val="18"/>
                <w:szCs w:val="18"/>
                <w:lang w:val="fr-FR"/>
              </w:rPr>
              <w:t xml:space="preserve">Unies et le Département de la sûreté et de la sécurité </w:t>
            </w:r>
            <w:r w:rsidR="0062057E" w:rsidRPr="00DD4BCC">
              <w:rPr>
                <w:sz w:val="18"/>
                <w:szCs w:val="18"/>
                <w:lang w:val="fr-FR"/>
              </w:rPr>
              <w:t xml:space="preserve">de l'Organisation des Nations Unies (ONU) </w:t>
            </w:r>
            <w:r w:rsidR="000E605A" w:rsidRPr="00DD4BCC">
              <w:rPr>
                <w:sz w:val="18"/>
                <w:szCs w:val="18"/>
                <w:lang w:val="fr-FR"/>
              </w:rPr>
              <w:t>pour appréhender et évaluer les risques propres à chaque pays.</w:t>
            </w:r>
          </w:p>
          <w:p w14:paraId="44BB4219" w14:textId="490E0F39" w:rsidR="00E80210" w:rsidRPr="00DD4BCC" w:rsidRDefault="008D5379" w:rsidP="008D5379">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E80210" w:rsidRPr="00DD4BCC">
              <w:rPr>
                <w:sz w:val="18"/>
                <w:szCs w:val="18"/>
                <w:lang w:val="fr-FR"/>
              </w:rPr>
              <w:t xml:space="preserve">Mettre au point de nouveaux mécanismes de mise en </w:t>
            </w:r>
            <w:r w:rsidR="0059527A" w:rsidRPr="00DD4BCC">
              <w:rPr>
                <w:sz w:val="18"/>
                <w:szCs w:val="18"/>
                <w:lang w:val="fr-FR"/>
              </w:rPr>
              <w:t>œuvre</w:t>
            </w:r>
            <w:r w:rsidR="00E80210" w:rsidRPr="00DD4BCC">
              <w:rPr>
                <w:sz w:val="18"/>
                <w:szCs w:val="18"/>
                <w:lang w:val="fr-FR"/>
              </w:rPr>
              <w:t xml:space="preserve"> et de renforcement des capacités pour renforcer</w:t>
            </w:r>
            <w:r w:rsidR="00CF6619" w:rsidRPr="00DD4BCC">
              <w:rPr>
                <w:sz w:val="18"/>
                <w:szCs w:val="18"/>
                <w:lang w:val="fr-FR"/>
              </w:rPr>
              <w:t xml:space="preserve"> </w:t>
            </w:r>
            <w:r w:rsidR="00074E78" w:rsidRPr="00DD4BCC">
              <w:rPr>
                <w:sz w:val="18"/>
                <w:szCs w:val="18"/>
                <w:lang w:val="fr-FR"/>
              </w:rPr>
              <w:t xml:space="preserve">la maîtrise </w:t>
            </w:r>
            <w:r w:rsidR="00E80210" w:rsidRPr="00DD4BCC">
              <w:rPr>
                <w:sz w:val="18"/>
                <w:szCs w:val="18"/>
                <w:lang w:val="fr-FR"/>
              </w:rPr>
              <w:t>par les pays et la</w:t>
            </w:r>
            <w:r w:rsidR="00CF6619" w:rsidRPr="00DD4BCC">
              <w:rPr>
                <w:sz w:val="18"/>
                <w:szCs w:val="18"/>
                <w:lang w:val="fr-FR"/>
              </w:rPr>
              <w:t xml:space="preserve"> </w:t>
            </w:r>
            <w:r w:rsidR="00074E78" w:rsidRPr="00DD4BCC">
              <w:rPr>
                <w:sz w:val="18"/>
                <w:szCs w:val="18"/>
                <w:lang w:val="fr-FR"/>
              </w:rPr>
              <w:t xml:space="preserve">viabilité </w:t>
            </w:r>
            <w:r w:rsidR="00E80210" w:rsidRPr="00DD4BCC">
              <w:rPr>
                <w:sz w:val="18"/>
                <w:szCs w:val="18"/>
                <w:lang w:val="fr-FR"/>
              </w:rPr>
              <w:t>des interventions.</w:t>
            </w:r>
          </w:p>
        </w:tc>
      </w:tr>
      <w:tr w:rsidR="00E80210" w:rsidRPr="00970D1B" w14:paraId="4C1D0627" w14:textId="77777777" w:rsidTr="00C3011A">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5DA780F6" w14:textId="77777777" w:rsidR="00E80210" w:rsidRPr="00DD4BCC" w:rsidRDefault="00E80210" w:rsidP="008D5379">
            <w:pPr>
              <w:pStyle w:val="Tabletext"/>
              <w:jc w:val="left"/>
              <w:rPr>
                <w:rFonts w:ascii="Calibri" w:hAnsi="Calibri" w:cs="Calibri"/>
                <w:sz w:val="18"/>
                <w:szCs w:val="18"/>
                <w:lang w:val="fr-FR"/>
              </w:rPr>
            </w:pPr>
            <w:r w:rsidRPr="00DD4BCC">
              <w:rPr>
                <w:sz w:val="18"/>
                <w:szCs w:val="18"/>
                <w:lang w:val="fr-FR"/>
              </w:rPr>
              <w:t>Environnement</w:t>
            </w:r>
          </w:p>
        </w:tc>
        <w:tc>
          <w:tcPr>
            <w:tcW w:w="1282" w:type="dxa"/>
          </w:tcPr>
          <w:p w14:paraId="7E0B5181" w14:textId="77777777" w:rsidR="00E80210" w:rsidRPr="00DD4BCC" w:rsidRDefault="00E80210" w:rsidP="008D5379">
            <w:pPr>
              <w:pStyle w:val="Tabletext"/>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fr-FR"/>
              </w:rPr>
            </w:pPr>
            <w:r w:rsidRPr="00DD4BCC">
              <w:rPr>
                <w:sz w:val="18"/>
                <w:szCs w:val="18"/>
                <w:lang w:val="fr-FR"/>
              </w:rPr>
              <w:t>Retards dans les activités des pays dus à des événements imprévus au niveau local</w:t>
            </w:r>
          </w:p>
        </w:tc>
        <w:tc>
          <w:tcPr>
            <w:tcW w:w="1269" w:type="dxa"/>
          </w:tcPr>
          <w:p w14:paraId="1342B089" w14:textId="77777777" w:rsidR="00E80210" w:rsidRPr="00DD4BCC" w:rsidRDefault="00E80210" w:rsidP="008D5379">
            <w:pPr>
              <w:pStyle w:val="Tabletext"/>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FR"/>
              </w:rPr>
            </w:pPr>
            <w:r w:rsidRPr="00DD4BCC">
              <w:rPr>
                <w:sz w:val="18"/>
                <w:szCs w:val="18"/>
                <w:lang w:val="fr-FR"/>
              </w:rPr>
              <w:t>Moyenne</w:t>
            </w:r>
          </w:p>
        </w:tc>
        <w:tc>
          <w:tcPr>
            <w:tcW w:w="1276" w:type="dxa"/>
          </w:tcPr>
          <w:p w14:paraId="007B3630" w14:textId="77777777" w:rsidR="00E80210" w:rsidRPr="00DD4BCC" w:rsidRDefault="00E80210" w:rsidP="008D5379">
            <w:pPr>
              <w:pStyle w:val="Tabletext"/>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FR"/>
              </w:rPr>
            </w:pPr>
            <w:r w:rsidRPr="00DD4BCC">
              <w:rPr>
                <w:sz w:val="18"/>
                <w:szCs w:val="18"/>
                <w:lang w:val="fr-FR"/>
              </w:rPr>
              <w:t>Élevé</w:t>
            </w:r>
          </w:p>
        </w:tc>
        <w:tc>
          <w:tcPr>
            <w:tcW w:w="3845" w:type="dxa"/>
          </w:tcPr>
          <w:p w14:paraId="305F2A54" w14:textId="77777777" w:rsidR="008D5379" w:rsidRPr="00DD4BCC" w:rsidRDefault="008D5379" w:rsidP="008D5379">
            <w:pPr>
              <w:pStyle w:val="Tabletext"/>
              <w:ind w:left="284" w:hanging="284"/>
              <w:jc w:val="left"/>
              <w:cnfStyle w:val="000000000000" w:firstRow="0" w:lastRow="0" w:firstColumn="0" w:lastColumn="0" w:oddVBand="0" w:evenVBand="0" w:oddHBand="0" w:evenHBand="0" w:firstRowFirstColumn="0" w:firstRowLastColumn="0" w:lastRowFirstColumn="0" w:lastRowLastColumn="0"/>
              <w:rPr>
                <w:sz w:val="18"/>
                <w:szCs w:val="18"/>
                <w:lang w:val="fr-FR"/>
              </w:rPr>
            </w:pPr>
            <w:r w:rsidRPr="00DD4BCC">
              <w:rPr>
                <w:sz w:val="18"/>
                <w:szCs w:val="18"/>
                <w:lang w:val="fr-FR"/>
              </w:rPr>
              <w:t>•</w:t>
            </w:r>
            <w:r w:rsidRPr="00DD4BCC">
              <w:rPr>
                <w:sz w:val="18"/>
                <w:szCs w:val="18"/>
                <w:lang w:val="fr-FR"/>
              </w:rPr>
              <w:tab/>
            </w:r>
            <w:r w:rsidR="00E80210" w:rsidRPr="00DD4BCC">
              <w:rPr>
                <w:sz w:val="18"/>
                <w:szCs w:val="18"/>
                <w:lang w:val="fr-FR"/>
              </w:rPr>
              <w:t>Communiquer efficacement avec les partenaires et les donateurs</w:t>
            </w:r>
            <w:r w:rsidR="0059527A" w:rsidRPr="00DD4BCC">
              <w:rPr>
                <w:sz w:val="18"/>
                <w:szCs w:val="18"/>
                <w:lang w:val="fr-FR"/>
              </w:rPr>
              <w:t>.</w:t>
            </w:r>
          </w:p>
          <w:p w14:paraId="19EEF9BD" w14:textId="77777777" w:rsidR="008D5379" w:rsidRPr="00DD4BCC" w:rsidRDefault="008D5379" w:rsidP="008D5379">
            <w:pPr>
              <w:pStyle w:val="Tabletext"/>
              <w:ind w:left="284" w:hanging="284"/>
              <w:jc w:val="left"/>
              <w:cnfStyle w:val="000000000000" w:firstRow="0" w:lastRow="0" w:firstColumn="0" w:lastColumn="0" w:oddVBand="0" w:evenVBand="0" w:oddHBand="0" w:evenHBand="0" w:firstRowFirstColumn="0" w:firstRowLastColumn="0" w:lastRowFirstColumn="0" w:lastRowLastColumn="0"/>
              <w:rPr>
                <w:sz w:val="18"/>
                <w:szCs w:val="18"/>
                <w:lang w:val="fr-FR"/>
              </w:rPr>
            </w:pPr>
            <w:r w:rsidRPr="00DD4BCC">
              <w:rPr>
                <w:sz w:val="18"/>
                <w:szCs w:val="18"/>
                <w:lang w:val="fr-FR"/>
              </w:rPr>
              <w:t>•</w:t>
            </w:r>
            <w:r w:rsidRPr="00DD4BCC">
              <w:rPr>
                <w:sz w:val="18"/>
                <w:szCs w:val="18"/>
                <w:lang w:val="fr-FR"/>
              </w:rPr>
              <w:tab/>
            </w:r>
            <w:r w:rsidR="00E80210" w:rsidRPr="00DD4BCC">
              <w:rPr>
                <w:sz w:val="18"/>
                <w:szCs w:val="18"/>
                <w:lang w:val="fr-FR"/>
              </w:rPr>
              <w:t xml:space="preserve">Mettre au point des mécanismes de mise en </w:t>
            </w:r>
            <w:r w:rsidR="0059527A" w:rsidRPr="00DD4BCC">
              <w:rPr>
                <w:sz w:val="18"/>
                <w:szCs w:val="18"/>
                <w:lang w:val="fr-FR"/>
              </w:rPr>
              <w:t>œuvre</w:t>
            </w:r>
            <w:r w:rsidR="00E80210" w:rsidRPr="00DD4BCC">
              <w:rPr>
                <w:sz w:val="18"/>
                <w:szCs w:val="18"/>
                <w:lang w:val="fr-FR"/>
              </w:rPr>
              <w:t xml:space="preserve"> adaptés et réactifs</w:t>
            </w:r>
            <w:r w:rsidR="0059527A" w:rsidRPr="00DD4BCC">
              <w:rPr>
                <w:sz w:val="18"/>
                <w:szCs w:val="18"/>
                <w:lang w:val="fr-FR"/>
              </w:rPr>
              <w:t>.</w:t>
            </w:r>
          </w:p>
          <w:p w14:paraId="0CD114F0" w14:textId="260C4336" w:rsidR="008D5379" w:rsidRPr="00DD4BCC" w:rsidRDefault="008D5379" w:rsidP="008D5379">
            <w:pPr>
              <w:pStyle w:val="Tabletext"/>
              <w:ind w:left="284" w:hanging="284"/>
              <w:jc w:val="left"/>
              <w:cnfStyle w:val="000000000000" w:firstRow="0" w:lastRow="0" w:firstColumn="0" w:lastColumn="0" w:oddVBand="0" w:evenVBand="0" w:oddHBand="0" w:evenHBand="0" w:firstRowFirstColumn="0" w:firstRowLastColumn="0" w:lastRowFirstColumn="0" w:lastRowLastColumn="0"/>
              <w:rPr>
                <w:sz w:val="18"/>
                <w:szCs w:val="18"/>
                <w:lang w:val="fr-FR"/>
              </w:rPr>
            </w:pPr>
            <w:r w:rsidRPr="00DD4BCC">
              <w:rPr>
                <w:sz w:val="18"/>
                <w:szCs w:val="18"/>
                <w:lang w:val="fr-FR"/>
              </w:rPr>
              <w:t>•</w:t>
            </w:r>
            <w:r w:rsidRPr="00DD4BCC">
              <w:rPr>
                <w:sz w:val="18"/>
                <w:szCs w:val="18"/>
                <w:lang w:val="fr-FR"/>
              </w:rPr>
              <w:tab/>
            </w:r>
            <w:r w:rsidR="00E80210" w:rsidRPr="00DD4BCC">
              <w:rPr>
                <w:sz w:val="18"/>
                <w:szCs w:val="18"/>
                <w:lang w:val="fr-FR"/>
              </w:rPr>
              <w:t>Intégrer la gestion des risques dans la planification des projets et des activités</w:t>
            </w:r>
            <w:r w:rsidR="0059527A" w:rsidRPr="00DD4BCC">
              <w:rPr>
                <w:sz w:val="18"/>
                <w:szCs w:val="18"/>
                <w:lang w:val="fr-FR"/>
              </w:rPr>
              <w:t>.</w:t>
            </w:r>
          </w:p>
        </w:tc>
      </w:tr>
    </w:tbl>
    <w:p w14:paraId="62D01F09" w14:textId="77777777" w:rsidR="00E80210" w:rsidRPr="00DD4BCC" w:rsidRDefault="00E80210"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lang w:val="fr-FR"/>
        </w:rPr>
      </w:pPr>
    </w:p>
    <w:p w14:paraId="65437C8D" w14:textId="77777777" w:rsidR="00E80210" w:rsidRPr="00DD4BCC" w:rsidRDefault="00E80210" w:rsidP="00E80210">
      <w:pPr>
        <w:tabs>
          <w:tab w:val="clear" w:pos="794"/>
          <w:tab w:val="clear" w:pos="1191"/>
          <w:tab w:val="clear" w:pos="1588"/>
          <w:tab w:val="clear" w:pos="1985"/>
        </w:tabs>
        <w:overflowPunct/>
        <w:autoSpaceDE/>
        <w:autoSpaceDN/>
        <w:adjustRightInd/>
        <w:spacing w:before="0" w:after="160" w:line="259" w:lineRule="auto"/>
        <w:ind w:left="720" w:hanging="360"/>
        <w:contextualSpacing/>
        <w:textAlignment w:val="auto"/>
        <w:outlineLvl w:val="0"/>
        <w:rPr>
          <w:rFonts w:ascii="Calibri" w:eastAsia="Calibri" w:hAnsi="Calibri"/>
          <w:b/>
          <w:bCs/>
          <w:sz w:val="22"/>
          <w:szCs w:val="22"/>
          <w:lang w:val="fr-FR"/>
        </w:rPr>
        <w:sectPr w:rsidR="00E80210" w:rsidRPr="00DD4BCC" w:rsidSect="001D2782">
          <w:headerReference w:type="default" r:id="rId16"/>
          <w:footerReference w:type="default" r:id="rId17"/>
          <w:footerReference w:type="first" r:id="rId18"/>
          <w:pgSz w:w="11906" w:h="16838"/>
          <w:pgMar w:top="1440" w:right="1134" w:bottom="1134" w:left="1134" w:header="709" w:footer="709" w:gutter="0"/>
          <w:cols w:space="708"/>
          <w:titlePg/>
          <w:docGrid w:linePitch="360"/>
        </w:sectPr>
      </w:pPr>
    </w:p>
    <w:p w14:paraId="04A8BEFE" w14:textId="5E4BB6BA" w:rsidR="00E80210" w:rsidRPr="00A36690" w:rsidRDefault="00B77967" w:rsidP="00C3011A">
      <w:pPr>
        <w:pStyle w:val="Heading1"/>
        <w:jc w:val="left"/>
        <w:rPr>
          <w:szCs w:val="28"/>
          <w:lang w:val="fr-FR"/>
        </w:rPr>
      </w:pPr>
      <w:r w:rsidRPr="00A36690">
        <w:rPr>
          <w:szCs w:val="28"/>
          <w:lang w:val="fr-FR"/>
        </w:rPr>
        <w:lastRenderedPageBreak/>
        <w:t>3</w:t>
      </w:r>
      <w:r w:rsidRPr="00A36690">
        <w:rPr>
          <w:szCs w:val="28"/>
          <w:lang w:val="fr-FR"/>
        </w:rPr>
        <w:tab/>
        <w:t xml:space="preserve">Cadre des incidences de l'UIT-D pour la mise en </w:t>
      </w:r>
      <w:r w:rsidR="0059527A" w:rsidRPr="00A36690">
        <w:rPr>
          <w:szCs w:val="28"/>
          <w:lang w:val="fr-FR"/>
        </w:rPr>
        <w:t>œuvre</w:t>
      </w:r>
      <w:r w:rsidRPr="00A36690">
        <w:rPr>
          <w:szCs w:val="28"/>
          <w:lang w:val="fr-FR"/>
        </w:rPr>
        <w:t xml:space="preserve"> du Plan d'action de Kigali pour la période 2023-2026</w:t>
      </w:r>
    </w:p>
    <w:p w14:paraId="58B3BCDC" w14:textId="6C5213F5" w:rsidR="00E80210" w:rsidRPr="00DD4BCC" w:rsidRDefault="00E80210" w:rsidP="00C3011A">
      <w:pPr>
        <w:pStyle w:val="Heading2"/>
        <w:spacing w:after="240"/>
        <w:jc w:val="left"/>
        <w:rPr>
          <w:lang w:val="fr-FR"/>
        </w:rPr>
      </w:pPr>
      <w:r w:rsidRPr="00DD4BCC">
        <w:rPr>
          <w:lang w:val="fr-FR"/>
        </w:rPr>
        <w:t>3.1</w:t>
      </w:r>
      <w:r w:rsidRPr="00DD4BCC">
        <w:rPr>
          <w:lang w:val="fr-FR"/>
        </w:rPr>
        <w:tab/>
        <w:t>Priorité 1 de l'UIT-D – Connectivité financièrement abordable</w:t>
      </w:r>
    </w:p>
    <w:tbl>
      <w:tblPr>
        <w:tblStyle w:val="ListTable6Colorful-Accent1"/>
        <w:tblW w:w="1323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800"/>
        <w:gridCol w:w="2919"/>
        <w:gridCol w:w="2409"/>
        <w:gridCol w:w="3042"/>
        <w:gridCol w:w="1084"/>
        <w:gridCol w:w="1079"/>
        <w:gridCol w:w="897"/>
      </w:tblGrid>
      <w:tr w:rsidR="0059527A" w:rsidRPr="00DD4BCC" w14:paraId="618E873A" w14:textId="77777777" w:rsidTr="00EC790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none" w:sz="0" w:space="0" w:color="auto"/>
            </w:tcBorders>
            <w:hideMark/>
          </w:tcPr>
          <w:p w14:paraId="026132AC" w14:textId="474DB698" w:rsidR="00E80210" w:rsidRPr="00DD4BCC" w:rsidRDefault="00051CA5" w:rsidP="00C3011A">
            <w:pPr>
              <w:pStyle w:val="Tablehead"/>
              <w:rPr>
                <w:b/>
                <w:bCs w:val="0"/>
                <w:color w:val="auto"/>
                <w:sz w:val="18"/>
                <w:szCs w:val="18"/>
                <w:lang w:val="fr-FR"/>
              </w:rPr>
            </w:pPr>
            <w:r w:rsidRPr="00DD4BCC">
              <w:rPr>
                <w:b/>
                <w:bCs w:val="0"/>
                <w:color w:val="auto"/>
                <w:sz w:val="18"/>
                <w:szCs w:val="18"/>
                <w:lang w:val="fr-FR"/>
              </w:rPr>
              <w:t>Priorité/thème</w:t>
            </w:r>
          </w:p>
        </w:tc>
        <w:tc>
          <w:tcPr>
            <w:tcW w:w="2919" w:type="dxa"/>
            <w:tcBorders>
              <w:bottom w:val="none" w:sz="0" w:space="0" w:color="auto"/>
            </w:tcBorders>
            <w:hideMark/>
          </w:tcPr>
          <w:p w14:paraId="65E18F6E" w14:textId="1473323B" w:rsidR="00E80210" w:rsidRPr="00DD4BCC" w:rsidRDefault="00E80210" w:rsidP="00C3011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8"/>
                <w:lang w:val="fr-FR"/>
              </w:rPr>
            </w:pPr>
            <w:r w:rsidRPr="00DD4BCC">
              <w:rPr>
                <w:b/>
                <w:bCs w:val="0"/>
                <w:color w:val="auto"/>
                <w:sz w:val="18"/>
                <w:szCs w:val="18"/>
                <w:lang w:val="fr-FR"/>
              </w:rPr>
              <w:t>R</w:t>
            </w:r>
            <w:r w:rsidR="00F56E71" w:rsidRPr="00DD4BCC">
              <w:rPr>
                <w:b/>
                <w:bCs w:val="0"/>
                <w:color w:val="auto"/>
                <w:sz w:val="18"/>
                <w:szCs w:val="18"/>
                <w:lang w:val="fr-FR"/>
              </w:rPr>
              <w:t>éalisation</w:t>
            </w:r>
          </w:p>
        </w:tc>
        <w:tc>
          <w:tcPr>
            <w:tcW w:w="2409" w:type="dxa"/>
            <w:tcBorders>
              <w:bottom w:val="none" w:sz="0" w:space="0" w:color="auto"/>
            </w:tcBorders>
            <w:hideMark/>
          </w:tcPr>
          <w:p w14:paraId="1948497B" w14:textId="734BB0D3" w:rsidR="00E80210" w:rsidRPr="00DD4BCC" w:rsidRDefault="00285165" w:rsidP="00C3011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8"/>
                <w:lang w:val="fr-FR"/>
              </w:rPr>
            </w:pPr>
            <w:r w:rsidRPr="00DD4BCC">
              <w:rPr>
                <w:b/>
                <w:bCs w:val="0"/>
                <w:color w:val="auto"/>
                <w:sz w:val="18"/>
                <w:szCs w:val="18"/>
                <w:lang w:val="fr-FR"/>
              </w:rPr>
              <w:t xml:space="preserve">Produits </w:t>
            </w:r>
            <w:r w:rsidR="0059527A" w:rsidRPr="00DD4BCC">
              <w:rPr>
                <w:b/>
                <w:bCs w:val="0"/>
                <w:color w:val="auto"/>
                <w:sz w:val="18"/>
                <w:szCs w:val="18"/>
                <w:lang w:val="fr-FR"/>
              </w:rPr>
              <w:br/>
            </w:r>
            <w:r w:rsidRPr="00DD4BCC">
              <w:rPr>
                <w:b/>
                <w:bCs w:val="0"/>
                <w:color w:val="auto"/>
                <w:sz w:val="18"/>
                <w:szCs w:val="18"/>
                <w:lang w:val="fr-FR"/>
              </w:rPr>
              <w:t>(Produits et services)</w:t>
            </w:r>
          </w:p>
        </w:tc>
        <w:tc>
          <w:tcPr>
            <w:tcW w:w="3042" w:type="dxa"/>
            <w:tcBorders>
              <w:bottom w:val="none" w:sz="0" w:space="0" w:color="auto"/>
            </w:tcBorders>
            <w:hideMark/>
          </w:tcPr>
          <w:p w14:paraId="0537A7FD" w14:textId="13E3A8F3" w:rsidR="00E80210" w:rsidRPr="00DD4BCC" w:rsidRDefault="00057930" w:rsidP="00C3011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8"/>
                <w:lang w:val="fr-FR"/>
              </w:rPr>
            </w:pPr>
            <w:r>
              <w:rPr>
                <w:b/>
                <w:bCs w:val="0"/>
                <w:color w:val="auto"/>
                <w:sz w:val="18"/>
                <w:szCs w:val="18"/>
                <w:lang w:val="fr-FR"/>
              </w:rPr>
              <w:t>Indicateurs fondamentaux de </w:t>
            </w:r>
            <w:r w:rsidR="002E1630" w:rsidRPr="00DD4BCC">
              <w:rPr>
                <w:b/>
                <w:bCs w:val="0"/>
                <w:color w:val="auto"/>
                <w:sz w:val="18"/>
                <w:szCs w:val="18"/>
                <w:lang w:val="fr-FR"/>
              </w:rPr>
              <w:t>performance*</w:t>
            </w:r>
          </w:p>
        </w:tc>
        <w:tc>
          <w:tcPr>
            <w:tcW w:w="1084" w:type="dxa"/>
            <w:tcBorders>
              <w:bottom w:val="none" w:sz="0" w:space="0" w:color="auto"/>
            </w:tcBorders>
            <w:hideMark/>
          </w:tcPr>
          <w:p w14:paraId="43344025" w14:textId="637490E3" w:rsidR="00E80210" w:rsidRPr="00DD4BCC" w:rsidRDefault="00E80210" w:rsidP="00C3011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8"/>
                <w:lang w:val="fr-FR"/>
              </w:rPr>
            </w:pPr>
            <w:r w:rsidRPr="00DD4BCC">
              <w:rPr>
                <w:b/>
                <w:bCs w:val="0"/>
                <w:color w:val="auto"/>
                <w:sz w:val="18"/>
                <w:szCs w:val="18"/>
                <w:lang w:val="fr-FR"/>
              </w:rPr>
              <w:t>Budget</w:t>
            </w:r>
            <w:r w:rsidR="00C3011A" w:rsidRPr="00DD4BCC">
              <w:rPr>
                <w:b/>
                <w:bCs w:val="0"/>
                <w:color w:val="auto"/>
                <w:sz w:val="18"/>
                <w:szCs w:val="18"/>
                <w:lang w:val="fr-FR"/>
              </w:rPr>
              <w:br/>
            </w:r>
            <w:r w:rsidR="00306BC0" w:rsidRPr="00DD4BCC">
              <w:rPr>
                <w:b/>
                <w:bCs w:val="0"/>
                <w:color w:val="auto"/>
                <w:sz w:val="18"/>
                <w:szCs w:val="18"/>
                <w:lang w:val="fr-FR"/>
              </w:rPr>
              <w:t>2023</w:t>
            </w:r>
            <w:r w:rsidR="0059527A" w:rsidRPr="00DD4BCC">
              <w:rPr>
                <w:b/>
                <w:bCs w:val="0"/>
                <w:color w:val="auto"/>
                <w:sz w:val="18"/>
                <w:szCs w:val="18"/>
                <w:lang w:val="fr-FR"/>
              </w:rPr>
              <w:br/>
            </w:r>
            <w:r w:rsidR="00306BC0" w:rsidRPr="00DD4BCC">
              <w:rPr>
                <w:b/>
                <w:bCs w:val="0"/>
                <w:color w:val="auto"/>
                <w:sz w:val="18"/>
                <w:szCs w:val="18"/>
                <w:lang w:val="fr-FR"/>
              </w:rPr>
              <w:t>(en CHF)</w:t>
            </w:r>
          </w:p>
        </w:tc>
        <w:tc>
          <w:tcPr>
            <w:tcW w:w="1079" w:type="dxa"/>
            <w:tcBorders>
              <w:bottom w:val="none" w:sz="0" w:space="0" w:color="auto"/>
            </w:tcBorders>
            <w:hideMark/>
          </w:tcPr>
          <w:p w14:paraId="468D9DDD" w14:textId="30D74CA5" w:rsidR="00E80210" w:rsidRPr="00DD4BCC" w:rsidRDefault="00E80210" w:rsidP="00C3011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8"/>
                <w:lang w:val="fr-FR"/>
              </w:rPr>
            </w:pPr>
            <w:r w:rsidRPr="00DD4BCC">
              <w:rPr>
                <w:b/>
                <w:bCs w:val="0"/>
                <w:color w:val="auto"/>
                <w:sz w:val="18"/>
                <w:szCs w:val="18"/>
                <w:lang w:val="fr-FR"/>
              </w:rPr>
              <w:t>% du total des priorités/</w:t>
            </w:r>
            <w:r w:rsidR="0059527A" w:rsidRPr="00DD4BCC">
              <w:rPr>
                <w:b/>
                <w:bCs w:val="0"/>
                <w:color w:val="auto"/>
                <w:sz w:val="18"/>
                <w:szCs w:val="18"/>
                <w:lang w:val="fr-FR"/>
              </w:rPr>
              <w:br/>
            </w:r>
            <w:r w:rsidRPr="00DD4BCC">
              <w:rPr>
                <w:b/>
                <w:bCs w:val="0"/>
                <w:color w:val="auto"/>
                <w:sz w:val="18"/>
                <w:szCs w:val="18"/>
                <w:lang w:val="fr-FR"/>
              </w:rPr>
              <w:t>catalyseurs</w:t>
            </w:r>
          </w:p>
        </w:tc>
        <w:tc>
          <w:tcPr>
            <w:tcW w:w="897" w:type="dxa"/>
            <w:tcBorders>
              <w:bottom w:val="none" w:sz="0" w:space="0" w:color="auto"/>
            </w:tcBorders>
            <w:noWrap/>
            <w:hideMark/>
          </w:tcPr>
          <w:p w14:paraId="41EDF9A2" w14:textId="77777777" w:rsidR="00E80210" w:rsidRPr="00DD4BCC" w:rsidRDefault="00E80210" w:rsidP="00C3011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8"/>
                <w:lang w:val="fr-FR"/>
              </w:rPr>
            </w:pPr>
            <w:r w:rsidRPr="00DD4BCC">
              <w:rPr>
                <w:b/>
                <w:bCs w:val="0"/>
                <w:color w:val="auto"/>
                <w:sz w:val="18"/>
                <w:szCs w:val="18"/>
                <w:lang w:val="fr-FR"/>
              </w:rPr>
              <w:t>% du total général</w:t>
            </w:r>
          </w:p>
        </w:tc>
      </w:tr>
      <w:tr w:rsidR="00EC7905" w:rsidRPr="00DD4BCC" w14:paraId="328401C3" w14:textId="77777777" w:rsidTr="007C62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70" w:type="dxa"/>
            <w:gridSpan w:val="4"/>
            <w:hideMark/>
          </w:tcPr>
          <w:p w14:paraId="4B545CFC" w14:textId="22799A76" w:rsidR="00EC7905" w:rsidRPr="00DD4BCC" w:rsidRDefault="00EC7905" w:rsidP="00C3011A">
            <w:pPr>
              <w:pStyle w:val="Tabletext"/>
              <w:jc w:val="left"/>
              <w:rPr>
                <w:rFonts w:ascii="Times New Roman" w:eastAsia="Times New Roman" w:hAnsi="Times New Roman" w:cs="Times New Roman"/>
                <w:b w:val="0"/>
                <w:bCs w:val="0"/>
                <w:color w:val="auto"/>
                <w:sz w:val="18"/>
                <w:szCs w:val="18"/>
                <w:lang w:val="fr-FR" w:eastAsia="en-GB"/>
              </w:rPr>
            </w:pPr>
            <w:r w:rsidRPr="00DD4BCC">
              <w:rPr>
                <w:color w:val="auto"/>
                <w:sz w:val="18"/>
                <w:szCs w:val="18"/>
                <w:lang w:val="fr-FR"/>
              </w:rPr>
              <w:t>Tout ce qui a trait à la priorité intitulée</w:t>
            </w:r>
            <w:r w:rsidRPr="00DD4BCC">
              <w:rPr>
                <w:color w:val="auto"/>
                <w:sz w:val="18"/>
                <w:szCs w:val="18"/>
                <w:lang w:val="fr-FR"/>
              </w:rPr>
              <w:br/>
              <w:t>"Connectivité financièrement abordable"</w:t>
            </w:r>
          </w:p>
        </w:tc>
        <w:tc>
          <w:tcPr>
            <w:tcW w:w="1084" w:type="dxa"/>
            <w:hideMark/>
          </w:tcPr>
          <w:p w14:paraId="7E8014EC" w14:textId="346B8144" w:rsidR="00EC7905" w:rsidRPr="00DD4BCC" w:rsidRDefault="00EC7905" w:rsidP="00C3011A">
            <w:pPr>
              <w:pStyle w:val="Tablet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18"/>
                <w:szCs w:val="18"/>
                <w:lang w:val="fr-FR"/>
              </w:rPr>
            </w:pPr>
            <w:r w:rsidRPr="00DD4BCC">
              <w:rPr>
                <w:b/>
                <w:bCs/>
                <w:color w:val="auto"/>
                <w:sz w:val="18"/>
                <w:szCs w:val="18"/>
                <w:lang w:val="fr-FR"/>
              </w:rPr>
              <w:t>519 000</w:t>
            </w:r>
          </w:p>
        </w:tc>
        <w:tc>
          <w:tcPr>
            <w:tcW w:w="1079" w:type="dxa"/>
            <w:hideMark/>
          </w:tcPr>
          <w:p w14:paraId="12AF98B9" w14:textId="77777777" w:rsidR="00EC7905" w:rsidRPr="00DD4BCC" w:rsidRDefault="00EC7905" w:rsidP="00C3011A">
            <w:pPr>
              <w:pStyle w:val="Tablet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18"/>
                <w:szCs w:val="18"/>
                <w:lang w:val="fr-FR" w:eastAsia="en-GB"/>
              </w:rPr>
            </w:pPr>
          </w:p>
        </w:tc>
        <w:tc>
          <w:tcPr>
            <w:tcW w:w="897" w:type="dxa"/>
            <w:hideMark/>
          </w:tcPr>
          <w:p w14:paraId="7582B5C3" w14:textId="09E74242" w:rsidR="00EC7905" w:rsidRPr="00DD4BCC" w:rsidRDefault="00EC7905" w:rsidP="00C3011A">
            <w:pPr>
              <w:pStyle w:val="Tablet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18"/>
                <w:szCs w:val="18"/>
                <w:lang w:val="fr-FR"/>
              </w:rPr>
            </w:pPr>
            <w:r w:rsidRPr="00DD4BCC">
              <w:rPr>
                <w:b/>
                <w:bCs/>
                <w:color w:val="auto"/>
                <w:sz w:val="18"/>
                <w:szCs w:val="18"/>
                <w:lang w:val="fr-FR"/>
              </w:rPr>
              <w:t>12,4%</w:t>
            </w:r>
          </w:p>
        </w:tc>
      </w:tr>
      <w:tr w:rsidR="0059527A" w:rsidRPr="00DD4BCC" w14:paraId="5D11F1A2" w14:textId="77777777" w:rsidTr="00EC7905">
        <w:trPr>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0D445C80" w14:textId="77777777" w:rsidR="00E80210" w:rsidRPr="00DD4BCC" w:rsidRDefault="00E80210" w:rsidP="00C3011A">
            <w:pPr>
              <w:pStyle w:val="Tabletext"/>
              <w:jc w:val="left"/>
              <w:rPr>
                <w:rFonts w:ascii="Calibri" w:eastAsia="Times New Roman" w:hAnsi="Calibri" w:cs="Calibri"/>
                <w:color w:val="auto"/>
                <w:sz w:val="18"/>
                <w:szCs w:val="18"/>
                <w:lang w:val="fr-FR"/>
              </w:rPr>
            </w:pPr>
            <w:r w:rsidRPr="00DD4BCC">
              <w:rPr>
                <w:color w:val="auto"/>
                <w:sz w:val="18"/>
                <w:szCs w:val="18"/>
                <w:lang w:val="fr-FR"/>
              </w:rPr>
              <w:t>Télécommunications d'urgence</w:t>
            </w:r>
          </w:p>
        </w:tc>
        <w:tc>
          <w:tcPr>
            <w:tcW w:w="2919" w:type="dxa"/>
            <w:hideMark/>
          </w:tcPr>
          <w:p w14:paraId="129D58FE" w14:textId="7387B642" w:rsidR="00E80210" w:rsidRPr="00DD4BCC" w:rsidRDefault="00C3011A" w:rsidP="000A30E5">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lang w:val="fr-FR"/>
              </w:rPr>
            </w:pPr>
            <w:r w:rsidRPr="00DD4BCC">
              <w:rPr>
                <w:color w:val="auto"/>
                <w:sz w:val="18"/>
                <w:szCs w:val="18"/>
                <w:lang w:val="fr-FR"/>
              </w:rPr>
              <w:t>•</w:t>
            </w:r>
            <w:r w:rsidRPr="00DD4BCC">
              <w:rPr>
                <w:color w:val="auto"/>
                <w:sz w:val="18"/>
                <w:szCs w:val="18"/>
                <w:lang w:val="fr-FR"/>
              </w:rPr>
              <w:tab/>
            </w:r>
            <w:r w:rsidR="00E80210" w:rsidRPr="00DD4BCC">
              <w:rPr>
                <w:color w:val="auto"/>
                <w:sz w:val="18"/>
                <w:szCs w:val="18"/>
                <w:lang w:val="fr-FR"/>
              </w:rPr>
              <w:t>Renforcement de la capacité des États Membres d'utiliser les télécommunications/TIC pour l'atténuation et la gestion des risques de catastrophes, pour garantir la disponibilité des télécommunications d'urgence et appuyer la coopération dans ce domaine</w:t>
            </w:r>
          </w:p>
        </w:tc>
        <w:tc>
          <w:tcPr>
            <w:tcW w:w="2409" w:type="dxa"/>
          </w:tcPr>
          <w:p w14:paraId="396BCE7B" w14:textId="297340DF" w:rsidR="00E80210" w:rsidRPr="00DD4BCC" w:rsidRDefault="00C3011A" w:rsidP="000A30E5">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lang w:val="fr-FR"/>
              </w:rPr>
            </w:pPr>
            <w:r w:rsidRPr="00DD4BCC">
              <w:rPr>
                <w:color w:val="auto"/>
                <w:sz w:val="18"/>
                <w:szCs w:val="18"/>
                <w:lang w:val="fr-FR"/>
              </w:rPr>
              <w:t>•</w:t>
            </w:r>
            <w:r w:rsidRPr="00DD4BCC">
              <w:rPr>
                <w:color w:val="auto"/>
                <w:sz w:val="18"/>
                <w:szCs w:val="18"/>
                <w:lang w:val="fr-FR"/>
              </w:rPr>
              <w:tab/>
            </w:r>
            <w:r w:rsidR="00E80210" w:rsidRPr="00DD4BCC">
              <w:rPr>
                <w:color w:val="auto"/>
                <w:sz w:val="18"/>
                <w:szCs w:val="18"/>
                <w:lang w:val="fr-FR"/>
              </w:rPr>
              <w:t>Élaboration de cadres politiques et de supports de connaissance</w:t>
            </w:r>
          </w:p>
          <w:p w14:paraId="77DD2616" w14:textId="458C74D1" w:rsidR="00E80210" w:rsidRPr="00DD4BCC" w:rsidRDefault="00C3011A" w:rsidP="000A30E5">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lang w:val="fr-FR"/>
              </w:rPr>
            </w:pPr>
            <w:r w:rsidRPr="00DD4BCC">
              <w:rPr>
                <w:color w:val="auto"/>
                <w:sz w:val="18"/>
                <w:szCs w:val="18"/>
                <w:lang w:val="fr-FR"/>
              </w:rPr>
              <w:t>•</w:t>
            </w:r>
            <w:r w:rsidRPr="00DD4BCC">
              <w:rPr>
                <w:color w:val="auto"/>
                <w:sz w:val="18"/>
                <w:szCs w:val="18"/>
                <w:lang w:val="fr-FR"/>
              </w:rPr>
              <w:tab/>
            </w:r>
            <w:r w:rsidR="00E80210" w:rsidRPr="00DD4BCC">
              <w:rPr>
                <w:color w:val="auto"/>
                <w:sz w:val="18"/>
                <w:szCs w:val="18"/>
                <w:lang w:val="fr-FR"/>
              </w:rPr>
              <w:t>Renforcement des capacités</w:t>
            </w:r>
          </w:p>
          <w:p w14:paraId="7A0B1F49" w14:textId="6107496F" w:rsidR="00E80210" w:rsidRPr="00DD4BCC" w:rsidRDefault="00C3011A" w:rsidP="000A30E5">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lang w:val="fr-FR"/>
              </w:rPr>
            </w:pPr>
            <w:r w:rsidRPr="00DD4BCC">
              <w:rPr>
                <w:color w:val="auto"/>
                <w:sz w:val="18"/>
                <w:szCs w:val="18"/>
                <w:lang w:val="fr-FR"/>
              </w:rPr>
              <w:t>•</w:t>
            </w:r>
            <w:r w:rsidRPr="00DD4BCC">
              <w:rPr>
                <w:color w:val="auto"/>
                <w:sz w:val="18"/>
                <w:szCs w:val="18"/>
                <w:lang w:val="fr-FR"/>
              </w:rPr>
              <w:tab/>
            </w:r>
            <w:r w:rsidR="00E80210" w:rsidRPr="00DD4BCC">
              <w:rPr>
                <w:color w:val="auto"/>
                <w:sz w:val="18"/>
                <w:szCs w:val="18"/>
                <w:lang w:val="fr-FR"/>
              </w:rPr>
              <w:t>Fourniture d'une assistance technique</w:t>
            </w:r>
          </w:p>
          <w:p w14:paraId="17BC391F" w14:textId="386A4C8B" w:rsidR="00E80210" w:rsidRPr="00DD4BCC" w:rsidRDefault="00C3011A" w:rsidP="000A30E5">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val="fr-FR"/>
              </w:rPr>
            </w:pPr>
            <w:r w:rsidRPr="00DD4BCC">
              <w:rPr>
                <w:color w:val="auto"/>
                <w:sz w:val="18"/>
                <w:szCs w:val="18"/>
                <w:lang w:val="fr-FR"/>
              </w:rPr>
              <w:t>•</w:t>
            </w:r>
            <w:r w:rsidRPr="00DD4BCC">
              <w:rPr>
                <w:color w:val="auto"/>
                <w:sz w:val="18"/>
                <w:szCs w:val="18"/>
                <w:lang w:val="fr-FR"/>
              </w:rPr>
              <w:tab/>
            </w:r>
            <w:r w:rsidR="00E80210" w:rsidRPr="00DD4BCC">
              <w:rPr>
                <w:color w:val="auto"/>
                <w:sz w:val="18"/>
                <w:szCs w:val="18"/>
                <w:lang w:val="fr-FR"/>
              </w:rPr>
              <w:t>Plates-formes fédératrices</w:t>
            </w:r>
          </w:p>
        </w:tc>
        <w:tc>
          <w:tcPr>
            <w:tcW w:w="3042" w:type="dxa"/>
            <w:hideMark/>
          </w:tcPr>
          <w:p w14:paraId="61408D95" w14:textId="053E6BA3" w:rsidR="003F50B8" w:rsidRPr="00DD4BCC" w:rsidRDefault="00C3011A" w:rsidP="000A30E5">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val="fr-FR"/>
              </w:rPr>
            </w:pPr>
            <w:r w:rsidRPr="00DD4BCC">
              <w:rPr>
                <w:color w:val="auto"/>
                <w:sz w:val="18"/>
                <w:szCs w:val="18"/>
                <w:lang w:val="fr-FR"/>
              </w:rPr>
              <w:t>•</w:t>
            </w:r>
            <w:r w:rsidRPr="00DD4BCC">
              <w:rPr>
                <w:color w:val="auto"/>
                <w:sz w:val="18"/>
                <w:szCs w:val="18"/>
                <w:lang w:val="fr-FR"/>
              </w:rPr>
              <w:tab/>
            </w:r>
            <w:r w:rsidR="003F50B8" w:rsidRPr="00DD4BCC">
              <w:rPr>
                <w:color w:val="auto"/>
                <w:sz w:val="18"/>
                <w:szCs w:val="18"/>
                <w:lang w:val="fr-FR"/>
              </w:rPr>
              <w:t xml:space="preserve">Nombre de pays dotés d'un </w:t>
            </w:r>
            <w:r w:rsidR="0089179F" w:rsidRPr="00DD4BCC">
              <w:rPr>
                <w:color w:val="auto"/>
                <w:sz w:val="18"/>
                <w:szCs w:val="18"/>
                <w:lang w:val="fr-FR"/>
              </w:rPr>
              <w:t xml:space="preserve">plan </w:t>
            </w:r>
            <w:r w:rsidR="003F50B8" w:rsidRPr="00DD4BCC">
              <w:rPr>
                <w:color w:val="auto"/>
                <w:sz w:val="18"/>
                <w:szCs w:val="18"/>
                <w:lang w:val="fr-FR"/>
              </w:rPr>
              <w:t>national pour les télécommunications d'urgence (NETP) dans le cadre de leurs stratégies nationales et locales de réduction des risques de catastrophe</w:t>
            </w:r>
          </w:p>
          <w:p w14:paraId="04848744" w14:textId="5F4C71B5" w:rsidR="003F50B8" w:rsidRPr="00DD4BCC" w:rsidRDefault="00C3011A" w:rsidP="000A30E5">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val="fr-FR"/>
              </w:rPr>
            </w:pPr>
            <w:r w:rsidRPr="00DD4BCC">
              <w:rPr>
                <w:color w:val="auto"/>
                <w:sz w:val="18"/>
                <w:szCs w:val="18"/>
                <w:lang w:val="fr-FR"/>
              </w:rPr>
              <w:t>•</w:t>
            </w:r>
            <w:r w:rsidRPr="00DD4BCC">
              <w:rPr>
                <w:color w:val="auto"/>
                <w:sz w:val="18"/>
                <w:szCs w:val="18"/>
                <w:lang w:val="fr-FR"/>
              </w:rPr>
              <w:tab/>
            </w:r>
            <w:r w:rsidR="003F50B8" w:rsidRPr="00DD4BCC">
              <w:rPr>
                <w:color w:val="auto"/>
                <w:sz w:val="18"/>
                <w:szCs w:val="18"/>
                <w:lang w:val="fr-FR"/>
              </w:rPr>
              <w:t xml:space="preserve">Nombre d'États Membres bénéficiant </w:t>
            </w:r>
            <w:r w:rsidR="008637E1" w:rsidRPr="00DD4BCC">
              <w:rPr>
                <w:color w:val="auto"/>
                <w:sz w:val="18"/>
                <w:szCs w:val="18"/>
                <w:lang w:val="fr-FR"/>
              </w:rPr>
              <w:t xml:space="preserve">d'une </w:t>
            </w:r>
            <w:r w:rsidR="003F50B8" w:rsidRPr="00DD4BCC">
              <w:rPr>
                <w:color w:val="auto"/>
                <w:sz w:val="18"/>
                <w:szCs w:val="18"/>
                <w:lang w:val="fr-FR"/>
              </w:rPr>
              <w:t>assistance technique du BDT pour élaborer et mettre en place des plans nationaux sur les télécommunications d'urgence</w:t>
            </w:r>
          </w:p>
          <w:p w14:paraId="1FCABFC8" w14:textId="12B31CED" w:rsidR="00DE5961" w:rsidRPr="00DD4BCC" w:rsidRDefault="00C3011A" w:rsidP="000A30E5">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val="fr-FR"/>
              </w:rPr>
            </w:pPr>
            <w:r w:rsidRPr="00DD4BCC">
              <w:rPr>
                <w:color w:val="auto"/>
                <w:sz w:val="18"/>
                <w:szCs w:val="18"/>
                <w:lang w:val="fr-FR"/>
              </w:rPr>
              <w:t>•</w:t>
            </w:r>
            <w:r w:rsidRPr="00DD4BCC">
              <w:rPr>
                <w:color w:val="auto"/>
                <w:sz w:val="18"/>
                <w:szCs w:val="18"/>
                <w:lang w:val="fr-FR"/>
              </w:rPr>
              <w:tab/>
            </w:r>
            <w:r w:rsidR="00DE5961" w:rsidRPr="00DD4BCC">
              <w:rPr>
                <w:color w:val="auto"/>
                <w:sz w:val="18"/>
                <w:szCs w:val="18"/>
                <w:lang w:val="fr-FR"/>
              </w:rPr>
              <w:t xml:space="preserve">Nombre d'États Membres bénéficiant </w:t>
            </w:r>
            <w:r w:rsidR="00651750" w:rsidRPr="00DD4BCC">
              <w:rPr>
                <w:color w:val="auto"/>
                <w:sz w:val="18"/>
                <w:szCs w:val="18"/>
                <w:lang w:val="fr-FR"/>
              </w:rPr>
              <w:t xml:space="preserve">d'une </w:t>
            </w:r>
            <w:r w:rsidR="00DE5961" w:rsidRPr="00DD4BCC">
              <w:rPr>
                <w:color w:val="auto"/>
                <w:sz w:val="18"/>
                <w:szCs w:val="18"/>
                <w:lang w:val="fr-FR"/>
              </w:rPr>
              <w:t>assistance technique du BDT pour élaborer et installer des systèmes d'alerte avancée</w:t>
            </w:r>
          </w:p>
          <w:p w14:paraId="22A06621" w14:textId="7C696059" w:rsidR="00E80210" w:rsidRPr="00DD4BCC" w:rsidRDefault="00C3011A" w:rsidP="000A30E5">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val="fr-FR"/>
              </w:rPr>
            </w:pPr>
            <w:r w:rsidRPr="00DD4BCC">
              <w:rPr>
                <w:color w:val="auto"/>
                <w:sz w:val="18"/>
                <w:szCs w:val="18"/>
                <w:lang w:val="fr-FR"/>
              </w:rPr>
              <w:t>•</w:t>
            </w:r>
            <w:r w:rsidRPr="00DD4BCC">
              <w:rPr>
                <w:color w:val="auto"/>
                <w:sz w:val="18"/>
                <w:szCs w:val="18"/>
                <w:lang w:val="fr-FR"/>
              </w:rPr>
              <w:tab/>
            </w:r>
            <w:r w:rsidR="00E80210" w:rsidRPr="00DD4BCC">
              <w:rPr>
                <w:color w:val="auto"/>
                <w:sz w:val="18"/>
                <w:szCs w:val="18"/>
                <w:lang w:val="fr-FR"/>
              </w:rPr>
              <w:t xml:space="preserve">Nombre d'États Membres </w:t>
            </w:r>
            <w:r w:rsidR="00651750" w:rsidRPr="00DD4BCC">
              <w:rPr>
                <w:color w:val="auto"/>
                <w:sz w:val="18"/>
                <w:szCs w:val="18"/>
                <w:lang w:val="fr-FR"/>
              </w:rPr>
              <w:t>bénéficiant d'un</w:t>
            </w:r>
            <w:r w:rsidR="00E80210" w:rsidRPr="00DD4BCC">
              <w:rPr>
                <w:color w:val="auto"/>
                <w:sz w:val="18"/>
                <w:szCs w:val="18"/>
                <w:lang w:val="fr-FR"/>
              </w:rPr>
              <w:t xml:space="preserve">e assistance technique </w:t>
            </w:r>
            <w:r w:rsidR="00651750" w:rsidRPr="00DD4BCC">
              <w:rPr>
                <w:color w:val="auto"/>
                <w:sz w:val="18"/>
                <w:szCs w:val="18"/>
                <w:lang w:val="fr-FR"/>
              </w:rPr>
              <w:t xml:space="preserve">du BDT </w:t>
            </w:r>
            <w:r w:rsidR="00E80210" w:rsidRPr="00DD4BCC">
              <w:rPr>
                <w:color w:val="auto"/>
                <w:sz w:val="18"/>
                <w:szCs w:val="18"/>
                <w:lang w:val="fr-FR"/>
              </w:rPr>
              <w:t>dans le cadre d'opérations de secours immédiatement après une catastrophe, aussi bien en leur fournissant des équipements qu'en procédant à des évaluations des dégâts subis par les infrastructures</w:t>
            </w:r>
          </w:p>
          <w:p w14:paraId="531D4F4D" w14:textId="71A235A2" w:rsidR="00DE5961" w:rsidRPr="00DD4BCC" w:rsidRDefault="00C3011A" w:rsidP="000A30E5">
            <w:pPr>
              <w:pStyle w:val="Tabletext"/>
              <w:keepNext/>
              <w:keepLines/>
              <w:ind w:left="284" w:hanging="284"/>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val="fr-FR"/>
              </w:rPr>
            </w:pPr>
            <w:r w:rsidRPr="00DD4BCC">
              <w:rPr>
                <w:color w:val="auto"/>
                <w:sz w:val="18"/>
                <w:szCs w:val="18"/>
                <w:lang w:val="fr-FR"/>
              </w:rPr>
              <w:lastRenderedPageBreak/>
              <w:t>•</w:t>
            </w:r>
            <w:r w:rsidRPr="00DD4BCC">
              <w:rPr>
                <w:color w:val="auto"/>
                <w:sz w:val="18"/>
                <w:szCs w:val="18"/>
                <w:lang w:val="fr-FR"/>
              </w:rPr>
              <w:tab/>
            </w:r>
            <w:r w:rsidR="00DE5961" w:rsidRPr="00DD4BCC">
              <w:rPr>
                <w:color w:val="auto"/>
                <w:sz w:val="18"/>
                <w:szCs w:val="18"/>
                <w:lang w:val="fr-FR"/>
              </w:rPr>
              <w:t>Nombre de manifestations concernant la validation par les parties prenantes de plans NETP</w:t>
            </w:r>
          </w:p>
          <w:p w14:paraId="1893B358" w14:textId="46B3F726" w:rsidR="00E714A0" w:rsidRPr="00DD4BCC" w:rsidRDefault="00C3011A" w:rsidP="000A30E5">
            <w:pPr>
              <w:pStyle w:val="Tabletext"/>
              <w:keepNext/>
              <w:keepLines/>
              <w:ind w:left="284" w:hanging="284"/>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val="fr-FR"/>
              </w:rPr>
            </w:pPr>
            <w:r w:rsidRPr="00DD4BCC">
              <w:rPr>
                <w:color w:val="auto"/>
                <w:sz w:val="18"/>
                <w:szCs w:val="18"/>
                <w:lang w:val="fr-FR"/>
              </w:rPr>
              <w:t>•</w:t>
            </w:r>
            <w:r w:rsidRPr="00DD4BCC">
              <w:rPr>
                <w:color w:val="auto"/>
                <w:sz w:val="18"/>
                <w:szCs w:val="18"/>
                <w:lang w:val="fr-FR"/>
              </w:rPr>
              <w:tab/>
            </w:r>
            <w:r w:rsidR="00E80210" w:rsidRPr="00DD4BCC">
              <w:rPr>
                <w:color w:val="auto"/>
                <w:sz w:val="18"/>
                <w:szCs w:val="18"/>
                <w:lang w:val="fr-FR"/>
              </w:rPr>
              <w:t>Nombre de professionnels des télécommunications/TIC formés aux télécommunications d'urgence</w:t>
            </w:r>
          </w:p>
        </w:tc>
        <w:tc>
          <w:tcPr>
            <w:tcW w:w="1084" w:type="dxa"/>
            <w:hideMark/>
          </w:tcPr>
          <w:p w14:paraId="7553E532" w14:textId="77777777" w:rsidR="00E80210" w:rsidRPr="00DD4BCC" w:rsidRDefault="00E80210" w:rsidP="00C3011A">
            <w:pPr>
              <w:pStyle w:val="Tabletext"/>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val="fr-FR"/>
              </w:rPr>
            </w:pPr>
            <w:r w:rsidRPr="00DD4BCC">
              <w:rPr>
                <w:color w:val="auto"/>
                <w:sz w:val="18"/>
                <w:szCs w:val="18"/>
                <w:lang w:val="fr-FR"/>
              </w:rPr>
              <w:lastRenderedPageBreak/>
              <w:t>127 000</w:t>
            </w:r>
          </w:p>
        </w:tc>
        <w:tc>
          <w:tcPr>
            <w:tcW w:w="1079" w:type="dxa"/>
            <w:hideMark/>
          </w:tcPr>
          <w:p w14:paraId="2E8CB224" w14:textId="027B45DA" w:rsidR="00E80210" w:rsidRPr="00DD4BCC" w:rsidRDefault="00E80210" w:rsidP="00C3011A">
            <w:pPr>
              <w:pStyle w:val="Tabletext"/>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val="fr-FR"/>
              </w:rPr>
            </w:pPr>
            <w:r w:rsidRPr="00DD4BCC">
              <w:rPr>
                <w:color w:val="auto"/>
                <w:sz w:val="18"/>
                <w:szCs w:val="18"/>
                <w:lang w:val="fr-FR"/>
              </w:rPr>
              <w:t>24,5%</w:t>
            </w:r>
          </w:p>
        </w:tc>
        <w:tc>
          <w:tcPr>
            <w:tcW w:w="897" w:type="dxa"/>
            <w:noWrap/>
            <w:hideMark/>
          </w:tcPr>
          <w:p w14:paraId="669AD608" w14:textId="77777777" w:rsidR="00E80210" w:rsidRPr="00DD4BCC" w:rsidRDefault="00E80210" w:rsidP="00C3011A">
            <w:pPr>
              <w:pStyle w:val="Tabletext"/>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val="fr-FR"/>
              </w:rPr>
            </w:pPr>
            <w:r w:rsidRPr="00DD4BCC">
              <w:rPr>
                <w:color w:val="auto"/>
                <w:sz w:val="18"/>
                <w:szCs w:val="18"/>
                <w:lang w:val="fr-FR"/>
              </w:rPr>
              <w:t>3,0%</w:t>
            </w:r>
          </w:p>
        </w:tc>
      </w:tr>
      <w:tr w:rsidR="000A30E5" w:rsidRPr="00DD4BCC" w14:paraId="0DC868FE" w14:textId="77777777" w:rsidTr="00EC79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Pr>
          <w:p w14:paraId="25CD3386" w14:textId="207EE49D" w:rsidR="000A30E5" w:rsidRPr="00DD4BCC" w:rsidRDefault="000A30E5" w:rsidP="000A30E5">
            <w:pPr>
              <w:pStyle w:val="Tabletext"/>
              <w:jc w:val="left"/>
              <w:rPr>
                <w:sz w:val="18"/>
                <w:szCs w:val="18"/>
                <w:lang w:val="fr-FR"/>
              </w:rPr>
            </w:pPr>
            <w:r w:rsidRPr="00DD4BCC">
              <w:rPr>
                <w:color w:val="auto"/>
                <w:sz w:val="18"/>
                <w:szCs w:val="18"/>
                <w:lang w:val="fr-FR"/>
              </w:rPr>
              <w:t>Réseau et infrastructure numérique</w:t>
            </w:r>
          </w:p>
        </w:tc>
        <w:tc>
          <w:tcPr>
            <w:tcW w:w="2919" w:type="dxa"/>
          </w:tcPr>
          <w:p w14:paraId="3F15267D" w14:textId="66C1599F"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sz w:val="18"/>
                <w:szCs w:val="18"/>
                <w:lang w:val="fr-FR"/>
              </w:rPr>
            </w:pPr>
            <w:r w:rsidRPr="00A36690">
              <w:rPr>
                <w:color w:val="auto"/>
                <w:sz w:val="18"/>
                <w:szCs w:val="18"/>
                <w:lang w:val="fr-FR"/>
              </w:rPr>
              <w:t>•</w:t>
            </w:r>
            <w:r w:rsidRPr="00A36690">
              <w:rPr>
                <w:color w:val="auto"/>
                <w:sz w:val="18"/>
                <w:szCs w:val="18"/>
                <w:lang w:val="fr-FR"/>
              </w:rPr>
              <w:tab/>
              <w:t xml:space="preserve">Amélioration de la connectivité large bande dans les pays </w:t>
            </w:r>
            <w:r w:rsidR="00A36690" w:rsidRPr="00A36690">
              <w:rPr>
                <w:color w:val="auto"/>
                <w:sz w:val="18"/>
                <w:szCs w:val="18"/>
                <w:lang w:val="fr-FR"/>
              </w:rPr>
              <w:t>en développement, y compris les </w:t>
            </w:r>
            <w:r w:rsidRPr="00A36690">
              <w:rPr>
                <w:color w:val="auto"/>
                <w:sz w:val="18"/>
                <w:szCs w:val="18"/>
                <w:lang w:val="fr-FR"/>
              </w:rPr>
              <w:t>PMA, les PEID et les PDSL, les pays dont l'économie est en transition et les pays ayant des besoins particuliers</w:t>
            </w:r>
          </w:p>
          <w:p w14:paraId="29725FE1" w14:textId="45492ECC"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auto"/>
                <w:sz w:val="18"/>
                <w:szCs w:val="18"/>
                <w:lang w:val="fr-FR"/>
              </w:rPr>
            </w:pPr>
            <w:r w:rsidRPr="00A36690">
              <w:rPr>
                <w:color w:val="auto"/>
                <w:sz w:val="18"/>
                <w:szCs w:val="18"/>
                <w:lang w:val="fr-FR"/>
              </w:rPr>
              <w:t>•</w:t>
            </w:r>
            <w:r w:rsidRPr="00A36690">
              <w:rPr>
                <w:color w:val="auto"/>
                <w:sz w:val="18"/>
                <w:szCs w:val="18"/>
                <w:lang w:val="fr-FR"/>
              </w:rPr>
              <w:tab/>
              <w:t>Amélioration de l'infrastructure et des services de télécommunication/TIC, en particulier la couverture large bande</w:t>
            </w:r>
          </w:p>
          <w:p w14:paraId="23D505BE" w14:textId="23953309"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sz w:val="18"/>
                <w:szCs w:val="18"/>
                <w:lang w:val="fr-FR"/>
              </w:rPr>
            </w:pPr>
            <w:r w:rsidRPr="00A36690">
              <w:rPr>
                <w:color w:val="auto"/>
                <w:sz w:val="18"/>
                <w:szCs w:val="18"/>
                <w:lang w:val="fr-FR"/>
              </w:rPr>
              <w:t>•</w:t>
            </w:r>
            <w:r w:rsidRPr="00A36690">
              <w:rPr>
                <w:color w:val="auto"/>
                <w:sz w:val="18"/>
                <w:szCs w:val="18"/>
                <w:lang w:val="fr-FR"/>
              </w:rPr>
              <w:tab/>
              <w:t>Amélioration de l'accès aux services numériques pour les personnes vivant dans les zones urbaines, rurales ou isolées et pour les communautés mal desservies</w:t>
            </w:r>
          </w:p>
          <w:p w14:paraId="3E4A1D0B" w14:textId="2DD39B77"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sz w:val="18"/>
                <w:szCs w:val="18"/>
                <w:lang w:val="fr-FR"/>
              </w:rPr>
            </w:pPr>
            <w:r w:rsidRPr="00A36690">
              <w:rPr>
                <w:color w:val="auto"/>
                <w:sz w:val="18"/>
                <w:szCs w:val="18"/>
                <w:lang w:val="fr-FR"/>
              </w:rPr>
              <w:t>•</w:t>
            </w:r>
            <w:r w:rsidRPr="00A36690">
              <w:rPr>
                <w:color w:val="auto"/>
                <w:sz w:val="18"/>
                <w:szCs w:val="18"/>
                <w:lang w:val="fr-FR"/>
              </w:rPr>
              <w:tab/>
              <w:t>Renforcement du commerce électronique pour les membres de l'UIT pour atteindre les ODD</w:t>
            </w:r>
          </w:p>
          <w:p w14:paraId="3C4912BA" w14:textId="29FFEABD"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sz w:val="18"/>
                <w:szCs w:val="18"/>
                <w:lang w:val="fr-FR"/>
              </w:rPr>
            </w:pPr>
            <w:r w:rsidRPr="00A36690">
              <w:rPr>
                <w:color w:val="auto"/>
                <w:sz w:val="18"/>
                <w:szCs w:val="18"/>
                <w:lang w:val="fr-FR"/>
              </w:rPr>
              <w:t>•</w:t>
            </w:r>
            <w:r w:rsidRPr="00A36690">
              <w:rPr>
                <w:color w:val="auto"/>
                <w:sz w:val="18"/>
                <w:szCs w:val="18"/>
                <w:lang w:val="fr-FR"/>
              </w:rPr>
              <w:tab/>
              <w:t xml:space="preserve">Renforcement de la collaboration et de la coopération entre les bureaux régionaux et avec l'Organisation des Nations Unies et ses institutions spécialisées, les organisations de télécommunication régionales et les organismes de financement </w:t>
            </w:r>
            <w:r w:rsidRPr="00A36690">
              <w:rPr>
                <w:color w:val="auto"/>
                <w:sz w:val="18"/>
                <w:szCs w:val="18"/>
                <w:lang w:val="fr-FR"/>
              </w:rPr>
              <w:lastRenderedPageBreak/>
              <w:t>et de développement pour atteindre les objectifs du Programme Connect 2030 se rapportant aux technologies de l'information et de la communication au niveau mondial, y compris le large bande, au service du développement durable</w:t>
            </w:r>
          </w:p>
          <w:p w14:paraId="4C3E6170" w14:textId="025E8B76"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sz w:val="18"/>
                <w:szCs w:val="18"/>
                <w:lang w:val="fr-FR"/>
              </w:rPr>
            </w:pPr>
            <w:r w:rsidRPr="00A36690">
              <w:rPr>
                <w:color w:val="auto"/>
                <w:sz w:val="18"/>
                <w:szCs w:val="18"/>
                <w:lang w:val="fr-FR"/>
              </w:rPr>
              <w:t>•</w:t>
            </w:r>
            <w:r w:rsidRPr="00A36690">
              <w:rPr>
                <w:color w:val="auto"/>
                <w:sz w:val="18"/>
                <w:szCs w:val="18"/>
                <w:lang w:val="fr-FR"/>
              </w:rPr>
              <w:tab/>
              <w:t>Amélioration de la connectivité large bande dans les pays</w:t>
            </w:r>
            <w:r w:rsidR="00057930">
              <w:rPr>
                <w:color w:val="auto"/>
                <w:sz w:val="18"/>
                <w:szCs w:val="18"/>
                <w:lang w:val="fr-FR"/>
              </w:rPr>
              <w:t xml:space="preserve"> en développement, les PMA, les </w:t>
            </w:r>
            <w:r w:rsidRPr="00A36690">
              <w:rPr>
                <w:color w:val="auto"/>
                <w:sz w:val="18"/>
                <w:szCs w:val="18"/>
                <w:lang w:val="fr-FR"/>
              </w:rPr>
              <w:t>PEID et les PDSL, les pays dont l'économie est en transition et les pays ayant des besoins particuliers, afin de créer une demande accrue et de répondre à cette demande en matière d'adoption du large bande et de compétences numériques</w:t>
            </w:r>
          </w:p>
        </w:tc>
        <w:tc>
          <w:tcPr>
            <w:tcW w:w="2409" w:type="dxa"/>
          </w:tcPr>
          <w:p w14:paraId="38AB1477" w14:textId="15ABEBF8"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auto"/>
                <w:sz w:val="18"/>
                <w:szCs w:val="18"/>
                <w:lang w:val="fr-FR"/>
              </w:rPr>
            </w:pPr>
            <w:r w:rsidRPr="00A36690">
              <w:rPr>
                <w:color w:val="auto"/>
                <w:sz w:val="18"/>
                <w:szCs w:val="18"/>
                <w:lang w:val="fr-FR"/>
              </w:rPr>
              <w:lastRenderedPageBreak/>
              <w:t>•</w:t>
            </w:r>
            <w:r w:rsidRPr="00A36690">
              <w:rPr>
                <w:color w:val="auto"/>
                <w:sz w:val="18"/>
                <w:szCs w:val="18"/>
                <w:lang w:val="fr-FR"/>
              </w:rPr>
              <w:tab/>
              <w:t>Élaboration de cadres politiques et de supports de connaissance</w:t>
            </w:r>
          </w:p>
          <w:p w14:paraId="163CF28C" w14:textId="14986DA4"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auto"/>
                <w:sz w:val="18"/>
                <w:szCs w:val="18"/>
                <w:lang w:val="fr-FR"/>
              </w:rPr>
            </w:pPr>
            <w:r w:rsidRPr="00A36690">
              <w:rPr>
                <w:color w:val="auto"/>
                <w:sz w:val="18"/>
                <w:szCs w:val="18"/>
                <w:lang w:val="fr-FR"/>
              </w:rPr>
              <w:t>•</w:t>
            </w:r>
            <w:r w:rsidRPr="00A36690">
              <w:rPr>
                <w:color w:val="auto"/>
                <w:sz w:val="18"/>
                <w:szCs w:val="18"/>
                <w:lang w:val="fr-FR"/>
              </w:rPr>
              <w:tab/>
              <w:t>Renforcement des capacités</w:t>
            </w:r>
          </w:p>
          <w:p w14:paraId="102CE3A7" w14:textId="36B2EC31"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color w:val="auto"/>
                <w:sz w:val="18"/>
                <w:szCs w:val="18"/>
                <w:lang w:val="fr-FR"/>
              </w:rPr>
            </w:pPr>
            <w:r w:rsidRPr="00A36690">
              <w:rPr>
                <w:color w:val="auto"/>
                <w:sz w:val="18"/>
                <w:szCs w:val="18"/>
                <w:lang w:val="fr-FR"/>
              </w:rPr>
              <w:t>•</w:t>
            </w:r>
            <w:r w:rsidRPr="00A36690">
              <w:rPr>
                <w:color w:val="auto"/>
                <w:sz w:val="18"/>
                <w:szCs w:val="18"/>
                <w:lang w:val="fr-FR"/>
              </w:rPr>
              <w:tab/>
              <w:t>Fourniture d'une assistance technique</w:t>
            </w:r>
          </w:p>
        </w:tc>
        <w:tc>
          <w:tcPr>
            <w:tcW w:w="3042" w:type="dxa"/>
          </w:tcPr>
          <w:p w14:paraId="7BA4CAC5" w14:textId="091BF5D0"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auto"/>
                <w:sz w:val="18"/>
                <w:szCs w:val="18"/>
                <w:lang w:val="fr-FR"/>
              </w:rPr>
            </w:pPr>
            <w:r w:rsidRPr="00A36690">
              <w:rPr>
                <w:color w:val="auto"/>
                <w:sz w:val="18"/>
                <w:szCs w:val="18"/>
                <w:lang w:val="fr-FR"/>
              </w:rPr>
              <w:t>•</w:t>
            </w:r>
            <w:r w:rsidRPr="00A36690">
              <w:rPr>
                <w:color w:val="auto"/>
                <w:sz w:val="18"/>
                <w:szCs w:val="18"/>
                <w:lang w:val="fr-FR"/>
              </w:rPr>
              <w:tab/>
              <w:t>Nombre d'États Membres bénéficiant d'une assistance technique du BDT afin d'améliorer la connectivité et la disponibilité des télécommunications/TIC, à un prix financièrement abordable</w:t>
            </w:r>
          </w:p>
          <w:p w14:paraId="7C03D987" w14:textId="3CA5F37A"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auto"/>
                <w:sz w:val="18"/>
                <w:szCs w:val="18"/>
                <w:lang w:val="fr-FR"/>
              </w:rPr>
            </w:pPr>
            <w:r w:rsidRPr="00A36690">
              <w:rPr>
                <w:color w:val="auto"/>
                <w:sz w:val="18"/>
                <w:szCs w:val="18"/>
                <w:lang w:val="fr-FR"/>
              </w:rPr>
              <w:t>•</w:t>
            </w:r>
            <w:r w:rsidRPr="00A36690">
              <w:rPr>
                <w:color w:val="auto"/>
                <w:sz w:val="18"/>
                <w:szCs w:val="18"/>
                <w:lang w:val="fr-FR"/>
              </w:rPr>
              <w:tab/>
              <w:t xml:space="preserve">Nombre d'États Membres </w:t>
            </w:r>
            <w:r w:rsidR="00A36690" w:rsidRPr="00A36690">
              <w:rPr>
                <w:color w:val="auto"/>
                <w:sz w:val="18"/>
                <w:szCs w:val="18"/>
                <w:lang w:val="fr-FR"/>
              </w:rPr>
              <w:t>bénéficiant d'une assistance du </w:t>
            </w:r>
            <w:r w:rsidRPr="00A36690">
              <w:rPr>
                <w:color w:val="auto"/>
                <w:sz w:val="18"/>
                <w:szCs w:val="18"/>
                <w:lang w:val="fr-FR"/>
              </w:rPr>
              <w:t>BDT pour créer une demande en matière d'adoption du large bande et acquérir des compétences numériques</w:t>
            </w:r>
          </w:p>
          <w:p w14:paraId="3ABD1AE3" w14:textId="7F8844CF"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auto"/>
                <w:sz w:val="18"/>
                <w:szCs w:val="18"/>
                <w:lang w:val="fr-FR"/>
              </w:rPr>
            </w:pPr>
            <w:r w:rsidRPr="00A36690">
              <w:rPr>
                <w:color w:val="auto"/>
                <w:sz w:val="18"/>
                <w:szCs w:val="18"/>
                <w:lang w:val="fr-FR"/>
              </w:rPr>
              <w:t>•</w:t>
            </w:r>
            <w:r w:rsidRPr="00A36690">
              <w:rPr>
                <w:color w:val="auto"/>
                <w:sz w:val="18"/>
                <w:szCs w:val="18"/>
                <w:lang w:val="fr-FR"/>
              </w:rPr>
              <w:tab/>
              <w:t>Nombre d'États Membres bénéficiant d'une formation en gestion du spectre</w:t>
            </w:r>
          </w:p>
          <w:p w14:paraId="03BD4046" w14:textId="29C4B07D"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auto"/>
                <w:sz w:val="18"/>
                <w:szCs w:val="18"/>
                <w:lang w:val="fr-FR"/>
              </w:rPr>
            </w:pPr>
            <w:r w:rsidRPr="00A36690">
              <w:rPr>
                <w:color w:val="auto"/>
                <w:sz w:val="18"/>
                <w:szCs w:val="18"/>
                <w:lang w:val="fr-FR"/>
              </w:rPr>
              <w:t>•</w:t>
            </w:r>
            <w:r w:rsidRPr="00A36690">
              <w:rPr>
                <w:color w:val="auto"/>
                <w:sz w:val="18"/>
                <w:szCs w:val="18"/>
                <w:lang w:val="fr-FR"/>
              </w:rPr>
              <w:tab/>
              <w:t>Nombre de kits pratiques sur la connectivité mis en œuvre ou perfectionnés</w:t>
            </w:r>
          </w:p>
          <w:p w14:paraId="0E576DB0" w14:textId="05BA00D0"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auto"/>
                <w:sz w:val="18"/>
                <w:szCs w:val="18"/>
                <w:lang w:val="fr-FR"/>
              </w:rPr>
            </w:pPr>
            <w:r w:rsidRPr="00A36690">
              <w:rPr>
                <w:color w:val="auto"/>
                <w:sz w:val="18"/>
                <w:szCs w:val="18"/>
                <w:lang w:val="fr-FR"/>
              </w:rPr>
              <w:t>•</w:t>
            </w:r>
            <w:r w:rsidRPr="00A36690">
              <w:rPr>
                <w:color w:val="auto"/>
                <w:sz w:val="18"/>
                <w:szCs w:val="18"/>
                <w:lang w:val="fr-FR"/>
              </w:rPr>
              <w:tab/>
              <w:t>Nombre d'États Membres utilisant un kit pratique sur la connectivité</w:t>
            </w:r>
          </w:p>
          <w:p w14:paraId="4B17AB84" w14:textId="5E44DBF5"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auto"/>
                <w:sz w:val="18"/>
                <w:szCs w:val="18"/>
                <w:lang w:val="fr-FR"/>
              </w:rPr>
            </w:pPr>
            <w:r w:rsidRPr="00A36690">
              <w:rPr>
                <w:color w:val="auto"/>
                <w:sz w:val="18"/>
                <w:szCs w:val="18"/>
                <w:lang w:val="fr-FR"/>
              </w:rPr>
              <w:t>•</w:t>
            </w:r>
            <w:r w:rsidRPr="00A36690">
              <w:rPr>
                <w:color w:val="auto"/>
                <w:sz w:val="18"/>
                <w:szCs w:val="18"/>
                <w:lang w:val="fr-FR"/>
              </w:rPr>
              <w:tab/>
              <w:t xml:space="preserve">Nombre d'États Membres </w:t>
            </w:r>
            <w:r w:rsidR="00057930">
              <w:rPr>
                <w:color w:val="auto"/>
                <w:sz w:val="18"/>
                <w:szCs w:val="18"/>
                <w:lang w:val="fr-FR"/>
              </w:rPr>
              <w:t>bénéficiant d'une assistance du </w:t>
            </w:r>
            <w:r w:rsidRPr="00A36690">
              <w:rPr>
                <w:color w:val="auto"/>
                <w:sz w:val="18"/>
                <w:szCs w:val="18"/>
                <w:lang w:val="fr-FR"/>
              </w:rPr>
              <w:t>BDT dans le domaine des systèmes de cartographie du large bande</w:t>
            </w:r>
          </w:p>
          <w:p w14:paraId="661BB1BB" w14:textId="2A8C9F2A"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auto"/>
                <w:sz w:val="18"/>
                <w:szCs w:val="18"/>
                <w:lang w:val="fr-FR"/>
              </w:rPr>
            </w:pPr>
            <w:r w:rsidRPr="00A36690">
              <w:rPr>
                <w:color w:val="auto"/>
                <w:sz w:val="18"/>
                <w:szCs w:val="18"/>
                <w:lang w:val="fr-FR"/>
              </w:rPr>
              <w:t>•</w:t>
            </w:r>
            <w:r w:rsidRPr="00A36690">
              <w:rPr>
                <w:color w:val="auto"/>
                <w:sz w:val="18"/>
                <w:szCs w:val="18"/>
                <w:lang w:val="fr-FR"/>
              </w:rPr>
              <w:tab/>
              <w:t xml:space="preserve">Nombre d'États Membres </w:t>
            </w:r>
            <w:r w:rsidR="00A36690" w:rsidRPr="00A36690">
              <w:rPr>
                <w:color w:val="auto"/>
                <w:sz w:val="18"/>
                <w:szCs w:val="18"/>
                <w:lang w:val="fr-FR"/>
              </w:rPr>
              <w:t>bénéficiant d'une assistance du </w:t>
            </w:r>
            <w:r w:rsidRPr="00A36690">
              <w:rPr>
                <w:color w:val="auto"/>
                <w:sz w:val="18"/>
                <w:szCs w:val="18"/>
                <w:lang w:val="fr-FR"/>
              </w:rPr>
              <w:t xml:space="preserve">BDT dans le domaine du passage de la radiodiffusion </w:t>
            </w:r>
            <w:r w:rsidRPr="00A36690">
              <w:rPr>
                <w:color w:val="auto"/>
                <w:sz w:val="18"/>
                <w:szCs w:val="18"/>
                <w:lang w:val="fr-FR"/>
              </w:rPr>
              <w:lastRenderedPageBreak/>
              <w:t>analogique à la radiodiffusion numérique</w:t>
            </w:r>
          </w:p>
          <w:p w14:paraId="4F7E3769" w14:textId="433CE87A"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auto"/>
                <w:sz w:val="18"/>
                <w:szCs w:val="18"/>
                <w:lang w:val="fr-FR"/>
              </w:rPr>
            </w:pPr>
            <w:r w:rsidRPr="00A36690">
              <w:rPr>
                <w:color w:val="auto"/>
                <w:sz w:val="18"/>
                <w:szCs w:val="18"/>
                <w:lang w:val="fr-FR"/>
              </w:rPr>
              <w:t>•</w:t>
            </w:r>
            <w:r w:rsidRPr="00A36690">
              <w:rPr>
                <w:color w:val="auto"/>
                <w:sz w:val="18"/>
                <w:szCs w:val="18"/>
                <w:lang w:val="fr-FR"/>
              </w:rPr>
              <w:tab/>
              <w:t>Pourcentage de pays ayant mené à bien le passage à la télévision numérique de Terre</w:t>
            </w:r>
          </w:p>
          <w:p w14:paraId="2526289B" w14:textId="12AF7088" w:rsidR="000A30E5" w:rsidRPr="00A36690" w:rsidRDefault="000A30E5" w:rsidP="000A30E5">
            <w:pPr>
              <w:pStyle w:val="Tabletext"/>
              <w:ind w:left="284" w:hanging="284"/>
              <w:jc w:val="left"/>
              <w:cnfStyle w:val="000000100000" w:firstRow="0" w:lastRow="0" w:firstColumn="0" w:lastColumn="0" w:oddVBand="0" w:evenVBand="0" w:oddHBand="1" w:evenHBand="0" w:firstRowFirstColumn="0" w:firstRowLastColumn="0" w:lastRowFirstColumn="0" w:lastRowLastColumn="0"/>
              <w:rPr>
                <w:color w:val="auto"/>
                <w:sz w:val="18"/>
                <w:szCs w:val="18"/>
                <w:lang w:val="fr-FR"/>
              </w:rPr>
            </w:pPr>
            <w:r w:rsidRPr="00A36690">
              <w:rPr>
                <w:color w:val="auto"/>
                <w:sz w:val="18"/>
                <w:szCs w:val="18"/>
                <w:lang w:val="fr-FR"/>
              </w:rPr>
              <w:t>•</w:t>
            </w:r>
            <w:r w:rsidRPr="00A36690">
              <w:rPr>
                <w:color w:val="auto"/>
                <w:sz w:val="18"/>
                <w:szCs w:val="18"/>
                <w:lang w:val="fr-FR"/>
              </w:rPr>
              <w:tab/>
              <w:t>Nombre d'États Membres ayant ouvert des laboratoires IPv6</w:t>
            </w:r>
          </w:p>
        </w:tc>
        <w:tc>
          <w:tcPr>
            <w:tcW w:w="1084" w:type="dxa"/>
          </w:tcPr>
          <w:p w14:paraId="43F078DB" w14:textId="57BC9ECF" w:rsidR="000A30E5" w:rsidRPr="00DD4BCC" w:rsidRDefault="000A30E5" w:rsidP="000A30E5">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8"/>
                <w:lang w:val="fr-FR"/>
              </w:rPr>
            </w:pPr>
            <w:r w:rsidRPr="00DD4BCC">
              <w:rPr>
                <w:color w:val="auto"/>
                <w:sz w:val="18"/>
                <w:szCs w:val="18"/>
                <w:lang w:val="fr-FR"/>
              </w:rPr>
              <w:lastRenderedPageBreak/>
              <w:t>392 000</w:t>
            </w:r>
          </w:p>
        </w:tc>
        <w:tc>
          <w:tcPr>
            <w:tcW w:w="1079" w:type="dxa"/>
          </w:tcPr>
          <w:p w14:paraId="7B594C63" w14:textId="7A254842" w:rsidR="000A30E5" w:rsidRPr="00DD4BCC" w:rsidRDefault="000A30E5" w:rsidP="000A30E5">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8"/>
                <w:lang w:val="fr-FR"/>
              </w:rPr>
            </w:pPr>
            <w:r w:rsidRPr="00DD4BCC">
              <w:rPr>
                <w:color w:val="auto"/>
                <w:sz w:val="18"/>
                <w:szCs w:val="18"/>
                <w:lang w:val="fr-FR"/>
              </w:rPr>
              <w:t>75,5%</w:t>
            </w:r>
          </w:p>
        </w:tc>
        <w:tc>
          <w:tcPr>
            <w:tcW w:w="897" w:type="dxa"/>
            <w:noWrap/>
          </w:tcPr>
          <w:p w14:paraId="2BD46236" w14:textId="0351FCBF" w:rsidR="000A30E5" w:rsidRPr="00DD4BCC" w:rsidRDefault="000A30E5" w:rsidP="000A30E5">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8"/>
                <w:lang w:val="fr-FR"/>
              </w:rPr>
            </w:pPr>
            <w:r w:rsidRPr="00DD4BCC">
              <w:rPr>
                <w:color w:val="auto"/>
                <w:sz w:val="18"/>
                <w:szCs w:val="18"/>
                <w:lang w:val="fr-FR"/>
              </w:rPr>
              <w:t>9,3%</w:t>
            </w:r>
          </w:p>
        </w:tc>
      </w:tr>
    </w:tbl>
    <w:p w14:paraId="5504187B" w14:textId="1815F1F2" w:rsidR="00E755F4" w:rsidRPr="00DD4BCC" w:rsidRDefault="00E755F4" w:rsidP="00A36690">
      <w:pPr>
        <w:pStyle w:val="Tablelegend"/>
        <w:ind w:left="284" w:hanging="284"/>
        <w:rPr>
          <w:lang w:val="fr-FR"/>
        </w:rPr>
      </w:pPr>
      <w:r w:rsidRPr="00DD4BCC">
        <w:rPr>
          <w:lang w:val="fr-FR"/>
        </w:rPr>
        <w:t>*</w:t>
      </w:r>
      <w:r w:rsidR="000A30E5" w:rsidRPr="00DD4BCC">
        <w:rPr>
          <w:lang w:val="fr-FR"/>
        </w:rPr>
        <w:tab/>
      </w:r>
      <w:r w:rsidRPr="00DD4BCC">
        <w:rPr>
          <w:lang w:val="fr-FR"/>
        </w:rPr>
        <w:t xml:space="preserve">Ces indicateurs fondamentaux de performance pourraient être encore affinés à mesure que la mise en </w:t>
      </w:r>
      <w:r w:rsidR="007F586B" w:rsidRPr="00DD4BCC">
        <w:rPr>
          <w:lang w:val="fr-FR"/>
        </w:rPr>
        <w:t>œuvre</w:t>
      </w:r>
      <w:r w:rsidRPr="00DD4BCC">
        <w:rPr>
          <w:lang w:val="fr-FR"/>
        </w:rPr>
        <w:t xml:space="preserve"> du Plan d'action de Kigali progresse</w:t>
      </w:r>
      <w:r w:rsidR="007F586B" w:rsidRPr="00DD4BCC">
        <w:rPr>
          <w:lang w:val="fr-FR"/>
        </w:rPr>
        <w:t>,</w:t>
      </w:r>
      <w:r w:rsidRPr="00DD4BCC">
        <w:rPr>
          <w:lang w:val="fr-FR"/>
        </w:rPr>
        <w:t xml:space="preserve"> afin de mieux rendre compte des résultats obtenus.</w:t>
      </w:r>
    </w:p>
    <w:p w14:paraId="49911EC4" w14:textId="2E09C73B" w:rsidR="000A30E5" w:rsidRPr="00DD4BCC" w:rsidRDefault="000A30E5" w:rsidP="00E80210">
      <w:pPr>
        <w:rPr>
          <w:lang w:val="fr-FR"/>
        </w:rPr>
      </w:pPr>
      <w:r w:rsidRPr="00DD4BCC">
        <w:rPr>
          <w:lang w:val="fr-FR"/>
        </w:rPr>
        <w:br w:type="page"/>
      </w:r>
    </w:p>
    <w:tbl>
      <w:tblPr>
        <w:tblStyle w:val="TableGrid"/>
        <w:tblW w:w="14024" w:type="dxa"/>
        <w:jc w:val="center"/>
        <w:tblLayout w:type="fixed"/>
        <w:tblLook w:val="04A0" w:firstRow="1" w:lastRow="0" w:firstColumn="1" w:lastColumn="0" w:noHBand="0" w:noVBand="1"/>
      </w:tblPr>
      <w:tblGrid>
        <w:gridCol w:w="14024"/>
      </w:tblGrid>
      <w:tr w:rsidR="0059527A" w:rsidRPr="00970D1B" w14:paraId="01599B87" w14:textId="77777777" w:rsidTr="00431DDF">
        <w:trPr>
          <w:jc w:val="center"/>
        </w:trPr>
        <w:tc>
          <w:tcPr>
            <w:tcW w:w="140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E95BBFC" w14:textId="716660D1" w:rsidR="00067F35" w:rsidRPr="00DD4BCC" w:rsidRDefault="00452C85" w:rsidP="009A0C07">
            <w:pPr>
              <w:spacing w:before="80" w:after="80"/>
              <w:jc w:val="left"/>
              <w:rPr>
                <w:sz w:val="22"/>
                <w:szCs w:val="22"/>
                <w:lang w:val="fr-FR"/>
              </w:rPr>
            </w:pPr>
            <w:r w:rsidRPr="00DD4BCC">
              <w:rPr>
                <w:b/>
                <w:bCs/>
                <w:lang w:val="fr-FR"/>
              </w:rPr>
              <w:lastRenderedPageBreak/>
              <w:t xml:space="preserve">Principales mesures mises en </w:t>
            </w:r>
            <w:r w:rsidR="007F586B" w:rsidRPr="00DD4BCC">
              <w:rPr>
                <w:b/>
                <w:bCs/>
                <w:lang w:val="fr-FR"/>
              </w:rPr>
              <w:t>œuvre</w:t>
            </w:r>
            <w:r w:rsidRPr="00DD4BCC">
              <w:rPr>
                <w:b/>
                <w:bCs/>
                <w:lang w:val="fr-FR"/>
              </w:rPr>
              <w:t xml:space="preserve"> en 2023: Priorité 1 de l'UIT-D – Connectivité financièrement abordable</w:t>
            </w:r>
          </w:p>
        </w:tc>
      </w:tr>
      <w:tr w:rsidR="0059527A" w:rsidRPr="00970D1B" w14:paraId="32384B64" w14:textId="77777777" w:rsidTr="00431DDF">
        <w:trPr>
          <w:jc w:val="center"/>
        </w:trPr>
        <w:tc>
          <w:tcPr>
            <w:tcW w:w="140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92CA729" w14:textId="77777777" w:rsidR="00452C85" w:rsidRPr="00DD4BCC" w:rsidRDefault="00452C85" w:rsidP="009A0C07">
            <w:pPr>
              <w:pStyle w:val="Headingb"/>
              <w:keepNext w:val="0"/>
              <w:jc w:val="left"/>
              <w:rPr>
                <w:i/>
                <w:iCs/>
                <w:sz w:val="22"/>
                <w:szCs w:val="22"/>
                <w:lang w:val="fr-FR"/>
              </w:rPr>
            </w:pPr>
            <w:r w:rsidRPr="00DD4BCC">
              <w:rPr>
                <w:i/>
                <w:iCs/>
                <w:lang w:val="fr-FR"/>
              </w:rPr>
              <w:t>Télécommunications d'urgence</w:t>
            </w:r>
          </w:p>
          <w:p w14:paraId="282015C1" w14:textId="594B9892" w:rsidR="008463AC" w:rsidRPr="00DD4BCC" w:rsidRDefault="008463AC" w:rsidP="009A0C07">
            <w:pPr>
              <w:jc w:val="left"/>
              <w:rPr>
                <w:rFonts w:eastAsiaTheme="minorEastAsia" w:cstheme="minorBidi"/>
                <w:sz w:val="22"/>
                <w:szCs w:val="22"/>
                <w:lang w:val="fr-FR"/>
              </w:rPr>
            </w:pPr>
            <w:r w:rsidRPr="00DD4BCC">
              <w:rPr>
                <w:lang w:val="fr-FR"/>
              </w:rPr>
              <w:t xml:space="preserve">Depuis le début de 2023, le BDT a </w:t>
            </w:r>
            <w:r w:rsidR="0035588D" w:rsidRPr="00DD4BCC">
              <w:rPr>
                <w:lang w:val="fr-FR"/>
              </w:rPr>
              <w:t>mis en service</w:t>
            </w:r>
            <w:r w:rsidRPr="00DD4BCC">
              <w:rPr>
                <w:lang w:val="fr-FR"/>
              </w:rPr>
              <w:t xml:space="preserve"> la carte de la connectivité en cas de catastrophe (DCM) pour faire face aux risques naturels:</w:t>
            </w:r>
          </w:p>
          <w:p w14:paraId="61158DDC" w14:textId="712AB707" w:rsidR="00452C85" w:rsidRPr="00DD4BCC" w:rsidRDefault="009A0C07" w:rsidP="009A0C07">
            <w:pPr>
              <w:pStyle w:val="enumlev1"/>
              <w:jc w:val="left"/>
              <w:rPr>
                <w:rFonts w:eastAsiaTheme="minorEastAsia" w:cstheme="minorBidi"/>
                <w:sz w:val="22"/>
                <w:szCs w:val="22"/>
                <w:lang w:val="fr-FR"/>
              </w:rPr>
            </w:pPr>
            <w:r w:rsidRPr="00DD4BCC">
              <w:rPr>
                <w:lang w:val="fr-FR"/>
              </w:rPr>
              <w:t>•</w:t>
            </w:r>
            <w:r w:rsidRPr="00DD4BCC">
              <w:rPr>
                <w:lang w:val="fr-FR"/>
              </w:rPr>
              <w:tab/>
              <w:t>À</w:t>
            </w:r>
            <w:r w:rsidR="0089179F" w:rsidRPr="00DD4BCC">
              <w:rPr>
                <w:lang w:val="fr-FR"/>
              </w:rPr>
              <w:t xml:space="preserve"> la suite</w:t>
            </w:r>
            <w:r w:rsidR="002D33CA" w:rsidRPr="00DD4BCC">
              <w:rPr>
                <w:lang w:val="fr-FR"/>
              </w:rPr>
              <w:t xml:space="preserve"> du</w:t>
            </w:r>
            <w:r w:rsidR="008463AC" w:rsidRPr="00DD4BCC">
              <w:rPr>
                <w:lang w:val="fr-FR"/>
              </w:rPr>
              <w:t xml:space="preserve"> tremblement de terre qui a frappé </w:t>
            </w:r>
            <w:r w:rsidR="008463AC" w:rsidRPr="00057930">
              <w:rPr>
                <w:bCs/>
                <w:lang w:val="fr-FR"/>
              </w:rPr>
              <w:t xml:space="preserve">la </w:t>
            </w:r>
            <w:r w:rsidR="00431DDF" w:rsidRPr="00431DDF">
              <w:rPr>
                <w:b/>
                <w:color w:val="000000"/>
                <w:lang w:val="fr-FR"/>
              </w:rPr>
              <w:t>Türkiye</w:t>
            </w:r>
            <w:r w:rsidR="008463AC" w:rsidRPr="00DD4BCC">
              <w:rPr>
                <w:b/>
                <w:bCs/>
                <w:lang w:val="fr-FR"/>
              </w:rPr>
              <w:t xml:space="preserve"> </w:t>
            </w:r>
            <w:r w:rsidR="008463AC" w:rsidRPr="00057930">
              <w:rPr>
                <w:bCs/>
                <w:lang w:val="fr-FR"/>
              </w:rPr>
              <w:t>et la</w:t>
            </w:r>
            <w:r w:rsidR="008463AC" w:rsidRPr="00DD4BCC">
              <w:rPr>
                <w:b/>
                <w:bCs/>
                <w:lang w:val="fr-FR"/>
              </w:rPr>
              <w:t xml:space="preserve"> Syrie</w:t>
            </w:r>
            <w:r w:rsidR="008463AC" w:rsidRPr="00DD4BCC">
              <w:rPr>
                <w:lang w:val="fr-FR"/>
              </w:rPr>
              <w:t xml:space="preserve"> le 6 février, </w:t>
            </w:r>
            <w:r w:rsidR="00BB1B81" w:rsidRPr="00DD4BCC">
              <w:rPr>
                <w:lang w:val="fr-FR"/>
              </w:rPr>
              <w:t>le système</w:t>
            </w:r>
            <w:r w:rsidR="008463AC" w:rsidRPr="00DD4BCC">
              <w:rPr>
                <w:lang w:val="fr-FR"/>
              </w:rPr>
              <w:t xml:space="preserve"> DCM a produit des données presque en temps réel pour identifier les lacunes en matière de connectivité et les pannes de service à la suite de catastrophes et </w:t>
            </w:r>
            <w:r w:rsidR="00062D20" w:rsidRPr="00DD4BCC">
              <w:rPr>
                <w:lang w:val="fr-FR"/>
              </w:rPr>
              <w:t xml:space="preserve">la carte </w:t>
            </w:r>
            <w:r w:rsidR="008463AC" w:rsidRPr="00DD4BCC">
              <w:rPr>
                <w:lang w:val="fr-FR"/>
              </w:rPr>
              <w:t>a été consulté</w:t>
            </w:r>
            <w:r w:rsidR="00062D20" w:rsidRPr="00DD4BCC">
              <w:rPr>
                <w:lang w:val="fr-FR"/>
              </w:rPr>
              <w:t>e</w:t>
            </w:r>
            <w:r w:rsidR="008463AC" w:rsidRPr="00DD4BCC">
              <w:rPr>
                <w:lang w:val="fr-FR"/>
              </w:rPr>
              <w:t xml:space="preserve"> près de 1 000 fois par 42 pays au cours des deux pr</w:t>
            </w:r>
            <w:r w:rsidR="00A36690">
              <w:rPr>
                <w:lang w:val="fr-FR"/>
              </w:rPr>
              <w:t>emières semaines de février. Le </w:t>
            </w:r>
            <w:r w:rsidR="008463AC" w:rsidRPr="00DD4BCC">
              <w:rPr>
                <w:lang w:val="fr-FR"/>
              </w:rPr>
              <w:t xml:space="preserve">BDT a présenté ce système aux partenaires et aux </w:t>
            </w:r>
            <w:r w:rsidR="0089179F" w:rsidRPr="00DD4BCC">
              <w:rPr>
                <w:lang w:val="fr-FR"/>
              </w:rPr>
              <w:t xml:space="preserve">premiers </w:t>
            </w:r>
            <w:r w:rsidR="00BB1B81" w:rsidRPr="00DD4BCC">
              <w:rPr>
                <w:lang w:val="fr-FR"/>
              </w:rPr>
              <w:t>intervenants</w:t>
            </w:r>
            <w:r w:rsidR="00CF6619" w:rsidRPr="00DD4BCC">
              <w:rPr>
                <w:lang w:val="fr-FR"/>
              </w:rPr>
              <w:t xml:space="preserve"> </w:t>
            </w:r>
            <w:r w:rsidR="008463AC" w:rsidRPr="00DD4BCC">
              <w:rPr>
                <w:lang w:val="fr-FR"/>
              </w:rPr>
              <w:t>du Réseau des télécommunications d'urgence (ETC). Les données provenant du système DCM ont fait apparaître une nette diminution d</w:t>
            </w:r>
            <w:r w:rsidR="00A36690">
              <w:rPr>
                <w:lang w:val="fr-FR"/>
              </w:rPr>
              <w:t>e la couverture du réseau, soit </w:t>
            </w:r>
            <w:r w:rsidR="008463AC" w:rsidRPr="00DD4BCC">
              <w:rPr>
                <w:lang w:val="fr-FR"/>
              </w:rPr>
              <w:t>79</w:t>
            </w:r>
            <w:r w:rsidRPr="00DD4BCC">
              <w:rPr>
                <w:lang w:val="fr-FR"/>
              </w:rPr>
              <w:t> </w:t>
            </w:r>
            <w:r w:rsidR="008463AC" w:rsidRPr="00DD4BCC">
              <w:rPr>
                <w:lang w:val="fr-FR"/>
              </w:rPr>
              <w:t>pour cent de la couverture cellulaire normale, puis une diminution de plus de 90 pour cent de la couverture avant la catastrophe.</w:t>
            </w:r>
          </w:p>
          <w:p w14:paraId="2BE4F5D3" w14:textId="2DFA4F61" w:rsidR="008463AC" w:rsidRPr="00DD4BCC" w:rsidRDefault="009A0C07" w:rsidP="009A0C07">
            <w:pPr>
              <w:pStyle w:val="enumlev1"/>
              <w:jc w:val="left"/>
              <w:rPr>
                <w:rFonts w:eastAsiaTheme="minorEastAsia" w:cstheme="minorBidi"/>
                <w:sz w:val="22"/>
                <w:szCs w:val="22"/>
                <w:lang w:val="fr-FR"/>
              </w:rPr>
            </w:pPr>
            <w:r w:rsidRPr="00DD4BCC">
              <w:rPr>
                <w:lang w:val="fr-FR"/>
              </w:rPr>
              <w:t>•</w:t>
            </w:r>
            <w:r w:rsidRPr="00DD4BCC">
              <w:rPr>
                <w:lang w:val="fr-FR"/>
              </w:rPr>
              <w:tab/>
            </w:r>
            <w:r w:rsidR="008463AC" w:rsidRPr="00DD4BCC">
              <w:rPr>
                <w:lang w:val="fr-FR"/>
              </w:rPr>
              <w:t xml:space="preserve">Le système DCM a été utilisé pour appuyer les opérations de secours en cas de catastrophe au </w:t>
            </w:r>
            <w:r w:rsidR="008463AC" w:rsidRPr="00DD4BCC">
              <w:rPr>
                <w:b/>
                <w:bCs/>
                <w:lang w:val="fr-FR"/>
              </w:rPr>
              <w:t>Vanuatu</w:t>
            </w:r>
            <w:r w:rsidR="008463AC" w:rsidRPr="00DD4BCC">
              <w:rPr>
                <w:lang w:val="fr-FR"/>
              </w:rPr>
              <w:t>, touché par les cyclones tropicaux Judy et Kevin, tous deux de catégorie 4. Les cyclones ont frappé le pa</w:t>
            </w:r>
            <w:r w:rsidR="00431DDF">
              <w:rPr>
                <w:lang w:val="fr-FR"/>
              </w:rPr>
              <w:t>ys les 1er et 3 mars et près de </w:t>
            </w:r>
            <w:r w:rsidR="008463AC" w:rsidRPr="00DD4BCC">
              <w:rPr>
                <w:lang w:val="fr-FR"/>
              </w:rPr>
              <w:t>250</w:t>
            </w:r>
            <w:r w:rsidRPr="00DD4BCC">
              <w:rPr>
                <w:lang w:val="fr-FR"/>
              </w:rPr>
              <w:t> </w:t>
            </w:r>
            <w:r w:rsidR="008463AC" w:rsidRPr="00DD4BCC">
              <w:rPr>
                <w:lang w:val="fr-FR"/>
              </w:rPr>
              <w:t xml:space="preserve">000 personnes ont subi des inondations, des dégâts causés aux structures et aux infrastructures, des pannes d'électricité et des pannes de système de communication. Une diminution de la zone de connectivité cellulaire a été détectée après le passage des deux cyclones, </w:t>
            </w:r>
            <w:r w:rsidR="0089179F" w:rsidRPr="00DD4BCC">
              <w:rPr>
                <w:lang w:val="fr-FR"/>
              </w:rPr>
              <w:t>qui</w:t>
            </w:r>
            <w:r w:rsidR="00057930">
              <w:rPr>
                <w:lang w:val="fr-FR"/>
              </w:rPr>
              <w:t xml:space="preserve"> a atteint </w:t>
            </w:r>
            <w:r w:rsidR="008463AC" w:rsidRPr="00DD4BCC">
              <w:rPr>
                <w:lang w:val="fr-FR"/>
              </w:rPr>
              <w:t xml:space="preserve">36 pour cent du niveau normal le 3 mars, </w:t>
            </w:r>
            <w:r w:rsidR="00C6233F" w:rsidRPr="00DD4BCC">
              <w:rPr>
                <w:lang w:val="fr-FR"/>
              </w:rPr>
              <w:t>suivie d'</w:t>
            </w:r>
            <w:r w:rsidR="008463AC" w:rsidRPr="00DD4BCC">
              <w:rPr>
                <w:lang w:val="fr-FR"/>
              </w:rPr>
              <w:t>une augmentation g</w:t>
            </w:r>
            <w:r w:rsidR="00FD291C" w:rsidRPr="00DD4BCC">
              <w:rPr>
                <w:lang w:val="fr-FR"/>
              </w:rPr>
              <w:t>énérale</w:t>
            </w:r>
            <w:r w:rsidR="008463AC" w:rsidRPr="00DD4BCC">
              <w:rPr>
                <w:lang w:val="fr-FR"/>
              </w:rPr>
              <w:t xml:space="preserve"> pendant la semaine du 6 mars.</w:t>
            </w:r>
          </w:p>
          <w:p w14:paraId="4AF5DAF9" w14:textId="4A911828" w:rsidR="205EBC9C" w:rsidRPr="00DD4BCC" w:rsidRDefault="205EBC9C" w:rsidP="009A0C07">
            <w:pPr>
              <w:jc w:val="left"/>
              <w:rPr>
                <w:rFonts w:ascii="Calibri" w:eastAsiaTheme="minorEastAsia" w:hAnsi="Calibri"/>
                <w:szCs w:val="24"/>
                <w:lang w:val="fr-FR"/>
              </w:rPr>
            </w:pPr>
            <w:r w:rsidRPr="00DD4BCC">
              <w:rPr>
                <w:lang w:val="fr-FR"/>
              </w:rPr>
              <w:t>Dans le cadre de l'initiative des Nations Unies</w:t>
            </w:r>
            <w:r w:rsidR="0089179F" w:rsidRPr="00DD4BCC">
              <w:rPr>
                <w:lang w:val="fr-FR"/>
              </w:rPr>
              <w:t xml:space="preserve"> </w:t>
            </w:r>
            <w:hyperlink r:id="rId19" w:history="1">
              <w:r w:rsidRPr="00DD4BCC">
                <w:rPr>
                  <w:rStyle w:val="Hyperlink"/>
                  <w:lang w:val="fr-FR"/>
                </w:rPr>
                <w:t>"Alertes précoces pour tous" (EW4A)</w:t>
              </w:r>
            </w:hyperlink>
            <w:r w:rsidR="00CF6619" w:rsidRPr="00DD4BCC">
              <w:rPr>
                <w:lang w:val="fr-FR"/>
              </w:rPr>
              <w:t xml:space="preserve"> </w:t>
            </w:r>
            <w:r w:rsidRPr="00DD4BCC">
              <w:rPr>
                <w:lang w:val="fr-FR"/>
              </w:rPr>
              <w:t xml:space="preserve">lancée par le Secrétaire général de l'Organisation des Nations Unies (ONU), M. António Guterres, </w:t>
            </w:r>
            <w:r w:rsidR="00B00937" w:rsidRPr="00DD4BCC">
              <w:rPr>
                <w:lang w:val="fr-FR"/>
              </w:rPr>
              <w:t xml:space="preserve">qui </w:t>
            </w:r>
            <w:r w:rsidRPr="00DD4BCC">
              <w:rPr>
                <w:lang w:val="fr-FR"/>
              </w:rPr>
              <w:t xml:space="preserve">vise à faire en sorte que chaque habitant de la planète soit protégé par un système d'alerte précoce d'ici à 2027, le BDT </w:t>
            </w:r>
            <w:r w:rsidR="00E57B2F" w:rsidRPr="00DD4BCC">
              <w:rPr>
                <w:lang w:val="fr-FR"/>
              </w:rPr>
              <w:t>dirige les travaux du volet "Diffusion des alertes et communication"</w:t>
            </w:r>
            <w:r w:rsidRPr="00DD4BCC">
              <w:rPr>
                <w:lang w:val="fr-FR"/>
              </w:rPr>
              <w:t>, afin de veiller à ce que les alertes soient diffusées auprès des populations à risque.</w:t>
            </w:r>
          </w:p>
          <w:p w14:paraId="0380CEA3" w14:textId="5206B98A" w:rsidR="008463AC" w:rsidRPr="00DD4BCC" w:rsidRDefault="008463AC" w:rsidP="009A0C07">
            <w:pPr>
              <w:jc w:val="left"/>
              <w:rPr>
                <w:rFonts w:eastAsiaTheme="minorEastAsia" w:cstheme="minorBidi"/>
                <w:sz w:val="22"/>
                <w:szCs w:val="22"/>
                <w:lang w:val="fr-FR"/>
              </w:rPr>
            </w:pPr>
            <w:r w:rsidRPr="00DD4BCC">
              <w:rPr>
                <w:lang w:val="fr-FR"/>
              </w:rPr>
              <w:t xml:space="preserve">Dans la région </w:t>
            </w:r>
            <w:r w:rsidRPr="00DD4BCC">
              <w:rPr>
                <w:b/>
                <w:bCs/>
                <w:lang w:val="fr-FR"/>
              </w:rPr>
              <w:t>Asie-Pacifique</w:t>
            </w:r>
            <w:r w:rsidRPr="00DD4BCC">
              <w:rPr>
                <w:lang w:val="fr-FR"/>
              </w:rPr>
              <w:t>, l'UIT a organisé une réunion de consultation des parties prenantes en vue d'élaborer un plan national pour les télécommunications d'urgence</w:t>
            </w:r>
            <w:r w:rsidR="00E57B2F" w:rsidRPr="00DD4BCC">
              <w:rPr>
                <w:lang w:val="fr-FR"/>
              </w:rPr>
              <w:t xml:space="preserve"> (NETP)</w:t>
            </w:r>
            <w:r w:rsidRPr="00DD4BCC">
              <w:rPr>
                <w:lang w:val="fr-FR"/>
              </w:rPr>
              <w:t xml:space="preserve"> dans le cadre de l'assistance continue fournie aux Tonga, suite à la perte de connectivité au lendemain de l'éruption volcanique</w:t>
            </w:r>
            <w:r w:rsidR="00CF6619" w:rsidRPr="00DD4BCC">
              <w:rPr>
                <w:lang w:val="fr-FR"/>
              </w:rPr>
              <w:t xml:space="preserve"> </w:t>
            </w:r>
            <w:r w:rsidR="0089179F" w:rsidRPr="00DD4BCC">
              <w:rPr>
                <w:lang w:val="fr-FR"/>
              </w:rPr>
              <w:t xml:space="preserve">survenue </w:t>
            </w:r>
            <w:r w:rsidRPr="00DD4BCC">
              <w:rPr>
                <w:lang w:val="fr-FR"/>
              </w:rPr>
              <w:t>en janvier 2022. À l'issue d'un processus de consultation formelle mené par le BDT, le Ministère tonga de la météorologie, de l'énergie, de l'information, de la gestion des catastrophes, de l'environnement, des changements climatiques et des communications (MEIDECC)</w:t>
            </w:r>
            <w:r w:rsidR="00CF6619" w:rsidRPr="00DD4BCC">
              <w:rPr>
                <w:lang w:val="fr-FR"/>
              </w:rPr>
              <w:t xml:space="preserve"> </w:t>
            </w:r>
            <w:r w:rsidR="0089179F" w:rsidRPr="00DD4BCC">
              <w:rPr>
                <w:lang w:val="fr-FR"/>
              </w:rPr>
              <w:t>a l</w:t>
            </w:r>
            <w:r w:rsidR="00B01FE6" w:rsidRPr="00DD4BCC">
              <w:rPr>
                <w:lang w:val="fr-FR"/>
              </w:rPr>
              <w:t>'</w:t>
            </w:r>
            <w:r w:rsidR="0089179F" w:rsidRPr="00DD4BCC">
              <w:rPr>
                <w:lang w:val="fr-FR"/>
              </w:rPr>
              <w:t xml:space="preserve">intention </w:t>
            </w:r>
            <w:r w:rsidRPr="00DD4BCC">
              <w:rPr>
                <w:lang w:val="fr-FR"/>
              </w:rPr>
              <w:t>adopter le plan NETP avant la saison des cyclones</w:t>
            </w:r>
            <w:r w:rsidR="0089179F" w:rsidRPr="00DD4BCC">
              <w:rPr>
                <w:lang w:val="fr-FR"/>
              </w:rPr>
              <w:t>,</w:t>
            </w:r>
            <w:r w:rsidR="00CF6619" w:rsidRPr="00DD4BCC">
              <w:rPr>
                <w:lang w:val="fr-FR"/>
              </w:rPr>
              <w:t xml:space="preserve"> </w:t>
            </w:r>
            <w:r w:rsidRPr="00DD4BCC">
              <w:rPr>
                <w:lang w:val="fr-FR"/>
              </w:rPr>
              <w:t>qui débute généralement en octobre dans le Pacifique. Une assistance technique est fournie dans le cadre d'un partenariat en cours avec le Ministère des affaires intérieures et des communications (MIC) du Japon.</w:t>
            </w:r>
          </w:p>
          <w:p w14:paraId="23047726" w14:textId="7A85F576" w:rsidR="597B2F47" w:rsidRPr="00DD4BCC" w:rsidRDefault="597B2F47" w:rsidP="009A0C07">
            <w:pPr>
              <w:jc w:val="left"/>
              <w:rPr>
                <w:sz w:val="22"/>
                <w:szCs w:val="22"/>
                <w:lang w:val="fr-FR"/>
              </w:rPr>
            </w:pPr>
            <w:r w:rsidRPr="00DD4BCC">
              <w:rPr>
                <w:lang w:val="fr-FR"/>
              </w:rPr>
              <w:t xml:space="preserve">Dans la région </w:t>
            </w:r>
            <w:r w:rsidRPr="00DD4BCC">
              <w:rPr>
                <w:b/>
                <w:bCs/>
                <w:lang w:val="fr-FR"/>
              </w:rPr>
              <w:t>Amériques</w:t>
            </w:r>
            <w:r w:rsidRPr="00DD4BCC">
              <w:rPr>
                <w:lang w:val="fr-FR"/>
              </w:rPr>
              <w:t>, l'UIT a mis au point des plans NETP pour le Paraguay et Saint-Kitts-et-Nevis.</w:t>
            </w:r>
          </w:p>
          <w:p w14:paraId="740D8797" w14:textId="52D6E8B3" w:rsidR="00067F35" w:rsidRPr="00DD4BCC" w:rsidRDefault="7310B899" w:rsidP="00C75999">
            <w:pPr>
              <w:spacing w:after="120"/>
              <w:jc w:val="left"/>
              <w:rPr>
                <w:rFonts w:ascii="Calibri" w:eastAsia="Calibri" w:hAnsi="Calibri" w:cs="Calibri"/>
                <w:sz w:val="22"/>
                <w:szCs w:val="22"/>
                <w:lang w:val="fr-FR"/>
              </w:rPr>
            </w:pPr>
            <w:r w:rsidRPr="00DD4BCC">
              <w:rPr>
                <w:lang w:val="fr-FR"/>
              </w:rPr>
              <w:t xml:space="preserve">Dans la région </w:t>
            </w:r>
            <w:r w:rsidRPr="00DD4BCC">
              <w:rPr>
                <w:b/>
                <w:bCs/>
                <w:lang w:val="fr-FR"/>
              </w:rPr>
              <w:t>Afrique</w:t>
            </w:r>
            <w:r w:rsidRPr="00DD4BCC">
              <w:rPr>
                <w:lang w:val="fr-FR"/>
              </w:rPr>
              <w:t xml:space="preserve">, à la demande du Malawi et du Mozambique, l'équipe chargée des télécommunications d'urgence </w:t>
            </w:r>
            <w:hyperlink r:id="rId20" w:history="1">
              <w:r w:rsidRPr="00DD4BCC">
                <w:rPr>
                  <w:rStyle w:val="Hyperlink"/>
                  <w:lang w:val="fr-FR"/>
                </w:rPr>
                <w:t>a déployé des téléphones satellitaires</w:t>
              </w:r>
            </w:hyperlink>
            <w:r w:rsidRPr="00DD4BCC">
              <w:rPr>
                <w:lang w:val="fr-FR"/>
              </w:rPr>
              <w:t xml:space="preserve"> </w:t>
            </w:r>
            <w:r w:rsidR="00E57B2F" w:rsidRPr="00DD4BCC">
              <w:rPr>
                <w:lang w:val="fr-FR"/>
              </w:rPr>
              <w:t>d</w:t>
            </w:r>
            <w:r w:rsidRPr="00DD4BCC">
              <w:rPr>
                <w:lang w:val="fr-FR"/>
              </w:rPr>
              <w:t xml:space="preserve">ans ces pays pour appuyer les interventions en cas de catastrophe </w:t>
            </w:r>
            <w:r w:rsidR="00E57B2F" w:rsidRPr="00DD4BCC">
              <w:rPr>
                <w:lang w:val="fr-FR"/>
              </w:rPr>
              <w:t>au lendema</w:t>
            </w:r>
            <w:r w:rsidR="006D7F7E" w:rsidRPr="00DD4BCC">
              <w:rPr>
                <w:lang w:val="fr-FR"/>
              </w:rPr>
              <w:t>in</w:t>
            </w:r>
            <w:r w:rsidRPr="00DD4BCC">
              <w:rPr>
                <w:lang w:val="fr-FR"/>
              </w:rPr>
              <w:t xml:space="preserve"> du passage du cyclone Freddy.</w:t>
            </w:r>
          </w:p>
          <w:p w14:paraId="0505B2A3" w14:textId="695860B0" w:rsidR="00067F35" w:rsidRPr="00DD4BCC" w:rsidRDefault="6D80962F" w:rsidP="009A0C07">
            <w:pPr>
              <w:jc w:val="left"/>
              <w:rPr>
                <w:rFonts w:ascii="Calibri" w:eastAsia="Calibri" w:hAnsi="Calibri" w:cs="Calibri"/>
                <w:sz w:val="22"/>
                <w:szCs w:val="22"/>
                <w:lang w:val="fr-FR"/>
              </w:rPr>
            </w:pPr>
            <w:r w:rsidRPr="00DD4BCC">
              <w:rPr>
                <w:lang w:val="fr-FR"/>
              </w:rPr>
              <w:lastRenderedPageBreak/>
              <w:t>En mars 2023, l'UIT et le Secrétariat de la Communauté de développement de l'Afrique australe (SADC) ont organisé conjointement</w:t>
            </w:r>
            <w:r w:rsidR="00057930">
              <w:rPr>
                <w:lang w:val="fr-FR"/>
              </w:rPr>
              <w:t xml:space="preserve"> l'</w:t>
            </w:r>
            <w:hyperlink r:id="rId21" w:history="1">
              <w:r w:rsidRPr="00DD4BCC">
                <w:rPr>
                  <w:rStyle w:val="Hyperlink"/>
                  <w:lang w:val="fr-FR"/>
                </w:rPr>
                <w:t xml:space="preserve">atelier de validation de l'analyse </w:t>
              </w:r>
              <w:r w:rsidR="00080F91" w:rsidRPr="00DD4BCC">
                <w:rPr>
                  <w:rStyle w:val="Hyperlink"/>
                  <w:lang w:val="fr-FR"/>
                </w:rPr>
                <w:t>situationnelle</w:t>
              </w:r>
              <w:r w:rsidRPr="00DD4BCC">
                <w:rPr>
                  <w:rStyle w:val="Hyperlink"/>
                  <w:lang w:val="fr-FR"/>
                </w:rPr>
                <w:t xml:space="preserve"> concernant le modèle NETP de la SADC</w:t>
              </w:r>
            </w:hyperlink>
            <w:r w:rsidRPr="00DD4BCC">
              <w:rPr>
                <w:lang w:val="fr-FR"/>
              </w:rPr>
              <w:t xml:space="preserve">, en mettant l'accent sur les TIC et la gestion des catastrophes. Les participants à l'atelier ont validé l'analyse </w:t>
            </w:r>
            <w:r w:rsidR="00080F91" w:rsidRPr="00DD4BCC">
              <w:rPr>
                <w:lang w:val="fr-FR"/>
              </w:rPr>
              <w:t>situationnelle</w:t>
            </w:r>
            <w:r w:rsidRPr="00DD4BCC">
              <w:rPr>
                <w:lang w:val="fr-FR"/>
              </w:rPr>
              <w:t xml:space="preserve"> concernant le plan NETP de la SADC, qui </w:t>
            </w:r>
            <w:r w:rsidR="00101D8D" w:rsidRPr="00DD4BCC">
              <w:rPr>
                <w:lang w:val="fr-FR"/>
              </w:rPr>
              <w:t>résulte d'une</w:t>
            </w:r>
            <w:r w:rsidRPr="00DD4BCC">
              <w:rPr>
                <w:lang w:val="fr-FR"/>
              </w:rPr>
              <w:t xml:space="preserve"> évaluation effectuée par l'UIT </w:t>
            </w:r>
            <w:r w:rsidR="00EE20D4" w:rsidRPr="00DD4BCC">
              <w:rPr>
                <w:lang w:val="fr-FR"/>
              </w:rPr>
              <w:t>pour</w:t>
            </w:r>
            <w:r w:rsidRPr="00DD4BCC">
              <w:rPr>
                <w:lang w:val="fr-FR"/>
              </w:rPr>
              <w:t xml:space="preserve"> déterminer les principales priorités et lacunes en matière de télécommunications d'urgence dans les États Membres de la SADC.</w:t>
            </w:r>
          </w:p>
          <w:p w14:paraId="120BC899" w14:textId="1A59A4DC" w:rsidR="00067F35" w:rsidRPr="00DD4BCC" w:rsidRDefault="03769635" w:rsidP="006F5421">
            <w:pPr>
              <w:pStyle w:val="Headingb"/>
              <w:rPr>
                <w:i/>
                <w:iCs/>
                <w:sz w:val="22"/>
                <w:szCs w:val="22"/>
                <w:lang w:val="fr-FR"/>
              </w:rPr>
            </w:pPr>
            <w:r w:rsidRPr="00DD4BCC">
              <w:rPr>
                <w:i/>
                <w:iCs/>
                <w:lang w:val="fr-FR"/>
              </w:rPr>
              <w:t>Réseau et infrastructure numérique</w:t>
            </w:r>
          </w:p>
          <w:p w14:paraId="1939E3F3" w14:textId="17B10A2C" w:rsidR="008A26A6" w:rsidRPr="00DD4BCC" w:rsidRDefault="008A26A6" w:rsidP="009A0C07">
            <w:pPr>
              <w:jc w:val="left"/>
              <w:rPr>
                <w:sz w:val="22"/>
                <w:szCs w:val="22"/>
                <w:lang w:val="fr-FR"/>
              </w:rPr>
            </w:pPr>
            <w:r w:rsidRPr="00DD4BCC">
              <w:rPr>
                <w:lang w:val="fr-FR"/>
              </w:rPr>
              <w:t>En mars, l'UIT a facilité</w:t>
            </w:r>
            <w:r w:rsidR="00CF6619" w:rsidRPr="00DD4BCC">
              <w:rPr>
                <w:lang w:val="fr-FR"/>
              </w:rPr>
              <w:t xml:space="preserve"> </w:t>
            </w:r>
            <w:r w:rsidR="0089179F" w:rsidRPr="00DD4BCC">
              <w:rPr>
                <w:lang w:val="fr-FR"/>
              </w:rPr>
              <w:t xml:space="preserve">la </w:t>
            </w:r>
            <w:r w:rsidR="006F5421" w:rsidRPr="00DD4BCC">
              <w:rPr>
                <w:lang w:val="fr-FR"/>
              </w:rPr>
              <w:t>t</w:t>
            </w:r>
            <w:r w:rsidR="0089179F" w:rsidRPr="00DD4BCC">
              <w:rPr>
                <w:lang w:val="fr-FR"/>
              </w:rPr>
              <w:t xml:space="preserve">enue de </w:t>
            </w:r>
            <w:r w:rsidRPr="00DD4BCC">
              <w:rPr>
                <w:lang w:val="fr-FR"/>
              </w:rPr>
              <w:t xml:space="preserve">l'atelier </w:t>
            </w:r>
            <w:r w:rsidR="006A71E9" w:rsidRPr="00DD4BCC">
              <w:rPr>
                <w:lang w:val="fr-FR"/>
              </w:rPr>
              <w:t>préparatoire à</w:t>
            </w:r>
            <w:r w:rsidRPr="00DD4BCC">
              <w:rPr>
                <w:lang w:val="fr-FR"/>
              </w:rPr>
              <w:t xml:space="preserve"> l'Assemblée générale annuelle de l'</w:t>
            </w:r>
            <w:r w:rsidRPr="00DD4BCC">
              <w:rPr>
                <w:b/>
                <w:bCs/>
                <w:lang w:val="fr-FR"/>
              </w:rPr>
              <w:t>Association des régulateurs des communications d'Afrique australe (CRASA)</w:t>
            </w:r>
            <w:r w:rsidRPr="00DD4BCC">
              <w:rPr>
                <w:lang w:val="fr-FR"/>
              </w:rPr>
              <w:t xml:space="preserve">, sur le thème "Cadre réglementaire international des services spatiaux et économie spatiale: tirer parti du potentiel des services spatiaux pour accélérer la transformation numérique dans la région de la Communauté de développement de l'Afrique australe (SADC)", tenu à Kinshasa (République démocratique du Congo). L'UIT a </w:t>
            </w:r>
            <w:r w:rsidR="0089179F" w:rsidRPr="00DD4BCC">
              <w:rPr>
                <w:lang w:val="fr-FR"/>
              </w:rPr>
              <w:t>dressé un état des lieux</w:t>
            </w:r>
            <w:r w:rsidR="00CF6619" w:rsidRPr="00DD4BCC">
              <w:rPr>
                <w:lang w:val="fr-FR"/>
              </w:rPr>
              <w:t xml:space="preserve"> </w:t>
            </w:r>
            <w:r w:rsidRPr="00DD4BCC">
              <w:rPr>
                <w:lang w:val="fr-FR"/>
              </w:rPr>
              <w:t xml:space="preserve">des </w:t>
            </w:r>
            <w:r w:rsidR="0089179F" w:rsidRPr="00DD4BCC">
              <w:rPr>
                <w:lang w:val="fr-FR"/>
              </w:rPr>
              <w:t>télé</w:t>
            </w:r>
            <w:r w:rsidRPr="00DD4BCC">
              <w:rPr>
                <w:lang w:val="fr-FR"/>
              </w:rPr>
              <w:t>communications par satellite et</w:t>
            </w:r>
            <w:r w:rsidR="00CF6619" w:rsidRPr="00DD4BCC">
              <w:rPr>
                <w:lang w:val="fr-FR"/>
              </w:rPr>
              <w:t xml:space="preserve"> </w:t>
            </w:r>
            <w:r w:rsidRPr="00DD4BCC">
              <w:rPr>
                <w:lang w:val="fr-FR"/>
              </w:rPr>
              <w:t xml:space="preserve">facilité un débat ouvert sur les attentes et les besoins au niveau régional. Les membres de la CRASA ont examiné les problèmes et les possibilités liés à la réglementation des satellites et aux services par satellite. Cet atelier a contribué à </w:t>
            </w:r>
            <w:r w:rsidR="0089179F" w:rsidRPr="00DD4BCC">
              <w:rPr>
                <w:lang w:val="fr-FR"/>
              </w:rPr>
              <w:t>définir</w:t>
            </w:r>
            <w:r w:rsidR="00CF6619" w:rsidRPr="00DD4BCC">
              <w:rPr>
                <w:lang w:val="fr-FR"/>
              </w:rPr>
              <w:t xml:space="preserve"> </w:t>
            </w:r>
            <w:r w:rsidRPr="00DD4BCC">
              <w:rPr>
                <w:lang w:val="fr-FR"/>
              </w:rPr>
              <w:t>une vision des systèmes à satellites</w:t>
            </w:r>
            <w:r w:rsidR="00323350" w:rsidRPr="00DD4BCC">
              <w:rPr>
                <w:lang w:val="fr-FR"/>
              </w:rPr>
              <w:t xml:space="preserve"> </w:t>
            </w:r>
            <w:r w:rsidR="00B87608" w:rsidRPr="00DD4BCC">
              <w:rPr>
                <w:lang w:val="fr-FR"/>
              </w:rPr>
              <w:t>à l'échelon régional</w:t>
            </w:r>
            <w:r w:rsidRPr="00DD4BCC">
              <w:rPr>
                <w:lang w:val="fr-FR"/>
              </w:rPr>
              <w:t>.</w:t>
            </w:r>
          </w:p>
          <w:p w14:paraId="394BA33B" w14:textId="70E97570" w:rsidR="008A26A6" w:rsidRPr="00DD4BCC" w:rsidRDefault="008A26A6" w:rsidP="009A0C07">
            <w:pPr>
              <w:jc w:val="left"/>
              <w:rPr>
                <w:sz w:val="22"/>
                <w:szCs w:val="22"/>
                <w:lang w:val="fr-FR"/>
              </w:rPr>
            </w:pPr>
            <w:r w:rsidRPr="00DD4BCC">
              <w:rPr>
                <w:lang w:val="fr-FR"/>
              </w:rPr>
              <w:t xml:space="preserve">En avril, le BDT a publié un rapport sur des </w:t>
            </w:r>
            <w:hyperlink r:id="rId22" w:history="1">
              <w:r w:rsidRPr="00DD4BCC">
                <w:rPr>
                  <w:rStyle w:val="Hyperlink"/>
                  <w:lang w:val="fr-FR"/>
                </w:rPr>
                <w:t>solutions</w:t>
              </w:r>
              <w:r w:rsidR="00CF6619" w:rsidRPr="00DD4BCC">
                <w:rPr>
                  <w:rStyle w:val="Hyperlink"/>
                  <w:lang w:val="fr-FR"/>
                </w:rPr>
                <w:t xml:space="preserve"> </w:t>
              </w:r>
              <w:r w:rsidR="0089179F" w:rsidRPr="00DD4BCC">
                <w:rPr>
                  <w:rStyle w:val="Hyperlink"/>
                  <w:lang w:val="fr-FR"/>
                </w:rPr>
                <w:t>énergétiques</w:t>
              </w:r>
              <w:r w:rsidR="00CF6619" w:rsidRPr="00DD4BCC">
                <w:rPr>
                  <w:rStyle w:val="Hyperlink"/>
                  <w:lang w:val="fr-FR"/>
                </w:rPr>
                <w:t xml:space="preserve"> </w:t>
              </w:r>
              <w:r w:rsidRPr="00DD4BCC">
                <w:rPr>
                  <w:rStyle w:val="Hyperlink"/>
                  <w:lang w:val="fr-FR"/>
                </w:rPr>
                <w:t>durables et innovantes</w:t>
              </w:r>
              <w:r w:rsidR="00CF6619" w:rsidRPr="00DD4BCC">
                <w:rPr>
                  <w:rStyle w:val="Hyperlink"/>
                  <w:lang w:val="fr-FR"/>
                </w:rPr>
                <w:t xml:space="preserve"> </w:t>
              </w:r>
              <w:r w:rsidR="0089179F" w:rsidRPr="00DD4BCC">
                <w:rPr>
                  <w:rStyle w:val="Hyperlink"/>
                  <w:lang w:val="fr-FR"/>
                </w:rPr>
                <w:t>pour</w:t>
              </w:r>
              <w:r w:rsidR="00CF6619" w:rsidRPr="00DD4BCC">
                <w:rPr>
                  <w:rStyle w:val="Hyperlink"/>
                  <w:lang w:val="fr-FR"/>
                </w:rPr>
                <w:t xml:space="preserve"> </w:t>
              </w:r>
              <w:r w:rsidRPr="00DD4BCC">
                <w:rPr>
                  <w:rStyle w:val="Hyperlink"/>
                  <w:lang w:val="fr-FR"/>
                </w:rPr>
                <w:t>la connectivité large bande</w:t>
              </w:r>
            </w:hyperlink>
            <w:r w:rsidRPr="00DD4BCC">
              <w:rPr>
                <w:lang w:val="fr-FR"/>
              </w:rPr>
              <w:t>, dans lequel il examine les problèmes que pose l'accès à l'électricité,</w:t>
            </w:r>
            <w:r w:rsidR="00CF6619" w:rsidRPr="00DD4BCC">
              <w:rPr>
                <w:lang w:val="fr-FR"/>
              </w:rPr>
              <w:t xml:space="preserve"> </w:t>
            </w:r>
            <w:r w:rsidRPr="00DD4BCC">
              <w:rPr>
                <w:lang w:val="fr-FR"/>
              </w:rPr>
              <w:t>pourtant essentiel pour connecter les zones rurales à l'Internet. Les conclusions du rapport aideront les États Membres à moderniser leurs réseaux et à intégrer l'utilisation appropriée des réseaux modernes à meilleur rendement énergétique. Le rapport fournit également des conseils aux pays pour qu'ils se préparent à</w:t>
            </w:r>
            <w:r w:rsidR="00CF6619" w:rsidRPr="00DD4BCC">
              <w:rPr>
                <w:lang w:val="fr-FR"/>
              </w:rPr>
              <w:t xml:space="preserve"> </w:t>
            </w:r>
            <w:r w:rsidR="0089179F" w:rsidRPr="00DD4BCC">
              <w:rPr>
                <w:lang w:val="fr-FR"/>
              </w:rPr>
              <w:t xml:space="preserve">concevoir </w:t>
            </w:r>
            <w:r w:rsidRPr="00DD4BCC">
              <w:rPr>
                <w:lang w:val="fr-FR"/>
              </w:rPr>
              <w:t>des TIC plus respectueuses de l'environnement, en garantissant l'accès à une énergie financièrement abordable, fiable, durable et moderne dans les zones rurales.</w:t>
            </w:r>
          </w:p>
          <w:p w14:paraId="195A0C30" w14:textId="5E00420A" w:rsidR="00D40D85" w:rsidRPr="00DD4BCC" w:rsidRDefault="005738ED" w:rsidP="009A0C07">
            <w:pPr>
              <w:jc w:val="left"/>
              <w:rPr>
                <w:sz w:val="22"/>
                <w:szCs w:val="22"/>
                <w:lang w:val="fr-FR"/>
              </w:rPr>
            </w:pPr>
            <w:r w:rsidRPr="00DD4BCC">
              <w:rPr>
                <w:lang w:val="fr-FR"/>
              </w:rPr>
              <w:t xml:space="preserve">Le BDT a fourni une assistance </w:t>
            </w:r>
            <w:r w:rsidRPr="00057930">
              <w:rPr>
                <w:bCs/>
                <w:lang w:val="fr-FR"/>
              </w:rPr>
              <w:t xml:space="preserve">à </w:t>
            </w:r>
            <w:r w:rsidRPr="00DD4BCC">
              <w:rPr>
                <w:b/>
                <w:bCs/>
                <w:lang w:val="fr-FR"/>
              </w:rPr>
              <w:t xml:space="preserve">Moldova </w:t>
            </w:r>
            <w:r w:rsidRPr="00057930">
              <w:rPr>
                <w:bCs/>
                <w:lang w:val="fr-FR"/>
              </w:rPr>
              <w:t xml:space="preserve">et à </w:t>
            </w:r>
            <w:r w:rsidRPr="00DD4BCC">
              <w:rPr>
                <w:b/>
                <w:bCs/>
                <w:lang w:val="fr-FR"/>
              </w:rPr>
              <w:t>la Bosnie-Herzégovine</w:t>
            </w:r>
            <w:r w:rsidR="00CF6619" w:rsidRPr="00DD4BCC">
              <w:rPr>
                <w:lang w:val="fr-FR"/>
              </w:rPr>
              <w:t>,</w:t>
            </w:r>
            <w:r w:rsidR="0089179F" w:rsidRPr="00DD4BCC">
              <w:rPr>
                <w:lang w:val="fr-FR"/>
              </w:rPr>
              <w:t xml:space="preserve"> </w:t>
            </w:r>
            <w:r w:rsidRPr="00DD4BCC">
              <w:rPr>
                <w:lang w:val="fr-FR"/>
              </w:rPr>
              <w:t>en vue d'élaborer des spécifications techniques pour les systèmes nationaux de cartographie du large bande conformes aux normes internationales et européennes et de renforcer les capacités de prise de décisions fondées sur des données factuelles.</w:t>
            </w:r>
          </w:p>
          <w:p w14:paraId="3CC09FB8" w14:textId="47308B38" w:rsidR="00D40D85" w:rsidRPr="00DD4BCC" w:rsidRDefault="00D40D85" w:rsidP="009A0C07">
            <w:pPr>
              <w:jc w:val="left"/>
              <w:rPr>
                <w:rFonts w:eastAsiaTheme="minorEastAsia" w:cstheme="minorBidi"/>
                <w:sz w:val="22"/>
                <w:szCs w:val="22"/>
                <w:lang w:val="fr-FR"/>
              </w:rPr>
            </w:pPr>
            <w:r w:rsidRPr="00DD4BCC">
              <w:rPr>
                <w:lang w:val="fr-FR"/>
              </w:rPr>
              <w:t xml:space="preserve">Un laboratoire IPv6 au </w:t>
            </w:r>
            <w:r w:rsidRPr="00DD4BCC">
              <w:rPr>
                <w:b/>
                <w:bCs/>
                <w:lang w:val="fr-FR"/>
              </w:rPr>
              <w:t xml:space="preserve">Monténégro </w:t>
            </w:r>
            <w:r w:rsidRPr="00DD4BCC">
              <w:rPr>
                <w:lang w:val="fr-FR"/>
              </w:rPr>
              <w:t>a été mis sur pied avec l'appui du BDT, afin d'offrir à toutes les parties prenantes une plate</w:t>
            </w:r>
            <w:r w:rsidR="006F5421" w:rsidRPr="00DD4BCC">
              <w:rPr>
                <w:lang w:val="fr-FR"/>
              </w:rPr>
              <w:noBreakHyphen/>
            </w:r>
            <w:r w:rsidRPr="00DD4BCC">
              <w:rPr>
                <w:lang w:val="fr-FR"/>
              </w:rPr>
              <w:t>forme ouverte pour</w:t>
            </w:r>
            <w:r w:rsidR="00441259" w:rsidRPr="00DD4BCC">
              <w:rPr>
                <w:lang w:val="fr-FR"/>
              </w:rPr>
              <w:t xml:space="preserve"> renforcer</w:t>
            </w:r>
            <w:r w:rsidR="00CF6619" w:rsidRPr="00DD4BCC">
              <w:rPr>
                <w:lang w:val="fr-FR"/>
              </w:rPr>
              <w:t xml:space="preserve"> </w:t>
            </w:r>
            <w:r w:rsidR="00994389" w:rsidRPr="00DD4BCC">
              <w:rPr>
                <w:lang w:val="fr-FR"/>
              </w:rPr>
              <w:t>les</w:t>
            </w:r>
            <w:r w:rsidRPr="00DD4BCC">
              <w:rPr>
                <w:lang w:val="fr-FR"/>
              </w:rPr>
              <w:t xml:space="preserve"> capacités humaines</w:t>
            </w:r>
            <w:r w:rsidR="00994389" w:rsidRPr="00DD4BCC">
              <w:rPr>
                <w:lang w:val="fr-FR"/>
              </w:rPr>
              <w:t xml:space="preserve"> nécessaires</w:t>
            </w:r>
            <w:r w:rsidRPr="00DD4BCC">
              <w:rPr>
                <w:lang w:val="fr-FR"/>
              </w:rPr>
              <w:t xml:space="preserve"> en vue </w:t>
            </w:r>
            <w:r w:rsidR="007852FC" w:rsidRPr="00DD4BCC">
              <w:rPr>
                <w:lang w:val="fr-FR"/>
              </w:rPr>
              <w:t>d'améliorer</w:t>
            </w:r>
            <w:r w:rsidRPr="00DD4BCC">
              <w:rPr>
                <w:lang w:val="fr-FR"/>
              </w:rPr>
              <w:t xml:space="preserve"> la résilience numérique du pays et de renforcer les capacités d'innovation.</w:t>
            </w:r>
          </w:p>
          <w:p w14:paraId="65B02996" w14:textId="0DC17FBF" w:rsidR="00D40D85" w:rsidRPr="00DD4BCC" w:rsidRDefault="00431DDF" w:rsidP="00431DDF">
            <w:pPr>
              <w:spacing w:after="120"/>
              <w:jc w:val="left"/>
              <w:rPr>
                <w:rFonts w:ascii="Arial" w:eastAsia="Arial" w:hAnsi="Arial" w:cs="Arial"/>
                <w:sz w:val="18"/>
                <w:szCs w:val="18"/>
                <w:lang w:val="fr-FR"/>
              </w:rPr>
            </w:pPr>
            <w:r>
              <w:rPr>
                <w:lang w:val="fr-FR"/>
              </w:rPr>
              <w:t>L</w:t>
            </w:r>
            <w:r w:rsidR="3A8EF23F" w:rsidRPr="00DD4BCC">
              <w:rPr>
                <w:lang w:val="fr-FR"/>
              </w:rPr>
              <w:t xml:space="preserve">e Forum régional sur les réseaux futurs pour les </w:t>
            </w:r>
            <w:r w:rsidR="3A8EF23F" w:rsidRPr="00DD4BCC">
              <w:rPr>
                <w:b/>
                <w:bCs/>
                <w:lang w:val="fr-FR"/>
              </w:rPr>
              <w:t>pays de la CEI</w:t>
            </w:r>
            <w:r w:rsidR="00441259" w:rsidRPr="00DD4BCC">
              <w:rPr>
                <w:lang w:val="fr-FR"/>
              </w:rPr>
              <w:t xml:space="preserve"> s'est tenu en mai</w:t>
            </w:r>
            <w:r w:rsidR="3A8EF23F" w:rsidRPr="00DD4BCC">
              <w:rPr>
                <w:lang w:val="fr-FR"/>
              </w:rPr>
              <w:t>, parallèlement à la formation sur la conformité et l'interopérabilité. Les participants au Forum ont débattu des tendances dans le domaine du développement des réseaux futurs, des tests de conformité et d'interopérabilité, des cas d'utilisation et des bonnes pratiques de différents pays.</w:t>
            </w:r>
          </w:p>
        </w:tc>
      </w:tr>
    </w:tbl>
    <w:p w14:paraId="688D4F00" w14:textId="55CC6E87" w:rsidR="00E80210" w:rsidRPr="00DD4BCC" w:rsidRDefault="00E80210" w:rsidP="006F5421">
      <w:pPr>
        <w:pStyle w:val="Heading2"/>
        <w:spacing w:after="240"/>
        <w:jc w:val="left"/>
        <w:rPr>
          <w:lang w:val="fr-FR"/>
        </w:rPr>
      </w:pPr>
      <w:r w:rsidRPr="00DD4BCC">
        <w:rPr>
          <w:lang w:val="fr-FR"/>
        </w:rPr>
        <w:lastRenderedPageBreak/>
        <w:t>3.2</w:t>
      </w:r>
      <w:r w:rsidRPr="00DD4BCC">
        <w:rPr>
          <w:lang w:val="fr-FR"/>
        </w:rPr>
        <w:tab/>
        <w:t>Priorité 2 de l'UIT-D: Transformation numérique</w:t>
      </w:r>
    </w:p>
    <w:tbl>
      <w:tblPr>
        <w:tblStyle w:val="ListTable6Colorful-Accent1"/>
        <w:tblW w:w="1323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418"/>
        <w:gridCol w:w="3260"/>
        <w:gridCol w:w="2407"/>
        <w:gridCol w:w="3175"/>
        <w:gridCol w:w="939"/>
        <w:gridCol w:w="1134"/>
        <w:gridCol w:w="897"/>
      </w:tblGrid>
      <w:tr w:rsidR="0059527A" w:rsidRPr="00DD4BCC" w14:paraId="7F3F077A" w14:textId="77777777" w:rsidTr="00E743A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none" w:sz="0" w:space="0" w:color="auto"/>
            </w:tcBorders>
            <w:hideMark/>
          </w:tcPr>
          <w:p w14:paraId="101C9CBA" w14:textId="394D1BC5" w:rsidR="00E80210" w:rsidRPr="00DD4BCC" w:rsidRDefault="00865D12" w:rsidP="006F5421">
            <w:pPr>
              <w:pStyle w:val="Tablehead"/>
              <w:rPr>
                <w:rFonts w:ascii="Calibri" w:eastAsia="Times New Roman" w:hAnsi="Calibri" w:cs="Calibri"/>
                <w:b/>
                <w:bCs w:val="0"/>
                <w:color w:val="auto"/>
                <w:sz w:val="18"/>
                <w:szCs w:val="18"/>
                <w:lang w:val="fr-FR"/>
              </w:rPr>
            </w:pPr>
            <w:r w:rsidRPr="00DD4BCC">
              <w:rPr>
                <w:b/>
                <w:bCs w:val="0"/>
                <w:color w:val="auto"/>
                <w:sz w:val="18"/>
                <w:szCs w:val="18"/>
                <w:lang w:val="fr-FR"/>
              </w:rPr>
              <w:t>Priorité/thème</w:t>
            </w:r>
          </w:p>
        </w:tc>
        <w:tc>
          <w:tcPr>
            <w:tcW w:w="3260" w:type="dxa"/>
            <w:tcBorders>
              <w:bottom w:val="none" w:sz="0" w:space="0" w:color="auto"/>
            </w:tcBorders>
            <w:hideMark/>
          </w:tcPr>
          <w:p w14:paraId="34B54A5C" w14:textId="6A2AA628" w:rsidR="00E80210" w:rsidRPr="00DD4BCC" w:rsidRDefault="00E80210" w:rsidP="006F5421">
            <w:pPr>
              <w:pStyle w:val="Tablehead"/>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auto"/>
                <w:sz w:val="18"/>
                <w:szCs w:val="18"/>
                <w:lang w:val="fr-FR"/>
              </w:rPr>
            </w:pPr>
            <w:r w:rsidRPr="00DD4BCC">
              <w:rPr>
                <w:b/>
                <w:bCs w:val="0"/>
                <w:color w:val="auto"/>
                <w:sz w:val="18"/>
                <w:szCs w:val="18"/>
                <w:lang w:val="fr-FR"/>
              </w:rPr>
              <w:t>Ré</w:t>
            </w:r>
            <w:r w:rsidR="00384D1C" w:rsidRPr="00DD4BCC">
              <w:rPr>
                <w:b/>
                <w:bCs w:val="0"/>
                <w:color w:val="auto"/>
                <w:sz w:val="18"/>
                <w:szCs w:val="18"/>
                <w:lang w:val="fr-FR"/>
              </w:rPr>
              <w:t>alisation</w:t>
            </w:r>
          </w:p>
        </w:tc>
        <w:tc>
          <w:tcPr>
            <w:tcW w:w="2407" w:type="dxa"/>
            <w:tcBorders>
              <w:bottom w:val="none" w:sz="0" w:space="0" w:color="auto"/>
            </w:tcBorders>
            <w:hideMark/>
          </w:tcPr>
          <w:p w14:paraId="29F28D81" w14:textId="495C1F86" w:rsidR="00E80210" w:rsidRPr="00DD4BCC" w:rsidRDefault="00BB54A5" w:rsidP="006F5421">
            <w:pPr>
              <w:pStyle w:val="Tablehead"/>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auto"/>
                <w:sz w:val="18"/>
                <w:szCs w:val="18"/>
                <w:lang w:val="fr-FR"/>
              </w:rPr>
            </w:pPr>
            <w:r w:rsidRPr="00DD4BCC">
              <w:rPr>
                <w:b/>
                <w:bCs w:val="0"/>
                <w:color w:val="auto"/>
                <w:sz w:val="18"/>
                <w:szCs w:val="18"/>
                <w:lang w:val="fr-FR"/>
              </w:rPr>
              <w:t xml:space="preserve">Produits </w:t>
            </w:r>
            <w:r w:rsidR="00AE5270" w:rsidRPr="00DD4BCC">
              <w:rPr>
                <w:b/>
                <w:bCs w:val="0"/>
                <w:color w:val="auto"/>
                <w:sz w:val="18"/>
                <w:szCs w:val="18"/>
                <w:lang w:val="fr-FR"/>
              </w:rPr>
              <w:br/>
            </w:r>
            <w:r w:rsidRPr="00DD4BCC">
              <w:rPr>
                <w:b/>
                <w:bCs w:val="0"/>
                <w:color w:val="auto"/>
                <w:sz w:val="18"/>
                <w:szCs w:val="18"/>
                <w:lang w:val="fr-FR"/>
              </w:rPr>
              <w:t>(Produits et services)</w:t>
            </w:r>
          </w:p>
        </w:tc>
        <w:tc>
          <w:tcPr>
            <w:tcW w:w="3175" w:type="dxa"/>
            <w:tcBorders>
              <w:bottom w:val="none" w:sz="0" w:space="0" w:color="auto"/>
            </w:tcBorders>
            <w:hideMark/>
          </w:tcPr>
          <w:p w14:paraId="592B5EC9" w14:textId="318872A9" w:rsidR="00E80210" w:rsidRPr="00DD4BCC" w:rsidRDefault="00FE1782" w:rsidP="006F5421">
            <w:pPr>
              <w:pStyle w:val="Tablehead"/>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auto"/>
                <w:sz w:val="18"/>
                <w:szCs w:val="18"/>
                <w:lang w:val="fr-FR"/>
              </w:rPr>
            </w:pPr>
            <w:r w:rsidRPr="00DD4BCC">
              <w:rPr>
                <w:b/>
                <w:bCs w:val="0"/>
                <w:color w:val="auto"/>
                <w:sz w:val="18"/>
                <w:szCs w:val="18"/>
                <w:lang w:val="fr-FR"/>
              </w:rPr>
              <w:t>Indicateurs fondamentaux de performance*</w:t>
            </w:r>
          </w:p>
        </w:tc>
        <w:tc>
          <w:tcPr>
            <w:tcW w:w="939" w:type="dxa"/>
            <w:tcBorders>
              <w:bottom w:val="none" w:sz="0" w:space="0" w:color="auto"/>
            </w:tcBorders>
            <w:hideMark/>
          </w:tcPr>
          <w:p w14:paraId="6FE02573" w14:textId="212DE780" w:rsidR="00E80210" w:rsidRPr="00DD4BCC" w:rsidRDefault="00431DDF" w:rsidP="006F5421">
            <w:pPr>
              <w:pStyle w:val="Tablehead"/>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auto"/>
                <w:sz w:val="18"/>
                <w:szCs w:val="18"/>
                <w:lang w:val="fr-FR"/>
              </w:rPr>
            </w:pPr>
            <w:r>
              <w:rPr>
                <w:b/>
                <w:bCs w:val="0"/>
                <w:color w:val="auto"/>
                <w:sz w:val="18"/>
                <w:szCs w:val="18"/>
                <w:lang w:val="fr-FR"/>
              </w:rPr>
              <w:t>Budget 2023 (en </w:t>
            </w:r>
            <w:r w:rsidR="00E80210" w:rsidRPr="00DD4BCC">
              <w:rPr>
                <w:b/>
                <w:bCs w:val="0"/>
                <w:color w:val="auto"/>
                <w:sz w:val="18"/>
                <w:szCs w:val="18"/>
                <w:lang w:val="fr-FR"/>
              </w:rPr>
              <w:t>CHF)</w:t>
            </w:r>
          </w:p>
        </w:tc>
        <w:tc>
          <w:tcPr>
            <w:tcW w:w="1134" w:type="dxa"/>
            <w:tcBorders>
              <w:bottom w:val="none" w:sz="0" w:space="0" w:color="auto"/>
            </w:tcBorders>
            <w:hideMark/>
          </w:tcPr>
          <w:p w14:paraId="0509A438" w14:textId="0E5E0E6D" w:rsidR="00E80210" w:rsidRPr="00DD4BCC" w:rsidRDefault="00E80210" w:rsidP="006F5421">
            <w:pPr>
              <w:pStyle w:val="Tablehead"/>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auto"/>
                <w:sz w:val="18"/>
                <w:szCs w:val="18"/>
                <w:lang w:val="fr-FR"/>
              </w:rPr>
            </w:pPr>
            <w:r w:rsidRPr="00DD4BCC">
              <w:rPr>
                <w:b/>
                <w:bCs w:val="0"/>
                <w:color w:val="auto"/>
                <w:sz w:val="18"/>
                <w:szCs w:val="18"/>
                <w:lang w:val="fr-FR"/>
              </w:rPr>
              <w:t>% du total des priorités/</w:t>
            </w:r>
            <w:r w:rsidR="00AE5270" w:rsidRPr="00DD4BCC">
              <w:rPr>
                <w:b/>
                <w:bCs w:val="0"/>
                <w:color w:val="auto"/>
                <w:sz w:val="18"/>
                <w:szCs w:val="18"/>
                <w:lang w:val="fr-FR"/>
              </w:rPr>
              <w:br/>
            </w:r>
            <w:r w:rsidRPr="00DD4BCC">
              <w:rPr>
                <w:b/>
                <w:bCs w:val="0"/>
                <w:color w:val="auto"/>
                <w:sz w:val="18"/>
                <w:szCs w:val="18"/>
                <w:lang w:val="fr-FR"/>
              </w:rPr>
              <w:t>catalyseurs</w:t>
            </w:r>
          </w:p>
        </w:tc>
        <w:tc>
          <w:tcPr>
            <w:tcW w:w="897" w:type="dxa"/>
            <w:tcBorders>
              <w:bottom w:val="none" w:sz="0" w:space="0" w:color="auto"/>
            </w:tcBorders>
            <w:noWrap/>
            <w:hideMark/>
          </w:tcPr>
          <w:p w14:paraId="5DED9A23" w14:textId="77777777" w:rsidR="00E80210" w:rsidRPr="00DD4BCC" w:rsidRDefault="00E80210" w:rsidP="006F5421">
            <w:pPr>
              <w:pStyle w:val="Tablehead"/>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auto"/>
                <w:sz w:val="18"/>
                <w:szCs w:val="18"/>
                <w:lang w:val="fr-FR"/>
              </w:rPr>
            </w:pPr>
            <w:r w:rsidRPr="00DD4BCC">
              <w:rPr>
                <w:b/>
                <w:bCs w:val="0"/>
                <w:color w:val="auto"/>
                <w:sz w:val="18"/>
                <w:szCs w:val="18"/>
                <w:lang w:val="fr-FR"/>
              </w:rPr>
              <w:t>% du total général</w:t>
            </w:r>
          </w:p>
        </w:tc>
      </w:tr>
      <w:tr w:rsidR="006F5421" w:rsidRPr="00DD4BCC" w14:paraId="4E4A1A3F" w14:textId="77777777" w:rsidTr="00EC79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60" w:type="dxa"/>
            <w:gridSpan w:val="4"/>
          </w:tcPr>
          <w:p w14:paraId="7AD5487D" w14:textId="6F9946BF" w:rsidR="006F5421" w:rsidRPr="00DD4BCC" w:rsidRDefault="006F5421" w:rsidP="006F5421">
            <w:pPr>
              <w:pStyle w:val="Tabletext"/>
              <w:rPr>
                <w:color w:val="auto"/>
                <w:sz w:val="18"/>
                <w:szCs w:val="18"/>
                <w:lang w:val="fr-FR"/>
              </w:rPr>
            </w:pPr>
            <w:r w:rsidRPr="00DD4BCC">
              <w:rPr>
                <w:color w:val="auto"/>
                <w:sz w:val="18"/>
                <w:szCs w:val="18"/>
                <w:lang w:val="fr-FR"/>
              </w:rPr>
              <w:t>Tout ce qui a trait à la priorité intitulée</w:t>
            </w:r>
            <w:r w:rsidRPr="00DD4BCC">
              <w:rPr>
                <w:color w:val="auto"/>
                <w:sz w:val="18"/>
                <w:szCs w:val="18"/>
                <w:lang w:val="fr-FR"/>
              </w:rPr>
              <w:br/>
              <w:t>"Transformation numérique"</w:t>
            </w:r>
          </w:p>
        </w:tc>
        <w:tc>
          <w:tcPr>
            <w:tcW w:w="939" w:type="dxa"/>
          </w:tcPr>
          <w:p w14:paraId="634AD5D3" w14:textId="7FD08339" w:rsidR="006F5421" w:rsidRPr="00DD4BCC" w:rsidRDefault="006F5421" w:rsidP="006F5421">
            <w:pPr>
              <w:pStyle w:val="Tabletext"/>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fr-FR"/>
              </w:rPr>
            </w:pPr>
            <w:r w:rsidRPr="00DD4BCC">
              <w:rPr>
                <w:b/>
                <w:bCs/>
                <w:color w:val="auto"/>
                <w:sz w:val="18"/>
                <w:szCs w:val="18"/>
                <w:lang w:val="fr-FR"/>
              </w:rPr>
              <w:t>756 000</w:t>
            </w:r>
          </w:p>
        </w:tc>
        <w:tc>
          <w:tcPr>
            <w:tcW w:w="1134" w:type="dxa"/>
          </w:tcPr>
          <w:p w14:paraId="48F9E794" w14:textId="77777777" w:rsidR="006F5421" w:rsidRPr="00DD4BCC" w:rsidRDefault="006F5421" w:rsidP="006F5421">
            <w:pPr>
              <w:pStyle w:val="Tabletext"/>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fr-FR"/>
              </w:rPr>
            </w:pPr>
          </w:p>
        </w:tc>
        <w:tc>
          <w:tcPr>
            <w:tcW w:w="897" w:type="dxa"/>
            <w:noWrap/>
          </w:tcPr>
          <w:p w14:paraId="3635F022" w14:textId="49C1A750" w:rsidR="006F5421" w:rsidRPr="00DD4BCC" w:rsidRDefault="006F5421" w:rsidP="006F5421">
            <w:pPr>
              <w:pStyle w:val="Tabletext"/>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fr-FR"/>
              </w:rPr>
            </w:pPr>
            <w:r w:rsidRPr="00DD4BCC">
              <w:rPr>
                <w:b/>
                <w:bCs/>
                <w:color w:val="auto"/>
                <w:sz w:val="18"/>
                <w:szCs w:val="18"/>
                <w:lang w:val="fr-FR"/>
              </w:rPr>
              <w:t>18,0%</w:t>
            </w:r>
          </w:p>
        </w:tc>
      </w:tr>
      <w:tr w:rsidR="00E545C2" w:rsidRPr="00DD4BCC" w14:paraId="2B03FC03" w14:textId="77777777" w:rsidTr="00E743A9">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7B80973C" w14:textId="261CFCD4" w:rsidR="00E545C2" w:rsidRPr="00DD4BCC" w:rsidRDefault="00E545C2" w:rsidP="00E545C2">
            <w:pPr>
              <w:pStyle w:val="Tabletext9pt"/>
              <w:jc w:val="left"/>
              <w:rPr>
                <w:b/>
                <w:bCs/>
                <w:color w:val="auto"/>
              </w:rPr>
            </w:pPr>
            <w:r w:rsidRPr="00DD4BCC">
              <w:rPr>
                <w:b/>
                <w:bCs/>
                <w:color w:val="auto"/>
              </w:rPr>
              <w:t>Écosystème de l'innovation numérique</w:t>
            </w:r>
          </w:p>
        </w:tc>
        <w:tc>
          <w:tcPr>
            <w:tcW w:w="3260" w:type="dxa"/>
          </w:tcPr>
          <w:p w14:paraId="411C1487" w14:textId="706FBCD6" w:rsidR="00E545C2" w:rsidRPr="00DD4BCC" w:rsidRDefault="00E545C2" w:rsidP="00E545C2">
            <w:pPr>
              <w:pStyle w:val="Tabletext9pt"/>
              <w:ind w:left="284" w:hanging="284"/>
              <w:jc w:val="left"/>
              <w:cnfStyle w:val="000000000000" w:firstRow="0" w:lastRow="0" w:firstColumn="0" w:lastColumn="0" w:oddVBand="0" w:evenVBand="0" w:oddHBand="0" w:evenHBand="0" w:firstRowFirstColumn="0" w:firstRowLastColumn="0" w:lastRowFirstColumn="0" w:lastRowLastColumn="0"/>
              <w:rPr>
                <w:rFonts w:cstheme="minorHAnsi"/>
                <w:b w:val="0"/>
                <w:bCs w:val="0"/>
                <w:color w:val="auto"/>
              </w:rPr>
            </w:pPr>
            <w:r w:rsidRPr="00DD4BCC">
              <w:rPr>
                <w:b w:val="0"/>
                <w:bCs w:val="0"/>
                <w:color w:val="auto"/>
              </w:rPr>
              <w:t>•</w:t>
            </w:r>
            <w:r w:rsidRPr="00DD4BCC">
              <w:rPr>
                <w:b w:val="0"/>
                <w:bCs w:val="0"/>
                <w:color w:val="auto"/>
              </w:rPr>
              <w:tab/>
              <w:t>Renforcement des capacités humaines et institutionnelles des membres de l'UIT dans le domaine des télécommunications/TIC pour favoriser la transformation numérique</w:t>
            </w:r>
          </w:p>
          <w:p w14:paraId="0F36C1C6" w14:textId="2FDA157F" w:rsidR="00E545C2" w:rsidRPr="00DD4BCC" w:rsidRDefault="00E545C2" w:rsidP="00E545C2">
            <w:pPr>
              <w:pStyle w:val="Tabletext9pt"/>
              <w:ind w:left="284" w:hanging="284"/>
              <w:jc w:val="left"/>
              <w:cnfStyle w:val="000000000000" w:firstRow="0" w:lastRow="0" w:firstColumn="0" w:lastColumn="0" w:oddVBand="0" w:evenVBand="0" w:oddHBand="0" w:evenHBand="0" w:firstRowFirstColumn="0" w:firstRowLastColumn="0" w:lastRowFirstColumn="0" w:lastRowLastColumn="0"/>
              <w:rPr>
                <w:b w:val="0"/>
                <w:bCs w:val="0"/>
                <w:color w:val="auto"/>
              </w:rPr>
            </w:pPr>
            <w:r w:rsidRPr="00DD4BCC">
              <w:rPr>
                <w:b w:val="0"/>
                <w:bCs w:val="0"/>
                <w:color w:val="auto"/>
              </w:rPr>
              <w:t>•</w:t>
            </w:r>
            <w:r w:rsidRPr="00DD4BCC">
              <w:rPr>
                <w:b w:val="0"/>
                <w:bCs w:val="0"/>
                <w:color w:val="auto"/>
              </w:rPr>
              <w:tab/>
              <w:t>Renforcement de la capacité des membres de l'UIT d'intégrer l'innovation dans le secteur des télécommunications/TIC et la généralisation du numérique dans leurs programmes nationaux de développement et d'élaborer des stratégies visant à promouvoir les initiatives en matière d'innovation, y compris dans le cadre de partenariats publics, privés ou public-privé</w:t>
            </w:r>
          </w:p>
        </w:tc>
        <w:tc>
          <w:tcPr>
            <w:tcW w:w="2407" w:type="dxa"/>
          </w:tcPr>
          <w:p w14:paraId="23039E68" w14:textId="5AC7515F" w:rsidR="00E545C2" w:rsidRPr="00DD4BCC" w:rsidRDefault="00E545C2" w:rsidP="00E545C2">
            <w:pPr>
              <w:pStyle w:val="Tabletext9pt"/>
              <w:ind w:left="284" w:hanging="284"/>
              <w:jc w:val="left"/>
              <w:cnfStyle w:val="000000000000" w:firstRow="0" w:lastRow="0" w:firstColumn="0" w:lastColumn="0" w:oddVBand="0" w:evenVBand="0" w:oddHBand="0" w:evenHBand="0" w:firstRowFirstColumn="0" w:firstRowLastColumn="0" w:lastRowFirstColumn="0" w:lastRowLastColumn="0"/>
              <w:rPr>
                <w:rFonts w:cstheme="minorHAnsi"/>
                <w:b w:val="0"/>
                <w:bCs w:val="0"/>
                <w:color w:val="auto"/>
              </w:rPr>
            </w:pPr>
            <w:r w:rsidRPr="00DD4BCC">
              <w:rPr>
                <w:b w:val="0"/>
                <w:bCs w:val="0"/>
                <w:color w:val="auto"/>
              </w:rPr>
              <w:t>•</w:t>
            </w:r>
            <w:r w:rsidRPr="00DD4BCC">
              <w:rPr>
                <w:b w:val="0"/>
                <w:bCs w:val="0"/>
                <w:color w:val="auto"/>
              </w:rPr>
              <w:tab/>
              <w:t>Élaboration de cadres politiques et de supports de connaissance</w:t>
            </w:r>
          </w:p>
          <w:p w14:paraId="5CE0CD87" w14:textId="6E47B53E" w:rsidR="00E545C2" w:rsidRPr="00DD4BCC" w:rsidRDefault="00E545C2" w:rsidP="00E545C2">
            <w:pPr>
              <w:pStyle w:val="Tabletext9pt"/>
              <w:ind w:left="284" w:hanging="284"/>
              <w:jc w:val="left"/>
              <w:cnfStyle w:val="000000000000" w:firstRow="0" w:lastRow="0" w:firstColumn="0" w:lastColumn="0" w:oddVBand="0" w:evenVBand="0" w:oddHBand="0" w:evenHBand="0" w:firstRowFirstColumn="0" w:firstRowLastColumn="0" w:lastRowFirstColumn="0" w:lastRowLastColumn="0"/>
              <w:rPr>
                <w:rFonts w:cstheme="minorHAnsi"/>
                <w:b w:val="0"/>
                <w:bCs w:val="0"/>
                <w:color w:val="auto"/>
              </w:rPr>
            </w:pPr>
            <w:r w:rsidRPr="00DD4BCC">
              <w:rPr>
                <w:b w:val="0"/>
                <w:bCs w:val="0"/>
                <w:color w:val="auto"/>
              </w:rPr>
              <w:t>•</w:t>
            </w:r>
            <w:r w:rsidRPr="00DD4BCC">
              <w:rPr>
                <w:b w:val="0"/>
                <w:bCs w:val="0"/>
                <w:color w:val="auto"/>
              </w:rPr>
              <w:tab/>
              <w:t>Renforcement des capacités</w:t>
            </w:r>
          </w:p>
          <w:p w14:paraId="37399467" w14:textId="5000FB04" w:rsidR="00E545C2" w:rsidRPr="00DD4BCC" w:rsidRDefault="00E545C2" w:rsidP="00E545C2">
            <w:pPr>
              <w:pStyle w:val="Tabletext9pt"/>
              <w:ind w:left="284" w:hanging="284"/>
              <w:jc w:val="left"/>
              <w:cnfStyle w:val="000000000000" w:firstRow="0" w:lastRow="0" w:firstColumn="0" w:lastColumn="0" w:oddVBand="0" w:evenVBand="0" w:oddHBand="0" w:evenHBand="0" w:firstRowFirstColumn="0" w:firstRowLastColumn="0" w:lastRowFirstColumn="0" w:lastRowLastColumn="0"/>
              <w:rPr>
                <w:rFonts w:cstheme="minorHAnsi"/>
                <w:b w:val="0"/>
                <w:bCs w:val="0"/>
                <w:color w:val="auto"/>
              </w:rPr>
            </w:pPr>
            <w:r w:rsidRPr="00DD4BCC">
              <w:rPr>
                <w:b w:val="0"/>
                <w:bCs w:val="0"/>
                <w:color w:val="auto"/>
              </w:rPr>
              <w:t>•</w:t>
            </w:r>
            <w:r w:rsidRPr="00DD4BCC">
              <w:rPr>
                <w:b w:val="0"/>
                <w:bCs w:val="0"/>
                <w:color w:val="auto"/>
              </w:rPr>
              <w:tab/>
              <w:t>Fourniture d'une assistance technique</w:t>
            </w:r>
          </w:p>
          <w:p w14:paraId="42B48ED7" w14:textId="50AAAD15" w:rsidR="00E545C2" w:rsidRPr="00DD4BCC" w:rsidRDefault="00E545C2" w:rsidP="00E545C2">
            <w:pPr>
              <w:pStyle w:val="Tabletext9pt"/>
              <w:ind w:left="284" w:hanging="284"/>
              <w:jc w:val="left"/>
              <w:cnfStyle w:val="000000000000" w:firstRow="0" w:lastRow="0" w:firstColumn="0" w:lastColumn="0" w:oddVBand="0" w:evenVBand="0" w:oddHBand="0" w:evenHBand="0" w:firstRowFirstColumn="0" w:firstRowLastColumn="0" w:lastRowFirstColumn="0" w:lastRowLastColumn="0"/>
              <w:rPr>
                <w:b w:val="0"/>
                <w:bCs w:val="0"/>
                <w:color w:val="auto"/>
              </w:rPr>
            </w:pPr>
            <w:r w:rsidRPr="00DD4BCC">
              <w:rPr>
                <w:b w:val="0"/>
                <w:bCs w:val="0"/>
                <w:color w:val="auto"/>
              </w:rPr>
              <w:t>•</w:t>
            </w:r>
            <w:r w:rsidRPr="00DD4BCC">
              <w:rPr>
                <w:b w:val="0"/>
                <w:bCs w:val="0"/>
                <w:color w:val="auto"/>
              </w:rPr>
              <w:tab/>
              <w:t>Plates-formes fédératrices</w:t>
            </w:r>
          </w:p>
        </w:tc>
        <w:tc>
          <w:tcPr>
            <w:tcW w:w="3175" w:type="dxa"/>
          </w:tcPr>
          <w:p w14:paraId="6F50C9CE" w14:textId="3EBED64C" w:rsidR="00E545C2" w:rsidRPr="00DD4BCC" w:rsidRDefault="00E545C2" w:rsidP="00E545C2">
            <w:pPr>
              <w:pStyle w:val="Tabletext9pt"/>
              <w:ind w:left="284" w:hanging="284"/>
              <w:jc w:val="left"/>
              <w:cnfStyle w:val="000000000000" w:firstRow="0" w:lastRow="0" w:firstColumn="0" w:lastColumn="0" w:oddVBand="0" w:evenVBand="0" w:oddHBand="0" w:evenHBand="0" w:firstRowFirstColumn="0" w:firstRowLastColumn="0" w:lastRowFirstColumn="0" w:lastRowLastColumn="0"/>
              <w:rPr>
                <w:rFonts w:cstheme="minorHAnsi"/>
                <w:b w:val="0"/>
                <w:bCs w:val="0"/>
                <w:color w:val="auto"/>
              </w:rPr>
            </w:pPr>
            <w:r w:rsidRPr="00DD4BCC">
              <w:rPr>
                <w:b w:val="0"/>
                <w:bCs w:val="0"/>
                <w:color w:val="auto"/>
              </w:rPr>
              <w:t>•</w:t>
            </w:r>
            <w:r w:rsidRPr="00DD4BCC">
              <w:rPr>
                <w:b w:val="0"/>
                <w:bCs w:val="0"/>
                <w:color w:val="auto"/>
              </w:rPr>
              <w:tab/>
              <w:t>Nombre de pays dotés de stratégies sur l'innovation et l'entrepreneuriat centrés sur les TIC</w:t>
            </w:r>
          </w:p>
          <w:p w14:paraId="095AD2A9" w14:textId="3A2FE904" w:rsidR="00E545C2" w:rsidRPr="00DD4BCC" w:rsidRDefault="00E545C2" w:rsidP="00E545C2">
            <w:pPr>
              <w:pStyle w:val="Tabletext9pt"/>
              <w:ind w:left="284" w:hanging="284"/>
              <w:jc w:val="left"/>
              <w:cnfStyle w:val="000000000000" w:firstRow="0" w:lastRow="0" w:firstColumn="0" w:lastColumn="0" w:oddVBand="0" w:evenVBand="0" w:oddHBand="0" w:evenHBand="0" w:firstRowFirstColumn="0" w:firstRowLastColumn="0" w:lastRowFirstColumn="0" w:lastRowLastColumn="0"/>
              <w:rPr>
                <w:rFonts w:cstheme="minorHAnsi"/>
                <w:b w:val="0"/>
                <w:bCs w:val="0"/>
                <w:color w:val="auto"/>
              </w:rPr>
            </w:pPr>
            <w:r w:rsidRPr="00DD4BCC">
              <w:rPr>
                <w:b w:val="0"/>
                <w:bCs w:val="0"/>
                <w:color w:val="auto"/>
              </w:rPr>
              <w:t>•</w:t>
            </w:r>
            <w:r w:rsidRPr="00DD4BCC">
              <w:rPr>
                <w:b w:val="0"/>
                <w:bCs w:val="0"/>
                <w:color w:val="auto"/>
              </w:rPr>
              <w:tab/>
              <w:t>Nombre de lignes directrices et de recommandations relatives à l'écosystème de l'innovation élaborées (par exemple, stratégies et recommandations en matière d'évaluation des écosystèmes, etc.)</w:t>
            </w:r>
          </w:p>
          <w:p w14:paraId="7C504361" w14:textId="5B0B1C43" w:rsidR="00E545C2" w:rsidRPr="00DD4BCC" w:rsidRDefault="00E545C2" w:rsidP="00E545C2">
            <w:pPr>
              <w:pStyle w:val="Tabletext9pt"/>
              <w:ind w:left="284" w:hanging="284"/>
              <w:jc w:val="left"/>
              <w:cnfStyle w:val="000000000000" w:firstRow="0" w:lastRow="0" w:firstColumn="0" w:lastColumn="0" w:oddVBand="0" w:evenVBand="0" w:oddHBand="0" w:evenHBand="0" w:firstRowFirstColumn="0" w:firstRowLastColumn="0" w:lastRowFirstColumn="0" w:lastRowLastColumn="0"/>
              <w:rPr>
                <w:rFonts w:cstheme="minorHAnsi"/>
                <w:b w:val="0"/>
                <w:bCs w:val="0"/>
                <w:color w:val="auto"/>
              </w:rPr>
            </w:pPr>
            <w:r w:rsidRPr="00DD4BCC">
              <w:rPr>
                <w:b w:val="0"/>
                <w:bCs w:val="0"/>
                <w:color w:val="auto"/>
              </w:rPr>
              <w:t>•</w:t>
            </w:r>
            <w:r w:rsidRPr="00DD4BCC">
              <w:rPr>
                <w:b w:val="0"/>
                <w:bCs w:val="0"/>
                <w:color w:val="auto"/>
              </w:rPr>
              <w:tab/>
              <w:t>Nombre de projets ou de mécanismes élaborés pour accélérer l'innovation numérique au niveau national</w:t>
            </w:r>
          </w:p>
          <w:p w14:paraId="2E35E3F7" w14:textId="54482010" w:rsidR="00E545C2" w:rsidRPr="00DD4BCC" w:rsidRDefault="00E545C2" w:rsidP="00E545C2">
            <w:pPr>
              <w:pStyle w:val="Tabletext9pt"/>
              <w:ind w:left="284" w:hanging="284"/>
              <w:jc w:val="left"/>
              <w:cnfStyle w:val="000000000000" w:firstRow="0" w:lastRow="0" w:firstColumn="0" w:lastColumn="0" w:oddVBand="0" w:evenVBand="0" w:oddHBand="0" w:evenHBand="0" w:firstRowFirstColumn="0" w:firstRowLastColumn="0" w:lastRowFirstColumn="0" w:lastRowLastColumn="0"/>
              <w:rPr>
                <w:rFonts w:cstheme="minorHAnsi"/>
                <w:b w:val="0"/>
                <w:bCs w:val="0"/>
                <w:color w:val="auto"/>
              </w:rPr>
            </w:pPr>
            <w:r w:rsidRPr="00DD4BCC">
              <w:rPr>
                <w:b w:val="0"/>
                <w:bCs w:val="0"/>
                <w:color w:val="auto"/>
              </w:rPr>
              <w:t>•</w:t>
            </w:r>
            <w:r w:rsidRPr="00DD4BCC">
              <w:rPr>
                <w:b w:val="0"/>
                <w:bCs w:val="0"/>
                <w:color w:val="auto"/>
              </w:rPr>
              <w:tab/>
              <w:t>Nombre de parties prenantes formées ou dotées de capacités</w:t>
            </w:r>
          </w:p>
          <w:p w14:paraId="65B2BF3A" w14:textId="6E02EAF7" w:rsidR="00E545C2" w:rsidRPr="00DD4BCC" w:rsidRDefault="00E545C2" w:rsidP="00E545C2">
            <w:pPr>
              <w:pStyle w:val="Tabletext9pt"/>
              <w:ind w:left="284" w:hanging="284"/>
              <w:jc w:val="left"/>
              <w:cnfStyle w:val="000000000000" w:firstRow="0" w:lastRow="0" w:firstColumn="0" w:lastColumn="0" w:oddVBand="0" w:evenVBand="0" w:oddHBand="0" w:evenHBand="0" w:firstRowFirstColumn="0" w:firstRowLastColumn="0" w:lastRowFirstColumn="0" w:lastRowLastColumn="0"/>
              <w:rPr>
                <w:b w:val="0"/>
                <w:bCs w:val="0"/>
                <w:color w:val="auto"/>
              </w:rPr>
            </w:pPr>
            <w:r w:rsidRPr="00DD4BCC">
              <w:rPr>
                <w:b w:val="0"/>
                <w:bCs w:val="0"/>
                <w:color w:val="auto"/>
              </w:rPr>
              <w:t>•</w:t>
            </w:r>
            <w:r w:rsidRPr="00DD4BCC">
              <w:rPr>
                <w:b w:val="0"/>
                <w:bCs w:val="0"/>
                <w:color w:val="auto"/>
              </w:rPr>
              <w:tab/>
              <w:t>Nombre de pays pilotes participant à l'Alliance de l'innovation et de l'entrepreneuriat au service du développement du numérique</w:t>
            </w:r>
          </w:p>
        </w:tc>
        <w:tc>
          <w:tcPr>
            <w:tcW w:w="939" w:type="dxa"/>
          </w:tcPr>
          <w:p w14:paraId="155F0690" w14:textId="4D176333" w:rsidR="00E545C2" w:rsidRPr="00DD4BCC" w:rsidRDefault="00E545C2" w:rsidP="00E545C2">
            <w:pPr>
              <w:pStyle w:val="Tabletext9pt"/>
              <w:jc w:val="center"/>
              <w:cnfStyle w:val="000000000000" w:firstRow="0" w:lastRow="0" w:firstColumn="0" w:lastColumn="0" w:oddVBand="0" w:evenVBand="0" w:oddHBand="0" w:evenHBand="0" w:firstRowFirstColumn="0" w:firstRowLastColumn="0" w:lastRowFirstColumn="0" w:lastRowLastColumn="0"/>
              <w:rPr>
                <w:b w:val="0"/>
                <w:bCs w:val="0"/>
                <w:color w:val="auto"/>
              </w:rPr>
            </w:pPr>
            <w:r w:rsidRPr="00DD4BCC">
              <w:rPr>
                <w:b w:val="0"/>
                <w:bCs w:val="0"/>
                <w:color w:val="auto"/>
              </w:rPr>
              <w:t>362 000</w:t>
            </w:r>
          </w:p>
        </w:tc>
        <w:tc>
          <w:tcPr>
            <w:tcW w:w="1134" w:type="dxa"/>
          </w:tcPr>
          <w:p w14:paraId="798B8AC4" w14:textId="1545731F" w:rsidR="00E545C2" w:rsidRPr="00DD4BCC" w:rsidRDefault="00E545C2" w:rsidP="00E545C2">
            <w:pPr>
              <w:pStyle w:val="Tabletext9pt"/>
              <w:jc w:val="center"/>
              <w:cnfStyle w:val="000000000000" w:firstRow="0" w:lastRow="0" w:firstColumn="0" w:lastColumn="0" w:oddVBand="0" w:evenVBand="0" w:oddHBand="0" w:evenHBand="0" w:firstRowFirstColumn="0" w:firstRowLastColumn="0" w:lastRowFirstColumn="0" w:lastRowLastColumn="0"/>
              <w:rPr>
                <w:b w:val="0"/>
                <w:bCs w:val="0"/>
                <w:color w:val="auto"/>
              </w:rPr>
            </w:pPr>
            <w:r w:rsidRPr="00DD4BCC">
              <w:rPr>
                <w:b w:val="0"/>
                <w:bCs w:val="0"/>
                <w:color w:val="auto"/>
              </w:rPr>
              <w:t>47,9%</w:t>
            </w:r>
          </w:p>
        </w:tc>
        <w:tc>
          <w:tcPr>
            <w:tcW w:w="897" w:type="dxa"/>
            <w:noWrap/>
          </w:tcPr>
          <w:p w14:paraId="795773D7" w14:textId="0A8CE8B0" w:rsidR="00E545C2" w:rsidRPr="00DD4BCC" w:rsidRDefault="00E545C2" w:rsidP="00E545C2">
            <w:pPr>
              <w:pStyle w:val="Tabletext9pt"/>
              <w:jc w:val="center"/>
              <w:cnfStyle w:val="000000000000" w:firstRow="0" w:lastRow="0" w:firstColumn="0" w:lastColumn="0" w:oddVBand="0" w:evenVBand="0" w:oddHBand="0" w:evenHBand="0" w:firstRowFirstColumn="0" w:firstRowLastColumn="0" w:lastRowFirstColumn="0" w:lastRowLastColumn="0"/>
              <w:rPr>
                <w:b w:val="0"/>
                <w:bCs w:val="0"/>
                <w:color w:val="auto"/>
              </w:rPr>
            </w:pPr>
            <w:r w:rsidRPr="00DD4BCC">
              <w:rPr>
                <w:b w:val="0"/>
                <w:bCs w:val="0"/>
                <w:color w:val="auto"/>
              </w:rPr>
              <w:t>8,6%</w:t>
            </w:r>
          </w:p>
        </w:tc>
      </w:tr>
      <w:tr w:rsidR="00E545C2" w:rsidRPr="00DD4BCC" w14:paraId="66553981" w14:textId="77777777" w:rsidTr="00E743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24A31366" w14:textId="09C4147F" w:rsidR="00E545C2" w:rsidRPr="00DD4BCC" w:rsidRDefault="00E545C2" w:rsidP="00E545C2">
            <w:pPr>
              <w:pStyle w:val="Tabletext9pt"/>
              <w:jc w:val="left"/>
              <w:rPr>
                <w:b/>
                <w:bCs/>
                <w:color w:val="auto"/>
              </w:rPr>
            </w:pPr>
            <w:r w:rsidRPr="00DD4BCC">
              <w:rPr>
                <w:b/>
                <w:bCs/>
                <w:color w:val="auto"/>
              </w:rPr>
              <w:t>Services et applications numériques</w:t>
            </w:r>
          </w:p>
        </w:tc>
        <w:tc>
          <w:tcPr>
            <w:tcW w:w="3260" w:type="dxa"/>
          </w:tcPr>
          <w:p w14:paraId="4252F832" w14:textId="0C21936E" w:rsidR="00E545C2" w:rsidRPr="00431DDF" w:rsidRDefault="00E545C2" w:rsidP="00E545C2">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lang w:val="fr-FR"/>
              </w:rPr>
            </w:pPr>
            <w:r w:rsidRPr="00431DDF">
              <w:rPr>
                <w:bCs/>
                <w:color w:val="auto"/>
                <w:sz w:val="18"/>
                <w:szCs w:val="18"/>
                <w:lang w:val="fr-FR"/>
              </w:rPr>
              <w:t>•</w:t>
            </w:r>
            <w:r w:rsidRPr="00431DDF">
              <w:rPr>
                <w:bCs/>
                <w:color w:val="auto"/>
                <w:sz w:val="18"/>
                <w:szCs w:val="18"/>
                <w:lang w:val="fr-FR"/>
              </w:rPr>
              <w:tab/>
            </w:r>
            <w:r w:rsidRPr="00431DDF">
              <w:rPr>
                <w:color w:val="auto"/>
                <w:sz w:val="18"/>
                <w:szCs w:val="18"/>
                <w:lang w:val="fr-FR"/>
              </w:rPr>
              <w:t>Renforcement de la capacité des membres de l'UIT d'accélérer la transformation numérique et le développement économique et social durable en mettant à profit et en utilisant les télécommunications/TIC et les services nouveaux et émergents</w:t>
            </w:r>
          </w:p>
          <w:p w14:paraId="04086884" w14:textId="54220F64" w:rsidR="00E545C2" w:rsidRPr="00431DDF" w:rsidRDefault="00E545C2" w:rsidP="00E545C2">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lang w:val="fr-FR"/>
              </w:rPr>
            </w:pPr>
            <w:r w:rsidRPr="00431DDF">
              <w:rPr>
                <w:bCs/>
                <w:color w:val="auto"/>
                <w:sz w:val="18"/>
                <w:szCs w:val="18"/>
                <w:lang w:val="fr-FR"/>
              </w:rPr>
              <w:t>•</w:t>
            </w:r>
            <w:r w:rsidRPr="00431DDF">
              <w:rPr>
                <w:bCs/>
                <w:color w:val="auto"/>
                <w:sz w:val="18"/>
                <w:szCs w:val="18"/>
                <w:lang w:val="fr-FR"/>
              </w:rPr>
              <w:tab/>
            </w:r>
            <w:r w:rsidRPr="00431DDF">
              <w:rPr>
                <w:color w:val="auto"/>
                <w:sz w:val="18"/>
                <w:szCs w:val="18"/>
                <w:lang w:val="fr-FR"/>
              </w:rPr>
              <w:t xml:space="preserve">Renforcement des capacités humaines et institutionnelles des membres de l'UIT dans le domaine des télécommunications/TIC pour </w:t>
            </w:r>
            <w:r w:rsidRPr="00431DDF">
              <w:rPr>
                <w:color w:val="auto"/>
                <w:sz w:val="18"/>
                <w:szCs w:val="18"/>
                <w:lang w:val="fr-FR"/>
              </w:rPr>
              <w:lastRenderedPageBreak/>
              <w:t>favoriser la transformation numérique</w:t>
            </w:r>
          </w:p>
          <w:p w14:paraId="519E34F8" w14:textId="3EB8D9F6" w:rsidR="00E545C2" w:rsidRPr="00431DDF" w:rsidRDefault="00E545C2" w:rsidP="00E545C2">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lang w:val="fr-FR"/>
              </w:rPr>
            </w:pPr>
            <w:r w:rsidRPr="00431DDF">
              <w:rPr>
                <w:bCs/>
                <w:color w:val="auto"/>
                <w:sz w:val="18"/>
                <w:szCs w:val="18"/>
                <w:lang w:val="fr-FR"/>
              </w:rPr>
              <w:t>•</w:t>
            </w:r>
            <w:r w:rsidRPr="00431DDF">
              <w:rPr>
                <w:bCs/>
                <w:color w:val="auto"/>
                <w:sz w:val="18"/>
                <w:szCs w:val="18"/>
                <w:lang w:val="fr-FR"/>
              </w:rPr>
              <w:tab/>
            </w:r>
            <w:r w:rsidRPr="00431DDF">
              <w:rPr>
                <w:color w:val="auto"/>
                <w:sz w:val="18"/>
                <w:szCs w:val="18"/>
                <w:lang w:val="fr-FR"/>
              </w:rPr>
              <w:t>Renforcement de la capacité des membres de l'UIT d'intégrer l'innovation dans le secteur des télécommunications/TIC et la généralisation du numérique dans leurs programmes nationaux de développement et d'élaborer des stratégies visant à promouvoir les initiatives en matière d'innovation, y compris dans le cadre de partenariats publics, privés ou public-privé</w:t>
            </w:r>
          </w:p>
          <w:p w14:paraId="1F2BF750" w14:textId="68B11449" w:rsidR="00E545C2" w:rsidRPr="00431DDF" w:rsidRDefault="00E545C2" w:rsidP="00E545C2">
            <w:pPr>
              <w:pStyle w:val="Tabletext"/>
              <w:ind w:left="284" w:hanging="284"/>
              <w:jc w:val="left"/>
              <w:cnfStyle w:val="000000100000" w:firstRow="0" w:lastRow="0" w:firstColumn="0" w:lastColumn="0" w:oddVBand="0" w:evenVBand="0" w:oddHBand="1" w:evenHBand="0" w:firstRowFirstColumn="0" w:firstRowLastColumn="0" w:lastRowFirstColumn="0" w:lastRowLastColumn="0"/>
              <w:rPr>
                <w:bCs/>
                <w:color w:val="auto"/>
                <w:sz w:val="18"/>
                <w:szCs w:val="18"/>
                <w:lang w:val="fr-FR"/>
              </w:rPr>
            </w:pPr>
            <w:r w:rsidRPr="00431DDF">
              <w:rPr>
                <w:bCs/>
                <w:color w:val="auto"/>
                <w:sz w:val="18"/>
                <w:szCs w:val="18"/>
                <w:lang w:val="fr-FR"/>
              </w:rPr>
              <w:t>•</w:t>
            </w:r>
            <w:r w:rsidRPr="00431DDF">
              <w:rPr>
                <w:bCs/>
                <w:color w:val="auto"/>
                <w:sz w:val="18"/>
                <w:szCs w:val="18"/>
                <w:lang w:val="fr-FR"/>
              </w:rPr>
              <w:tab/>
            </w:r>
            <w:r w:rsidRPr="00431DDF">
              <w:rPr>
                <w:color w:val="auto"/>
                <w:sz w:val="18"/>
                <w:szCs w:val="18"/>
                <w:lang w:val="fr-FR"/>
              </w:rPr>
              <w:t>Renforcement de la collaboration et de la coopération entre les bureaux régionaux et avec l'Organisation des Nations Unies et ses institutions spécialisées, les organisations de télécommunication régionales et les organismes de financement et de développement pour atteindre les objectifs du Programme Connect 2030 se rapportant aux technologies de l'information et de la communication au niveau mondial, y compris le large bande, au service du développement durable</w:t>
            </w:r>
          </w:p>
        </w:tc>
        <w:tc>
          <w:tcPr>
            <w:tcW w:w="2407" w:type="dxa"/>
          </w:tcPr>
          <w:p w14:paraId="14DBDF59" w14:textId="548E811E" w:rsidR="00E545C2" w:rsidRPr="00431DDF" w:rsidRDefault="00E545C2" w:rsidP="00E545C2">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lang w:val="fr-FR"/>
              </w:rPr>
            </w:pPr>
            <w:r w:rsidRPr="00431DDF">
              <w:rPr>
                <w:bCs/>
                <w:color w:val="auto"/>
                <w:sz w:val="18"/>
                <w:szCs w:val="18"/>
                <w:lang w:val="fr-FR"/>
              </w:rPr>
              <w:lastRenderedPageBreak/>
              <w:t>•</w:t>
            </w:r>
            <w:r w:rsidRPr="00431DDF">
              <w:rPr>
                <w:bCs/>
                <w:color w:val="auto"/>
                <w:sz w:val="18"/>
                <w:szCs w:val="18"/>
                <w:lang w:val="fr-FR"/>
              </w:rPr>
              <w:tab/>
            </w:r>
            <w:r w:rsidRPr="00431DDF">
              <w:rPr>
                <w:color w:val="auto"/>
                <w:sz w:val="18"/>
                <w:szCs w:val="18"/>
                <w:lang w:val="fr-FR"/>
              </w:rPr>
              <w:t>Élaboration de cadres politiques et de supports de connaissance</w:t>
            </w:r>
          </w:p>
          <w:p w14:paraId="5214059D" w14:textId="3AE4BC23" w:rsidR="00E545C2" w:rsidRPr="00431DDF" w:rsidRDefault="00E545C2" w:rsidP="00E545C2">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lang w:val="fr-FR"/>
              </w:rPr>
            </w:pPr>
            <w:r w:rsidRPr="00431DDF">
              <w:rPr>
                <w:bCs/>
                <w:color w:val="auto"/>
                <w:sz w:val="18"/>
                <w:szCs w:val="18"/>
                <w:lang w:val="fr-FR"/>
              </w:rPr>
              <w:t>•</w:t>
            </w:r>
            <w:r w:rsidRPr="00431DDF">
              <w:rPr>
                <w:bCs/>
                <w:color w:val="auto"/>
                <w:sz w:val="18"/>
                <w:szCs w:val="18"/>
                <w:lang w:val="fr-FR"/>
              </w:rPr>
              <w:tab/>
            </w:r>
            <w:r w:rsidRPr="00431DDF">
              <w:rPr>
                <w:color w:val="auto"/>
                <w:sz w:val="18"/>
                <w:szCs w:val="18"/>
                <w:lang w:val="fr-FR"/>
              </w:rPr>
              <w:t>Fourniture de données et de statistiques</w:t>
            </w:r>
          </w:p>
          <w:p w14:paraId="65283F49" w14:textId="74126347" w:rsidR="00E545C2" w:rsidRPr="00431DDF" w:rsidRDefault="00E545C2" w:rsidP="00E545C2">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lang w:val="fr-FR"/>
              </w:rPr>
            </w:pPr>
            <w:r w:rsidRPr="00431DDF">
              <w:rPr>
                <w:bCs/>
                <w:color w:val="auto"/>
                <w:sz w:val="18"/>
                <w:szCs w:val="18"/>
                <w:lang w:val="fr-FR"/>
              </w:rPr>
              <w:t>•</w:t>
            </w:r>
            <w:r w:rsidRPr="00431DDF">
              <w:rPr>
                <w:bCs/>
                <w:color w:val="auto"/>
                <w:sz w:val="18"/>
                <w:szCs w:val="18"/>
                <w:lang w:val="fr-FR"/>
              </w:rPr>
              <w:tab/>
            </w:r>
            <w:r w:rsidRPr="00431DDF">
              <w:rPr>
                <w:color w:val="auto"/>
                <w:sz w:val="18"/>
                <w:szCs w:val="18"/>
                <w:lang w:val="fr-FR"/>
              </w:rPr>
              <w:t>Renforcement des capacités</w:t>
            </w:r>
          </w:p>
          <w:p w14:paraId="5410B8E6" w14:textId="37B05C68" w:rsidR="00E545C2" w:rsidRPr="00431DDF" w:rsidRDefault="00E545C2" w:rsidP="00E545C2">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lang w:val="fr-FR"/>
              </w:rPr>
            </w:pPr>
            <w:r w:rsidRPr="00431DDF">
              <w:rPr>
                <w:bCs/>
                <w:color w:val="auto"/>
                <w:sz w:val="18"/>
                <w:szCs w:val="18"/>
                <w:lang w:val="fr-FR"/>
              </w:rPr>
              <w:t>•</w:t>
            </w:r>
            <w:r w:rsidRPr="00431DDF">
              <w:rPr>
                <w:bCs/>
                <w:color w:val="auto"/>
                <w:sz w:val="18"/>
                <w:szCs w:val="18"/>
                <w:lang w:val="fr-FR"/>
              </w:rPr>
              <w:tab/>
            </w:r>
            <w:r w:rsidRPr="00431DDF">
              <w:rPr>
                <w:color w:val="auto"/>
                <w:sz w:val="18"/>
                <w:szCs w:val="18"/>
                <w:lang w:val="fr-FR"/>
              </w:rPr>
              <w:t>Fourniture d'une assistance technique</w:t>
            </w:r>
          </w:p>
          <w:p w14:paraId="74BB87EF" w14:textId="79FC3210" w:rsidR="00E545C2" w:rsidRPr="00431DDF" w:rsidRDefault="00E545C2" w:rsidP="00E545C2">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lang w:val="fr-FR"/>
              </w:rPr>
            </w:pPr>
            <w:r w:rsidRPr="00431DDF">
              <w:rPr>
                <w:bCs/>
                <w:color w:val="auto"/>
                <w:sz w:val="18"/>
                <w:szCs w:val="18"/>
                <w:lang w:val="fr-FR"/>
              </w:rPr>
              <w:t>•</w:t>
            </w:r>
            <w:r w:rsidRPr="00431DDF">
              <w:rPr>
                <w:bCs/>
                <w:color w:val="auto"/>
                <w:sz w:val="18"/>
                <w:szCs w:val="18"/>
                <w:lang w:val="fr-FR"/>
              </w:rPr>
              <w:tab/>
            </w:r>
            <w:r w:rsidRPr="00431DDF">
              <w:rPr>
                <w:color w:val="auto"/>
                <w:sz w:val="18"/>
                <w:szCs w:val="18"/>
                <w:lang w:val="fr-FR"/>
              </w:rPr>
              <w:t>Plates-formes fédératrices</w:t>
            </w:r>
          </w:p>
        </w:tc>
        <w:tc>
          <w:tcPr>
            <w:tcW w:w="3175" w:type="dxa"/>
          </w:tcPr>
          <w:p w14:paraId="20E94946" w14:textId="00778F76" w:rsidR="00E545C2" w:rsidRPr="00431DDF" w:rsidRDefault="00E545C2" w:rsidP="00E545C2">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lang w:val="fr-FR"/>
              </w:rPr>
            </w:pPr>
            <w:r w:rsidRPr="00431DDF">
              <w:rPr>
                <w:bCs/>
                <w:color w:val="auto"/>
                <w:sz w:val="18"/>
                <w:szCs w:val="18"/>
                <w:lang w:val="fr-FR"/>
              </w:rPr>
              <w:t>•</w:t>
            </w:r>
            <w:r w:rsidRPr="00431DDF">
              <w:rPr>
                <w:bCs/>
                <w:color w:val="auto"/>
                <w:sz w:val="18"/>
                <w:szCs w:val="18"/>
                <w:lang w:val="fr-FR"/>
              </w:rPr>
              <w:tab/>
            </w:r>
            <w:r w:rsidRPr="00431DDF">
              <w:rPr>
                <w:color w:val="auto"/>
                <w:sz w:val="18"/>
                <w:szCs w:val="18"/>
                <w:lang w:val="fr-FR"/>
              </w:rPr>
              <w:t>Nombre d'États Membres ayant adopté des stratégies numériques</w:t>
            </w:r>
          </w:p>
          <w:p w14:paraId="30ACBDA0" w14:textId="05C74E4E" w:rsidR="00E545C2" w:rsidRPr="00431DDF" w:rsidRDefault="00E545C2" w:rsidP="00E545C2">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lang w:val="fr-FR"/>
              </w:rPr>
            </w:pPr>
            <w:r w:rsidRPr="00431DDF">
              <w:rPr>
                <w:bCs/>
                <w:color w:val="auto"/>
                <w:sz w:val="18"/>
                <w:szCs w:val="18"/>
                <w:lang w:val="fr-FR"/>
              </w:rPr>
              <w:t>•</w:t>
            </w:r>
            <w:r w:rsidRPr="00431DDF">
              <w:rPr>
                <w:bCs/>
                <w:color w:val="auto"/>
                <w:sz w:val="18"/>
                <w:szCs w:val="18"/>
                <w:lang w:val="fr-FR"/>
              </w:rPr>
              <w:tab/>
            </w:r>
            <w:r w:rsidRPr="00431DDF">
              <w:rPr>
                <w:color w:val="auto"/>
                <w:sz w:val="18"/>
                <w:szCs w:val="18"/>
                <w:lang w:val="fr-FR"/>
              </w:rPr>
              <w:t>Nombre de kits pratiques publiés et téléchargés pour l'élaboration de stratégies numériques sectorielles nationales</w:t>
            </w:r>
          </w:p>
          <w:p w14:paraId="6DF369A1" w14:textId="5D6F6E12" w:rsidR="00E545C2" w:rsidRPr="00431DDF" w:rsidRDefault="00E545C2" w:rsidP="00E545C2">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lang w:val="fr-FR"/>
              </w:rPr>
            </w:pPr>
            <w:r w:rsidRPr="00431DDF">
              <w:rPr>
                <w:bCs/>
                <w:color w:val="auto"/>
                <w:sz w:val="18"/>
                <w:szCs w:val="18"/>
                <w:lang w:val="fr-FR"/>
              </w:rPr>
              <w:t>•</w:t>
            </w:r>
            <w:r w:rsidRPr="00431DDF">
              <w:rPr>
                <w:bCs/>
                <w:color w:val="auto"/>
                <w:sz w:val="18"/>
                <w:szCs w:val="18"/>
                <w:lang w:val="fr-FR"/>
              </w:rPr>
              <w:tab/>
            </w:r>
            <w:r w:rsidRPr="00431DDF">
              <w:rPr>
                <w:color w:val="auto"/>
                <w:sz w:val="18"/>
                <w:szCs w:val="18"/>
                <w:lang w:val="fr-FR"/>
              </w:rPr>
              <w:t>Nombre de lignes directrices et de recommandations élaborées</w:t>
            </w:r>
          </w:p>
          <w:p w14:paraId="2E2842C5" w14:textId="7025B0BD" w:rsidR="00E545C2" w:rsidRPr="00431DDF" w:rsidRDefault="00E545C2" w:rsidP="00E545C2">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lang w:val="fr-FR"/>
              </w:rPr>
            </w:pPr>
            <w:r w:rsidRPr="00431DDF">
              <w:rPr>
                <w:bCs/>
                <w:color w:val="auto"/>
                <w:sz w:val="18"/>
                <w:szCs w:val="18"/>
                <w:lang w:val="fr-FR"/>
              </w:rPr>
              <w:t>•</w:t>
            </w:r>
            <w:r w:rsidRPr="00431DDF">
              <w:rPr>
                <w:bCs/>
                <w:color w:val="auto"/>
                <w:sz w:val="18"/>
                <w:szCs w:val="18"/>
                <w:lang w:val="fr-FR"/>
              </w:rPr>
              <w:tab/>
            </w:r>
            <w:r w:rsidRPr="00431DDF">
              <w:rPr>
                <w:color w:val="auto"/>
                <w:sz w:val="18"/>
                <w:szCs w:val="18"/>
                <w:lang w:val="fr-FR"/>
              </w:rPr>
              <w:t>Nombre d'États Membres mettant en œuvre de bonnes pratiques pour stimuler la transformation numérique au niveau national</w:t>
            </w:r>
          </w:p>
          <w:p w14:paraId="59964E04" w14:textId="70FA4170" w:rsidR="00E545C2" w:rsidRPr="00431DDF" w:rsidRDefault="00E545C2" w:rsidP="00E545C2">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lang w:val="fr-FR"/>
              </w:rPr>
            </w:pPr>
            <w:r w:rsidRPr="00431DDF">
              <w:rPr>
                <w:bCs/>
                <w:color w:val="auto"/>
                <w:sz w:val="18"/>
                <w:szCs w:val="18"/>
                <w:lang w:val="fr-FR"/>
              </w:rPr>
              <w:lastRenderedPageBreak/>
              <w:t>•</w:t>
            </w:r>
            <w:r w:rsidRPr="00431DDF">
              <w:rPr>
                <w:bCs/>
                <w:color w:val="auto"/>
                <w:sz w:val="18"/>
                <w:szCs w:val="18"/>
                <w:lang w:val="fr-FR"/>
              </w:rPr>
              <w:tab/>
            </w:r>
            <w:r w:rsidRPr="00431DDF">
              <w:rPr>
                <w:color w:val="auto"/>
                <w:sz w:val="18"/>
                <w:szCs w:val="18"/>
                <w:lang w:val="fr-FR"/>
              </w:rPr>
              <w:t>Nombre de rapports nationaux d'évaluation des incidences</w:t>
            </w:r>
          </w:p>
          <w:p w14:paraId="6FABA826" w14:textId="72000C1D" w:rsidR="00E545C2" w:rsidRPr="00431DDF" w:rsidRDefault="00E545C2" w:rsidP="00E545C2">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lang w:val="fr-FR"/>
              </w:rPr>
            </w:pPr>
            <w:r w:rsidRPr="00431DDF">
              <w:rPr>
                <w:bCs/>
                <w:color w:val="auto"/>
                <w:sz w:val="18"/>
                <w:szCs w:val="18"/>
                <w:lang w:val="fr-FR"/>
              </w:rPr>
              <w:t>•</w:t>
            </w:r>
            <w:r w:rsidRPr="00431DDF">
              <w:rPr>
                <w:bCs/>
                <w:color w:val="auto"/>
                <w:sz w:val="18"/>
                <w:szCs w:val="18"/>
                <w:lang w:val="fr-FR"/>
              </w:rPr>
              <w:tab/>
            </w:r>
            <w:r w:rsidRPr="00431DDF">
              <w:rPr>
                <w:color w:val="auto"/>
                <w:sz w:val="18"/>
                <w:szCs w:val="18"/>
                <w:lang w:val="fr-FR"/>
              </w:rPr>
              <w:t>Nombre de manifestations/d'ateliers/de séminaires visant à aider les États Membres dans le domaine des services et des applications numériques, et nombre correspondant de participants</w:t>
            </w:r>
          </w:p>
          <w:p w14:paraId="595ACDCA" w14:textId="5259598B" w:rsidR="00E545C2" w:rsidRPr="00431DDF" w:rsidRDefault="00E545C2" w:rsidP="00E545C2">
            <w:pPr>
              <w:pStyle w:val="Tabletext"/>
              <w:ind w:left="284" w:hanging="284"/>
              <w:jc w:val="left"/>
              <w:cnfStyle w:val="000000100000" w:firstRow="0" w:lastRow="0" w:firstColumn="0" w:lastColumn="0" w:oddVBand="0" w:evenVBand="0" w:oddHBand="1" w:evenHBand="0" w:firstRowFirstColumn="0" w:firstRowLastColumn="0" w:lastRowFirstColumn="0" w:lastRowLastColumn="0"/>
              <w:rPr>
                <w:bCs/>
                <w:color w:val="auto"/>
                <w:sz w:val="18"/>
                <w:szCs w:val="18"/>
                <w:lang w:val="fr-FR"/>
              </w:rPr>
            </w:pPr>
            <w:r w:rsidRPr="00431DDF">
              <w:rPr>
                <w:bCs/>
                <w:color w:val="auto"/>
                <w:sz w:val="18"/>
                <w:szCs w:val="18"/>
                <w:lang w:val="fr-FR"/>
              </w:rPr>
              <w:t>•</w:t>
            </w:r>
            <w:r w:rsidRPr="00431DDF">
              <w:rPr>
                <w:bCs/>
                <w:color w:val="auto"/>
                <w:sz w:val="18"/>
                <w:szCs w:val="18"/>
                <w:lang w:val="fr-FR"/>
              </w:rPr>
              <w:tab/>
            </w:r>
            <w:r w:rsidRPr="00431DDF">
              <w:rPr>
                <w:color w:val="auto"/>
                <w:sz w:val="18"/>
                <w:szCs w:val="18"/>
                <w:lang w:val="fr-FR"/>
              </w:rPr>
              <w:t>Nombre d'États Membres et de parties prenantes ayant bénéficié d'une formation ou de conseils sur des politiques, des stratégies, des lignes directrices et des ressources relatives aux services numériques</w:t>
            </w:r>
          </w:p>
        </w:tc>
        <w:tc>
          <w:tcPr>
            <w:tcW w:w="939" w:type="dxa"/>
          </w:tcPr>
          <w:p w14:paraId="0B95A2DD" w14:textId="738F2476" w:rsidR="00E545C2" w:rsidRPr="00DD4BCC" w:rsidRDefault="00E545C2" w:rsidP="00E545C2">
            <w:pPr>
              <w:pStyle w:val="Tabletext"/>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fr-FR"/>
              </w:rPr>
            </w:pPr>
            <w:r w:rsidRPr="00DD4BCC">
              <w:rPr>
                <w:color w:val="auto"/>
                <w:sz w:val="18"/>
                <w:szCs w:val="18"/>
                <w:lang w:val="fr-FR"/>
              </w:rPr>
              <w:lastRenderedPageBreak/>
              <w:t>394 000</w:t>
            </w:r>
          </w:p>
        </w:tc>
        <w:tc>
          <w:tcPr>
            <w:tcW w:w="1134" w:type="dxa"/>
          </w:tcPr>
          <w:p w14:paraId="0695C205" w14:textId="5576AA44" w:rsidR="00E545C2" w:rsidRPr="00DD4BCC" w:rsidRDefault="00E545C2" w:rsidP="00E545C2">
            <w:pPr>
              <w:pStyle w:val="Tabletext"/>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fr-FR"/>
              </w:rPr>
            </w:pPr>
            <w:r w:rsidRPr="00DD4BCC">
              <w:rPr>
                <w:color w:val="auto"/>
                <w:sz w:val="18"/>
                <w:szCs w:val="18"/>
                <w:lang w:val="fr-FR"/>
              </w:rPr>
              <w:t>52,1%</w:t>
            </w:r>
          </w:p>
        </w:tc>
        <w:tc>
          <w:tcPr>
            <w:tcW w:w="897" w:type="dxa"/>
            <w:noWrap/>
          </w:tcPr>
          <w:p w14:paraId="3A40E31A" w14:textId="6C922C42" w:rsidR="00E545C2" w:rsidRPr="00DD4BCC" w:rsidRDefault="00E545C2" w:rsidP="00E545C2">
            <w:pPr>
              <w:pStyle w:val="Tabletext"/>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fr-FR"/>
              </w:rPr>
            </w:pPr>
            <w:r w:rsidRPr="00DD4BCC">
              <w:rPr>
                <w:color w:val="auto"/>
                <w:sz w:val="18"/>
                <w:szCs w:val="18"/>
                <w:lang w:val="fr-FR"/>
              </w:rPr>
              <w:t>9,4%</w:t>
            </w:r>
          </w:p>
        </w:tc>
      </w:tr>
    </w:tbl>
    <w:p w14:paraId="3A5EB4A0" w14:textId="49E8BCF4" w:rsidR="00E755F4" w:rsidRPr="00DD4BCC" w:rsidRDefault="00E755F4" w:rsidP="00431DDF">
      <w:pPr>
        <w:pStyle w:val="Tablelegend"/>
        <w:ind w:left="284" w:hanging="284"/>
        <w:rPr>
          <w:lang w:val="fr-FR"/>
        </w:rPr>
      </w:pPr>
      <w:r w:rsidRPr="00DD4BCC">
        <w:rPr>
          <w:lang w:val="fr-FR"/>
        </w:rPr>
        <w:t>*</w:t>
      </w:r>
      <w:r w:rsidR="00E545C2" w:rsidRPr="00DD4BCC">
        <w:rPr>
          <w:lang w:val="fr-FR"/>
        </w:rPr>
        <w:tab/>
      </w:r>
      <w:r w:rsidRPr="00DD4BCC">
        <w:rPr>
          <w:lang w:val="fr-FR"/>
        </w:rPr>
        <w:t xml:space="preserve">Ces indicateurs fondamentaux de performance pourraient être encore affinés à mesure que la mise en </w:t>
      </w:r>
      <w:r w:rsidR="00AE5270" w:rsidRPr="00DD4BCC">
        <w:rPr>
          <w:lang w:val="fr-FR"/>
        </w:rPr>
        <w:t>œuvre</w:t>
      </w:r>
      <w:r w:rsidRPr="00DD4BCC">
        <w:rPr>
          <w:lang w:val="fr-FR"/>
        </w:rPr>
        <w:t xml:space="preserve"> du Plan d'action de Kigali progresse</w:t>
      </w:r>
      <w:r w:rsidR="00AE5270" w:rsidRPr="00DD4BCC">
        <w:rPr>
          <w:lang w:val="fr-FR"/>
        </w:rPr>
        <w:t>,</w:t>
      </w:r>
      <w:r w:rsidRPr="00DD4BCC">
        <w:rPr>
          <w:lang w:val="fr-FR"/>
        </w:rPr>
        <w:t xml:space="preserve"> afin de mieux rendre compte des résultats obtenus.</w:t>
      </w:r>
    </w:p>
    <w:p w14:paraId="4BC6F239" w14:textId="4EEFC284" w:rsidR="00B04DBB" w:rsidRPr="00DD4BCC" w:rsidRDefault="00B04DBB">
      <w:pPr>
        <w:tabs>
          <w:tab w:val="clear" w:pos="794"/>
          <w:tab w:val="clear" w:pos="1191"/>
          <w:tab w:val="clear" w:pos="1588"/>
          <w:tab w:val="clear" w:pos="1985"/>
        </w:tabs>
        <w:overflowPunct/>
        <w:autoSpaceDE/>
        <w:autoSpaceDN/>
        <w:adjustRightInd/>
        <w:spacing w:before="0"/>
        <w:jc w:val="left"/>
        <w:textAlignment w:val="auto"/>
        <w:rPr>
          <w:sz w:val="18"/>
          <w:szCs w:val="18"/>
          <w:lang w:val="fr-FR"/>
        </w:rPr>
      </w:pPr>
      <w:r w:rsidRPr="00DD4BCC">
        <w:rPr>
          <w:sz w:val="18"/>
          <w:szCs w:val="18"/>
          <w:lang w:val="fr-FR"/>
        </w:rPr>
        <w:br w:type="page"/>
      </w:r>
    </w:p>
    <w:tbl>
      <w:tblPr>
        <w:tblStyle w:val="TableGrid"/>
        <w:tblW w:w="0" w:type="auto"/>
        <w:jc w:val="center"/>
        <w:tblLayout w:type="fixed"/>
        <w:tblLook w:val="04A0" w:firstRow="1" w:lastRow="0" w:firstColumn="1" w:lastColumn="0" w:noHBand="0" w:noVBand="1"/>
      </w:tblPr>
      <w:tblGrid>
        <w:gridCol w:w="13173"/>
      </w:tblGrid>
      <w:tr w:rsidR="0059527A" w:rsidRPr="00970D1B" w14:paraId="31AA2A29" w14:textId="77777777" w:rsidTr="00431DDF">
        <w:trPr>
          <w:jc w:val="center"/>
        </w:trPr>
        <w:tc>
          <w:tcPr>
            <w:tcW w:w="1317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BE6D5F1" w14:textId="34141E54" w:rsidR="00452C85" w:rsidRPr="00DD4BCC" w:rsidRDefault="00452C85" w:rsidP="00E545C2">
            <w:pPr>
              <w:spacing w:after="120"/>
              <w:jc w:val="left"/>
              <w:rPr>
                <w:sz w:val="22"/>
                <w:szCs w:val="22"/>
                <w:lang w:val="fr-FR"/>
              </w:rPr>
            </w:pPr>
            <w:bookmarkStart w:id="6" w:name="_Hlk134313439"/>
            <w:r w:rsidRPr="00DD4BCC">
              <w:rPr>
                <w:b/>
                <w:bCs/>
                <w:lang w:val="fr-FR"/>
              </w:rPr>
              <w:lastRenderedPageBreak/>
              <w:t xml:space="preserve">Principales mesures mises en </w:t>
            </w:r>
            <w:r w:rsidR="00AE5270" w:rsidRPr="00DD4BCC">
              <w:rPr>
                <w:b/>
                <w:bCs/>
                <w:lang w:val="fr-FR"/>
              </w:rPr>
              <w:t>œuvre</w:t>
            </w:r>
            <w:r w:rsidRPr="00DD4BCC">
              <w:rPr>
                <w:b/>
                <w:bCs/>
                <w:lang w:val="fr-FR"/>
              </w:rPr>
              <w:t xml:space="preserve"> en 2023: Priorité 2 de l'UIT-D – Transformation numérique</w:t>
            </w:r>
          </w:p>
        </w:tc>
      </w:tr>
      <w:tr w:rsidR="0059527A" w:rsidRPr="00970D1B" w14:paraId="27F557D6" w14:textId="77777777" w:rsidTr="00431DDF">
        <w:trPr>
          <w:jc w:val="center"/>
        </w:trPr>
        <w:tc>
          <w:tcPr>
            <w:tcW w:w="1317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82035CB" w14:textId="77777777" w:rsidR="00452C85" w:rsidRPr="00DD4BCC" w:rsidRDefault="00452C85" w:rsidP="00E545C2">
            <w:pPr>
              <w:pStyle w:val="Headingb"/>
              <w:keepNext w:val="0"/>
              <w:jc w:val="left"/>
              <w:rPr>
                <w:i/>
                <w:iCs/>
                <w:sz w:val="22"/>
                <w:szCs w:val="22"/>
                <w:lang w:val="fr-FR"/>
              </w:rPr>
            </w:pPr>
            <w:r w:rsidRPr="00DD4BCC">
              <w:rPr>
                <w:i/>
                <w:iCs/>
                <w:lang w:val="fr-FR"/>
              </w:rPr>
              <w:t>Écosystème de l'innovation numérique</w:t>
            </w:r>
          </w:p>
          <w:p w14:paraId="7A5FAD96" w14:textId="056832D2" w:rsidR="00711CCD" w:rsidRPr="00DD4BCC" w:rsidRDefault="00F36287" w:rsidP="00E545C2">
            <w:pPr>
              <w:jc w:val="left"/>
              <w:rPr>
                <w:sz w:val="22"/>
                <w:szCs w:val="22"/>
                <w:lang w:val="fr-FR"/>
              </w:rPr>
            </w:pPr>
            <w:hyperlink r:id="rId23" w:history="1">
              <w:r w:rsidR="005D6814" w:rsidRPr="00DD4BCC">
                <w:rPr>
                  <w:lang w:val="fr-FR"/>
                </w:rPr>
                <w:t>L'</w:t>
              </w:r>
              <w:r w:rsidR="005D6814" w:rsidRPr="00DD4BCC">
                <w:rPr>
                  <w:rStyle w:val="Hyperlink"/>
                  <w:b/>
                  <w:bCs/>
                  <w:lang w:val="fr-FR"/>
                </w:rPr>
                <w:t>Alliance pour l'innovation et l'entrepreneuriat au service du développement du numérique</w:t>
              </w:r>
            </w:hyperlink>
            <w:r w:rsidR="005D6814" w:rsidRPr="00DD4BCC">
              <w:rPr>
                <w:lang w:val="fr-FR"/>
              </w:rPr>
              <w:t xml:space="preserve"> a été lancée sous l'égide du Directeur du BDT en janvier 2023. </w:t>
            </w:r>
            <w:r w:rsidR="00441259" w:rsidRPr="00DD4BCC">
              <w:rPr>
                <w:lang w:val="fr-FR"/>
              </w:rPr>
              <w:t>Elle</w:t>
            </w:r>
            <w:r w:rsidR="00CF6619" w:rsidRPr="00DD4BCC">
              <w:rPr>
                <w:lang w:val="fr-FR"/>
              </w:rPr>
              <w:t xml:space="preserve"> </w:t>
            </w:r>
            <w:r w:rsidR="005D6814" w:rsidRPr="00DD4BCC">
              <w:rPr>
                <w:lang w:val="fr-FR"/>
              </w:rPr>
              <w:t>favorisera la mise en place de leviers essentiels à l'échelon local pour jouer un rôle moteur dans l'environnement numérique en mutation. En outre, grâce à cette Alliance, le BDT sera en mesure de développer de nouvelles capacités d'excellence humaines et organisationnelles, de fournir de nouveaux produits et services aux membres de l'UIT et de renforcer la participation du secteur privé et des établissements universitaires aux travaux essentiels</w:t>
            </w:r>
            <w:r w:rsidR="00CF6619" w:rsidRPr="00DD4BCC">
              <w:rPr>
                <w:lang w:val="fr-FR"/>
              </w:rPr>
              <w:t xml:space="preserve"> </w:t>
            </w:r>
            <w:r w:rsidR="005D6814" w:rsidRPr="00DD4BCC">
              <w:rPr>
                <w:lang w:val="fr-FR"/>
              </w:rPr>
              <w:t>menés par le BDT.</w:t>
            </w:r>
          </w:p>
          <w:p w14:paraId="01E1C1DA" w14:textId="151822A7" w:rsidR="005D6814" w:rsidRPr="00DD4BCC" w:rsidRDefault="005D6814" w:rsidP="00E545C2">
            <w:pPr>
              <w:jc w:val="left"/>
              <w:rPr>
                <w:sz w:val="22"/>
                <w:szCs w:val="22"/>
                <w:lang w:val="fr-FR"/>
              </w:rPr>
            </w:pPr>
            <w:r w:rsidRPr="00DD4BCC">
              <w:rPr>
                <w:lang w:val="fr-FR"/>
              </w:rPr>
              <w:t xml:space="preserve">Au début d'avril 2023, plus de 40 demandes avaient été reçues de la part d'entités souhaitant créer un centre d'innovation national ou institutionnel dans le cadre de l'Alliance. Tout au long de 2023, le BDT assurera le suivi de chaque manifestation d'intérêt et est en train d'élaborer, de tester et d'utiliser les manuels, les systèmes et les outils nécessaires à la mise en </w:t>
            </w:r>
            <w:r w:rsidR="00A01CFB" w:rsidRPr="00DD4BCC">
              <w:rPr>
                <w:lang w:val="fr-FR"/>
              </w:rPr>
              <w:t>œuvre</w:t>
            </w:r>
            <w:r w:rsidRPr="00DD4BCC">
              <w:rPr>
                <w:lang w:val="fr-FR"/>
              </w:rPr>
              <w:t xml:space="preserve"> opérationnelle de l'Alliance. Des discussions sont en cours au sujet d'initiatives qui pourront être lancées rapidement grâce au Centre d'innovation en Inde, qui fait partie du nouveau Bureau de zone de l'UIT à Delhi, et du Laboratoire de transformation numérique,</w:t>
            </w:r>
            <w:r w:rsidR="00CF6619" w:rsidRPr="00DD4BCC">
              <w:rPr>
                <w:lang w:val="fr-FR"/>
              </w:rPr>
              <w:t xml:space="preserve"> </w:t>
            </w:r>
            <w:r w:rsidR="00441259" w:rsidRPr="00DD4BCC">
              <w:rPr>
                <w:lang w:val="fr-FR"/>
              </w:rPr>
              <w:t xml:space="preserve">situé </w:t>
            </w:r>
            <w:r w:rsidRPr="00DD4BCC">
              <w:rPr>
                <w:lang w:val="fr-FR"/>
              </w:rPr>
              <w:t xml:space="preserve">au siège de l'UIT à Genève, pour préparer la mise en </w:t>
            </w:r>
            <w:r w:rsidR="00A01CFB" w:rsidRPr="00DD4BCC">
              <w:rPr>
                <w:lang w:val="fr-FR"/>
              </w:rPr>
              <w:t>service</w:t>
            </w:r>
            <w:r w:rsidRPr="00DD4BCC">
              <w:rPr>
                <w:lang w:val="fr-FR"/>
              </w:rPr>
              <w:t xml:space="preserve"> des centres. Le Conseil de l'innovation numérique, l'un des instruments de l'Alliance, sera également nommé prochainement.</w:t>
            </w:r>
          </w:p>
          <w:p w14:paraId="6B6E5670" w14:textId="09724882" w:rsidR="0089382C" w:rsidRPr="00DD4BCC" w:rsidRDefault="0089382C" w:rsidP="00E545C2">
            <w:pPr>
              <w:jc w:val="left"/>
              <w:rPr>
                <w:sz w:val="22"/>
                <w:szCs w:val="22"/>
                <w:lang w:val="fr-FR"/>
              </w:rPr>
            </w:pPr>
            <w:r w:rsidRPr="00DD4BCC">
              <w:rPr>
                <w:lang w:val="fr-FR"/>
              </w:rPr>
              <w:t xml:space="preserve">En mars, l'UIT a ouvert un </w:t>
            </w:r>
            <w:hyperlink r:id="rId24" w:history="1">
              <w:r w:rsidRPr="00DD4BCC">
                <w:rPr>
                  <w:rStyle w:val="Hyperlink"/>
                  <w:b/>
                  <w:bCs/>
                  <w:lang w:val="fr-FR"/>
                </w:rPr>
                <w:t>Bureau de zone et un Centre d'innovation à New Delhi (Inde)</w:t>
              </w:r>
            </w:hyperlink>
            <w:r w:rsidRPr="00DD4BCC">
              <w:rPr>
                <w:lang w:val="fr-FR"/>
              </w:rPr>
              <w:t xml:space="preserve">. </w:t>
            </w:r>
            <w:r w:rsidR="00ED191D" w:rsidRPr="00DD4BCC">
              <w:rPr>
                <w:lang w:val="fr-FR"/>
              </w:rPr>
              <w:t>Ces structures</w:t>
            </w:r>
            <w:r w:rsidRPr="00DD4BCC">
              <w:rPr>
                <w:lang w:val="fr-FR"/>
              </w:rPr>
              <w:t xml:space="preserve"> permettront de réunir les pouvoirs publics, les entreprises, les établissements universitaires et d'autres acteurs au sein d'un environnement placé sous le signe de l'entrepreneuriat, l'objectif étant de faire en sorte que les avancées en matière de technologies numériques dans des secteurs tels que l'agriculture, la santé et l'éducation puissent profiter aux communautés qui en ont le plus besoin</w:t>
            </w:r>
            <w:r w:rsidR="00AF0FD1" w:rsidRPr="00DD4BCC">
              <w:rPr>
                <w:lang w:val="fr-FR"/>
              </w:rPr>
              <w:t>.</w:t>
            </w:r>
            <w:r w:rsidRPr="00DD4BCC">
              <w:rPr>
                <w:lang w:val="fr-FR"/>
              </w:rPr>
              <w:t xml:space="preserve"> Le Centre d'innovation servira de cadre pour l'échange d'idées, d'exemples de réussite, de solutions innovantes et d'initiatives mondiales, en vue d'accélérer la transformation numérique et de promouvoir un développement durable et inclusif dans la région. Pour mener à bien cette mission, le</w:t>
            </w:r>
            <w:r w:rsidR="00035AF8" w:rsidRPr="00DD4BCC">
              <w:rPr>
                <w:lang w:val="fr-FR"/>
              </w:rPr>
              <w:t xml:space="preserve">s </w:t>
            </w:r>
            <w:r w:rsidR="000F66E6" w:rsidRPr="00DD4BCC">
              <w:rPr>
                <w:lang w:val="fr-FR"/>
              </w:rPr>
              <w:t xml:space="preserve">acteurs </w:t>
            </w:r>
            <w:r w:rsidR="00035AF8" w:rsidRPr="00DD4BCC">
              <w:rPr>
                <w:lang w:val="fr-FR"/>
              </w:rPr>
              <w:t>du</w:t>
            </w:r>
            <w:r w:rsidRPr="00DD4BCC">
              <w:rPr>
                <w:lang w:val="fr-FR"/>
              </w:rPr>
              <w:t xml:space="preserve"> Centre d'innovation collaborer</w:t>
            </w:r>
            <w:r w:rsidR="00D63F1C" w:rsidRPr="00DD4BCC">
              <w:rPr>
                <w:lang w:val="fr-FR"/>
              </w:rPr>
              <w:t>ont</w:t>
            </w:r>
            <w:r w:rsidRPr="00DD4BCC">
              <w:rPr>
                <w:lang w:val="fr-FR"/>
              </w:rPr>
              <w:t xml:space="preserve"> avec les parties prenantes en vue de servir quatre objectifs stratégiques: vision stratégique, innovation ouverte dans le domaine des technologies, croissance des petites et moyennes entreprises (PME) et expérimentation de l'entrepreneuriat et des politiques.</w:t>
            </w:r>
          </w:p>
          <w:p w14:paraId="37068E66" w14:textId="43F2E27C" w:rsidR="005D6814" w:rsidRPr="00DD4BCC" w:rsidRDefault="0089382C" w:rsidP="00431DDF">
            <w:pPr>
              <w:spacing w:after="120"/>
              <w:jc w:val="left"/>
              <w:rPr>
                <w:sz w:val="22"/>
                <w:szCs w:val="22"/>
                <w:lang w:val="fr-FR"/>
              </w:rPr>
            </w:pPr>
            <w:r w:rsidRPr="00DD4BCC">
              <w:rPr>
                <w:lang w:val="fr-FR"/>
              </w:rPr>
              <w:t xml:space="preserve">Au niveau national, le BDT a fourni une assistance technique </w:t>
            </w:r>
            <w:r w:rsidRPr="00987388">
              <w:rPr>
                <w:bCs/>
                <w:lang w:val="fr-FR"/>
              </w:rPr>
              <w:t xml:space="preserve">à </w:t>
            </w:r>
            <w:r w:rsidRPr="00DD4BCC">
              <w:rPr>
                <w:b/>
                <w:bCs/>
                <w:lang w:val="fr-FR"/>
              </w:rPr>
              <w:t>Bahreïn</w:t>
            </w:r>
            <w:r w:rsidRPr="00987388">
              <w:rPr>
                <w:bCs/>
                <w:lang w:val="fr-FR"/>
              </w:rPr>
              <w:t>, au</w:t>
            </w:r>
            <w:r w:rsidRPr="00DD4BCC">
              <w:rPr>
                <w:b/>
                <w:bCs/>
                <w:lang w:val="fr-FR"/>
              </w:rPr>
              <w:t xml:space="preserve"> Brunéi Darussalam</w:t>
            </w:r>
            <w:r w:rsidRPr="00987388">
              <w:rPr>
                <w:bCs/>
                <w:lang w:val="fr-FR"/>
              </w:rPr>
              <w:t>, à</w:t>
            </w:r>
            <w:r w:rsidRPr="00DD4BCC">
              <w:rPr>
                <w:b/>
                <w:bCs/>
                <w:lang w:val="fr-FR"/>
              </w:rPr>
              <w:t xml:space="preserve"> </w:t>
            </w:r>
            <w:hyperlink r:id="rId25" w:history="1">
              <w:r w:rsidRPr="00DD4BCC">
                <w:rPr>
                  <w:rStyle w:val="Hyperlink"/>
                  <w:b/>
                  <w:bCs/>
                  <w:lang w:val="fr-FR"/>
                </w:rPr>
                <w:t>Oman</w:t>
              </w:r>
            </w:hyperlink>
            <w:r w:rsidRPr="00DD4BCC">
              <w:rPr>
                <w:b/>
                <w:bCs/>
                <w:lang w:val="fr-FR"/>
              </w:rPr>
              <w:t xml:space="preserve"> </w:t>
            </w:r>
            <w:r w:rsidRPr="00987388">
              <w:rPr>
                <w:bCs/>
                <w:lang w:val="fr-FR"/>
              </w:rPr>
              <w:t>et au</w:t>
            </w:r>
            <w:r w:rsidRPr="00DD4BCC">
              <w:rPr>
                <w:b/>
                <w:bCs/>
                <w:lang w:val="fr-FR"/>
              </w:rPr>
              <w:t xml:space="preserve"> Zimbabwe</w:t>
            </w:r>
            <w:r w:rsidRPr="00DD4BCC">
              <w:rPr>
                <w:lang w:val="fr-FR"/>
              </w:rPr>
              <w:t xml:space="preserve"> pour l'élaboration de profils d'innovation numérique, afin de mettre à disposition un modèle d'écosystème permettant d'accélérer la transformation numérique pour tirer parti de l'entrepreneuriat et de l'innovation. Ces profils d'innovation numérique ont permis aux pays d'obtenir un diagnostic précis quant à l'état de leur écosystème d'innovation numérique et d'élaborer des stratégies pour orienter les politiques nationales.</w:t>
            </w:r>
          </w:p>
          <w:p w14:paraId="6A79F875" w14:textId="25217574" w:rsidR="00452C85" w:rsidRPr="00DD4BCC" w:rsidRDefault="00452C85" w:rsidP="00AF0FD1">
            <w:pPr>
              <w:pStyle w:val="Headingb"/>
              <w:rPr>
                <w:i/>
                <w:iCs/>
                <w:sz w:val="22"/>
                <w:szCs w:val="22"/>
                <w:lang w:val="fr-FR"/>
              </w:rPr>
            </w:pPr>
            <w:r w:rsidRPr="00DD4BCC">
              <w:rPr>
                <w:i/>
                <w:iCs/>
                <w:lang w:val="fr-FR"/>
              </w:rPr>
              <w:lastRenderedPageBreak/>
              <w:t>Services et applications numériques</w:t>
            </w:r>
          </w:p>
          <w:p w14:paraId="78B2CBA5" w14:textId="43ABF366" w:rsidR="00453D6D" w:rsidRPr="00DD4BCC" w:rsidRDefault="00453D6D" w:rsidP="00E545C2">
            <w:pPr>
              <w:tabs>
                <w:tab w:val="left" w:pos="944"/>
              </w:tabs>
              <w:jc w:val="left"/>
              <w:rPr>
                <w:sz w:val="22"/>
                <w:szCs w:val="22"/>
                <w:lang w:val="fr-FR"/>
              </w:rPr>
            </w:pPr>
            <w:r w:rsidRPr="00DD4BCC">
              <w:rPr>
                <w:lang w:val="fr-FR"/>
              </w:rPr>
              <w:t xml:space="preserve">En </w:t>
            </w:r>
            <w:r w:rsidRPr="00DD4BCC">
              <w:rPr>
                <w:b/>
                <w:bCs/>
                <w:lang w:val="fr-FR"/>
              </w:rPr>
              <w:t>Papouasie-Nouvelle-Guinée</w:t>
            </w:r>
            <w:r w:rsidR="00431DDF">
              <w:rPr>
                <w:lang w:val="fr-FR"/>
              </w:rPr>
              <w:t>, les A</w:t>
            </w:r>
            <w:r w:rsidRPr="00DD4BCC">
              <w:rPr>
                <w:lang w:val="fr-FR"/>
              </w:rPr>
              <w:t>dministrations des provinces du Sepik oriental et du Sepik occidental ont approuvé une stratégie en matière de cyberagriculture, élaborée avec l'aide du BDT. Cette stratégie contribuera au développement de services, de systèmes et de processus TIC pour appuyer le développement de la culture de cacao et de vanille et de la pêche dans la province, ainsi que les chaînes de valeur du programme, l'objectif étant avant tout de renforcer le développement économique durable et inclusif dans les zones rurales.</w:t>
            </w:r>
          </w:p>
          <w:p w14:paraId="0C277C73" w14:textId="63052B3D" w:rsidR="00453D6D" w:rsidRPr="00DD4BCC" w:rsidRDefault="00453D6D" w:rsidP="00E545C2">
            <w:pPr>
              <w:tabs>
                <w:tab w:val="left" w:pos="944"/>
              </w:tabs>
              <w:jc w:val="left"/>
              <w:rPr>
                <w:sz w:val="22"/>
                <w:szCs w:val="22"/>
                <w:lang w:val="fr-FR"/>
              </w:rPr>
            </w:pPr>
            <w:r w:rsidRPr="00DD4BCC">
              <w:rPr>
                <w:lang w:val="fr-FR"/>
              </w:rPr>
              <w:t xml:space="preserve">Le BDT et le Gouvernement du </w:t>
            </w:r>
            <w:r w:rsidRPr="00DD4BCC">
              <w:rPr>
                <w:b/>
                <w:bCs/>
                <w:lang w:val="fr-FR"/>
              </w:rPr>
              <w:t>Pakistan</w:t>
            </w:r>
            <w:r w:rsidRPr="00DD4BCC">
              <w:rPr>
                <w:lang w:val="fr-FR"/>
              </w:rPr>
              <w:t xml:space="preserve"> ont lancé l'initiative "Smart Villages" au Pakistan et officiellement inauguré le premier</w:t>
            </w:r>
            <w:r w:rsidR="00F20977" w:rsidRPr="00DD4BCC">
              <w:rPr>
                <w:lang w:val="fr-FR"/>
              </w:rPr>
              <w:t> </w:t>
            </w:r>
            <w:r w:rsidRPr="00DD4BCC">
              <w:rPr>
                <w:lang w:val="fr-FR"/>
              </w:rPr>
              <w:t xml:space="preserve">village intelligent de Gokina. Cette initiative est mise en </w:t>
            </w:r>
            <w:r w:rsidR="009213D5" w:rsidRPr="00DD4BCC">
              <w:rPr>
                <w:lang w:val="fr-FR"/>
              </w:rPr>
              <w:t>œuvre</w:t>
            </w:r>
            <w:r w:rsidRPr="00DD4BCC">
              <w:rPr>
                <w:lang w:val="fr-FR"/>
              </w:rPr>
              <w:t xml:space="preserve"> par le BDT, le Ministère des technologies de l'information et des télécommunications (MoITT), le Fonds de service universel et Huawei. Le lancement de cette initiative comprenait des discussions interactives avec les communautés villageoises, des séances de sensibilisation des communautés et la mise en place de services d'enseignement à distance (classes intelligentes dotées d'équipements numériques) et de cybersanté (services de télémédecine).</w:t>
            </w:r>
          </w:p>
          <w:p w14:paraId="77E1FC4B" w14:textId="5CC27075" w:rsidR="003A000C" w:rsidRPr="00DD4BCC" w:rsidRDefault="003A000C" w:rsidP="00E545C2">
            <w:pPr>
              <w:jc w:val="left"/>
              <w:rPr>
                <w:sz w:val="22"/>
                <w:szCs w:val="22"/>
                <w:lang w:val="fr-FR"/>
              </w:rPr>
            </w:pPr>
            <w:r w:rsidRPr="00DD4BCC">
              <w:rPr>
                <w:lang w:val="fr-FR"/>
              </w:rPr>
              <w:t xml:space="preserve">En </w:t>
            </w:r>
            <w:r w:rsidRPr="00DD4BCC">
              <w:rPr>
                <w:b/>
                <w:bCs/>
                <w:lang w:val="fr-FR"/>
              </w:rPr>
              <w:t>Macédoine du Nord</w:t>
            </w:r>
            <w:r w:rsidR="00987388">
              <w:rPr>
                <w:lang w:val="fr-FR"/>
              </w:rPr>
              <w:t>, le G</w:t>
            </w:r>
            <w:r w:rsidRPr="00DD4BCC">
              <w:rPr>
                <w:lang w:val="fr-FR"/>
              </w:rPr>
              <w:t>ouvernement est en passe de parachever la stratégie nationale de transformation numérique élaborée en partenariat avec le Bureau de l'UIT pour l'Europe.</w:t>
            </w:r>
          </w:p>
          <w:p w14:paraId="444E7556" w14:textId="1EAC34CF" w:rsidR="003A000C" w:rsidRPr="00DD4BCC" w:rsidRDefault="76250E9F" w:rsidP="00E545C2">
            <w:pPr>
              <w:jc w:val="left"/>
              <w:rPr>
                <w:sz w:val="22"/>
                <w:szCs w:val="22"/>
                <w:lang w:val="fr-FR"/>
              </w:rPr>
            </w:pPr>
            <w:r w:rsidRPr="00DD4BCC">
              <w:rPr>
                <w:lang w:val="fr-FR"/>
              </w:rPr>
              <w:t xml:space="preserve">Dans la région des </w:t>
            </w:r>
            <w:r w:rsidRPr="00DD4BCC">
              <w:rPr>
                <w:b/>
                <w:bCs/>
                <w:lang w:val="fr-FR"/>
              </w:rPr>
              <w:t>États arabes</w:t>
            </w:r>
            <w:r w:rsidRPr="00DD4BCC">
              <w:rPr>
                <w:lang w:val="fr-FR"/>
              </w:rPr>
              <w:t>, le Bureau régional a collaboré avec des parties prenantes nationales à Djibouti dans le cadre de l'initiative Govstack visant à renforcer les services publics numériques. La collaboration se poursuivra avec l'Égypte, l'Iraq, la Mauritanie et la Somalie.</w:t>
            </w:r>
          </w:p>
          <w:p w14:paraId="1ADFF5F1" w14:textId="5C970322" w:rsidR="003A000C" w:rsidRPr="00DD4BCC" w:rsidRDefault="115283D3" w:rsidP="00E545C2">
            <w:pPr>
              <w:jc w:val="left"/>
              <w:rPr>
                <w:sz w:val="22"/>
                <w:szCs w:val="22"/>
                <w:lang w:val="fr-FR"/>
              </w:rPr>
            </w:pPr>
            <w:r w:rsidRPr="00DD4BCC">
              <w:rPr>
                <w:lang w:val="fr-FR"/>
              </w:rPr>
              <w:t xml:space="preserve">Dans la </w:t>
            </w:r>
            <w:r w:rsidRPr="00DD4BCC">
              <w:rPr>
                <w:b/>
                <w:bCs/>
                <w:lang w:val="fr-FR"/>
              </w:rPr>
              <w:t>région de la CEI</w:t>
            </w:r>
            <w:r w:rsidRPr="00DD4BCC">
              <w:rPr>
                <w:lang w:val="fr-FR"/>
              </w:rPr>
              <w:t>, le Forum régional sur les villes intelligentes et durables a eu lieu en avril 2023, mettant à profit l'expérience et les compétences spécialisées des pays, des villes et des organisations ainsi que des institutions des Nations Unies pour déployer des solutions en matière de villes intelligentes.</w:t>
            </w:r>
          </w:p>
          <w:p w14:paraId="643D8A73" w14:textId="1366523E" w:rsidR="003A000C" w:rsidRPr="00DD4BCC" w:rsidRDefault="006D09F9" w:rsidP="00431DDF">
            <w:pPr>
              <w:spacing w:after="120"/>
              <w:jc w:val="left"/>
              <w:rPr>
                <w:sz w:val="22"/>
                <w:szCs w:val="22"/>
                <w:lang w:val="fr-FR"/>
              </w:rPr>
            </w:pPr>
            <w:r w:rsidRPr="00DD4BCC">
              <w:rPr>
                <w:lang w:val="fr-FR"/>
              </w:rPr>
              <w:t>En avril également, une manifestation spéciale visant à rassembler des fonds de capital-risque et des détenteurs d'écosystème a été organisée afin de soutenir davantage le développement des écosystèmes de start-up dans la région de la CEI. Les participants à cette manifestation ont discuté des mesures à prendre pour encourager les mécanismes de financement et de coopération des entreprises, tels que la plate-forme Startup Central Eurasia, qui s'adresse particulièrement aux start-up d'Eurasie centrale.</w:t>
            </w:r>
          </w:p>
        </w:tc>
      </w:tr>
      <w:bookmarkEnd w:id="6"/>
    </w:tbl>
    <w:p w14:paraId="403523CF" w14:textId="77777777" w:rsidR="009213D5" w:rsidRPr="00DD4BCC" w:rsidRDefault="009213D5">
      <w:pPr>
        <w:tabs>
          <w:tab w:val="clear" w:pos="794"/>
          <w:tab w:val="clear" w:pos="1191"/>
          <w:tab w:val="clear" w:pos="1588"/>
          <w:tab w:val="clear" w:pos="1985"/>
        </w:tabs>
        <w:overflowPunct/>
        <w:autoSpaceDE/>
        <w:autoSpaceDN/>
        <w:adjustRightInd/>
        <w:spacing w:before="0"/>
        <w:jc w:val="left"/>
        <w:textAlignment w:val="auto"/>
        <w:rPr>
          <w:b/>
          <w:bCs/>
          <w:lang w:val="fr-FR"/>
        </w:rPr>
      </w:pPr>
      <w:r w:rsidRPr="00DD4BCC">
        <w:rPr>
          <w:bCs/>
          <w:lang w:val="fr-FR"/>
        </w:rPr>
        <w:lastRenderedPageBreak/>
        <w:br w:type="page"/>
      </w:r>
    </w:p>
    <w:p w14:paraId="6DE26B7A" w14:textId="647F42D6" w:rsidR="00E80210" w:rsidRPr="00DD4BCC" w:rsidRDefault="009213D5" w:rsidP="00F20977">
      <w:pPr>
        <w:pStyle w:val="Heading2"/>
        <w:spacing w:after="240"/>
        <w:jc w:val="left"/>
        <w:rPr>
          <w:lang w:val="fr-FR"/>
        </w:rPr>
      </w:pPr>
      <w:r w:rsidRPr="00DD4BCC">
        <w:rPr>
          <w:lang w:val="fr-FR"/>
        </w:rPr>
        <w:lastRenderedPageBreak/>
        <w:t>3</w:t>
      </w:r>
      <w:r w:rsidR="00E80210" w:rsidRPr="00DD4BCC">
        <w:rPr>
          <w:lang w:val="fr-FR"/>
        </w:rPr>
        <w:t>.3</w:t>
      </w:r>
      <w:r w:rsidR="00E80210" w:rsidRPr="00DD4BCC">
        <w:rPr>
          <w:lang w:val="fr-FR"/>
        </w:rPr>
        <w:tab/>
        <w:t xml:space="preserve">Priorité 3 de l'UIT-D: Environnement politique et réglementaire propice </w:t>
      </w:r>
    </w:p>
    <w:tbl>
      <w:tblPr>
        <w:tblStyle w:val="GridTable2-Accent1"/>
        <w:tblW w:w="13463" w:type="dxa"/>
        <w:jc w:val="center"/>
        <w:tblBorders>
          <w:left w:val="single" w:sz="2" w:space="0" w:color="95B3D7" w:themeColor="accent1" w:themeTint="99"/>
          <w:right w:val="single" w:sz="2" w:space="0" w:color="95B3D7" w:themeColor="accent1" w:themeTint="99"/>
        </w:tblBorders>
        <w:tblLayout w:type="fixed"/>
        <w:tblLook w:val="04A0" w:firstRow="1" w:lastRow="0" w:firstColumn="1" w:lastColumn="0" w:noHBand="0" w:noVBand="1"/>
      </w:tblPr>
      <w:tblGrid>
        <w:gridCol w:w="1709"/>
        <w:gridCol w:w="2918"/>
        <w:gridCol w:w="2408"/>
        <w:gridCol w:w="3171"/>
        <w:gridCol w:w="954"/>
        <w:gridCol w:w="1173"/>
        <w:gridCol w:w="1115"/>
        <w:gridCol w:w="15"/>
      </w:tblGrid>
      <w:tr w:rsidR="0059527A" w:rsidRPr="00DD4BCC" w14:paraId="256E0ED4" w14:textId="77777777" w:rsidTr="00EC7905">
        <w:trPr>
          <w:gridAfter w:val="1"/>
          <w:cnfStyle w:val="100000000000" w:firstRow="1" w:lastRow="0" w:firstColumn="0" w:lastColumn="0" w:oddVBand="0" w:evenVBand="0" w:oddHBand="0" w:evenHBand="0" w:firstRowFirstColumn="0" w:firstRowLastColumn="0" w:lastRowFirstColumn="0" w:lastRowLastColumn="0"/>
          <w:wAfter w:w="15" w:type="dxa"/>
          <w:tblHeader/>
          <w:jc w:val="center"/>
        </w:trPr>
        <w:tc>
          <w:tcPr>
            <w:cnfStyle w:val="001000000000" w:firstRow="0" w:lastRow="0" w:firstColumn="1" w:lastColumn="0" w:oddVBand="0" w:evenVBand="0" w:oddHBand="0" w:evenHBand="0" w:firstRowFirstColumn="0" w:firstRowLastColumn="0" w:lastRowFirstColumn="0" w:lastRowLastColumn="0"/>
            <w:tcW w:w="1709" w:type="dxa"/>
            <w:tcBorders>
              <w:top w:val="none" w:sz="0" w:space="0" w:color="auto"/>
              <w:bottom w:val="none" w:sz="0" w:space="0" w:color="auto"/>
              <w:right w:val="none" w:sz="0" w:space="0" w:color="auto"/>
            </w:tcBorders>
          </w:tcPr>
          <w:p w14:paraId="0FC16B58" w14:textId="2D83DDF4" w:rsidR="00FA7840" w:rsidRPr="00DD4BCC" w:rsidRDefault="00865D12" w:rsidP="00F20977">
            <w:pPr>
              <w:pStyle w:val="Tablehead"/>
              <w:rPr>
                <w:rFonts w:ascii="Calibri" w:hAnsi="Calibri" w:cs="Calibri"/>
                <w:b/>
                <w:bCs w:val="0"/>
                <w:i/>
                <w:iCs/>
                <w:sz w:val="18"/>
                <w:szCs w:val="18"/>
                <w:lang w:val="fr-FR"/>
              </w:rPr>
            </w:pPr>
            <w:r w:rsidRPr="00DD4BCC">
              <w:rPr>
                <w:b/>
                <w:bCs w:val="0"/>
                <w:sz w:val="18"/>
                <w:szCs w:val="18"/>
                <w:lang w:val="fr-FR"/>
              </w:rPr>
              <w:t>Priorité/thème</w:t>
            </w:r>
          </w:p>
        </w:tc>
        <w:tc>
          <w:tcPr>
            <w:tcW w:w="2918" w:type="dxa"/>
            <w:tcBorders>
              <w:top w:val="none" w:sz="0" w:space="0" w:color="auto"/>
              <w:left w:val="none" w:sz="0" w:space="0" w:color="auto"/>
              <w:bottom w:val="none" w:sz="0" w:space="0" w:color="auto"/>
              <w:right w:val="none" w:sz="0" w:space="0" w:color="auto"/>
            </w:tcBorders>
          </w:tcPr>
          <w:p w14:paraId="0A3FB782" w14:textId="7D021027" w:rsidR="00FA7840" w:rsidRPr="00DD4BCC" w:rsidRDefault="00FA7840" w:rsidP="00F20977">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i/>
                <w:iCs/>
                <w:sz w:val="18"/>
                <w:szCs w:val="18"/>
                <w:lang w:val="fr-FR"/>
              </w:rPr>
            </w:pPr>
            <w:r w:rsidRPr="00DD4BCC">
              <w:rPr>
                <w:b/>
                <w:bCs w:val="0"/>
                <w:sz w:val="18"/>
                <w:szCs w:val="18"/>
                <w:lang w:val="fr-FR"/>
              </w:rPr>
              <w:t>Ré</w:t>
            </w:r>
            <w:r w:rsidR="00384D1C" w:rsidRPr="00DD4BCC">
              <w:rPr>
                <w:b/>
                <w:bCs w:val="0"/>
                <w:sz w:val="18"/>
                <w:szCs w:val="18"/>
                <w:lang w:val="fr-FR"/>
              </w:rPr>
              <w:t>alisation</w:t>
            </w:r>
          </w:p>
        </w:tc>
        <w:tc>
          <w:tcPr>
            <w:tcW w:w="2408" w:type="dxa"/>
            <w:tcBorders>
              <w:top w:val="none" w:sz="0" w:space="0" w:color="auto"/>
              <w:left w:val="none" w:sz="0" w:space="0" w:color="auto"/>
              <w:bottom w:val="none" w:sz="0" w:space="0" w:color="auto"/>
              <w:right w:val="none" w:sz="0" w:space="0" w:color="auto"/>
            </w:tcBorders>
          </w:tcPr>
          <w:p w14:paraId="496FB3F8" w14:textId="0B00E273" w:rsidR="00FA7840" w:rsidRPr="00DD4BCC" w:rsidRDefault="00BB54A5" w:rsidP="00F20977">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i/>
                <w:iCs/>
                <w:sz w:val="18"/>
                <w:szCs w:val="18"/>
                <w:lang w:val="fr-FR"/>
              </w:rPr>
            </w:pPr>
            <w:r w:rsidRPr="00DD4BCC">
              <w:rPr>
                <w:b/>
                <w:bCs w:val="0"/>
                <w:sz w:val="18"/>
                <w:szCs w:val="18"/>
                <w:lang w:val="fr-FR"/>
              </w:rPr>
              <w:t xml:space="preserve">Produits </w:t>
            </w:r>
            <w:r w:rsidR="009213D5" w:rsidRPr="00DD4BCC">
              <w:rPr>
                <w:b/>
                <w:bCs w:val="0"/>
                <w:sz w:val="18"/>
                <w:szCs w:val="18"/>
                <w:lang w:val="fr-FR"/>
              </w:rPr>
              <w:br/>
            </w:r>
            <w:r w:rsidRPr="00DD4BCC">
              <w:rPr>
                <w:b/>
                <w:bCs w:val="0"/>
                <w:sz w:val="18"/>
                <w:szCs w:val="18"/>
                <w:lang w:val="fr-FR"/>
              </w:rPr>
              <w:t>(Produits et services)</w:t>
            </w:r>
          </w:p>
        </w:tc>
        <w:tc>
          <w:tcPr>
            <w:tcW w:w="3171" w:type="dxa"/>
            <w:tcBorders>
              <w:top w:val="none" w:sz="0" w:space="0" w:color="auto"/>
              <w:left w:val="none" w:sz="0" w:space="0" w:color="auto"/>
              <w:bottom w:val="none" w:sz="0" w:space="0" w:color="auto"/>
              <w:right w:val="none" w:sz="0" w:space="0" w:color="auto"/>
            </w:tcBorders>
          </w:tcPr>
          <w:p w14:paraId="5D57FE58" w14:textId="7999C7FF" w:rsidR="00FA7840" w:rsidRPr="00DD4BCC" w:rsidRDefault="00FE1782" w:rsidP="00F20977">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i/>
                <w:iCs/>
                <w:sz w:val="18"/>
                <w:szCs w:val="18"/>
                <w:lang w:val="fr-FR"/>
              </w:rPr>
            </w:pPr>
            <w:r w:rsidRPr="00DD4BCC">
              <w:rPr>
                <w:b/>
                <w:bCs w:val="0"/>
                <w:sz w:val="18"/>
                <w:szCs w:val="18"/>
                <w:lang w:val="fr-FR"/>
              </w:rPr>
              <w:t>Indicateurs fondamentaux de performance*</w:t>
            </w:r>
          </w:p>
        </w:tc>
        <w:tc>
          <w:tcPr>
            <w:tcW w:w="954" w:type="dxa"/>
            <w:tcBorders>
              <w:top w:val="none" w:sz="0" w:space="0" w:color="auto"/>
              <w:left w:val="none" w:sz="0" w:space="0" w:color="auto"/>
              <w:bottom w:val="none" w:sz="0" w:space="0" w:color="auto"/>
              <w:right w:val="none" w:sz="0" w:space="0" w:color="auto"/>
            </w:tcBorders>
          </w:tcPr>
          <w:p w14:paraId="13C55A3A" w14:textId="1B5CC98A" w:rsidR="00FA7840" w:rsidRPr="00DD4BCC" w:rsidRDefault="00FA7840" w:rsidP="00F20977">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i/>
                <w:iCs/>
                <w:sz w:val="18"/>
                <w:szCs w:val="18"/>
                <w:lang w:val="fr-FR"/>
              </w:rPr>
            </w:pPr>
            <w:r w:rsidRPr="00DD4BCC">
              <w:rPr>
                <w:b/>
                <w:bCs w:val="0"/>
                <w:sz w:val="18"/>
                <w:szCs w:val="18"/>
                <w:lang w:val="fr-FR"/>
              </w:rPr>
              <w:t>Budget 2023</w:t>
            </w:r>
            <w:r w:rsidR="00F20977" w:rsidRPr="00DD4BCC">
              <w:rPr>
                <w:b/>
                <w:bCs w:val="0"/>
                <w:sz w:val="18"/>
                <w:szCs w:val="18"/>
                <w:lang w:val="fr-FR"/>
              </w:rPr>
              <w:br/>
            </w:r>
            <w:r w:rsidRPr="00DD4BCC">
              <w:rPr>
                <w:b/>
                <w:bCs w:val="0"/>
                <w:sz w:val="18"/>
                <w:szCs w:val="18"/>
                <w:lang w:val="fr-FR"/>
              </w:rPr>
              <w:t>(en CHF)</w:t>
            </w:r>
          </w:p>
        </w:tc>
        <w:tc>
          <w:tcPr>
            <w:tcW w:w="1173" w:type="dxa"/>
            <w:tcBorders>
              <w:top w:val="none" w:sz="0" w:space="0" w:color="auto"/>
              <w:left w:val="none" w:sz="0" w:space="0" w:color="auto"/>
              <w:bottom w:val="none" w:sz="0" w:space="0" w:color="auto"/>
              <w:right w:val="none" w:sz="0" w:space="0" w:color="auto"/>
            </w:tcBorders>
          </w:tcPr>
          <w:p w14:paraId="152317E6" w14:textId="3BFBFD91" w:rsidR="00FA7840" w:rsidRPr="00DD4BCC" w:rsidRDefault="00FA7840" w:rsidP="00F20977">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i/>
                <w:iCs/>
                <w:sz w:val="18"/>
                <w:szCs w:val="18"/>
                <w:lang w:val="fr-FR"/>
              </w:rPr>
            </w:pPr>
            <w:r w:rsidRPr="00DD4BCC">
              <w:rPr>
                <w:b/>
                <w:bCs w:val="0"/>
                <w:sz w:val="18"/>
                <w:szCs w:val="18"/>
                <w:lang w:val="fr-FR"/>
              </w:rPr>
              <w:t>% du total des priorités/</w:t>
            </w:r>
            <w:r w:rsidR="009213D5" w:rsidRPr="00DD4BCC">
              <w:rPr>
                <w:b/>
                <w:bCs w:val="0"/>
                <w:sz w:val="18"/>
                <w:szCs w:val="18"/>
                <w:lang w:val="fr-FR"/>
              </w:rPr>
              <w:br/>
            </w:r>
            <w:r w:rsidRPr="00DD4BCC">
              <w:rPr>
                <w:b/>
                <w:bCs w:val="0"/>
                <w:sz w:val="18"/>
                <w:szCs w:val="18"/>
                <w:lang w:val="fr-FR"/>
              </w:rPr>
              <w:t>catalyseurs</w:t>
            </w:r>
          </w:p>
        </w:tc>
        <w:tc>
          <w:tcPr>
            <w:tcW w:w="1115" w:type="dxa"/>
            <w:tcBorders>
              <w:top w:val="none" w:sz="0" w:space="0" w:color="auto"/>
              <w:left w:val="none" w:sz="0" w:space="0" w:color="auto"/>
              <w:bottom w:val="none" w:sz="0" w:space="0" w:color="auto"/>
            </w:tcBorders>
            <w:noWrap/>
          </w:tcPr>
          <w:p w14:paraId="7E588833" w14:textId="77777777" w:rsidR="00FA7840" w:rsidRPr="00DD4BCC" w:rsidRDefault="00FA7840" w:rsidP="00F20977">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i/>
                <w:iCs/>
                <w:sz w:val="18"/>
                <w:szCs w:val="18"/>
                <w:lang w:val="fr-FR"/>
              </w:rPr>
            </w:pPr>
            <w:r w:rsidRPr="00DD4BCC">
              <w:rPr>
                <w:b/>
                <w:bCs w:val="0"/>
                <w:sz w:val="18"/>
                <w:szCs w:val="18"/>
                <w:lang w:val="fr-FR"/>
              </w:rPr>
              <w:t>% du total général</w:t>
            </w:r>
          </w:p>
        </w:tc>
      </w:tr>
      <w:tr w:rsidR="00EC7905" w:rsidRPr="00DD4BCC" w14:paraId="5A3A5D4A" w14:textId="77777777" w:rsidTr="007C6276">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10206" w:type="dxa"/>
            <w:gridSpan w:val="4"/>
            <w:hideMark/>
          </w:tcPr>
          <w:p w14:paraId="300FCEE7" w14:textId="4CCA91DC" w:rsidR="00EC7905" w:rsidRPr="00DD4BCC" w:rsidRDefault="00EC7905" w:rsidP="00F20977">
            <w:pPr>
              <w:pStyle w:val="Tabletext"/>
              <w:jc w:val="left"/>
              <w:rPr>
                <w:rFonts w:ascii="Times New Roman" w:hAnsi="Times New Roman"/>
                <w:sz w:val="18"/>
                <w:szCs w:val="18"/>
                <w:lang w:val="fr-FR" w:eastAsia="en-GB"/>
              </w:rPr>
            </w:pPr>
            <w:r w:rsidRPr="00DD4BCC">
              <w:rPr>
                <w:sz w:val="18"/>
                <w:szCs w:val="18"/>
                <w:lang w:val="fr-FR"/>
              </w:rPr>
              <w:t>Tout ce qui a trait à la priorité intitulée</w:t>
            </w:r>
            <w:r w:rsidRPr="00DD4BCC">
              <w:rPr>
                <w:sz w:val="18"/>
                <w:szCs w:val="18"/>
                <w:lang w:val="fr-FR"/>
              </w:rPr>
              <w:br/>
              <w:t>"Environnement politique et réglementaire propice"</w:t>
            </w:r>
          </w:p>
        </w:tc>
        <w:tc>
          <w:tcPr>
            <w:tcW w:w="954" w:type="dxa"/>
            <w:hideMark/>
          </w:tcPr>
          <w:p w14:paraId="69813ADF" w14:textId="77777777" w:rsidR="00EC7905" w:rsidRPr="00DD4BCC" w:rsidRDefault="00EC7905" w:rsidP="00F20977">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lang w:val="fr-FR"/>
              </w:rPr>
            </w:pPr>
            <w:r w:rsidRPr="00DD4BCC">
              <w:rPr>
                <w:b/>
                <w:bCs/>
                <w:sz w:val="18"/>
                <w:szCs w:val="18"/>
                <w:lang w:val="fr-FR"/>
              </w:rPr>
              <w:t>1 111 000</w:t>
            </w:r>
          </w:p>
        </w:tc>
        <w:tc>
          <w:tcPr>
            <w:tcW w:w="1173" w:type="dxa"/>
            <w:hideMark/>
          </w:tcPr>
          <w:p w14:paraId="1DBC7DBE" w14:textId="77777777" w:rsidR="00EC7905" w:rsidRPr="00DD4BCC" w:rsidRDefault="00EC7905" w:rsidP="00F20977">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lang w:val="fr-FR" w:eastAsia="en-GB"/>
              </w:rPr>
            </w:pPr>
          </w:p>
        </w:tc>
        <w:tc>
          <w:tcPr>
            <w:tcW w:w="1115" w:type="dxa"/>
            <w:noWrap/>
            <w:hideMark/>
          </w:tcPr>
          <w:p w14:paraId="633097BF" w14:textId="4675479D" w:rsidR="00EC7905" w:rsidRPr="00DD4BCC" w:rsidRDefault="00EC7905" w:rsidP="00F20977">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lang w:val="fr-FR"/>
              </w:rPr>
            </w:pPr>
            <w:r w:rsidRPr="00DD4BCC">
              <w:rPr>
                <w:b/>
                <w:bCs/>
                <w:sz w:val="18"/>
                <w:szCs w:val="18"/>
                <w:lang w:val="fr-FR"/>
              </w:rPr>
              <w:t>26,4%</w:t>
            </w:r>
          </w:p>
        </w:tc>
      </w:tr>
      <w:tr w:rsidR="0059527A" w:rsidRPr="00DD4BCC" w14:paraId="1BF12FE3" w14:textId="77777777" w:rsidTr="00EC7905">
        <w:trPr>
          <w:gridAfter w:val="1"/>
          <w:wAfter w:w="15" w:type="dxa"/>
          <w:jc w:val="center"/>
        </w:trPr>
        <w:tc>
          <w:tcPr>
            <w:cnfStyle w:val="001000000000" w:firstRow="0" w:lastRow="0" w:firstColumn="1" w:lastColumn="0" w:oddVBand="0" w:evenVBand="0" w:oddHBand="0" w:evenHBand="0" w:firstRowFirstColumn="0" w:firstRowLastColumn="0" w:lastRowFirstColumn="0" w:lastRowLastColumn="0"/>
            <w:tcW w:w="1709" w:type="dxa"/>
            <w:hideMark/>
          </w:tcPr>
          <w:p w14:paraId="0C19D719" w14:textId="77777777" w:rsidR="00FA7840" w:rsidRPr="00DD4BCC" w:rsidRDefault="00FA7840" w:rsidP="00F20977">
            <w:pPr>
              <w:pStyle w:val="Tabletext"/>
              <w:jc w:val="left"/>
              <w:rPr>
                <w:rFonts w:ascii="Calibri" w:hAnsi="Calibri" w:cs="Calibri"/>
                <w:sz w:val="18"/>
                <w:szCs w:val="18"/>
                <w:lang w:val="fr-FR"/>
              </w:rPr>
            </w:pPr>
            <w:r w:rsidRPr="00DD4BCC">
              <w:rPr>
                <w:sz w:val="18"/>
                <w:szCs w:val="18"/>
                <w:lang w:val="fr-FR"/>
              </w:rPr>
              <w:t>Renforcement des capacités</w:t>
            </w:r>
          </w:p>
        </w:tc>
        <w:tc>
          <w:tcPr>
            <w:tcW w:w="2918" w:type="dxa"/>
            <w:hideMark/>
          </w:tcPr>
          <w:p w14:paraId="565D8D2F" w14:textId="0426D76C"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Renforcement des capacités humaines et institutionnelles des membres de l'UIT dans le domaine des télécommunications/TIC pour favoriser la transformation numérique</w:t>
            </w:r>
          </w:p>
          <w:p w14:paraId="5DFE1944" w14:textId="15F34639"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Renforcement des capacités humaines et institutionnelles des membres de l'UIT, dans le domaine des télécommunications/TIC, à exploiter pleinement le potentiel de l'économie et de la société numériques</w:t>
            </w:r>
          </w:p>
          <w:p w14:paraId="781C33B2" w14:textId="30D9BF5E"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Renforcement de la capacité des États Membres d'améliorer leurs cadres politiques, juridiques et réglementaires en matière de télécommunication/TIC propices au développement durable et à la transformation numérique</w:t>
            </w:r>
          </w:p>
        </w:tc>
        <w:tc>
          <w:tcPr>
            <w:tcW w:w="2408" w:type="dxa"/>
            <w:hideMark/>
          </w:tcPr>
          <w:p w14:paraId="6CF82660" w14:textId="6E7A01BE"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Élaboration de cadres politiques et de supports de connaissance</w:t>
            </w:r>
          </w:p>
          <w:p w14:paraId="06E534AD" w14:textId="4E87C891"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Renforcement des capacités</w:t>
            </w:r>
          </w:p>
          <w:p w14:paraId="222297CF" w14:textId="4A263060"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Fourniture d'une assistance technique</w:t>
            </w:r>
          </w:p>
          <w:p w14:paraId="5BC35D85" w14:textId="59A1D6E6"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Plates-formes fédératrices</w:t>
            </w:r>
          </w:p>
        </w:tc>
        <w:tc>
          <w:tcPr>
            <w:tcW w:w="3171" w:type="dxa"/>
            <w:hideMark/>
          </w:tcPr>
          <w:p w14:paraId="2C73448D" w14:textId="1AAD0631" w:rsidR="00AE3C86"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AE3C86" w:rsidRPr="00DD4BCC">
              <w:rPr>
                <w:sz w:val="18"/>
                <w:szCs w:val="18"/>
                <w:lang w:val="fr-FR"/>
              </w:rPr>
              <w:t>Nombre d'utilisateurs de l'Académie de l'UIT</w:t>
            </w:r>
          </w:p>
          <w:p w14:paraId="5D19AE29" w14:textId="7AD336CD" w:rsidR="00AE3C86"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AE3C86" w:rsidRPr="00DD4BCC">
              <w:rPr>
                <w:sz w:val="18"/>
                <w:szCs w:val="18"/>
                <w:lang w:val="fr-FR"/>
              </w:rPr>
              <w:t>Nombre de citoyens ayant reçu une formation aux niveaux élémentaire et intermédiaire dans le domaine du numérique</w:t>
            </w:r>
          </w:p>
          <w:p w14:paraId="3D3B4C09" w14:textId="13EA4EBC" w:rsidR="00AE3C86"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AE3C86" w:rsidRPr="00DD4BCC">
              <w:rPr>
                <w:sz w:val="18"/>
                <w:szCs w:val="18"/>
                <w:lang w:val="fr-FR"/>
              </w:rPr>
              <w:t>Nombre de professionnels ayant reçu une formation dans le domaine des télécommunications/TIC</w:t>
            </w:r>
          </w:p>
          <w:p w14:paraId="26E0D9C0" w14:textId="1EDB4A4E" w:rsidR="00AE3C86"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AE3C86" w:rsidRPr="00DD4BCC">
              <w:rPr>
                <w:sz w:val="18"/>
                <w:szCs w:val="18"/>
                <w:lang w:val="fr-FR"/>
              </w:rPr>
              <w:t>Nombre de participants au Forum mondial sur les compétences numériques</w:t>
            </w:r>
          </w:p>
          <w:p w14:paraId="2908ECBB" w14:textId="5DBE5B2A" w:rsidR="0068414A"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AE3C86" w:rsidRPr="00DD4BCC">
              <w:rPr>
                <w:sz w:val="18"/>
                <w:szCs w:val="18"/>
                <w:lang w:val="fr-FR"/>
              </w:rPr>
              <w:t>Nombre de pays ayant bénéficié de conseils sur les politiques ou stratégies relatives aux compétences numériques</w:t>
            </w:r>
          </w:p>
        </w:tc>
        <w:tc>
          <w:tcPr>
            <w:tcW w:w="954" w:type="dxa"/>
            <w:hideMark/>
          </w:tcPr>
          <w:p w14:paraId="566E7BC7" w14:textId="77777777" w:rsidR="00FA7840" w:rsidRPr="00DD4BCC" w:rsidRDefault="00FA7840" w:rsidP="00F2097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306 500</w:t>
            </w:r>
          </w:p>
        </w:tc>
        <w:tc>
          <w:tcPr>
            <w:tcW w:w="1173" w:type="dxa"/>
            <w:hideMark/>
          </w:tcPr>
          <w:p w14:paraId="678F63D2" w14:textId="4044499B" w:rsidR="00FA7840" w:rsidRPr="00DD4BCC" w:rsidRDefault="00FA7840" w:rsidP="00F2097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27,6</w:t>
            </w:r>
            <w:r w:rsidR="00F20977" w:rsidRPr="00DD4BCC">
              <w:rPr>
                <w:sz w:val="18"/>
                <w:szCs w:val="18"/>
                <w:lang w:val="fr-FR"/>
              </w:rPr>
              <w:t>%</w:t>
            </w:r>
          </w:p>
        </w:tc>
        <w:tc>
          <w:tcPr>
            <w:tcW w:w="1115" w:type="dxa"/>
            <w:noWrap/>
            <w:hideMark/>
          </w:tcPr>
          <w:p w14:paraId="02F56A07" w14:textId="26D94D4D" w:rsidR="00FA7840" w:rsidRPr="00DD4BCC" w:rsidRDefault="00FA7840" w:rsidP="00F2097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7,3</w:t>
            </w:r>
            <w:r w:rsidR="00F20977" w:rsidRPr="00DD4BCC">
              <w:rPr>
                <w:sz w:val="18"/>
                <w:szCs w:val="18"/>
                <w:lang w:val="fr-FR"/>
              </w:rPr>
              <w:t>%</w:t>
            </w:r>
          </w:p>
        </w:tc>
      </w:tr>
      <w:tr w:rsidR="0059527A" w:rsidRPr="00DD4BCC" w14:paraId="7F2D2C3C" w14:textId="77777777" w:rsidTr="00EC7905">
        <w:trPr>
          <w:gridAfter w:val="1"/>
          <w:cnfStyle w:val="000000100000" w:firstRow="0" w:lastRow="0" w:firstColumn="0" w:lastColumn="0" w:oddVBand="0" w:evenVBand="0" w:oddHBand="1" w:evenHBand="0" w:firstRowFirstColumn="0" w:firstRowLastColumn="0" w:lastRowFirstColumn="0" w:lastRowLastColumn="0"/>
          <w:wAfter w:w="15" w:type="dxa"/>
          <w:jc w:val="center"/>
        </w:trPr>
        <w:tc>
          <w:tcPr>
            <w:cnfStyle w:val="001000000000" w:firstRow="0" w:lastRow="0" w:firstColumn="1" w:lastColumn="0" w:oddVBand="0" w:evenVBand="0" w:oddHBand="0" w:evenHBand="0" w:firstRowFirstColumn="0" w:firstRowLastColumn="0" w:lastRowFirstColumn="0" w:lastRowLastColumn="0"/>
            <w:tcW w:w="1709" w:type="dxa"/>
            <w:hideMark/>
          </w:tcPr>
          <w:p w14:paraId="0EC6EACA" w14:textId="0E723A7C" w:rsidR="00FA7840" w:rsidRPr="00DD4BCC" w:rsidRDefault="00FA7840" w:rsidP="00F20977">
            <w:pPr>
              <w:pStyle w:val="Tabletext"/>
              <w:jc w:val="left"/>
              <w:rPr>
                <w:rFonts w:ascii="Calibri" w:hAnsi="Calibri" w:cs="Calibri"/>
                <w:sz w:val="18"/>
                <w:szCs w:val="18"/>
                <w:lang w:val="fr-FR"/>
              </w:rPr>
            </w:pPr>
            <w:r w:rsidRPr="00DD4BCC">
              <w:rPr>
                <w:sz w:val="18"/>
                <w:szCs w:val="18"/>
                <w:lang w:val="fr-FR"/>
              </w:rPr>
              <w:t>Politique et réglementation</w:t>
            </w:r>
          </w:p>
        </w:tc>
        <w:tc>
          <w:tcPr>
            <w:tcW w:w="2918" w:type="dxa"/>
            <w:hideMark/>
          </w:tcPr>
          <w:p w14:paraId="002A1144" w14:textId="2C8F37A4" w:rsidR="00FA7840" w:rsidRPr="00DD4BCC" w:rsidRDefault="00F20977" w:rsidP="00F20977">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Renforcement de la capacité des États Membres d'améliorer leurs cadres politiques, juridiques et réglementaires en matière de télécommunication/TIC propices au développement durable et à la transformation numérique</w:t>
            </w:r>
          </w:p>
          <w:p w14:paraId="6F84B1A6" w14:textId="0D5654CA" w:rsidR="002A5CF5" w:rsidRPr="00DD4BCC" w:rsidRDefault="00F20977" w:rsidP="00F20977">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2A5CF5" w:rsidRPr="00DD4BCC">
              <w:rPr>
                <w:sz w:val="18"/>
                <w:szCs w:val="18"/>
                <w:lang w:val="fr-FR"/>
              </w:rPr>
              <w:t xml:space="preserve">Renforcement des capacités humaines et institutionnelles des membres de l'UIT, dans le </w:t>
            </w:r>
            <w:r w:rsidR="002A5CF5" w:rsidRPr="00DD4BCC">
              <w:rPr>
                <w:sz w:val="18"/>
                <w:szCs w:val="18"/>
                <w:lang w:val="fr-FR"/>
              </w:rPr>
              <w:lastRenderedPageBreak/>
              <w:t>domaine des télécommunications/TIC, à exploiter pleinement le potentiel de l'économie et de la société numériques</w:t>
            </w:r>
          </w:p>
          <w:p w14:paraId="68E514EC" w14:textId="43FF846D" w:rsidR="00FA7840" w:rsidRPr="00DD4BCC" w:rsidRDefault="00F20977" w:rsidP="00F20977">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Renforcement de la capacité des États Membres de produire et de recueillir des statistiques de qualité et comparables au niveau international, qui tiennent compte de l'évolution et des tendances dans le secteur des télécommunications/TIC rendues possibles grâce aux technologies et aux services nouveaux et émergents, à partir de normes et de méthodologies convenues</w:t>
            </w:r>
          </w:p>
        </w:tc>
        <w:tc>
          <w:tcPr>
            <w:tcW w:w="2408" w:type="dxa"/>
            <w:hideMark/>
          </w:tcPr>
          <w:p w14:paraId="37609CEB" w14:textId="30BE1F94" w:rsidR="00FA7840" w:rsidRPr="00DD4BCC" w:rsidRDefault="00F20977" w:rsidP="00F20977">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lastRenderedPageBreak/>
              <w:t>•</w:t>
            </w:r>
            <w:r w:rsidRPr="00DD4BCC">
              <w:rPr>
                <w:sz w:val="18"/>
                <w:szCs w:val="18"/>
                <w:lang w:val="fr-FR"/>
              </w:rPr>
              <w:tab/>
            </w:r>
            <w:r w:rsidR="00FA7840" w:rsidRPr="00DD4BCC">
              <w:rPr>
                <w:sz w:val="18"/>
                <w:szCs w:val="18"/>
                <w:lang w:val="fr-FR"/>
              </w:rPr>
              <w:t>Élaboration de cadres politiques et de supports de connaissance</w:t>
            </w:r>
          </w:p>
          <w:p w14:paraId="1070BCEA" w14:textId="22B4C955" w:rsidR="00FA7840" w:rsidRPr="00DD4BCC" w:rsidRDefault="00F20977" w:rsidP="00F20977">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Fourniture de données et de statistiques</w:t>
            </w:r>
          </w:p>
          <w:p w14:paraId="500C12CE" w14:textId="0C9C88B1" w:rsidR="00FA7840" w:rsidRPr="00DD4BCC" w:rsidRDefault="00F20977" w:rsidP="00F20977">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Renforcement des capacités</w:t>
            </w:r>
          </w:p>
          <w:p w14:paraId="7A3A52B5" w14:textId="6C34945D" w:rsidR="00FA7840" w:rsidRPr="00DD4BCC" w:rsidRDefault="00F20977" w:rsidP="00F20977">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Fourniture d'une assistance technique</w:t>
            </w:r>
          </w:p>
          <w:p w14:paraId="1FBC244F" w14:textId="08CE4B6F" w:rsidR="00FA7840" w:rsidRPr="00DD4BCC" w:rsidRDefault="00F20977" w:rsidP="00F20977">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lastRenderedPageBreak/>
              <w:t>•</w:t>
            </w:r>
            <w:r w:rsidRPr="00DD4BCC">
              <w:rPr>
                <w:sz w:val="18"/>
                <w:szCs w:val="18"/>
                <w:lang w:val="fr-FR"/>
              </w:rPr>
              <w:tab/>
            </w:r>
            <w:r w:rsidR="00FA7840" w:rsidRPr="00DD4BCC">
              <w:rPr>
                <w:sz w:val="18"/>
                <w:szCs w:val="18"/>
                <w:lang w:val="fr-FR"/>
              </w:rPr>
              <w:t>Plates-formes fédératrices</w:t>
            </w:r>
          </w:p>
        </w:tc>
        <w:tc>
          <w:tcPr>
            <w:tcW w:w="3171" w:type="dxa"/>
            <w:hideMark/>
          </w:tcPr>
          <w:p w14:paraId="0FC9BC60" w14:textId="6ABC4960" w:rsidR="00FA7840" w:rsidRPr="00DD4BCC" w:rsidRDefault="00F20977" w:rsidP="00F20977">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bookmarkStart w:id="7" w:name="_Hlk133930661"/>
            <w:r w:rsidRPr="00DD4BCC">
              <w:rPr>
                <w:sz w:val="18"/>
                <w:szCs w:val="18"/>
                <w:lang w:val="fr-FR"/>
              </w:rPr>
              <w:lastRenderedPageBreak/>
              <w:t>•</w:t>
            </w:r>
            <w:r w:rsidRPr="00DD4BCC">
              <w:rPr>
                <w:sz w:val="18"/>
                <w:szCs w:val="18"/>
                <w:lang w:val="fr-FR"/>
              </w:rPr>
              <w:tab/>
            </w:r>
            <w:r w:rsidR="00FA7840" w:rsidRPr="00DD4BCC">
              <w:rPr>
                <w:sz w:val="18"/>
                <w:szCs w:val="18"/>
                <w:lang w:val="fr-FR"/>
              </w:rPr>
              <w:t>Nombre de pays progressant vers la prochaine génération de réglementations (G1 à G4) ou vers un niveau supérieur de préparation à la transformation numérique (G5)</w:t>
            </w:r>
          </w:p>
          <w:p w14:paraId="494C61E7" w14:textId="6D308C8E" w:rsidR="00FA7840" w:rsidRPr="00DD4BCC" w:rsidRDefault="00F20977" w:rsidP="00F20977">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Nombre d'États Membres bénéficiant d'une assistance du BDT pour l'élaboration de politiques, de lois, de réglementations, de lignes directrices ou d'outils</w:t>
            </w:r>
          </w:p>
          <w:p w14:paraId="1254A925" w14:textId="47D46273" w:rsidR="00FA7840" w:rsidRPr="00DD4BCC" w:rsidRDefault="00F20977" w:rsidP="00F20977">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lastRenderedPageBreak/>
              <w:t>•</w:t>
            </w:r>
            <w:r w:rsidRPr="00DD4BCC">
              <w:rPr>
                <w:sz w:val="18"/>
                <w:szCs w:val="18"/>
                <w:lang w:val="fr-FR"/>
              </w:rPr>
              <w:tab/>
            </w:r>
            <w:r w:rsidR="00FA7840" w:rsidRPr="00DD4BCC">
              <w:rPr>
                <w:sz w:val="18"/>
                <w:szCs w:val="18"/>
                <w:lang w:val="fr-FR"/>
              </w:rPr>
              <w:t xml:space="preserve">Nombre d'États Membres et de parties prenantes ayant accès aux outils et aux ressources du BDT pour appuyer les efforts déployés par les pays en vue </w:t>
            </w:r>
            <w:r w:rsidR="003C07CF" w:rsidRPr="00DD4BCC">
              <w:rPr>
                <w:sz w:val="18"/>
                <w:szCs w:val="18"/>
                <w:lang w:val="fr-FR"/>
              </w:rPr>
              <w:t xml:space="preserve">de </w:t>
            </w:r>
            <w:r w:rsidR="00FA7840" w:rsidRPr="00DD4BCC">
              <w:rPr>
                <w:sz w:val="18"/>
                <w:szCs w:val="18"/>
                <w:lang w:val="fr-FR"/>
              </w:rPr>
              <w:t>la mise en place de sociétés et d'environnements numériques inclusifs</w:t>
            </w:r>
          </w:p>
          <w:p w14:paraId="54E9BC31" w14:textId="7A8D1C5E" w:rsidR="00FA7840" w:rsidRPr="00DD4BCC" w:rsidRDefault="00F20977" w:rsidP="00F20977">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Nombre de plates-formes, d'outils, de rapports et de lignes directrices élaborés et mis à jour</w:t>
            </w:r>
          </w:p>
          <w:p w14:paraId="25E59625" w14:textId="2347ECF9" w:rsidR="00FA7840" w:rsidRPr="00DD4BCC" w:rsidRDefault="00F20977" w:rsidP="00F20977">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Nombre de participants aux ateliers/forums/colloques/dialogues stratégiques mondiaux et régionaux sur les questions politiques, réglementaires et économiques, et taux de satisfaction des participants</w:t>
            </w:r>
          </w:p>
          <w:p w14:paraId="73BDC3F5" w14:textId="3EFFD2E7" w:rsidR="00FA7840" w:rsidRPr="00DD4BCC" w:rsidRDefault="00F20977" w:rsidP="00F20977">
            <w:pPr>
              <w:pStyle w:val="Tabletext"/>
              <w:ind w:left="284" w:hanging="284"/>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 xml:space="preserve">Nombre de parties prenantes de l'écosystème numérique (fonctionnaires du parlement, des systèmes judiciaires, forces de l'ordre) formées à la mise en </w:t>
            </w:r>
            <w:r w:rsidR="003C07CF" w:rsidRPr="00DD4BCC">
              <w:rPr>
                <w:sz w:val="18"/>
                <w:szCs w:val="18"/>
                <w:lang w:val="fr-FR"/>
              </w:rPr>
              <w:t>œuvre</w:t>
            </w:r>
            <w:r w:rsidR="00FA7840" w:rsidRPr="00DD4BCC">
              <w:rPr>
                <w:sz w:val="18"/>
                <w:szCs w:val="18"/>
                <w:lang w:val="fr-FR"/>
              </w:rPr>
              <w:t xml:space="preserve"> et à l'application des politiques et des lois</w:t>
            </w:r>
            <w:bookmarkEnd w:id="7"/>
          </w:p>
        </w:tc>
        <w:tc>
          <w:tcPr>
            <w:tcW w:w="954" w:type="dxa"/>
            <w:hideMark/>
          </w:tcPr>
          <w:p w14:paraId="521388E3" w14:textId="77777777" w:rsidR="00FA7840" w:rsidRPr="00DD4BCC" w:rsidRDefault="00FA7840" w:rsidP="00F20977">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lastRenderedPageBreak/>
              <w:t>466 000</w:t>
            </w:r>
          </w:p>
        </w:tc>
        <w:tc>
          <w:tcPr>
            <w:tcW w:w="1173" w:type="dxa"/>
            <w:hideMark/>
          </w:tcPr>
          <w:p w14:paraId="5277421B" w14:textId="77777777" w:rsidR="00FA7840" w:rsidRPr="00DD4BCC" w:rsidRDefault="00FA7840" w:rsidP="00F20977">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41,9%</w:t>
            </w:r>
          </w:p>
        </w:tc>
        <w:tc>
          <w:tcPr>
            <w:tcW w:w="1115" w:type="dxa"/>
            <w:noWrap/>
            <w:hideMark/>
          </w:tcPr>
          <w:p w14:paraId="442FF740" w14:textId="6F1178B2" w:rsidR="00FA7840" w:rsidRPr="00DD4BCC" w:rsidRDefault="00FA7840" w:rsidP="00F20977">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fr-FR"/>
              </w:rPr>
            </w:pPr>
            <w:r w:rsidRPr="00DD4BCC">
              <w:rPr>
                <w:sz w:val="18"/>
                <w:szCs w:val="18"/>
                <w:lang w:val="fr-FR"/>
              </w:rPr>
              <w:t>11,1</w:t>
            </w:r>
            <w:r w:rsidR="00F20977" w:rsidRPr="00DD4BCC">
              <w:rPr>
                <w:sz w:val="18"/>
                <w:szCs w:val="18"/>
                <w:lang w:val="fr-FR"/>
              </w:rPr>
              <w:t>%</w:t>
            </w:r>
          </w:p>
        </w:tc>
      </w:tr>
      <w:tr w:rsidR="0059527A" w:rsidRPr="00DD4BCC" w14:paraId="6B4735FE" w14:textId="77777777" w:rsidTr="00EC7905">
        <w:trPr>
          <w:jc w:val="center"/>
        </w:trPr>
        <w:tc>
          <w:tcPr>
            <w:cnfStyle w:val="001000000000" w:firstRow="0" w:lastRow="0" w:firstColumn="1" w:lastColumn="0" w:oddVBand="0" w:evenVBand="0" w:oddHBand="0" w:evenHBand="0" w:firstRowFirstColumn="0" w:firstRowLastColumn="0" w:lastRowFirstColumn="0" w:lastRowLastColumn="0"/>
            <w:tcW w:w="1709" w:type="dxa"/>
            <w:hideMark/>
          </w:tcPr>
          <w:p w14:paraId="0306FFC6" w14:textId="77777777" w:rsidR="00FA7840" w:rsidRPr="00DD4BCC" w:rsidRDefault="00FA7840" w:rsidP="00F20977">
            <w:pPr>
              <w:pStyle w:val="Tabletext"/>
              <w:jc w:val="left"/>
              <w:rPr>
                <w:rFonts w:ascii="Calibri" w:hAnsi="Calibri" w:cs="Calibri"/>
                <w:sz w:val="18"/>
                <w:szCs w:val="18"/>
                <w:lang w:val="fr-FR"/>
              </w:rPr>
            </w:pPr>
            <w:r w:rsidRPr="00DD4BCC">
              <w:rPr>
                <w:sz w:val="18"/>
                <w:szCs w:val="18"/>
                <w:lang w:val="fr-FR"/>
              </w:rPr>
              <w:t>Statistiques</w:t>
            </w:r>
          </w:p>
        </w:tc>
        <w:tc>
          <w:tcPr>
            <w:tcW w:w="2918" w:type="dxa"/>
            <w:hideMark/>
          </w:tcPr>
          <w:p w14:paraId="3E8EF9B7" w14:textId="75649F4A"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Renforcement de la capacité des États Membres d'améliorer leurs cadres politiques, juridiques et réglementaires en matière de télécommunication/TIC propices au développement durable et à la transformation numérique</w:t>
            </w:r>
          </w:p>
          <w:p w14:paraId="0E0EB076" w14:textId="303FCD20"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 xml:space="preserve">Renforcement de la capacité des États Membres de produire et de recueillir des statistiques de qualité et comparables au niveau international, qui tiennent compte de l'évolution et des tendances dans le secteur </w:t>
            </w:r>
            <w:r w:rsidR="00FA7840" w:rsidRPr="00DD4BCC">
              <w:rPr>
                <w:sz w:val="18"/>
                <w:szCs w:val="18"/>
                <w:lang w:val="fr-FR"/>
              </w:rPr>
              <w:lastRenderedPageBreak/>
              <w:t>des télécommunications/TIC rendues possibles grâce aux technologies et aux services nouveaux et émergents, à partir de normes et de méthodologies convenues</w:t>
            </w:r>
          </w:p>
        </w:tc>
        <w:tc>
          <w:tcPr>
            <w:tcW w:w="2408" w:type="dxa"/>
            <w:hideMark/>
          </w:tcPr>
          <w:p w14:paraId="64945437" w14:textId="21D472C5"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lastRenderedPageBreak/>
              <w:t>•</w:t>
            </w:r>
            <w:r w:rsidRPr="00DD4BCC">
              <w:rPr>
                <w:sz w:val="18"/>
                <w:szCs w:val="18"/>
                <w:lang w:val="fr-FR"/>
              </w:rPr>
              <w:tab/>
            </w:r>
            <w:r w:rsidR="00FA7840" w:rsidRPr="00DD4BCC">
              <w:rPr>
                <w:sz w:val="18"/>
                <w:szCs w:val="18"/>
                <w:lang w:val="fr-FR"/>
              </w:rPr>
              <w:t xml:space="preserve">Élaboration de cadres politiques et de supports de connaissance </w:t>
            </w:r>
          </w:p>
          <w:p w14:paraId="296FA869" w14:textId="6E43A80F"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Fourniture de données et de statistiques</w:t>
            </w:r>
          </w:p>
          <w:p w14:paraId="3B9C833C" w14:textId="34934601"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Renforcement des capacités</w:t>
            </w:r>
          </w:p>
          <w:p w14:paraId="7E636C62" w14:textId="10F16643"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Fourniture d'une assistance technique</w:t>
            </w:r>
          </w:p>
          <w:p w14:paraId="6DF556B3" w14:textId="1EB90D8B"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Plates-formes fédératrices</w:t>
            </w:r>
          </w:p>
        </w:tc>
        <w:tc>
          <w:tcPr>
            <w:tcW w:w="3171" w:type="dxa"/>
            <w:hideMark/>
          </w:tcPr>
          <w:p w14:paraId="780BF9B3" w14:textId="774AC593"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Pourcentage d'États Membres favorables à la nouvelle méthode de calcul de l'indice IDI</w:t>
            </w:r>
          </w:p>
          <w:p w14:paraId="7E773EC9" w14:textId="348CE1FD"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Nombre de points de données d</w:t>
            </w:r>
            <w:r w:rsidR="003C07CF" w:rsidRPr="00DD4BCC">
              <w:rPr>
                <w:sz w:val="18"/>
                <w:szCs w:val="18"/>
                <w:lang w:val="fr-FR"/>
              </w:rPr>
              <w:t xml:space="preserve">ans </w:t>
            </w:r>
            <w:r w:rsidR="00485F35" w:rsidRPr="00DD4BCC">
              <w:rPr>
                <w:sz w:val="18"/>
                <w:szCs w:val="18"/>
                <w:lang w:val="fr-FR"/>
              </w:rPr>
              <w:t>d</w:t>
            </w:r>
            <w:r w:rsidR="00FA7840" w:rsidRPr="00DD4BCC">
              <w:rPr>
                <w:sz w:val="18"/>
                <w:szCs w:val="18"/>
                <w:lang w:val="fr-FR"/>
              </w:rPr>
              <w:t>es ensembles de données publiés</w:t>
            </w:r>
          </w:p>
          <w:p w14:paraId="3FB0A17A" w14:textId="1B99B264"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Nombre de consultations uniques du Centre de données de l'UIT (ITU</w:t>
            </w:r>
            <w:r w:rsidR="00451E1D" w:rsidRPr="00DD4BCC">
              <w:rPr>
                <w:sz w:val="18"/>
                <w:szCs w:val="18"/>
                <w:lang w:val="fr-FR"/>
              </w:rPr>
              <w:t> </w:t>
            </w:r>
            <w:r w:rsidR="00FA7840" w:rsidRPr="00DD4BCC">
              <w:rPr>
                <w:sz w:val="18"/>
                <w:szCs w:val="18"/>
                <w:lang w:val="fr-FR"/>
              </w:rPr>
              <w:t>DataHub)</w:t>
            </w:r>
          </w:p>
          <w:p w14:paraId="762F93EB" w14:textId="051F6E9B" w:rsidR="00FA7840"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w:t>
            </w:r>
            <w:r w:rsidRPr="00DD4BCC">
              <w:rPr>
                <w:sz w:val="18"/>
                <w:szCs w:val="18"/>
                <w:lang w:val="fr-FR"/>
              </w:rPr>
              <w:tab/>
            </w:r>
            <w:r w:rsidR="00FA7840" w:rsidRPr="00DD4BCC">
              <w:rPr>
                <w:sz w:val="18"/>
                <w:szCs w:val="18"/>
                <w:lang w:val="fr-FR"/>
              </w:rPr>
              <w:t>Nombre de participants aux réunions d'experts thématiques, régionales et mondiales, aux formations/ateliers/colloques</w:t>
            </w:r>
          </w:p>
          <w:p w14:paraId="1A4A8CF8" w14:textId="725D74ED" w:rsidR="008E366D" w:rsidRPr="00DD4BCC" w:rsidRDefault="00F20977" w:rsidP="00F20977">
            <w:pPr>
              <w:pStyle w:val="Tabletext"/>
              <w:ind w:left="284" w:hanging="284"/>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lastRenderedPageBreak/>
              <w:t>•</w:t>
            </w:r>
            <w:r w:rsidRPr="00DD4BCC">
              <w:rPr>
                <w:sz w:val="18"/>
                <w:szCs w:val="18"/>
                <w:lang w:val="fr-FR"/>
              </w:rPr>
              <w:tab/>
            </w:r>
            <w:r w:rsidR="00FA7840" w:rsidRPr="00DD4BCC">
              <w:rPr>
                <w:sz w:val="18"/>
                <w:szCs w:val="18"/>
                <w:lang w:val="fr-FR"/>
              </w:rPr>
              <w:t>Nombre d'États Membres recueillant des données fiables sur les TIC</w:t>
            </w:r>
          </w:p>
        </w:tc>
        <w:tc>
          <w:tcPr>
            <w:tcW w:w="954" w:type="dxa"/>
            <w:hideMark/>
          </w:tcPr>
          <w:p w14:paraId="390EBD77" w14:textId="77777777" w:rsidR="00FA7840" w:rsidRPr="00DD4BCC" w:rsidRDefault="00FA7840" w:rsidP="00F2097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lastRenderedPageBreak/>
              <w:t>338 500</w:t>
            </w:r>
          </w:p>
        </w:tc>
        <w:tc>
          <w:tcPr>
            <w:tcW w:w="1173" w:type="dxa"/>
            <w:hideMark/>
          </w:tcPr>
          <w:p w14:paraId="058760FD" w14:textId="7B107131" w:rsidR="00FA7840" w:rsidRPr="00DD4BCC" w:rsidRDefault="00FA7840" w:rsidP="00F2097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30,5</w:t>
            </w:r>
            <w:r w:rsidR="00F20977" w:rsidRPr="00DD4BCC">
              <w:rPr>
                <w:sz w:val="18"/>
                <w:szCs w:val="18"/>
                <w:lang w:val="fr-FR"/>
              </w:rPr>
              <w:t>%</w:t>
            </w:r>
          </w:p>
        </w:tc>
        <w:tc>
          <w:tcPr>
            <w:tcW w:w="1130" w:type="dxa"/>
            <w:gridSpan w:val="2"/>
            <w:noWrap/>
            <w:hideMark/>
          </w:tcPr>
          <w:p w14:paraId="35A08CD2" w14:textId="055E7127" w:rsidR="00FA7840" w:rsidRPr="00DD4BCC" w:rsidRDefault="00FA7840" w:rsidP="00F20977">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DD4BCC">
              <w:rPr>
                <w:sz w:val="18"/>
                <w:szCs w:val="18"/>
                <w:lang w:val="fr-FR"/>
              </w:rPr>
              <w:t>8,1</w:t>
            </w:r>
            <w:r w:rsidR="00F20977" w:rsidRPr="00DD4BCC">
              <w:rPr>
                <w:sz w:val="18"/>
                <w:szCs w:val="18"/>
                <w:lang w:val="fr-FR"/>
              </w:rPr>
              <w:t>%</w:t>
            </w:r>
          </w:p>
        </w:tc>
      </w:tr>
    </w:tbl>
    <w:p w14:paraId="3F5DC30E" w14:textId="4175841B" w:rsidR="00E755F4" w:rsidRPr="00DD4BCC" w:rsidRDefault="00E755F4" w:rsidP="00431DDF">
      <w:pPr>
        <w:pStyle w:val="Tablelegend"/>
        <w:spacing w:after="240"/>
        <w:ind w:left="284" w:hanging="284"/>
        <w:jc w:val="left"/>
        <w:rPr>
          <w:lang w:val="fr-FR"/>
        </w:rPr>
      </w:pPr>
      <w:r w:rsidRPr="00DD4BCC">
        <w:rPr>
          <w:lang w:val="fr-FR"/>
        </w:rPr>
        <w:t>*</w:t>
      </w:r>
      <w:r w:rsidR="00451E1D" w:rsidRPr="00DD4BCC">
        <w:rPr>
          <w:lang w:val="fr-FR"/>
        </w:rPr>
        <w:tab/>
        <w:t>C</w:t>
      </w:r>
      <w:r w:rsidRPr="00DD4BCC">
        <w:rPr>
          <w:lang w:val="fr-FR"/>
        </w:rPr>
        <w:t xml:space="preserve">es indicateurs fondamentaux de performance pourraient être encore affinés à mesure que la mise en </w:t>
      </w:r>
      <w:r w:rsidR="009213D5" w:rsidRPr="00DD4BCC">
        <w:rPr>
          <w:lang w:val="fr-FR"/>
        </w:rPr>
        <w:t>œuvre</w:t>
      </w:r>
      <w:r w:rsidRPr="00DD4BCC">
        <w:rPr>
          <w:lang w:val="fr-FR"/>
        </w:rPr>
        <w:t xml:space="preserve"> du Plan d'action de Kigali progresse</w:t>
      </w:r>
      <w:r w:rsidR="009213D5" w:rsidRPr="00DD4BCC">
        <w:rPr>
          <w:lang w:val="fr-FR"/>
        </w:rPr>
        <w:t>,</w:t>
      </w:r>
      <w:r w:rsidRPr="00DD4BCC">
        <w:rPr>
          <w:lang w:val="fr-FR"/>
        </w:rPr>
        <w:t xml:space="preserve"> afin de mieux rendre compte des résultats obtenus.</w:t>
      </w:r>
    </w:p>
    <w:tbl>
      <w:tblPr>
        <w:tblStyle w:val="TableGrid"/>
        <w:tblW w:w="0" w:type="auto"/>
        <w:jc w:val="center"/>
        <w:tblLayout w:type="fixed"/>
        <w:tblLook w:val="04A0" w:firstRow="1" w:lastRow="0" w:firstColumn="1" w:lastColumn="0" w:noHBand="0" w:noVBand="1"/>
      </w:tblPr>
      <w:tblGrid>
        <w:gridCol w:w="13457"/>
      </w:tblGrid>
      <w:tr w:rsidR="009213D5" w:rsidRPr="00970D1B" w14:paraId="061D06EE" w14:textId="77777777" w:rsidTr="00BC680E">
        <w:trPr>
          <w:jc w:val="center"/>
        </w:trPr>
        <w:tc>
          <w:tcPr>
            <w:tcW w:w="1345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29F3B96B" w14:textId="18250A5E" w:rsidR="009213D5" w:rsidRPr="00DD4BCC" w:rsidRDefault="009213D5" w:rsidP="00451E1D">
            <w:pPr>
              <w:spacing w:after="120"/>
              <w:jc w:val="left"/>
              <w:rPr>
                <w:sz w:val="22"/>
                <w:szCs w:val="22"/>
                <w:lang w:val="fr-FR"/>
              </w:rPr>
            </w:pPr>
            <w:r w:rsidRPr="00DD4BCC">
              <w:rPr>
                <w:b/>
                <w:bCs/>
                <w:lang w:val="fr-FR"/>
              </w:rPr>
              <w:t xml:space="preserve">Principales mesures mises en </w:t>
            </w:r>
            <w:r w:rsidR="001E1C96" w:rsidRPr="00DD4BCC">
              <w:rPr>
                <w:b/>
                <w:bCs/>
                <w:lang w:val="fr-FR"/>
              </w:rPr>
              <w:t>œuvre</w:t>
            </w:r>
            <w:r w:rsidRPr="00DD4BCC">
              <w:rPr>
                <w:b/>
                <w:bCs/>
                <w:lang w:val="fr-FR"/>
              </w:rPr>
              <w:t xml:space="preserve"> en 2023: Priorité 3 de l'UIT-D – Environnement politique et réglementaire propice</w:t>
            </w:r>
          </w:p>
        </w:tc>
      </w:tr>
      <w:tr w:rsidR="009213D5" w:rsidRPr="00970D1B" w14:paraId="5F08FDC3" w14:textId="77777777" w:rsidTr="00BC680E">
        <w:trPr>
          <w:jc w:val="center"/>
        </w:trPr>
        <w:tc>
          <w:tcPr>
            <w:tcW w:w="1345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29F8FC3" w14:textId="77777777" w:rsidR="009213D5" w:rsidRPr="00DD4BCC" w:rsidRDefault="009213D5" w:rsidP="00451E1D">
            <w:pPr>
              <w:pStyle w:val="Headingb"/>
              <w:keepNext w:val="0"/>
              <w:rPr>
                <w:i/>
                <w:iCs/>
                <w:sz w:val="22"/>
                <w:szCs w:val="22"/>
                <w:lang w:val="fr-FR"/>
              </w:rPr>
            </w:pPr>
            <w:r w:rsidRPr="00DD4BCC">
              <w:rPr>
                <w:i/>
                <w:iCs/>
                <w:lang w:val="fr-FR"/>
              </w:rPr>
              <w:t>Renforcement des capacités</w:t>
            </w:r>
          </w:p>
          <w:p w14:paraId="5E5AE143" w14:textId="3C645D8D" w:rsidR="009213D5" w:rsidRPr="00DD4BCC" w:rsidRDefault="009213D5" w:rsidP="00451E1D">
            <w:pPr>
              <w:jc w:val="left"/>
              <w:rPr>
                <w:sz w:val="22"/>
                <w:szCs w:val="22"/>
                <w:lang w:val="fr-FR"/>
              </w:rPr>
            </w:pPr>
            <w:r w:rsidRPr="00DD4BCC">
              <w:rPr>
                <w:lang w:val="fr-FR"/>
              </w:rPr>
              <w:t xml:space="preserve">En janvier, l'un des principaux mécanismes de formation mis en place par l'UIT, le </w:t>
            </w:r>
            <w:hyperlink r:id="rId26" w:history="1">
              <w:r w:rsidRPr="00DD4BCC">
                <w:rPr>
                  <w:rStyle w:val="Hyperlink"/>
                  <w:lang w:val="fr-FR"/>
                </w:rPr>
                <w:t xml:space="preserve">programme des </w:t>
              </w:r>
              <w:r w:rsidR="00431DDF">
                <w:rPr>
                  <w:rStyle w:val="Hyperlink"/>
                  <w:lang w:val="fr-FR"/>
                </w:rPr>
                <w:t>C</w:t>
              </w:r>
              <w:r w:rsidRPr="00DD4BCC">
                <w:rPr>
                  <w:rStyle w:val="Hyperlink"/>
                  <w:lang w:val="fr-FR"/>
                </w:rPr>
                <w:t>entres d'excellence</w:t>
              </w:r>
            </w:hyperlink>
            <w:r w:rsidRPr="00DD4BCC">
              <w:rPr>
                <w:lang w:val="fr-FR"/>
              </w:rPr>
              <w:t xml:space="preserve">, a été remplacé par le </w:t>
            </w:r>
            <w:hyperlink r:id="rId27" w:history="1">
              <w:r w:rsidRPr="00DD4BCC">
                <w:rPr>
                  <w:rStyle w:val="Hyperlink"/>
                  <w:b/>
                  <w:bCs/>
                  <w:lang w:val="fr-FR"/>
                </w:rPr>
                <w:t xml:space="preserve">programme des </w:t>
              </w:r>
              <w:r w:rsidR="00027042" w:rsidRPr="00DD4BCC">
                <w:rPr>
                  <w:rStyle w:val="Hyperlink"/>
                  <w:b/>
                  <w:bCs/>
                  <w:lang w:val="fr-FR"/>
                </w:rPr>
                <w:t>c</w:t>
              </w:r>
              <w:r w:rsidRPr="00DD4BCC">
                <w:rPr>
                  <w:rStyle w:val="Hyperlink"/>
                  <w:b/>
                  <w:bCs/>
                  <w:lang w:val="fr-FR"/>
                </w:rPr>
                <w:t>entres de formation de l'Académie de l'UIT (ATC)</w:t>
              </w:r>
            </w:hyperlink>
            <w:r w:rsidRPr="00DD4BCC">
              <w:rPr>
                <w:lang w:val="fr-FR"/>
              </w:rPr>
              <w:t xml:space="preserve">, </w:t>
            </w:r>
            <w:r w:rsidR="0052667E" w:rsidRPr="00DD4BCC">
              <w:rPr>
                <w:lang w:val="fr-FR"/>
              </w:rPr>
              <w:t>suite aux</w:t>
            </w:r>
            <w:r w:rsidR="00CF6619" w:rsidRPr="00DD4BCC">
              <w:rPr>
                <w:lang w:val="fr-FR"/>
              </w:rPr>
              <w:t xml:space="preserve"> </w:t>
            </w:r>
            <w:r w:rsidRPr="00DD4BCC">
              <w:rPr>
                <w:lang w:val="fr-FR"/>
              </w:rPr>
              <w:t>résultats de la CMDT-22</w:t>
            </w:r>
            <w:r w:rsidR="0052667E" w:rsidRPr="00DD4BCC">
              <w:rPr>
                <w:lang w:val="fr-FR"/>
              </w:rPr>
              <w:t>,</w:t>
            </w:r>
            <w:r w:rsidR="00CF6619" w:rsidRPr="00DD4BCC">
              <w:rPr>
                <w:lang w:val="fr-FR"/>
              </w:rPr>
              <w:t xml:space="preserve"> </w:t>
            </w:r>
            <w:r w:rsidR="001E1C96" w:rsidRPr="00DD4BCC">
              <w:rPr>
                <w:lang w:val="fr-FR"/>
              </w:rPr>
              <w:t>lors</w:t>
            </w:r>
            <w:r w:rsidRPr="00DD4BCC">
              <w:rPr>
                <w:lang w:val="fr-FR"/>
              </w:rPr>
              <w:t xml:space="preserve"> de laquelle les membres de l'UIT ont adopté la Résolution 73 révisée. Les </w:t>
            </w:r>
            <w:r w:rsidR="00027042" w:rsidRPr="00DD4BCC">
              <w:rPr>
                <w:lang w:val="fr-FR"/>
              </w:rPr>
              <w:t>c</w:t>
            </w:r>
            <w:r w:rsidRPr="00DD4BCC">
              <w:rPr>
                <w:lang w:val="fr-FR"/>
              </w:rPr>
              <w:t>entres de formation de l'UIT (</w:t>
            </w:r>
            <w:r w:rsidR="00027042" w:rsidRPr="00DD4BCC">
              <w:rPr>
                <w:lang w:val="fr-FR"/>
              </w:rPr>
              <w:t>ATC</w:t>
            </w:r>
            <w:r w:rsidRPr="00DD4BCC">
              <w:rPr>
                <w:lang w:val="fr-FR"/>
              </w:rPr>
              <w:t xml:space="preserve">) sont des </w:t>
            </w:r>
            <w:r w:rsidR="00027042" w:rsidRPr="00DD4BCC">
              <w:rPr>
                <w:lang w:val="fr-FR"/>
              </w:rPr>
              <w:t>organismes</w:t>
            </w:r>
            <w:r w:rsidRPr="00DD4BCC">
              <w:rPr>
                <w:lang w:val="fr-FR"/>
              </w:rPr>
              <w:t xml:space="preserve"> reconnus au niveau international</w:t>
            </w:r>
            <w:r w:rsidR="0052667E" w:rsidRPr="00DD4BCC">
              <w:rPr>
                <w:lang w:val="fr-FR"/>
              </w:rPr>
              <w:t>,</w:t>
            </w:r>
            <w:r w:rsidR="00CF6619" w:rsidRPr="00DD4BCC">
              <w:rPr>
                <w:lang w:val="fr-FR"/>
              </w:rPr>
              <w:t xml:space="preserve"> </w:t>
            </w:r>
            <w:r w:rsidRPr="00DD4BCC">
              <w:rPr>
                <w:lang w:val="fr-FR"/>
              </w:rPr>
              <w:t>qui proposent une formation de</w:t>
            </w:r>
            <w:r w:rsidR="00CF6619" w:rsidRPr="00DD4BCC">
              <w:rPr>
                <w:lang w:val="fr-FR"/>
              </w:rPr>
              <w:t xml:space="preserve"> </w:t>
            </w:r>
            <w:r w:rsidRPr="00DD4BCC">
              <w:rPr>
                <w:lang w:val="fr-FR"/>
              </w:rPr>
              <w:t>qualité à des professionnels de niveau</w:t>
            </w:r>
            <w:r w:rsidR="0052667E" w:rsidRPr="00DD4BCC">
              <w:rPr>
                <w:lang w:val="fr-FR"/>
              </w:rPr>
              <w:t>x</w:t>
            </w:r>
            <w:r w:rsidRPr="00DD4BCC">
              <w:rPr>
                <w:lang w:val="fr-FR"/>
              </w:rPr>
              <w:t xml:space="preserve"> intermédiaire et supérieur, l'accent étant mis sur les besoins des pays en développement. Les centres ATC sont les principaux partenaires de l'UIT en matière de renforcement des capacités. Ils dispensent des cours de qualité sur les sujets les plus importants</w:t>
            </w:r>
            <w:r w:rsidR="00CF6619" w:rsidRPr="00DD4BCC">
              <w:rPr>
                <w:lang w:val="fr-FR"/>
              </w:rPr>
              <w:t xml:space="preserve"> </w:t>
            </w:r>
            <w:r w:rsidRPr="00DD4BCC">
              <w:rPr>
                <w:lang w:val="fr-FR"/>
              </w:rPr>
              <w:t>identif</w:t>
            </w:r>
            <w:r w:rsidR="00987388">
              <w:rPr>
                <w:lang w:val="fr-FR"/>
              </w:rPr>
              <w:t>iés par les membres de l'UIT, y </w:t>
            </w:r>
            <w:r w:rsidRPr="00DD4BCC">
              <w:rPr>
                <w:lang w:val="fr-FR"/>
              </w:rPr>
              <w:t>compris en matière de politique et de réglementation, d'infrastructure de réseau, de gestion du spectre, de cybersécurité, d'inclusion numérique et de services numériques.</w:t>
            </w:r>
          </w:p>
          <w:p w14:paraId="5F80B4BC" w14:textId="33921B69" w:rsidR="009213D5" w:rsidRPr="00DD4BCC" w:rsidRDefault="009213D5" w:rsidP="00451E1D">
            <w:pPr>
              <w:jc w:val="left"/>
              <w:rPr>
                <w:sz w:val="22"/>
                <w:szCs w:val="22"/>
                <w:lang w:val="fr-FR"/>
              </w:rPr>
            </w:pPr>
            <w:r w:rsidRPr="00DD4BCC">
              <w:rPr>
                <w:lang w:val="fr-FR"/>
              </w:rPr>
              <w:t>Les cours sont dispensés en ligne sur la plate-forme d'apprentissage en ligne de l'</w:t>
            </w:r>
            <w:hyperlink r:id="rId28" w:history="1">
              <w:r w:rsidRPr="00DD4BCC">
                <w:rPr>
                  <w:rStyle w:val="Hyperlink"/>
                  <w:lang w:val="fr-FR"/>
                </w:rPr>
                <w:t>Académie de l'UIT</w:t>
              </w:r>
            </w:hyperlink>
            <w:r w:rsidRPr="00DD4BCC">
              <w:rPr>
                <w:lang w:val="fr-FR"/>
              </w:rPr>
              <w:t xml:space="preserve">. Des cours hybrides et des cours en présentiel sont également proposés, dans certains cas, gratuitement. Quatorze centres ont été sélectionnés au départ pour </w:t>
            </w:r>
            <w:r w:rsidR="00027042" w:rsidRPr="00DD4BCC">
              <w:rPr>
                <w:lang w:val="fr-FR"/>
              </w:rPr>
              <w:t>entamer</w:t>
            </w:r>
            <w:r w:rsidRPr="00DD4BCC">
              <w:rPr>
                <w:lang w:val="fr-FR"/>
              </w:rPr>
              <w:t xml:space="preserve"> leurs travaux en 2023.</w:t>
            </w:r>
          </w:p>
          <w:p w14:paraId="67A271A0" w14:textId="7DD917ED" w:rsidR="009213D5" w:rsidRPr="00DD4BCC" w:rsidRDefault="009213D5" w:rsidP="00987388">
            <w:pPr>
              <w:spacing w:after="120"/>
              <w:jc w:val="left"/>
              <w:rPr>
                <w:sz w:val="22"/>
                <w:szCs w:val="22"/>
                <w:lang w:val="fr-FR"/>
              </w:rPr>
            </w:pPr>
            <w:r w:rsidRPr="00DD4BCC">
              <w:rPr>
                <w:lang w:val="fr-FR"/>
              </w:rPr>
              <w:t>De janvier à mars, l'Académie de l'UIT a enregistré 3 600 nouveaux utilisateurs, ce qui porte le nombre total d'étudiants de la plate</w:t>
            </w:r>
            <w:r w:rsidR="00451E1D" w:rsidRPr="00DD4BCC">
              <w:rPr>
                <w:lang w:val="fr-FR"/>
              </w:rPr>
              <w:noBreakHyphen/>
            </w:r>
            <w:r w:rsidRPr="00DD4BCC">
              <w:rPr>
                <w:lang w:val="fr-FR"/>
              </w:rPr>
              <w:t xml:space="preserve">forme à plus de 38 000 utilisateurs </w:t>
            </w:r>
            <w:r w:rsidR="00C3749D" w:rsidRPr="00DD4BCC">
              <w:rPr>
                <w:lang w:val="fr-FR"/>
              </w:rPr>
              <w:t xml:space="preserve">provenant </w:t>
            </w:r>
            <w:r w:rsidRPr="00DD4BCC">
              <w:rPr>
                <w:lang w:val="fr-FR"/>
              </w:rPr>
              <w:t xml:space="preserve">de tous les États Membres. Au cours de cette période, 38 cours ont été dispensés sur la plate-forme à environ 3 600 participants inscrits, dont 300 avaient </w:t>
            </w:r>
            <w:r w:rsidR="00A74518" w:rsidRPr="00DD4BCC">
              <w:rPr>
                <w:lang w:val="fr-FR"/>
              </w:rPr>
              <w:t>terminé leur formation</w:t>
            </w:r>
            <w:r w:rsidRPr="00DD4BCC">
              <w:rPr>
                <w:lang w:val="fr-FR"/>
              </w:rPr>
              <w:t xml:space="preserve"> au mois de mars 2023 (d'autres cours se déroulent encore actuellement).</w:t>
            </w:r>
          </w:p>
          <w:p w14:paraId="5DEE0574" w14:textId="424687A8" w:rsidR="009213D5" w:rsidRPr="00DD4BCC" w:rsidRDefault="009213D5" w:rsidP="00451E1D">
            <w:pPr>
              <w:jc w:val="left"/>
              <w:rPr>
                <w:sz w:val="22"/>
                <w:szCs w:val="22"/>
                <w:lang w:val="fr-FR"/>
              </w:rPr>
            </w:pPr>
            <w:r w:rsidRPr="00DD4BCC">
              <w:rPr>
                <w:lang w:val="fr-FR"/>
              </w:rPr>
              <w:lastRenderedPageBreak/>
              <w:t xml:space="preserve">En partenariat avec Cisco, l'UIT a organisé une table ronde des responsables sur </w:t>
            </w:r>
            <w:hyperlink r:id="rId29" w:history="1">
              <w:r w:rsidRPr="00DD4BCC">
                <w:rPr>
                  <w:lang w:val="fr-FR"/>
                </w:rPr>
                <w:t>l'</w:t>
              </w:r>
              <w:r w:rsidRPr="00DD4BCC">
                <w:rPr>
                  <w:rStyle w:val="Hyperlink"/>
                  <w:lang w:val="fr-FR"/>
                </w:rPr>
                <w:t>initiative des Centres de transformation numérique (DTCI)</w:t>
              </w:r>
            </w:hyperlink>
            <w:r w:rsidRPr="00DD4BCC">
              <w:rPr>
                <w:lang w:val="fr-FR"/>
              </w:rPr>
              <w:t>, à l'occasion du Mobile World Congress</w:t>
            </w:r>
            <w:r w:rsidR="00CF6619" w:rsidRPr="00DD4BCC">
              <w:rPr>
                <w:lang w:val="fr-FR"/>
              </w:rPr>
              <w:t xml:space="preserve"> </w:t>
            </w:r>
            <w:r w:rsidRPr="00DD4BCC">
              <w:rPr>
                <w:lang w:val="fr-FR"/>
              </w:rPr>
              <w:t xml:space="preserve">tenu à Barcelone en février 2023. Cette session a rassemblé des P.-D. G. d'entreprises de télécommunication et a été l'occasion </w:t>
            </w:r>
            <w:r w:rsidR="0052667E" w:rsidRPr="00DD4BCC">
              <w:rPr>
                <w:lang w:val="fr-FR"/>
              </w:rPr>
              <w:t xml:space="preserve">de procéder à </w:t>
            </w:r>
            <w:r w:rsidRPr="00DD4BCC">
              <w:rPr>
                <w:lang w:val="fr-FR"/>
              </w:rPr>
              <w:t>des discussions sur un partenariat mondial entre</w:t>
            </w:r>
            <w:r w:rsidR="00D1241D" w:rsidRPr="00DD4BCC">
              <w:rPr>
                <w:lang w:val="fr-FR"/>
              </w:rPr>
              <w:t xml:space="preserve"> diverses</w:t>
            </w:r>
            <w:r w:rsidRPr="00DD4BCC">
              <w:rPr>
                <w:lang w:val="fr-FR"/>
              </w:rPr>
              <w:t xml:space="preserve"> entreprises de télécommunication pour favoriser le développement des compétences numériques et l'inclusion numérique dans les communautés mal desservies, dans le cadre de l'initiative </w:t>
            </w:r>
            <w:r w:rsidR="001C7624" w:rsidRPr="00DD4BCC">
              <w:rPr>
                <w:lang w:val="fr-FR"/>
              </w:rPr>
              <w:t xml:space="preserve">des centres </w:t>
            </w:r>
            <w:r w:rsidR="00D83338" w:rsidRPr="00DD4BCC">
              <w:rPr>
                <w:lang w:val="fr-FR"/>
              </w:rPr>
              <w:t>DTC</w:t>
            </w:r>
            <w:r w:rsidRPr="00DD4BCC">
              <w:rPr>
                <w:lang w:val="fr-FR"/>
              </w:rPr>
              <w:t xml:space="preserve">. Un atelier de suivi avec des entreprises de télécommunication aura lieu du 30 mai au 1er juin 2023, en vue d'élaborer des propositions concrètes visant à renforcer les travaux des </w:t>
            </w:r>
            <w:r w:rsidR="00F45CF5" w:rsidRPr="00DD4BCC">
              <w:rPr>
                <w:lang w:val="fr-FR"/>
              </w:rPr>
              <w:t>centres DTC</w:t>
            </w:r>
            <w:r w:rsidRPr="00DD4BCC">
              <w:rPr>
                <w:lang w:val="fr-FR"/>
              </w:rPr>
              <w:t xml:space="preserve"> sur le terrain.</w:t>
            </w:r>
          </w:p>
          <w:p w14:paraId="0F54166D" w14:textId="5C999F14" w:rsidR="009213D5" w:rsidRPr="00DD4BCC" w:rsidRDefault="009213D5" w:rsidP="00451E1D">
            <w:pPr>
              <w:jc w:val="left"/>
              <w:rPr>
                <w:sz w:val="22"/>
                <w:szCs w:val="22"/>
                <w:lang w:val="fr-FR"/>
              </w:rPr>
            </w:pPr>
            <w:r w:rsidRPr="00DD4BCC">
              <w:rPr>
                <w:lang w:val="fr-FR"/>
              </w:rPr>
              <w:t xml:space="preserve">En mai 2023, l'Atelier mondial sur les </w:t>
            </w:r>
            <w:r w:rsidR="00E86D19" w:rsidRPr="00DD4BCC">
              <w:rPr>
                <w:lang w:val="fr-FR"/>
              </w:rPr>
              <w:t>centres DTC</w:t>
            </w:r>
            <w:r w:rsidRPr="00DD4BCC">
              <w:rPr>
                <w:lang w:val="fr-FR"/>
              </w:rPr>
              <w:t xml:space="preserve"> s'est tenu à Cebu (Philippines), sur le thème "Accélérer le </w:t>
            </w:r>
            <w:r w:rsidR="00563824" w:rsidRPr="00DD4BCC">
              <w:rPr>
                <w:lang w:val="fr-FR"/>
              </w:rPr>
              <w:t xml:space="preserve">renforcement </w:t>
            </w:r>
            <w:r w:rsidRPr="00DD4BCC">
              <w:rPr>
                <w:lang w:val="fr-FR"/>
              </w:rPr>
              <w:t xml:space="preserve">des compétences numériques". L'atelier interactif, qui a rassemblé des représentants de tous les </w:t>
            </w:r>
            <w:r w:rsidR="00F47256" w:rsidRPr="00DD4BCC">
              <w:rPr>
                <w:lang w:val="fr-FR"/>
              </w:rPr>
              <w:t>centres DTC</w:t>
            </w:r>
            <w:r w:rsidRPr="00DD4BCC">
              <w:rPr>
                <w:lang w:val="fr-FR"/>
              </w:rPr>
              <w:t xml:space="preserve"> du monde, </w:t>
            </w:r>
            <w:r w:rsidR="00011C86" w:rsidRPr="00DD4BCC">
              <w:rPr>
                <w:lang w:val="fr-FR"/>
              </w:rPr>
              <w:t xml:space="preserve">a </w:t>
            </w:r>
            <w:r w:rsidR="00231F1A" w:rsidRPr="00DD4BCC">
              <w:rPr>
                <w:lang w:val="fr-FR"/>
              </w:rPr>
              <w:t xml:space="preserve">été l'occasion </w:t>
            </w:r>
            <w:r w:rsidR="00F47256" w:rsidRPr="00DD4BCC">
              <w:rPr>
                <w:lang w:val="fr-FR"/>
              </w:rPr>
              <w:t>de</w:t>
            </w:r>
            <w:r w:rsidRPr="00DD4BCC">
              <w:rPr>
                <w:lang w:val="fr-FR"/>
              </w:rPr>
              <w:t xml:space="preserve"> mettre </w:t>
            </w:r>
            <w:r w:rsidR="0052667E" w:rsidRPr="00DD4BCC">
              <w:rPr>
                <w:lang w:val="fr-FR"/>
              </w:rPr>
              <w:t>en avant</w:t>
            </w:r>
            <w:r w:rsidRPr="00DD4BCC">
              <w:rPr>
                <w:lang w:val="fr-FR"/>
              </w:rPr>
              <w:t xml:space="preserve"> </w:t>
            </w:r>
            <w:r w:rsidR="00011C86" w:rsidRPr="00DD4BCC">
              <w:rPr>
                <w:lang w:val="fr-FR"/>
              </w:rPr>
              <w:t>d</w:t>
            </w:r>
            <w:r w:rsidRPr="00DD4BCC">
              <w:rPr>
                <w:lang w:val="fr-FR"/>
              </w:rPr>
              <w:t>es exemples de réussite</w:t>
            </w:r>
            <w:r w:rsidR="00011C86" w:rsidRPr="00DD4BCC">
              <w:rPr>
                <w:lang w:val="fr-FR"/>
              </w:rPr>
              <w:t xml:space="preserve"> et </w:t>
            </w:r>
            <w:r w:rsidR="0052667E" w:rsidRPr="00DD4BCC">
              <w:rPr>
                <w:lang w:val="fr-FR"/>
              </w:rPr>
              <w:t xml:space="preserve">les </w:t>
            </w:r>
            <w:r w:rsidR="00011C86" w:rsidRPr="00DD4BCC">
              <w:rPr>
                <w:lang w:val="fr-FR"/>
              </w:rPr>
              <w:t>difficultés rencontrées par des</w:t>
            </w:r>
            <w:r w:rsidRPr="00DD4BCC">
              <w:rPr>
                <w:lang w:val="fr-FR"/>
              </w:rPr>
              <w:t xml:space="preserve"> </w:t>
            </w:r>
            <w:r w:rsidR="00011C86" w:rsidRPr="00DD4BCC">
              <w:rPr>
                <w:lang w:val="fr-FR"/>
              </w:rPr>
              <w:t>centres DTC</w:t>
            </w:r>
            <w:r w:rsidR="00231F1A" w:rsidRPr="00DD4BCC">
              <w:rPr>
                <w:lang w:val="fr-FR"/>
              </w:rPr>
              <w:t xml:space="preserve">. Les participants ont en outre identifié des solutions pour </w:t>
            </w:r>
            <w:r w:rsidRPr="00DD4BCC">
              <w:rPr>
                <w:lang w:val="fr-FR"/>
              </w:rPr>
              <w:t xml:space="preserve">renforcer les travaux des </w:t>
            </w:r>
            <w:r w:rsidR="001C7624" w:rsidRPr="00DD4BCC">
              <w:rPr>
                <w:lang w:val="fr-FR"/>
              </w:rPr>
              <w:t>centres DTC</w:t>
            </w:r>
            <w:r w:rsidRPr="00DD4BCC">
              <w:rPr>
                <w:lang w:val="fr-FR"/>
              </w:rPr>
              <w:t xml:space="preserve"> </w:t>
            </w:r>
            <w:r w:rsidR="00231F1A" w:rsidRPr="00DD4BCC">
              <w:rPr>
                <w:lang w:val="fr-FR"/>
              </w:rPr>
              <w:t>ainsi que les</w:t>
            </w:r>
            <w:r w:rsidRPr="00DD4BCC">
              <w:rPr>
                <w:lang w:val="fr-FR"/>
              </w:rPr>
              <w:t xml:space="preserve"> domaines dans lesquels les partenaires de l'initiative </w:t>
            </w:r>
            <w:r w:rsidR="00ED28A8" w:rsidRPr="00DD4BCC">
              <w:rPr>
                <w:lang w:val="fr-FR"/>
              </w:rPr>
              <w:t>des</w:t>
            </w:r>
            <w:r w:rsidRPr="00DD4BCC">
              <w:rPr>
                <w:lang w:val="fr-FR"/>
              </w:rPr>
              <w:t xml:space="preserve"> </w:t>
            </w:r>
            <w:r w:rsidR="001C7624" w:rsidRPr="00DD4BCC">
              <w:rPr>
                <w:lang w:val="fr-FR"/>
              </w:rPr>
              <w:t>centres DTC</w:t>
            </w:r>
            <w:r w:rsidRPr="00DD4BCC">
              <w:rPr>
                <w:lang w:val="fr-FR"/>
              </w:rPr>
              <w:t xml:space="preserve"> ont besoin d'un appui,</w:t>
            </w:r>
            <w:r w:rsidR="00CF6619" w:rsidRPr="00DD4BCC">
              <w:rPr>
                <w:lang w:val="fr-FR"/>
              </w:rPr>
              <w:t xml:space="preserve"> </w:t>
            </w:r>
            <w:r w:rsidR="00342B3F" w:rsidRPr="00DD4BCC">
              <w:rPr>
                <w:lang w:val="fr-FR"/>
              </w:rPr>
              <w:t xml:space="preserve">autant de facteurs qui permettront </w:t>
            </w:r>
            <w:r w:rsidRPr="00DD4BCC">
              <w:rPr>
                <w:lang w:val="fr-FR"/>
              </w:rPr>
              <w:t>d'accroître les incidences de l'initiative sur le terrain.</w:t>
            </w:r>
          </w:p>
          <w:p w14:paraId="694386F5" w14:textId="77777777" w:rsidR="009213D5" w:rsidRDefault="009213D5" w:rsidP="007C6276">
            <w:pPr>
              <w:spacing w:after="120"/>
              <w:jc w:val="left"/>
              <w:rPr>
                <w:lang w:val="fr-FR"/>
              </w:rPr>
            </w:pPr>
            <w:r w:rsidRPr="00DD4BCC">
              <w:rPr>
                <w:lang w:val="fr-FR"/>
              </w:rPr>
              <w:t>Le Bureau régional de l'UIT pour les pays de la CEI, conjointement avec le Ministère du développement du numérique et des transports de l'</w:t>
            </w:r>
            <w:r w:rsidRPr="00DD4BCC">
              <w:rPr>
                <w:b/>
                <w:bCs/>
                <w:lang w:val="fr-FR"/>
              </w:rPr>
              <w:t>Azerbaïdjan</w:t>
            </w:r>
            <w:r w:rsidRPr="00DD4BCC">
              <w:rPr>
                <w:lang w:val="fr-FR"/>
              </w:rPr>
              <w:t>, a</w:t>
            </w:r>
            <w:r w:rsidR="0052667E" w:rsidRPr="00DD4BCC">
              <w:rPr>
                <w:lang w:val="fr-FR"/>
              </w:rPr>
              <w:t xml:space="preserve"> procédé à</w:t>
            </w:r>
            <w:r w:rsidRPr="00DD4BCC">
              <w:rPr>
                <w:lang w:val="fr-FR"/>
              </w:rPr>
              <w:t xml:space="preserve"> une évaluation des compétences numériques</w:t>
            </w:r>
            <w:r w:rsidR="007763BF" w:rsidRPr="00DD4BCC">
              <w:rPr>
                <w:lang w:val="fr-FR"/>
              </w:rPr>
              <w:t xml:space="preserve"> à l'échelle du pays</w:t>
            </w:r>
            <w:r w:rsidRPr="00DD4BCC">
              <w:rPr>
                <w:lang w:val="fr-FR"/>
              </w:rPr>
              <w:t xml:space="preserve">. Les travaux portent sur les ménages, les organismes publics, les universités et les entreprises, afin de </w:t>
            </w:r>
            <w:r w:rsidR="0052667E" w:rsidRPr="00DD4BCC">
              <w:rPr>
                <w:lang w:val="fr-FR"/>
              </w:rPr>
              <w:t>dresser un bilan des</w:t>
            </w:r>
            <w:r w:rsidRPr="00DD4BCC">
              <w:rPr>
                <w:lang w:val="fr-FR"/>
              </w:rPr>
              <w:t xml:space="preserve"> compétences numériques et </w:t>
            </w:r>
            <w:r w:rsidR="0052667E" w:rsidRPr="00DD4BCC">
              <w:rPr>
                <w:lang w:val="fr-FR"/>
              </w:rPr>
              <w:t xml:space="preserve">de </w:t>
            </w:r>
            <w:r w:rsidRPr="00DD4BCC">
              <w:rPr>
                <w:lang w:val="fr-FR"/>
              </w:rPr>
              <w:t xml:space="preserve">la maîtrise des outils numériques et d'améliorer la collecte des données et l'élaboration de programmes nationaux </w:t>
            </w:r>
            <w:r w:rsidR="00126F7F" w:rsidRPr="00DD4BCC">
              <w:rPr>
                <w:lang w:val="fr-FR"/>
              </w:rPr>
              <w:t xml:space="preserve">en matière </w:t>
            </w:r>
            <w:r w:rsidRPr="00DD4BCC">
              <w:rPr>
                <w:lang w:val="fr-FR"/>
              </w:rPr>
              <w:t>d'acquisition de compétences numériques.</w:t>
            </w:r>
          </w:p>
          <w:p w14:paraId="104B1A21" w14:textId="77777777" w:rsidR="00BC680E" w:rsidRPr="00231866" w:rsidRDefault="00BC680E" w:rsidP="00BC680E">
            <w:pPr>
              <w:pStyle w:val="Headingb"/>
              <w:keepNext w:val="0"/>
              <w:rPr>
                <w:i/>
                <w:iCs/>
                <w:lang w:val="fr-FR"/>
              </w:rPr>
            </w:pPr>
            <w:r w:rsidRPr="00231866">
              <w:rPr>
                <w:i/>
                <w:iCs/>
                <w:lang w:val="fr-FR"/>
              </w:rPr>
              <w:t>Politiques et réglementation</w:t>
            </w:r>
          </w:p>
          <w:p w14:paraId="2C360FF9" w14:textId="77777777" w:rsidR="00BC680E" w:rsidRPr="00231866" w:rsidRDefault="00BC680E" w:rsidP="00BC680E">
            <w:pPr>
              <w:spacing w:after="120"/>
              <w:jc w:val="left"/>
              <w:rPr>
                <w:lang w:val="fr-FR"/>
              </w:rPr>
            </w:pPr>
            <w:r w:rsidRPr="00231866">
              <w:rPr>
                <w:lang w:val="fr-FR"/>
              </w:rPr>
              <w:t xml:space="preserve">En février, avec l'appui du Programme d'accès numérique du ministère des Affaires étrangères, du Commonwealth et du développement du Royaume-Uni (FCDO) du Gouvernement du Royaume-Uni, le </w:t>
            </w:r>
            <w:r w:rsidRPr="00231866">
              <w:rPr>
                <w:b/>
                <w:bCs/>
                <w:lang w:val="fr-FR"/>
              </w:rPr>
              <w:t>kit pratique sur l'efficacité</w:t>
            </w:r>
            <w:r w:rsidRPr="00231866">
              <w:rPr>
                <w:lang w:val="fr-FR"/>
              </w:rPr>
              <w:t xml:space="preserve"> du financement du service universel a été lancé et se veut un </w:t>
            </w:r>
            <w:r w:rsidRPr="00231866">
              <w:rPr>
                <w:b/>
                <w:bCs/>
                <w:lang w:val="fr-FR"/>
              </w:rPr>
              <w:t>guide pratique à l'intention des pays qui cherchent à mettre en œuvre de manière efficace et durable l'accès et le service universel</w:t>
            </w:r>
            <w:r w:rsidRPr="00231866">
              <w:rPr>
                <w:lang w:val="fr-FR"/>
              </w:rPr>
              <w:t>. Ce kit pratique permet d'explorer le large éventail de modèles économiques qui nécessitent un appui financier pour produire des effets aux niveaux local, municipal et national, ainsi que pour atteindre les ODD et les cibles associées. Le cours en ligne adapté à suivre à son rythme élaboré pour mieux comprendre comment utiliser le kit pratique est disponible sur le site de l'Académie de l'UIT. Son objectif principal est de permettre aux participants de comprendre et d'analyser les outils analytiques, les exemples et les modèles présentés dans le kit pratique pour répondre aux questions et relever les défis rencontrés lors de l'utilisation de fonds publics en vue de concevoir, de mettre en œuvre et de financer des programmes et des projets destinés à faciliter l'accès aux technologies numériques et à l'infrastructure de communication. Une formation présentielle sur les modules du kit pratique à l'intention des parties prenantes nationales a également été dispensée au Kenya en novembre 2022 et en Sierra Leone en mai 2023.</w:t>
            </w:r>
          </w:p>
          <w:p w14:paraId="310F8ED6" w14:textId="77777777" w:rsidR="00BC680E" w:rsidRPr="00231866" w:rsidRDefault="00BC680E" w:rsidP="00BC680E">
            <w:pPr>
              <w:jc w:val="left"/>
              <w:rPr>
                <w:lang w:val="fr-FR"/>
              </w:rPr>
            </w:pPr>
            <w:r w:rsidRPr="00231866">
              <w:rPr>
                <w:lang w:val="fr-FR"/>
              </w:rPr>
              <w:lastRenderedPageBreak/>
              <w:t xml:space="preserve">En mars, à l'occasion de la réunion de coordination pour la grande orientation C6 du SMSI, le BDT a lancé </w:t>
            </w:r>
            <w:hyperlink r:id="rId30" w:history="1">
              <w:r w:rsidRPr="00231866">
                <w:rPr>
                  <w:lang w:val="fr-FR"/>
                </w:rPr>
                <w:t>l'</w:t>
              </w:r>
              <w:r w:rsidRPr="00231866">
                <w:rPr>
                  <w:rStyle w:val="Hyperlink"/>
                  <w:b/>
                  <w:bCs/>
                  <w:lang w:val="fr-FR"/>
                </w:rPr>
                <w:t>édition 2023 du rapport Perspectives d'évolution de la réglementation du numérique dans le monde</w:t>
              </w:r>
            </w:hyperlink>
            <w:r w:rsidRPr="00231866">
              <w:rPr>
                <w:lang w:val="fr-FR"/>
              </w:rPr>
              <w:t xml:space="preserve">. Cette édition évalue et compare les progrès accomplis en matière de réglementation dans 193 pays du monde entier, en tirant parti du succès des trois premières éditions. L'édition de 2023 de ce rapport présente la dernière version de la série d'outils très spécialisés de l'UIT, qui est un cadre unifié permettant d'évaluer l'état de préparation des cadres politiques, juridiques et de gouvernance nationaux dans l'optique de la transformation numérique. Le cadre unifié est fondé sur </w:t>
            </w:r>
            <w:hyperlink r:id="rId31" w:history="1">
              <w:r w:rsidRPr="00231866">
                <w:rPr>
                  <w:lang w:val="fr-FR"/>
                </w:rPr>
                <w:t>l'</w:t>
              </w:r>
              <w:r w:rsidRPr="00231866">
                <w:rPr>
                  <w:rStyle w:val="Hyperlink"/>
                  <w:lang w:val="fr-FR"/>
                </w:rPr>
                <w:t>outil de suivi réglementaire des TIC</w:t>
              </w:r>
            </w:hyperlink>
            <w:r w:rsidRPr="00231866">
              <w:rPr>
                <w:lang w:val="fr-FR"/>
              </w:rPr>
              <w:t xml:space="preserve"> et sur le </w:t>
            </w:r>
            <w:hyperlink r:id="rId32" w:history="1">
              <w:r w:rsidRPr="00231866">
                <w:rPr>
                  <w:rStyle w:val="Hyperlink"/>
                  <w:lang w:val="fr-FR"/>
                </w:rPr>
                <w:t>cadre des critères de référence G5</w:t>
              </w:r>
            </w:hyperlink>
            <w:r w:rsidRPr="00231866">
              <w:rPr>
                <w:lang w:val="fr-FR"/>
              </w:rPr>
              <w:t>, qui ont fait leurs preuves. Cette nouvelle analyse est la publication de référence à l'intention des régulateurs et des décideurs désireux de comprendre un environnement qui évolue rapidement – et de façonner les changements réglementaires qui profiteront à tous dans la perspective de la transformation numérique.</w:t>
            </w:r>
          </w:p>
          <w:p w14:paraId="3CE7773E" w14:textId="77777777" w:rsidR="00BC680E" w:rsidRPr="00231866" w:rsidRDefault="00BC680E" w:rsidP="00BC680E">
            <w:pPr>
              <w:jc w:val="left"/>
              <w:rPr>
                <w:lang w:val="fr-FR"/>
              </w:rPr>
            </w:pPr>
            <w:r w:rsidRPr="00231866">
              <w:rPr>
                <w:lang w:val="fr-FR"/>
              </w:rPr>
              <w:t xml:space="preserve">Le </w:t>
            </w:r>
            <w:hyperlink r:id="rId33" w:history="1">
              <w:r w:rsidRPr="00231866">
                <w:rPr>
                  <w:rStyle w:val="Hyperlink"/>
                  <w:b/>
                  <w:bCs/>
                  <w:lang w:val="fr-FR"/>
                </w:rPr>
                <w:t>22ème Colloque mondial des régulateurs</w:t>
              </w:r>
              <w:r w:rsidRPr="00231866">
                <w:rPr>
                  <w:lang w:val="fr-FR"/>
                </w:rPr>
                <w:t xml:space="preserve"> (GSR-23)</w:t>
              </w:r>
            </w:hyperlink>
            <w:r w:rsidRPr="00231866">
              <w:rPr>
                <w:lang w:val="fr-FR"/>
              </w:rPr>
              <w:t xml:space="preserve"> se tiendra à Charm el-Cheikh (Égypte) du 5 au 8 juin 2023, sur le thème "La réglementation au service d'un avenir numérique durable". Le GSR-23 comprendra des sessions thématiques qui réuniront des régulateurs, des décideurs et d'autres parties prenantes du numérique du monde entier et offriront une tribune mondiale d'échange de connaissances. Comme à chaque édition, les participants adopteront un ensemble de lignes directrices relatives aux bonnes pratiques en matière de réglementation, élaborées sur la base d'une </w:t>
            </w:r>
            <w:hyperlink r:id="rId34" w:history="1">
              <w:r w:rsidRPr="00231866">
                <w:rPr>
                  <w:rStyle w:val="Hyperlink"/>
                  <w:lang w:val="fr-FR"/>
                </w:rPr>
                <w:t>consultation</w:t>
              </w:r>
            </w:hyperlink>
            <w:r w:rsidRPr="00231866">
              <w:rPr>
                <w:lang w:val="fr-FR"/>
              </w:rPr>
              <w:t xml:space="preserve"> multi-parties prenantes. Cette année, les lignes directrices porteront sur "Des mesures d'incitation réglementaires et économiques pour un avenir numérique durable et inclusif".</w:t>
            </w:r>
          </w:p>
          <w:p w14:paraId="16D654A7" w14:textId="77777777" w:rsidR="00BC680E" w:rsidRPr="00231866" w:rsidRDefault="00BC680E" w:rsidP="00BC680E">
            <w:pPr>
              <w:pStyle w:val="Headingb"/>
              <w:rPr>
                <w:i/>
                <w:iCs/>
                <w:lang w:val="fr-FR"/>
              </w:rPr>
            </w:pPr>
            <w:r w:rsidRPr="00231866">
              <w:rPr>
                <w:i/>
                <w:iCs/>
                <w:lang w:val="fr-FR"/>
              </w:rPr>
              <w:t>Statistiques</w:t>
            </w:r>
          </w:p>
          <w:p w14:paraId="377A36F4" w14:textId="66039EA0" w:rsidR="00BC680E" w:rsidRPr="00231866" w:rsidRDefault="00BC680E" w:rsidP="00BC680E">
            <w:pPr>
              <w:spacing w:after="120"/>
              <w:jc w:val="left"/>
              <w:rPr>
                <w:lang w:val="fr-FR"/>
              </w:rPr>
            </w:pPr>
            <w:r w:rsidRPr="00231866">
              <w:rPr>
                <w:lang w:val="fr-FR"/>
              </w:rPr>
              <w:t>En mars, avant la cinquième Conférence des Nations Unies sur les pays les moins avancés, le BDT a lancé le rapport "</w:t>
            </w:r>
            <w:hyperlink r:id="rId35" w:history="1">
              <w:r w:rsidRPr="00231866">
                <w:rPr>
                  <w:rStyle w:val="Hyperlink"/>
                  <w:b/>
                  <w:bCs/>
                  <w:lang w:val="fr-FR"/>
                </w:rPr>
                <w:t>Faits et chiffres: Le</w:t>
              </w:r>
              <w:r w:rsidR="001C13BF">
                <w:rPr>
                  <w:rStyle w:val="Hyperlink"/>
                  <w:b/>
                  <w:bCs/>
                  <w:lang w:val="fr-FR"/>
                </w:rPr>
                <w:t> </w:t>
              </w:r>
              <w:r w:rsidRPr="00231866">
                <w:rPr>
                  <w:rStyle w:val="Hyperlink"/>
                  <w:b/>
                  <w:bCs/>
                  <w:lang w:val="fr-FR"/>
                </w:rPr>
                <w:t>cas des pays les moins avancés</w:t>
              </w:r>
            </w:hyperlink>
            <w:r w:rsidRPr="00231866">
              <w:rPr>
                <w:lang w:val="fr-FR"/>
              </w:rPr>
              <w:t xml:space="preserve">", qui est un numéro spécial de notre série de rapports phares </w:t>
            </w:r>
            <w:r w:rsidRPr="00231866">
              <w:rPr>
                <w:i/>
                <w:iCs/>
                <w:lang w:val="fr-FR"/>
              </w:rPr>
              <w:t>"Faits et chiffres".</w:t>
            </w:r>
            <w:r w:rsidRPr="00231866">
              <w:rPr>
                <w:lang w:val="fr-FR"/>
              </w:rPr>
              <w:t xml:space="preserve"> Depuis la dernière Conférence sur les PMA tenue en 2011, le défi que représente la connectivité est devenu plus complexe et exigeant. Il ne suffit plus de connecter tous les habitants de la planète. Une connectivité efficace – c'est-à-dire la possibilité de jouir d'une expérience en ligne sûre, satisfaisante, enrichissante, productive et financièrement abordable – est le nouvel impératif. La nouvelle étude montre qu'il s'agit toujours d'un défi majeur dans les PMA. La fracture numérique entre les PMA et le reste du monde ne semble pas sur le point de se réduire. Alors que l'Internet joue un rôle de plus en plus central dans la création de valeur partout dans le monde, le risque est que les pays les moins avancés prennent encore plus de retard.</w:t>
            </w:r>
          </w:p>
          <w:p w14:paraId="669AEF87" w14:textId="77777777" w:rsidR="00BC680E" w:rsidRPr="00231866" w:rsidRDefault="00BC680E" w:rsidP="00BC680E">
            <w:pPr>
              <w:keepLines/>
              <w:spacing w:after="120"/>
              <w:jc w:val="left"/>
              <w:rPr>
                <w:lang w:val="fr-FR"/>
              </w:rPr>
            </w:pPr>
            <w:r w:rsidRPr="00231866">
              <w:rPr>
                <w:lang w:val="fr-FR"/>
              </w:rPr>
              <w:lastRenderedPageBreak/>
              <w:t xml:space="preserve">En avril, le BDT a lancé un </w:t>
            </w:r>
            <w:hyperlink r:id="rId36" w:history="1">
              <w:r w:rsidRPr="00231866">
                <w:rPr>
                  <w:rStyle w:val="Hyperlink"/>
                  <w:b/>
                  <w:bCs/>
                  <w:lang w:val="fr-FR"/>
                </w:rPr>
                <w:t>rapport de synthèse sur l'accessibilité financière des services TIC en 2022</w:t>
              </w:r>
            </w:hyperlink>
            <w:r w:rsidRPr="00231866">
              <w:rPr>
                <w:lang w:val="fr-FR"/>
              </w:rPr>
              <w:t>, qui présente les principales conclusions de l'analyse des données collectées par l'UIT sur les prix des TIC en 2022 et met en lumière les tendances de haut niveau observées récemment et les disparités en matière d'accessibilité économique. Cette analyse s'appuie sur la série chronologique reconnue et granulaire la plus complète de données comparables au niveau international concernant l'accessibilité financière des TIC, et représente une véritable mine d'informations pour les décideurs, les régulateurs et les chercheurs. Le programme de l'UIT sur les prix des TIC est l'illustration de l'engagement constant de l'Union en vue de mesurer les TIC pour améliorer la prise de décision. Les travaux du BDT sur les politiques et la réglementation complètent ces activités dans le domaine des statistiques en fournissant des orientations sur les mesures propres à améliorer l'accessibilité financière et le rapport qualité-prix.</w:t>
            </w:r>
          </w:p>
          <w:p w14:paraId="545BC107" w14:textId="60E3F36B" w:rsidR="00BC680E" w:rsidRPr="00DD4BCC" w:rsidRDefault="00BC680E" w:rsidP="00BC680E">
            <w:pPr>
              <w:spacing w:after="120"/>
              <w:jc w:val="left"/>
              <w:rPr>
                <w:lang w:val="fr-FR"/>
              </w:rPr>
            </w:pPr>
            <w:r w:rsidRPr="00231866">
              <w:rPr>
                <w:lang w:val="fr-FR"/>
              </w:rPr>
              <w:t>À la suite de la révision de la Résolution 131 (Rév. Bucarest, 2022) de la Conférence de plénipotentiaires, le BDT a donné le coup d'envoi du processus d'examen et de publication de l'</w:t>
            </w:r>
            <w:r w:rsidRPr="00231866">
              <w:rPr>
                <w:b/>
                <w:bCs/>
                <w:lang w:val="fr-FR"/>
              </w:rPr>
              <w:t>Indice de développement des TIC (IDI)</w:t>
            </w:r>
            <w:r w:rsidRPr="00231866">
              <w:rPr>
                <w:lang w:val="fr-FR"/>
              </w:rPr>
              <w:t xml:space="preserve"> en février, avec la tenue d'une </w:t>
            </w:r>
            <w:hyperlink r:id="rId37" w:history="1">
              <w:r w:rsidRPr="00231866">
                <w:rPr>
                  <w:rStyle w:val="Hyperlink"/>
                  <w:lang w:val="fr-FR"/>
                </w:rPr>
                <w:t>consultation</w:t>
              </w:r>
            </w:hyperlink>
            <w:r w:rsidRPr="00231866">
              <w:rPr>
                <w:lang w:val="fr-FR"/>
              </w:rPr>
              <w:t xml:space="preserve"> du Groupe d'experts sur les indicateurs des télécommunications/TIC (EGTI) et du Groupe d'experts sur les indicateurs relatifs à l'utilisation des TIC par les ménages (EGH). L'</w:t>
            </w:r>
            <w:hyperlink r:id="rId38" w:history="1">
              <w:r w:rsidRPr="00231866">
                <w:rPr>
                  <w:rStyle w:val="Hyperlink"/>
                  <w:lang w:val="fr-FR"/>
                </w:rPr>
                <w:t>avant-projet</w:t>
              </w:r>
            </w:hyperlink>
            <w:r w:rsidRPr="00231866">
              <w:rPr>
                <w:lang w:val="fr-FR"/>
              </w:rPr>
              <w:t xml:space="preserve"> de méthode à utiliser aux fins de l'indice IDI élaboré par le secrétariat a été amélioré compte tenu des observations reçues. La </w:t>
            </w:r>
            <w:hyperlink r:id="rId39" w:history="1">
              <w:r w:rsidRPr="00231866">
                <w:rPr>
                  <w:rStyle w:val="Hyperlink"/>
                  <w:lang w:val="fr-FR"/>
                </w:rPr>
                <w:t>Version 1</w:t>
              </w:r>
            </w:hyperlink>
            <w:r w:rsidRPr="00231866">
              <w:rPr>
                <w:lang w:val="fr-FR"/>
              </w:rPr>
              <w:t xml:space="preserve"> mise à jour de la méthode a été </w:t>
            </w:r>
            <w:hyperlink r:id="rId40" w:history="1">
              <w:r w:rsidRPr="00231866">
                <w:rPr>
                  <w:rStyle w:val="Hyperlink"/>
                  <w:lang w:val="fr-FR"/>
                </w:rPr>
                <w:t>communiquée</w:t>
              </w:r>
            </w:hyperlink>
            <w:r w:rsidRPr="00231866">
              <w:rPr>
                <w:lang w:val="fr-FR"/>
              </w:rPr>
              <w:t xml:space="preserve"> aux États Membres et a fait l'objet d'une deuxième période d'observation prenant fin le 19 mai 2023. En juin, une </w:t>
            </w:r>
            <w:hyperlink r:id="rId41" w:history="1">
              <w:r w:rsidRPr="00231866">
                <w:rPr>
                  <w:rStyle w:val="Hyperlink"/>
                  <w:lang w:val="fr-FR"/>
                </w:rPr>
                <w:t>réunion virtuelle conjointe</w:t>
              </w:r>
            </w:hyperlink>
            <w:r w:rsidRPr="00231866">
              <w:rPr>
                <w:lang w:val="fr-FR"/>
              </w:rPr>
              <w:t xml:space="preserve"> des Groupes EGTI et EGH visera à traiter les éventuelles questions en suspens, afin que le secrétariat puisse établir la version finale de la méthode. Le processus devrait se terminer en août, dans le cadre d'une dernière consultation au cours de laquelle il sera demandé aux États Membres: 1) s'ils approuvent la méthode IDI; et 2) s'ils souhaitent s'abstenir de participer à l'édition de 2023. La méthode sera adoptée si elle est approuvée par 70% des États Membres ayant répondu à la consultation.</w:t>
            </w:r>
          </w:p>
        </w:tc>
      </w:tr>
    </w:tbl>
    <w:p w14:paraId="7405326B" w14:textId="77777777" w:rsidR="00BC680E" w:rsidRPr="00231866" w:rsidRDefault="00BC680E" w:rsidP="00BC680E">
      <w:pPr>
        <w:pStyle w:val="Heading2"/>
        <w:spacing w:after="120"/>
        <w:jc w:val="left"/>
        <w:rPr>
          <w:lang w:val="fr-FR"/>
        </w:rPr>
      </w:pPr>
      <w:r w:rsidRPr="00231866">
        <w:rPr>
          <w:lang w:val="fr-FR"/>
        </w:rPr>
        <w:lastRenderedPageBreak/>
        <w:t>3.4</w:t>
      </w:r>
      <w:r w:rsidRPr="00231866">
        <w:rPr>
          <w:lang w:val="fr-FR"/>
        </w:rPr>
        <w:tab/>
        <w:t>Priorité 4 de l'UIT-D: Télécommunications/TIC inclusives et sûres au service du développement durable</w:t>
      </w:r>
    </w:p>
    <w:tbl>
      <w:tblPr>
        <w:tblStyle w:val="GridTable2-Accent1"/>
        <w:tblW w:w="13466" w:type="dxa"/>
        <w:tblInd w:w="281" w:type="dxa"/>
        <w:tblBorders>
          <w:left w:val="single" w:sz="2" w:space="0" w:color="95B3D7" w:themeColor="accent1" w:themeTint="99"/>
          <w:right w:val="single" w:sz="2" w:space="0" w:color="95B3D7" w:themeColor="accent1" w:themeTint="99"/>
        </w:tblBorders>
        <w:tblLayout w:type="fixed"/>
        <w:tblLook w:val="04A0" w:firstRow="1" w:lastRow="0" w:firstColumn="1" w:lastColumn="0" w:noHBand="0" w:noVBand="1"/>
      </w:tblPr>
      <w:tblGrid>
        <w:gridCol w:w="1701"/>
        <w:gridCol w:w="2835"/>
        <w:gridCol w:w="2410"/>
        <w:gridCol w:w="3260"/>
        <w:gridCol w:w="850"/>
        <w:gridCol w:w="1276"/>
        <w:gridCol w:w="1134"/>
      </w:tblGrid>
      <w:tr w:rsidR="00BC680E" w:rsidRPr="00231866" w14:paraId="30980001" w14:textId="77777777" w:rsidTr="00FA49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95B3D7" w:themeColor="accent1" w:themeTint="99"/>
              <w:right w:val="single" w:sz="2" w:space="0" w:color="95B3D7" w:themeColor="accent1" w:themeTint="99"/>
            </w:tcBorders>
          </w:tcPr>
          <w:p w14:paraId="066C199A" w14:textId="77777777" w:rsidR="00BC680E" w:rsidRPr="00231866" w:rsidRDefault="00BC680E" w:rsidP="00FA497F">
            <w:pPr>
              <w:pStyle w:val="Tablehead"/>
              <w:rPr>
                <w:bCs w:val="0"/>
                <w:sz w:val="18"/>
                <w:szCs w:val="18"/>
                <w:lang w:val="fr-FR"/>
              </w:rPr>
            </w:pPr>
            <w:r w:rsidRPr="00231866">
              <w:rPr>
                <w:b/>
                <w:sz w:val="18"/>
                <w:szCs w:val="18"/>
                <w:lang w:val="fr-FR"/>
              </w:rPr>
              <w:t>Priorité/thème</w:t>
            </w:r>
          </w:p>
        </w:tc>
        <w:tc>
          <w:tcPr>
            <w:tcW w:w="2835" w:type="dxa"/>
            <w:tcBorders>
              <w:top w:val="single" w:sz="2" w:space="0" w:color="95B3D7" w:themeColor="accent1" w:themeTint="99"/>
              <w:left w:val="single" w:sz="2" w:space="0" w:color="95B3D7" w:themeColor="accent1" w:themeTint="99"/>
              <w:right w:val="single" w:sz="2" w:space="0" w:color="95B3D7" w:themeColor="accent1" w:themeTint="99"/>
            </w:tcBorders>
          </w:tcPr>
          <w:p w14:paraId="7C1EDD9E"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sz w:val="18"/>
                <w:szCs w:val="18"/>
                <w:lang w:val="fr-FR"/>
              </w:rPr>
            </w:pPr>
            <w:r w:rsidRPr="00231866">
              <w:rPr>
                <w:b/>
                <w:sz w:val="18"/>
                <w:szCs w:val="18"/>
                <w:lang w:val="fr-FR"/>
              </w:rPr>
              <w:t>Réalisation</w:t>
            </w:r>
          </w:p>
        </w:tc>
        <w:tc>
          <w:tcPr>
            <w:tcW w:w="2410" w:type="dxa"/>
            <w:tcBorders>
              <w:top w:val="single" w:sz="2" w:space="0" w:color="95B3D7" w:themeColor="accent1" w:themeTint="99"/>
              <w:left w:val="single" w:sz="2" w:space="0" w:color="95B3D7" w:themeColor="accent1" w:themeTint="99"/>
              <w:right w:val="single" w:sz="2" w:space="0" w:color="95B3D7" w:themeColor="accent1" w:themeTint="99"/>
            </w:tcBorders>
          </w:tcPr>
          <w:p w14:paraId="4728EAD6"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sz w:val="18"/>
                <w:szCs w:val="18"/>
                <w:lang w:val="fr-FR"/>
              </w:rPr>
            </w:pPr>
            <w:r w:rsidRPr="00231866">
              <w:rPr>
                <w:b/>
                <w:sz w:val="18"/>
                <w:szCs w:val="18"/>
                <w:lang w:val="fr-FR"/>
              </w:rPr>
              <w:t>Produits</w:t>
            </w:r>
            <w:r w:rsidRPr="00231866">
              <w:rPr>
                <w:b/>
                <w:sz w:val="18"/>
                <w:szCs w:val="18"/>
                <w:lang w:val="fr-FR"/>
              </w:rPr>
              <w:br/>
              <w:t>(Produits et services)</w:t>
            </w:r>
          </w:p>
        </w:tc>
        <w:tc>
          <w:tcPr>
            <w:tcW w:w="3260" w:type="dxa"/>
            <w:tcBorders>
              <w:top w:val="single" w:sz="2" w:space="0" w:color="95B3D7" w:themeColor="accent1" w:themeTint="99"/>
              <w:left w:val="single" w:sz="2" w:space="0" w:color="95B3D7" w:themeColor="accent1" w:themeTint="99"/>
              <w:right w:val="single" w:sz="2" w:space="0" w:color="95B3D7" w:themeColor="accent1" w:themeTint="99"/>
            </w:tcBorders>
          </w:tcPr>
          <w:p w14:paraId="07C5F813"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sz w:val="18"/>
                <w:szCs w:val="18"/>
                <w:lang w:val="fr-FR"/>
              </w:rPr>
            </w:pPr>
            <w:r w:rsidRPr="00231866">
              <w:rPr>
                <w:b/>
                <w:sz w:val="18"/>
                <w:szCs w:val="18"/>
                <w:lang w:val="fr-FR"/>
              </w:rPr>
              <w:t>Indicateurs fondamentaux de performance*</w:t>
            </w:r>
          </w:p>
        </w:tc>
        <w:tc>
          <w:tcPr>
            <w:tcW w:w="850" w:type="dxa"/>
            <w:tcBorders>
              <w:top w:val="single" w:sz="2" w:space="0" w:color="95B3D7" w:themeColor="accent1" w:themeTint="99"/>
              <w:left w:val="single" w:sz="2" w:space="0" w:color="95B3D7" w:themeColor="accent1" w:themeTint="99"/>
              <w:right w:val="single" w:sz="2" w:space="0" w:color="95B3D7" w:themeColor="accent1" w:themeTint="99"/>
            </w:tcBorders>
          </w:tcPr>
          <w:p w14:paraId="50CAACB2"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Cs w:val="0"/>
                <w:sz w:val="18"/>
                <w:szCs w:val="18"/>
                <w:lang w:val="fr-FR"/>
              </w:rPr>
            </w:pPr>
            <w:r w:rsidRPr="00231866">
              <w:rPr>
                <w:b/>
                <w:sz w:val="18"/>
                <w:szCs w:val="18"/>
                <w:lang w:val="fr-FR"/>
              </w:rPr>
              <w:t>Budget 2023</w:t>
            </w:r>
            <w:r w:rsidRPr="00231866">
              <w:rPr>
                <w:b/>
                <w:sz w:val="18"/>
                <w:szCs w:val="18"/>
                <w:lang w:val="fr-FR"/>
              </w:rPr>
              <w:br/>
              <w:t>(en CHF)</w:t>
            </w:r>
          </w:p>
        </w:tc>
        <w:tc>
          <w:tcPr>
            <w:tcW w:w="1276" w:type="dxa"/>
            <w:tcBorders>
              <w:top w:val="single" w:sz="2" w:space="0" w:color="95B3D7" w:themeColor="accent1" w:themeTint="99"/>
              <w:left w:val="single" w:sz="2" w:space="0" w:color="95B3D7" w:themeColor="accent1" w:themeTint="99"/>
              <w:right w:val="single" w:sz="2" w:space="0" w:color="95B3D7" w:themeColor="accent1" w:themeTint="99"/>
            </w:tcBorders>
          </w:tcPr>
          <w:p w14:paraId="0A50008F"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Cs w:val="0"/>
                <w:sz w:val="18"/>
                <w:szCs w:val="18"/>
                <w:lang w:val="fr-FR"/>
              </w:rPr>
            </w:pPr>
            <w:r w:rsidRPr="00231866">
              <w:rPr>
                <w:b/>
                <w:sz w:val="18"/>
                <w:szCs w:val="18"/>
                <w:lang w:val="fr-FR"/>
              </w:rPr>
              <w:t>% du total des priorités/</w:t>
            </w:r>
            <w:r w:rsidRPr="00231866">
              <w:rPr>
                <w:b/>
                <w:sz w:val="18"/>
                <w:szCs w:val="18"/>
                <w:lang w:val="fr-FR"/>
              </w:rPr>
              <w:br/>
              <w:t>catalyseurs</w:t>
            </w:r>
          </w:p>
        </w:tc>
        <w:tc>
          <w:tcPr>
            <w:tcW w:w="1134" w:type="dxa"/>
            <w:tcBorders>
              <w:top w:val="single" w:sz="2" w:space="0" w:color="95B3D7" w:themeColor="accent1" w:themeTint="99"/>
              <w:left w:val="single" w:sz="2" w:space="0" w:color="95B3D7" w:themeColor="accent1" w:themeTint="99"/>
            </w:tcBorders>
            <w:noWrap/>
          </w:tcPr>
          <w:p w14:paraId="3A3223E6"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Cs w:val="0"/>
                <w:sz w:val="18"/>
                <w:szCs w:val="18"/>
                <w:lang w:val="fr-FR"/>
              </w:rPr>
            </w:pPr>
            <w:r w:rsidRPr="00231866">
              <w:rPr>
                <w:b/>
                <w:sz w:val="18"/>
                <w:szCs w:val="18"/>
                <w:lang w:val="fr-FR"/>
              </w:rPr>
              <w:t>% du total général</w:t>
            </w:r>
          </w:p>
        </w:tc>
      </w:tr>
      <w:tr w:rsidR="00BC680E" w:rsidRPr="00231866" w14:paraId="2D2EA0FD" w14:textId="77777777" w:rsidTr="00FA4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4"/>
          </w:tcPr>
          <w:p w14:paraId="5244EAD9" w14:textId="749B26AE" w:rsidR="00BC680E" w:rsidRPr="00231866" w:rsidRDefault="00C75999" w:rsidP="00C75999">
            <w:pPr>
              <w:pStyle w:val="Tabletext"/>
              <w:tabs>
                <w:tab w:val="clear" w:pos="284"/>
              </w:tabs>
              <w:ind w:left="38"/>
              <w:jc w:val="left"/>
              <w:rPr>
                <w:sz w:val="18"/>
                <w:szCs w:val="18"/>
                <w:lang w:val="fr-FR"/>
              </w:rPr>
            </w:pPr>
            <w:r w:rsidRPr="00DD4BCC">
              <w:rPr>
                <w:sz w:val="18"/>
                <w:szCs w:val="18"/>
                <w:lang w:val="fr-FR"/>
              </w:rPr>
              <w:t>Tout ce qui a trait à la priorité intitulée</w:t>
            </w:r>
            <w:r w:rsidRPr="00DD4BCC">
              <w:rPr>
                <w:sz w:val="18"/>
                <w:szCs w:val="18"/>
                <w:lang w:val="fr-FR"/>
              </w:rPr>
              <w:br/>
              <w:t>"</w:t>
            </w:r>
            <w:r>
              <w:rPr>
                <w:sz w:val="18"/>
                <w:szCs w:val="18"/>
                <w:lang w:val="fr-FR"/>
              </w:rPr>
              <w:t>T</w:t>
            </w:r>
            <w:r w:rsidR="00BC680E" w:rsidRPr="00231866">
              <w:rPr>
                <w:sz w:val="18"/>
                <w:szCs w:val="18"/>
                <w:lang w:val="fr-FR"/>
              </w:rPr>
              <w:t>élécommunications/TIC inclusives et sûres au service du développement durable</w:t>
            </w:r>
            <w:r>
              <w:rPr>
                <w:sz w:val="18"/>
                <w:szCs w:val="18"/>
                <w:lang w:val="fr-FR"/>
              </w:rPr>
              <w:t>"</w:t>
            </w:r>
          </w:p>
        </w:tc>
        <w:tc>
          <w:tcPr>
            <w:tcW w:w="850" w:type="dxa"/>
          </w:tcPr>
          <w:p w14:paraId="38F2616C" w14:textId="77777777" w:rsidR="00BC680E" w:rsidRPr="00231866" w:rsidRDefault="00BC680E" w:rsidP="00FA497F">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b/>
                <w:bCs/>
                <w:sz w:val="18"/>
                <w:szCs w:val="18"/>
                <w:lang w:val="fr-FR"/>
              </w:rPr>
              <w:t>480 000</w:t>
            </w:r>
          </w:p>
        </w:tc>
        <w:tc>
          <w:tcPr>
            <w:tcW w:w="1276" w:type="dxa"/>
          </w:tcPr>
          <w:p w14:paraId="459036DD" w14:textId="77777777" w:rsidR="00BC680E" w:rsidRPr="00231866" w:rsidRDefault="00BC680E" w:rsidP="00FA497F">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p>
        </w:tc>
        <w:tc>
          <w:tcPr>
            <w:tcW w:w="1134" w:type="dxa"/>
            <w:noWrap/>
          </w:tcPr>
          <w:p w14:paraId="489592D4" w14:textId="77777777" w:rsidR="00BC680E" w:rsidRPr="00231866" w:rsidRDefault="00BC680E" w:rsidP="00FA497F">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b/>
                <w:bCs/>
                <w:sz w:val="18"/>
                <w:szCs w:val="18"/>
                <w:lang w:val="fr-FR"/>
              </w:rPr>
              <w:t>11,4%</w:t>
            </w:r>
          </w:p>
        </w:tc>
      </w:tr>
      <w:tr w:rsidR="00BC680E" w:rsidRPr="00231866" w14:paraId="65AAF1B0" w14:textId="77777777" w:rsidTr="00FA497F">
        <w:tc>
          <w:tcPr>
            <w:cnfStyle w:val="001000000000" w:firstRow="0" w:lastRow="0" w:firstColumn="1" w:lastColumn="0" w:oddVBand="0" w:evenVBand="0" w:oddHBand="0" w:evenHBand="0" w:firstRowFirstColumn="0" w:firstRowLastColumn="0" w:lastRowFirstColumn="0" w:lastRowLastColumn="0"/>
            <w:tcW w:w="1701" w:type="dxa"/>
            <w:hideMark/>
          </w:tcPr>
          <w:p w14:paraId="70E2D8CF" w14:textId="77777777" w:rsidR="00BC680E" w:rsidRPr="00231866" w:rsidRDefault="00BC680E" w:rsidP="00FA497F">
            <w:pPr>
              <w:pStyle w:val="Tabletext"/>
              <w:jc w:val="left"/>
              <w:rPr>
                <w:sz w:val="18"/>
                <w:szCs w:val="18"/>
                <w:lang w:val="fr-FR"/>
              </w:rPr>
            </w:pPr>
            <w:r w:rsidRPr="00231866">
              <w:rPr>
                <w:sz w:val="18"/>
                <w:szCs w:val="18"/>
                <w:lang w:val="fr-FR"/>
              </w:rPr>
              <w:t>Renforcement des capacités</w:t>
            </w:r>
          </w:p>
        </w:tc>
        <w:tc>
          <w:tcPr>
            <w:tcW w:w="2835" w:type="dxa"/>
            <w:hideMark/>
          </w:tcPr>
          <w:p w14:paraId="49A4614E" w14:textId="77777777" w:rsidR="00BC680E" w:rsidRPr="00231866" w:rsidRDefault="00BC680E" w:rsidP="00FA497F">
            <w:pPr>
              <w:pStyle w:val="Tabletext"/>
              <w:ind w:left="284" w:hanging="284"/>
              <w:jc w:val="left"/>
              <w:cnfStyle w:val="000000000000" w:firstRow="0" w:lastRow="0" w:firstColumn="0" w:lastColumn="0" w:oddVBand="0" w:evenVBand="0" w:oddHBand="0"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Amélioration de l'accès aux programmes de formation aux compétences numériques pour tous</w:t>
            </w:r>
          </w:p>
        </w:tc>
        <w:tc>
          <w:tcPr>
            <w:tcW w:w="2410" w:type="dxa"/>
            <w:hideMark/>
          </w:tcPr>
          <w:p w14:paraId="4235BA96" w14:textId="77777777" w:rsidR="00BC680E" w:rsidRPr="00231866" w:rsidRDefault="00BC680E" w:rsidP="00FA497F">
            <w:pPr>
              <w:pStyle w:val="Tabletext"/>
              <w:ind w:left="284" w:hanging="284"/>
              <w:jc w:val="left"/>
              <w:cnfStyle w:val="000000000000" w:firstRow="0" w:lastRow="0" w:firstColumn="0" w:lastColumn="0" w:oddVBand="0" w:evenVBand="0" w:oddHBand="0"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Renforcement des capacités</w:t>
            </w:r>
          </w:p>
        </w:tc>
        <w:tc>
          <w:tcPr>
            <w:tcW w:w="3260" w:type="dxa"/>
            <w:hideMark/>
          </w:tcPr>
          <w:p w14:paraId="2243F0C0" w14:textId="77777777" w:rsidR="00BC680E" w:rsidRPr="00231866" w:rsidRDefault="00BC680E" w:rsidP="00FA497F">
            <w:pPr>
              <w:pStyle w:val="Tabletext"/>
              <w:ind w:left="284" w:hanging="284"/>
              <w:jc w:val="left"/>
              <w:cnfStyle w:val="000000000000" w:firstRow="0" w:lastRow="0" w:firstColumn="0" w:lastColumn="0" w:oddVBand="0" w:evenVBand="0" w:oddHBand="0"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Nombre de personnes ayant reçu une formation aux niveaux élémentaire et intermédiaire dans le domaine du numérique</w:t>
            </w:r>
          </w:p>
          <w:p w14:paraId="2377AA94" w14:textId="77777777" w:rsidR="00BC680E" w:rsidRPr="00231866" w:rsidRDefault="00BC680E" w:rsidP="00C75999">
            <w:pPr>
              <w:pStyle w:val="Tabletext"/>
              <w:keepLines/>
              <w:ind w:left="284" w:hanging="284"/>
              <w:jc w:val="left"/>
              <w:cnfStyle w:val="000000000000" w:firstRow="0" w:lastRow="0" w:firstColumn="0" w:lastColumn="0" w:oddVBand="0" w:evenVBand="0" w:oddHBand="0" w:evenHBand="0" w:firstRowFirstColumn="0" w:firstRowLastColumn="0" w:lastRowFirstColumn="0" w:lastRowLastColumn="0"/>
              <w:rPr>
                <w:sz w:val="18"/>
                <w:szCs w:val="18"/>
                <w:lang w:val="fr-FR"/>
              </w:rPr>
            </w:pPr>
            <w:r w:rsidRPr="00231866">
              <w:rPr>
                <w:sz w:val="18"/>
                <w:szCs w:val="18"/>
                <w:lang w:val="fr-FR"/>
              </w:rPr>
              <w:lastRenderedPageBreak/>
              <w:t>•</w:t>
            </w:r>
            <w:r w:rsidRPr="00231866">
              <w:rPr>
                <w:sz w:val="18"/>
                <w:szCs w:val="18"/>
                <w:lang w:val="fr-FR"/>
              </w:rPr>
              <w:tab/>
              <w:t>Pourcentage d'utilisateurs dotés de compétences numériques – par niveau (compétences élémentaires, compétences courantes et compétences approfondies)</w:t>
            </w:r>
          </w:p>
        </w:tc>
        <w:tc>
          <w:tcPr>
            <w:tcW w:w="850" w:type="dxa"/>
            <w:hideMark/>
          </w:tcPr>
          <w:p w14:paraId="40D7A56A" w14:textId="77777777" w:rsidR="00BC680E" w:rsidRPr="00231866" w:rsidRDefault="00BC680E" w:rsidP="00FA497F">
            <w:pPr>
              <w:pStyle w:val="Tabletext"/>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231866">
              <w:rPr>
                <w:sz w:val="18"/>
                <w:szCs w:val="18"/>
                <w:lang w:val="fr-FR"/>
              </w:rPr>
              <w:lastRenderedPageBreak/>
              <w:t>80 000</w:t>
            </w:r>
          </w:p>
        </w:tc>
        <w:tc>
          <w:tcPr>
            <w:tcW w:w="1276" w:type="dxa"/>
            <w:hideMark/>
          </w:tcPr>
          <w:p w14:paraId="2BF1AF72" w14:textId="77777777" w:rsidR="00BC680E" w:rsidRPr="00231866" w:rsidRDefault="00BC680E" w:rsidP="00FA497F">
            <w:pPr>
              <w:pStyle w:val="Tabletext"/>
              <w:tabs>
                <w:tab w:val="clear" w:pos="2268"/>
                <w:tab w:val="left" w:pos="1060"/>
              </w:tabs>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231866">
              <w:rPr>
                <w:sz w:val="18"/>
                <w:szCs w:val="18"/>
                <w:lang w:val="fr-FR"/>
              </w:rPr>
              <w:t>16,7%</w:t>
            </w:r>
          </w:p>
        </w:tc>
        <w:tc>
          <w:tcPr>
            <w:tcW w:w="1134" w:type="dxa"/>
            <w:noWrap/>
            <w:hideMark/>
          </w:tcPr>
          <w:p w14:paraId="71E47D61" w14:textId="77777777" w:rsidR="00BC680E" w:rsidRPr="00231866" w:rsidRDefault="00BC680E" w:rsidP="00FA497F">
            <w:pPr>
              <w:pStyle w:val="Tabletext"/>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231866">
              <w:rPr>
                <w:sz w:val="18"/>
                <w:szCs w:val="18"/>
                <w:lang w:val="fr-FR"/>
              </w:rPr>
              <w:t>1,9%</w:t>
            </w:r>
          </w:p>
        </w:tc>
      </w:tr>
      <w:tr w:rsidR="00BC680E" w:rsidRPr="00231866" w14:paraId="5CBF71D3" w14:textId="77777777" w:rsidTr="00FA4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6A06EC17" w14:textId="77777777" w:rsidR="00BC680E" w:rsidRPr="00231866" w:rsidRDefault="00BC680E" w:rsidP="00FA497F">
            <w:pPr>
              <w:pStyle w:val="Tabletext"/>
              <w:jc w:val="left"/>
              <w:rPr>
                <w:sz w:val="18"/>
                <w:szCs w:val="18"/>
                <w:lang w:val="fr-FR"/>
              </w:rPr>
            </w:pPr>
            <w:r w:rsidRPr="00231866">
              <w:rPr>
                <w:sz w:val="18"/>
                <w:szCs w:val="18"/>
                <w:lang w:val="fr-FR"/>
              </w:rPr>
              <w:t>Cybersécurité</w:t>
            </w:r>
          </w:p>
        </w:tc>
        <w:tc>
          <w:tcPr>
            <w:tcW w:w="2835" w:type="dxa"/>
            <w:hideMark/>
          </w:tcPr>
          <w:p w14:paraId="269C1190"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Renforcement de la maîtrise des outils numériques et des actions de sensibilisation du public aux questions de cybersécurité</w:t>
            </w:r>
          </w:p>
          <w:p w14:paraId="4C5A87AB"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Renforcement de la protection des consommateurs dans les États Membres</w:t>
            </w:r>
          </w:p>
          <w:p w14:paraId="48139A77"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Fourniture aux États Membres d'une aide à l'élaboration de stratégies nationales relatives à la cybersécurité et à la création d'équipes CIRT</w:t>
            </w:r>
          </w:p>
          <w:p w14:paraId="33199DEC"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Renforcement des moyens dont les professionnels du secteur des télécommunications/TIC disposent pour contribuer à l'économie numérique et renforcement des compétences numériques</w:t>
            </w:r>
          </w:p>
          <w:p w14:paraId="78CC46A4" w14:textId="77777777" w:rsidR="00BC680E" w:rsidRPr="00231866" w:rsidRDefault="00BC680E" w:rsidP="00FA497F">
            <w:pPr>
              <w:pStyle w:val="Tabletext"/>
              <w:keepLines/>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Développement de services en ligne sécurisés, notamment les services de protection en ligne des enfants, et mobilisation de ressources en faveur des groupes marginalisés et des personnes ayant des besoins particuliers</w:t>
            </w:r>
          </w:p>
          <w:p w14:paraId="4FBEEE99" w14:textId="77777777" w:rsidR="00BC680E" w:rsidRPr="00231866" w:rsidRDefault="00BC680E" w:rsidP="00C75999">
            <w:pPr>
              <w:pStyle w:val="Tabletext"/>
              <w:keepLines/>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lastRenderedPageBreak/>
              <w:t>•</w:t>
            </w:r>
            <w:r w:rsidRPr="00231866">
              <w:rPr>
                <w:sz w:val="18"/>
                <w:szCs w:val="18"/>
                <w:lang w:val="fr-FR"/>
              </w:rPr>
              <w:tab/>
              <w:t>Mobilisation d'investissements dans le domaine des infrastructures de télécommunication/TIC sûres et résilientes, en particulier dans les zones mal desservies</w:t>
            </w:r>
          </w:p>
          <w:p w14:paraId="6AD44882" w14:textId="77777777" w:rsidR="00BC680E" w:rsidRPr="00231866" w:rsidRDefault="00BC680E" w:rsidP="00BC680E">
            <w:pPr>
              <w:pStyle w:val="Tabletext"/>
              <w:keepLines/>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Utilisation des partenariats de choix de l'UIT pour fournir des ressources et un appui suffisants aux activités de renforcement des capacités et de cybersécurité</w:t>
            </w:r>
          </w:p>
        </w:tc>
        <w:tc>
          <w:tcPr>
            <w:tcW w:w="2410" w:type="dxa"/>
          </w:tcPr>
          <w:p w14:paraId="6CEE96C3"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lastRenderedPageBreak/>
              <w:t>•</w:t>
            </w:r>
            <w:r w:rsidRPr="00231866">
              <w:rPr>
                <w:sz w:val="18"/>
                <w:szCs w:val="18"/>
                <w:lang w:val="fr-FR"/>
              </w:rPr>
              <w:tab/>
              <w:t>Élaboration de cadres politiques et de supports de connaissance</w:t>
            </w:r>
          </w:p>
          <w:p w14:paraId="181ABAA4"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Fourniture de données et de statistiques</w:t>
            </w:r>
          </w:p>
          <w:p w14:paraId="5476EC89"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Renforcement des capacités</w:t>
            </w:r>
          </w:p>
          <w:p w14:paraId="715D1E21"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Fourniture d'une assistance technique</w:t>
            </w:r>
          </w:p>
          <w:p w14:paraId="1C59DA71"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Plates-formes fédératrices</w:t>
            </w:r>
          </w:p>
        </w:tc>
        <w:tc>
          <w:tcPr>
            <w:tcW w:w="3260" w:type="dxa"/>
            <w:hideMark/>
          </w:tcPr>
          <w:p w14:paraId="3E1DDDAB"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Nombre d'États Membres et de professionnels des TIC ayant reçu une formation sur des questions relatives à la cybersécurité</w:t>
            </w:r>
          </w:p>
          <w:p w14:paraId="1ACDC0F1"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Nombre de parties prenantes participant aux activités de sensibilisation/renforcement des capacités relatives à la protection en ligne des enfants</w:t>
            </w:r>
          </w:p>
          <w:p w14:paraId="626F8C87"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Nombre de systèmes d'appui en ligne pour les enfants identifiés</w:t>
            </w:r>
          </w:p>
          <w:p w14:paraId="6C6F12F9"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Nombre d'États Membres ayant renforcé leur engagement en faveur de la cybersécurité mesuré à l'aide de l'Indice mondial cybersécurité (GCI)</w:t>
            </w:r>
          </w:p>
          <w:p w14:paraId="7C37C4ED"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Nombre d'États Membres bénéficiant d'une assistance technique du BDT pour élaborer ou améliorer leur stratégie nationale de cybersécurité</w:t>
            </w:r>
          </w:p>
          <w:p w14:paraId="028ABCA6" w14:textId="77777777" w:rsidR="00BC680E" w:rsidRPr="00231866" w:rsidRDefault="00BC680E" w:rsidP="00FA497F">
            <w:pPr>
              <w:pStyle w:val="Tabletext"/>
              <w:keepNext/>
              <w:keepLines/>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Nombre d'États Membres bénéficiant d'une assistance technique du BDT pour instaurer la confiance et la sécurité dans l'utilisation des télécommunications/TIC et pour adopter des pratiques de gestion des risques</w:t>
            </w:r>
          </w:p>
          <w:p w14:paraId="1F73EC39"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Nombre d'États Membres bénéficiant d'une assistance technique du BDT pour renforcer leurs capacités d'intervention en matière de sécurité/leur équipe CIRT</w:t>
            </w:r>
          </w:p>
          <w:p w14:paraId="3D39F7DD"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lastRenderedPageBreak/>
              <w:t>•</w:t>
            </w:r>
            <w:r w:rsidRPr="00231866">
              <w:rPr>
                <w:sz w:val="18"/>
                <w:szCs w:val="18"/>
                <w:lang w:val="fr-FR"/>
              </w:rPr>
              <w:tab/>
              <w:t>Nombre d'États Membres bénéficiant d'une assistance technique de l'UIT pour remédier aux incidents liés à la cybersécurité</w:t>
            </w:r>
          </w:p>
        </w:tc>
        <w:tc>
          <w:tcPr>
            <w:tcW w:w="850" w:type="dxa"/>
            <w:hideMark/>
          </w:tcPr>
          <w:p w14:paraId="73E6A9C1" w14:textId="77777777" w:rsidR="00BC680E" w:rsidRPr="00231866" w:rsidRDefault="00BC680E" w:rsidP="00FA497F">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lastRenderedPageBreak/>
              <w:t>400 000</w:t>
            </w:r>
          </w:p>
        </w:tc>
        <w:tc>
          <w:tcPr>
            <w:tcW w:w="1276" w:type="dxa"/>
            <w:hideMark/>
          </w:tcPr>
          <w:p w14:paraId="730B5476" w14:textId="77777777" w:rsidR="00BC680E" w:rsidRPr="00231866" w:rsidRDefault="00BC680E" w:rsidP="00FA497F">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83,3%</w:t>
            </w:r>
          </w:p>
        </w:tc>
        <w:tc>
          <w:tcPr>
            <w:tcW w:w="1134" w:type="dxa"/>
            <w:noWrap/>
            <w:hideMark/>
          </w:tcPr>
          <w:p w14:paraId="14B41CBE" w14:textId="77777777" w:rsidR="00BC680E" w:rsidRPr="00231866" w:rsidRDefault="00BC680E" w:rsidP="00FA497F">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9,5%</w:t>
            </w:r>
          </w:p>
        </w:tc>
      </w:tr>
    </w:tbl>
    <w:p w14:paraId="377E8C76" w14:textId="77777777" w:rsidR="00BC680E" w:rsidRPr="00231866" w:rsidRDefault="00BC680E" w:rsidP="00BC680E">
      <w:pPr>
        <w:pStyle w:val="Tablelegend"/>
        <w:spacing w:after="240"/>
        <w:ind w:left="284" w:hanging="284"/>
        <w:rPr>
          <w:lang w:val="fr-FR"/>
        </w:rPr>
      </w:pPr>
      <w:r w:rsidRPr="00231866">
        <w:rPr>
          <w:lang w:val="fr-FR"/>
        </w:rPr>
        <w:t>*</w:t>
      </w:r>
      <w:r w:rsidRPr="00231866">
        <w:rPr>
          <w:lang w:val="fr-FR"/>
        </w:rPr>
        <w:tab/>
        <w:t>Ces indicateurs fondamentaux de performance pourraient être encore affinés à mesure que la mise en œuvre du Plan d'action de Kigali progresse afin de mieux rendre compte des résultats obtenus.</w:t>
      </w:r>
    </w:p>
    <w:tbl>
      <w:tblPr>
        <w:tblStyle w:val="TableGrid"/>
        <w:tblW w:w="0" w:type="auto"/>
        <w:tblInd w:w="274" w:type="dxa"/>
        <w:tblLayout w:type="fixed"/>
        <w:tblLook w:val="04A0" w:firstRow="1" w:lastRow="0" w:firstColumn="1" w:lastColumn="0" w:noHBand="0" w:noVBand="1"/>
      </w:tblPr>
      <w:tblGrid>
        <w:gridCol w:w="13466"/>
      </w:tblGrid>
      <w:tr w:rsidR="00BC680E" w:rsidRPr="00231866" w14:paraId="6F4FDAA2"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CDF586C" w14:textId="77777777" w:rsidR="00BC680E" w:rsidRPr="00231866" w:rsidRDefault="00BC680E" w:rsidP="00FA497F">
            <w:pPr>
              <w:spacing w:after="120"/>
              <w:jc w:val="left"/>
              <w:rPr>
                <w:lang w:val="fr-FR"/>
              </w:rPr>
            </w:pPr>
            <w:r w:rsidRPr="00231866">
              <w:rPr>
                <w:b/>
                <w:bCs/>
                <w:lang w:val="fr-FR"/>
              </w:rPr>
              <w:t>Principales mesures mises en œuvre en 2023: Priorité 4 de l'UIT-D – Télécommunications/TIC inclusives et sûres au service du développement durable**</w:t>
            </w:r>
          </w:p>
        </w:tc>
      </w:tr>
      <w:tr w:rsidR="00BC680E" w:rsidRPr="00231866" w14:paraId="05E6AD06"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58369EB" w14:textId="77777777" w:rsidR="00BC680E" w:rsidRPr="00231866" w:rsidRDefault="00BC680E" w:rsidP="00FA497F">
            <w:pPr>
              <w:pStyle w:val="Headingb"/>
              <w:keepNext w:val="0"/>
              <w:rPr>
                <w:i/>
                <w:iCs/>
                <w:lang w:val="fr-FR"/>
              </w:rPr>
            </w:pPr>
            <w:r w:rsidRPr="00231866">
              <w:rPr>
                <w:i/>
                <w:iCs/>
                <w:lang w:val="fr-FR"/>
              </w:rPr>
              <w:t>Cybersécurité</w:t>
            </w:r>
          </w:p>
          <w:p w14:paraId="7D8339F4" w14:textId="77777777" w:rsidR="00BC680E" w:rsidRPr="00231866" w:rsidRDefault="00BC680E" w:rsidP="00FA497F">
            <w:pPr>
              <w:jc w:val="left"/>
              <w:rPr>
                <w:lang w:val="fr-FR"/>
              </w:rPr>
            </w:pPr>
            <w:r w:rsidRPr="00231866">
              <w:rPr>
                <w:lang w:val="fr-FR"/>
              </w:rPr>
              <w:t>Depuis le début de 2023, le BDT fournit une série d'activités d'assistance technique dans différentes régions:</w:t>
            </w:r>
          </w:p>
          <w:p w14:paraId="2E5340D3" w14:textId="77777777" w:rsidR="00BC680E" w:rsidRPr="00231866" w:rsidRDefault="00BC680E" w:rsidP="00BC680E">
            <w:pPr>
              <w:pStyle w:val="enumlev1"/>
              <w:spacing w:after="120"/>
              <w:jc w:val="left"/>
              <w:rPr>
                <w:lang w:val="fr-FR"/>
              </w:rPr>
            </w:pPr>
            <w:r w:rsidRPr="00231866">
              <w:rPr>
                <w:lang w:val="fr-FR"/>
              </w:rPr>
              <w:t>•</w:t>
            </w:r>
            <w:r w:rsidRPr="00231866">
              <w:rPr>
                <w:lang w:val="fr-FR"/>
              </w:rPr>
              <w:tab/>
              <w:t xml:space="preserve">Avec l'appui du ministère de l'Intérieur du Royaume-Uni, le BDT collabore avec l'organisme chargé de la cybersécurité au </w:t>
            </w:r>
            <w:r w:rsidRPr="00231866">
              <w:rPr>
                <w:b/>
                <w:bCs/>
                <w:lang w:val="fr-FR"/>
              </w:rPr>
              <w:t>Maroc</w:t>
            </w:r>
            <w:r w:rsidRPr="00231866">
              <w:rPr>
                <w:lang w:val="fr-FR"/>
              </w:rPr>
              <w:t xml:space="preserve"> pour faciliter l'élaboration d'une nouvelle stratégie nationale en matière de cybersécurité, qui devrait être lancée à la fin de l'année. Le BDT a également organisé un </w:t>
            </w:r>
            <w:hyperlink r:id="rId42" w:history="1">
              <w:r w:rsidRPr="00231866">
                <w:rPr>
                  <w:rStyle w:val="Hyperlink"/>
                  <w:lang w:val="fr-FR"/>
                </w:rPr>
                <w:t>atelier national de consultation</w:t>
              </w:r>
            </w:hyperlink>
            <w:r w:rsidRPr="00231866">
              <w:rPr>
                <w:lang w:val="fr-FR"/>
              </w:rPr>
              <w:t>, au cours duquel les parties prenantes, le secteur privé et la société civile au niveau national ont participé à des discussions et à des exercices thématiques et élaboré des recommandations sur les objectifs de la nouvelle stratégie nationale de cybersécurité du Maroc.</w:t>
            </w:r>
          </w:p>
          <w:p w14:paraId="4AEAA9CE" w14:textId="77777777" w:rsidR="00BC680E" w:rsidRPr="00231866" w:rsidRDefault="00BC680E" w:rsidP="00FA497F">
            <w:pPr>
              <w:pStyle w:val="enumlev1"/>
              <w:keepNext/>
              <w:keepLines/>
              <w:jc w:val="left"/>
              <w:rPr>
                <w:lang w:val="fr-FR"/>
              </w:rPr>
            </w:pPr>
            <w:r w:rsidRPr="00231866">
              <w:rPr>
                <w:lang w:val="fr-FR"/>
              </w:rPr>
              <w:lastRenderedPageBreak/>
              <w:t>•</w:t>
            </w:r>
            <w:r w:rsidRPr="00231866">
              <w:rPr>
                <w:lang w:val="fr-FR"/>
              </w:rPr>
              <w:tab/>
              <w:t xml:space="preserve">En mars, le Bureau régional de l'UIT pour l'Asie-Pacifique a organisé, conjointement avec l'USAID, l'Institut Asie-Pacifique pour le développement de la radiodiffusion (AIBD) et DAI Global, un atelier de formation sur la manière d'écrire des articles sur la cybersécurité à l'intention des femmes journalistes du </w:t>
            </w:r>
            <w:r w:rsidRPr="00231866">
              <w:rPr>
                <w:b/>
                <w:bCs/>
                <w:lang w:val="fr-FR"/>
              </w:rPr>
              <w:t>Cambodge</w:t>
            </w:r>
            <w:r w:rsidRPr="00231866">
              <w:rPr>
                <w:lang w:val="fr-FR"/>
              </w:rPr>
              <w:t>, d'</w:t>
            </w:r>
            <w:r w:rsidRPr="00231866">
              <w:rPr>
                <w:b/>
                <w:bCs/>
                <w:lang w:val="fr-FR"/>
              </w:rPr>
              <w:t>Indonésie</w:t>
            </w:r>
            <w:r w:rsidRPr="00231866">
              <w:rPr>
                <w:lang w:val="fr-FR"/>
              </w:rPr>
              <w:t xml:space="preserve">, du </w:t>
            </w:r>
            <w:r w:rsidRPr="00231866">
              <w:rPr>
                <w:b/>
                <w:bCs/>
                <w:lang w:val="fr-FR"/>
              </w:rPr>
              <w:t>Lao</w:t>
            </w:r>
            <w:r w:rsidRPr="00231866">
              <w:rPr>
                <w:lang w:val="fr-FR"/>
              </w:rPr>
              <w:t xml:space="preserve">, de </w:t>
            </w:r>
            <w:r w:rsidRPr="00231866">
              <w:rPr>
                <w:b/>
                <w:bCs/>
                <w:lang w:val="fr-FR"/>
              </w:rPr>
              <w:t xml:space="preserve">Mongolie </w:t>
            </w:r>
            <w:r w:rsidRPr="00231866">
              <w:rPr>
                <w:lang w:val="fr-FR"/>
              </w:rPr>
              <w:t xml:space="preserve">et de </w:t>
            </w:r>
            <w:r w:rsidRPr="00231866">
              <w:rPr>
                <w:b/>
                <w:bCs/>
                <w:lang w:val="fr-FR"/>
              </w:rPr>
              <w:t>Thaïlande</w:t>
            </w:r>
            <w:r w:rsidRPr="00231866">
              <w:rPr>
                <w:lang w:val="fr-FR"/>
              </w:rPr>
              <w:t>. Il s'agissait de la quatrième et dernière formation organisée dans le cadre d'un partenariat axé sur la création d'un groupe de femmes journalistes spécialisées dans la cybersécurité au sein de leurs agences de presse respectives.</w:t>
            </w:r>
          </w:p>
          <w:p w14:paraId="278124CC" w14:textId="77777777" w:rsidR="00BC680E" w:rsidRPr="00231866" w:rsidRDefault="00BC680E" w:rsidP="00BC680E">
            <w:pPr>
              <w:pStyle w:val="enumlev1"/>
              <w:keepLines/>
              <w:jc w:val="left"/>
              <w:rPr>
                <w:lang w:val="fr-FR"/>
              </w:rPr>
            </w:pPr>
            <w:r w:rsidRPr="00231866">
              <w:rPr>
                <w:lang w:val="fr-FR"/>
              </w:rPr>
              <w:t>•</w:t>
            </w:r>
            <w:r w:rsidRPr="00231866">
              <w:rPr>
                <w:lang w:val="fr-FR"/>
              </w:rPr>
              <w:tab/>
              <w:t>Toujours en mars, le BDT a organisé une session de renforcement des capacités et un atelier national de consultation à N'Djaména (</w:t>
            </w:r>
            <w:r w:rsidRPr="00231866">
              <w:rPr>
                <w:b/>
                <w:bCs/>
                <w:lang w:val="fr-FR"/>
              </w:rPr>
              <w:t>Tchad</w:t>
            </w:r>
            <w:r w:rsidRPr="00231866">
              <w:rPr>
                <w:lang w:val="fr-FR"/>
              </w:rPr>
              <w:t>) pour aider l'Agence nationale pour la sécurité et la certification informatiques (ANSICE) à élaborer une stratégie nationale de cybersécurité plus complète et inclusive. À l'issue de consultations approfondies et constructives avec les principales parties prenantes, les objectifs et le plan d'action pour la nouvelle stratégie ont été établis; ils auront des incidences importantes sur la promotion de la cybersécurité au Tchad et permettront de renforcer la capacité du pays à atténuer efficacement les cybermenaces.</w:t>
            </w:r>
          </w:p>
          <w:p w14:paraId="206D5B3C" w14:textId="77777777" w:rsidR="00BC680E" w:rsidRPr="00231866" w:rsidRDefault="00BC680E" w:rsidP="00FA497F">
            <w:pPr>
              <w:pStyle w:val="enumlev1"/>
              <w:jc w:val="left"/>
              <w:rPr>
                <w:lang w:val="fr-FR"/>
              </w:rPr>
            </w:pPr>
            <w:r w:rsidRPr="00231866">
              <w:rPr>
                <w:lang w:val="fr-FR"/>
              </w:rPr>
              <w:t>•</w:t>
            </w:r>
            <w:r w:rsidRPr="00231866">
              <w:rPr>
                <w:lang w:val="fr-FR"/>
              </w:rPr>
              <w:tab/>
              <w:t xml:space="preserve">En mai, le BDT a organisé </w:t>
            </w:r>
            <w:hyperlink r:id="rId43" w:history="1">
              <w:r w:rsidRPr="00231866">
                <w:rPr>
                  <w:lang w:val="fr-FR"/>
                </w:rPr>
                <w:t>l'</w:t>
              </w:r>
              <w:r w:rsidRPr="00231866">
                <w:rPr>
                  <w:rStyle w:val="Hyperlink"/>
                  <w:b/>
                  <w:bCs/>
                  <w:lang w:val="fr-FR"/>
                </w:rPr>
                <w:t>édition 2023 du cyberexercice régional de l'UIT pour l'Afrique</w:t>
              </w:r>
            </w:hyperlink>
            <w:r w:rsidRPr="00231866">
              <w:rPr>
                <w:lang w:val="fr-FR"/>
              </w:rPr>
              <w:t>, à Lilongwe (</w:t>
            </w:r>
            <w:r w:rsidRPr="00231866">
              <w:rPr>
                <w:b/>
                <w:bCs/>
                <w:lang w:val="fr-FR"/>
              </w:rPr>
              <w:t>Malawi</w:t>
            </w:r>
            <w:r w:rsidRPr="00231866">
              <w:rPr>
                <w:lang w:val="fr-FR"/>
              </w:rPr>
              <w:t>), en collaboration avec l'Autorité de régulation des communications du Malawi (MACRA). Ce cyberexercice offre un cadre approprié dans lequel de hauts responsables dans le domaine des TIC et de la cybersécurité de la région peuvent discuter et définir des orientations et des plans stratégiques pour lutter contre les nouvelles menaces visant le secteur de la sécurité aux niveaux mondial et régional et assurer la poursuite des efforts collectifs visant à lutter contre les cybermenaces au sein des équipes nationales d'intervention en cas d'incident informatique (CIRT).</w:t>
            </w:r>
          </w:p>
          <w:p w14:paraId="1E51DE52" w14:textId="77777777" w:rsidR="00BC680E" w:rsidRPr="00231866" w:rsidRDefault="00BC680E" w:rsidP="00FA497F">
            <w:pPr>
              <w:pStyle w:val="enumlev1"/>
              <w:jc w:val="left"/>
              <w:rPr>
                <w:lang w:val="fr-FR"/>
              </w:rPr>
            </w:pPr>
            <w:r w:rsidRPr="00231866">
              <w:rPr>
                <w:lang w:val="fr-FR"/>
              </w:rPr>
              <w:t>•</w:t>
            </w:r>
            <w:r w:rsidRPr="00231866">
              <w:rPr>
                <w:lang w:val="fr-FR"/>
              </w:rPr>
              <w:tab/>
              <w:t>En mai également, l'UIT a lancé un cyberexercice virtuel en collaboration avec l'Autorité nationale de cybersécurité (NCA) de l</w:t>
            </w:r>
            <w:r w:rsidRPr="00231866">
              <w:rPr>
                <w:b/>
                <w:bCs/>
                <w:lang w:val="fr-FR"/>
              </w:rPr>
              <w:t>'Arabie saoudite</w:t>
            </w:r>
            <w:r w:rsidRPr="00231866">
              <w:rPr>
                <w:lang w:val="fr-FR"/>
              </w:rPr>
              <w:t>, qui a réuni plus de 60 participants du monde entier. Le principal objectif de cet exercice était de tester les compétences des participants lorsqu'il s'agit d'intervenir en cas d'incident touchant les entreprises, d'identifier le trafic malveillant et d'identifier les menaces sur le réseau.</w:t>
            </w:r>
          </w:p>
          <w:p w14:paraId="56012B4B" w14:textId="6CD1DB07" w:rsidR="00BC680E" w:rsidRPr="00231866" w:rsidRDefault="00BC680E" w:rsidP="00C75999">
            <w:pPr>
              <w:pStyle w:val="enumlev1"/>
              <w:spacing w:after="120"/>
              <w:jc w:val="left"/>
              <w:rPr>
                <w:lang w:val="fr-FR"/>
              </w:rPr>
            </w:pPr>
            <w:r w:rsidRPr="00231866">
              <w:rPr>
                <w:lang w:val="fr-FR"/>
              </w:rPr>
              <w:t>•</w:t>
            </w:r>
            <w:r w:rsidRPr="00231866">
              <w:rPr>
                <w:lang w:val="fr-FR"/>
              </w:rPr>
              <w:tab/>
              <w:t xml:space="preserve">Une évaluation du niveau de maturité des équipes CIRT a été menée en </w:t>
            </w:r>
            <w:r w:rsidRPr="00231866">
              <w:rPr>
                <w:b/>
                <w:bCs/>
                <w:lang w:val="fr-FR"/>
              </w:rPr>
              <w:t xml:space="preserve">Azerbaïdjan </w:t>
            </w:r>
            <w:r w:rsidRPr="00231866">
              <w:rPr>
                <w:lang w:val="fr-FR"/>
              </w:rPr>
              <w:t>afin d'aider le Ministère du développement numérique et des transports à renforcer son équipe CERT nationale moyennant l'identification de nouveaux outils de détection des cybermenaces, l'amélioration des processus et des procédures opérationnelles mis en œuvre en cas d'incident et des activités de renforcement des capacités.</w:t>
            </w:r>
          </w:p>
        </w:tc>
      </w:tr>
      <w:tr w:rsidR="00BC680E" w:rsidRPr="00231866" w14:paraId="1E251909"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7B8AD1D" w14:textId="77777777" w:rsidR="00BC680E" w:rsidRPr="00231866" w:rsidRDefault="00BC680E" w:rsidP="00BC680E">
            <w:pPr>
              <w:keepNext/>
              <w:jc w:val="left"/>
              <w:rPr>
                <w:lang w:val="fr-FR"/>
              </w:rPr>
            </w:pPr>
            <w:r w:rsidRPr="00231866">
              <w:rPr>
                <w:lang w:val="fr-FR"/>
              </w:rPr>
              <w:lastRenderedPageBreak/>
              <w:t>En outre, plusieurs initiatives mondiales ont été lancées au cours des derniers mois:</w:t>
            </w:r>
          </w:p>
          <w:p w14:paraId="47D09388" w14:textId="72D5E9CE" w:rsidR="00BC680E" w:rsidRDefault="00BC680E" w:rsidP="00BC680E">
            <w:pPr>
              <w:pStyle w:val="enumlev1"/>
              <w:keepNext/>
              <w:keepLines/>
              <w:jc w:val="left"/>
              <w:rPr>
                <w:lang w:val="fr-FR"/>
              </w:rPr>
            </w:pPr>
            <w:r w:rsidRPr="00231866">
              <w:rPr>
                <w:lang w:val="fr-FR"/>
              </w:rPr>
              <w:t>•</w:t>
            </w:r>
            <w:r w:rsidRPr="00231866">
              <w:rPr>
                <w:lang w:val="fr-FR"/>
              </w:rPr>
              <w:tab/>
              <w:t>En avril, le BDT a lancé la campagne 2023 de la collecte des données en vue d'établir la prochaine édition de l'</w:t>
            </w:r>
            <w:hyperlink r:id="rId44" w:history="1">
              <w:r w:rsidRPr="00231866">
                <w:rPr>
                  <w:rStyle w:val="Hyperlink"/>
                  <w:b/>
                  <w:bCs/>
                  <w:lang w:val="fr-FR"/>
                </w:rPr>
                <w:t>Indice mondial de cybersécurité (GCI)</w:t>
              </w:r>
            </w:hyperlink>
            <w:r w:rsidRPr="00231866">
              <w:rPr>
                <w:lang w:val="fr-FR"/>
              </w:rPr>
              <w:t>.</w:t>
            </w:r>
          </w:p>
          <w:p w14:paraId="73D436BF" w14:textId="49CC9081" w:rsidR="00BC680E" w:rsidRPr="00231866" w:rsidRDefault="00BC680E" w:rsidP="00BC680E">
            <w:pPr>
              <w:pStyle w:val="enumlev1"/>
              <w:keepNext/>
              <w:keepLines/>
              <w:jc w:val="left"/>
              <w:rPr>
                <w:lang w:val="fr-FR"/>
              </w:rPr>
            </w:pPr>
            <w:r w:rsidRPr="00231866">
              <w:rPr>
                <w:lang w:val="fr-FR"/>
              </w:rPr>
              <w:t>•</w:t>
            </w:r>
            <w:r w:rsidRPr="00231866">
              <w:rPr>
                <w:lang w:val="fr-FR"/>
              </w:rPr>
              <w:tab/>
              <w:t xml:space="preserve">En mai, le </w:t>
            </w:r>
            <w:hyperlink r:id="rId45" w:history="1">
              <w:r w:rsidRPr="00231866">
                <w:rPr>
                  <w:rStyle w:val="Hyperlink"/>
                  <w:b/>
                  <w:bCs/>
                  <w:lang w:val="fr-FR"/>
                </w:rPr>
                <w:t>Programme de mentorat "Les femmes dans le secteur de la cybersécurité"</w:t>
              </w:r>
            </w:hyperlink>
            <w:r w:rsidRPr="00231866">
              <w:rPr>
                <w:lang w:val="fr-FR"/>
              </w:rPr>
              <w:t xml:space="preserve"> a été lancé, avec l'appui de </w:t>
            </w:r>
            <w:hyperlink r:id="rId46" w:history="1">
              <w:r w:rsidRPr="00231866">
                <w:rPr>
                  <w:rStyle w:val="Hyperlink"/>
                  <w:lang w:val="fr-FR"/>
                </w:rPr>
                <w:t>Microsoft</w:t>
              </w:r>
            </w:hyperlink>
            <w:r w:rsidRPr="00231866">
              <w:rPr>
                <w:lang w:val="fr-FR"/>
              </w:rPr>
              <w:t>. L'objectif de ce programme est d'éliminer les obstacles culturels et systémiques qui entravent l'inclusion plus large des femmes, tout en les aidant à acquérir l'ensemble des compétences dont elles ont besoin pour obtenir un poste et poursuivre leur carrière dans ce domaine.</w:t>
            </w:r>
          </w:p>
          <w:p w14:paraId="5049112F" w14:textId="2F4536C6" w:rsidR="00BC680E" w:rsidRPr="00BC680E" w:rsidRDefault="00BC680E" w:rsidP="00BC680E">
            <w:pPr>
              <w:pStyle w:val="enumlev1"/>
              <w:spacing w:after="120"/>
            </w:pPr>
            <w:r w:rsidRPr="00231866">
              <w:rPr>
                <w:lang w:val="fr-FR"/>
              </w:rPr>
              <w:t>•</w:t>
            </w:r>
            <w:r w:rsidRPr="00231866">
              <w:rPr>
                <w:lang w:val="fr-FR"/>
              </w:rPr>
              <w:tab/>
            </w:r>
            <w:hyperlink r:id="rId47" w:history="1">
              <w:r w:rsidRPr="00231866">
                <w:rPr>
                  <w:lang w:val="fr-FR"/>
                </w:rPr>
                <w:t>La collaboration se poursuit, dans le cadre du projet "</w:t>
              </w:r>
              <w:r w:rsidRPr="00231866">
                <w:rPr>
                  <w:rStyle w:val="Hyperlink"/>
                  <w:b/>
                  <w:bCs/>
                  <w:lang w:val="fr-FR"/>
                </w:rPr>
                <w:t>La cybersécurité au service du bien social</w:t>
              </w:r>
              <w:r w:rsidRPr="00231866">
                <w:rPr>
                  <w:lang w:val="fr-FR"/>
                </w:rPr>
                <w:t>", avec les pays les moins avancés (PMA) et les Membres de l'UIT du secteur privé en vue de proposer un accès gratuit à des services, des outils et des formations pour aider à réduire les disparités en matière de cybersécurité. Actuellement, 16 PMA bénéficient de services fournis par les membres de l'UIT.</w:t>
              </w:r>
            </w:hyperlink>
          </w:p>
        </w:tc>
      </w:tr>
    </w:tbl>
    <w:p w14:paraId="7D886B4F" w14:textId="77777777" w:rsidR="00BC680E" w:rsidRPr="00231866" w:rsidRDefault="00BC680E" w:rsidP="00BC680E">
      <w:pPr>
        <w:pStyle w:val="Heading2"/>
        <w:spacing w:after="240"/>
        <w:rPr>
          <w:lang w:val="fr-FR"/>
        </w:rPr>
      </w:pPr>
      <w:r w:rsidRPr="00231866">
        <w:rPr>
          <w:lang w:val="fr-FR"/>
        </w:rPr>
        <w:t>3.5</w:t>
      </w:r>
      <w:r w:rsidRPr="00231866">
        <w:rPr>
          <w:lang w:val="fr-FR"/>
        </w:rPr>
        <w:tab/>
        <w:t>Priorité 5 de l'UIT-D et catalyseurs 6 et 7 de l'UIT-D – Mobilisation de ressources, partenariats et coopération internationale</w:t>
      </w:r>
    </w:p>
    <w:tbl>
      <w:tblPr>
        <w:tblStyle w:val="GridTable2-Accent1"/>
        <w:tblW w:w="13466" w:type="dxa"/>
        <w:tblInd w:w="27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1448"/>
        <w:gridCol w:w="4364"/>
        <w:gridCol w:w="2551"/>
        <w:gridCol w:w="2552"/>
        <w:gridCol w:w="1134"/>
        <w:gridCol w:w="1417"/>
      </w:tblGrid>
      <w:tr w:rsidR="00BC680E" w:rsidRPr="00231866" w14:paraId="49DBDE4E" w14:textId="77777777" w:rsidTr="00FA49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8" w:type="dxa"/>
          </w:tcPr>
          <w:p w14:paraId="7589B560" w14:textId="77777777" w:rsidR="00BC680E" w:rsidRPr="00231866" w:rsidRDefault="00BC680E" w:rsidP="00FA497F">
            <w:pPr>
              <w:pStyle w:val="Tablehead"/>
              <w:rPr>
                <w:b/>
                <w:sz w:val="18"/>
                <w:szCs w:val="18"/>
                <w:lang w:val="fr-FR"/>
              </w:rPr>
            </w:pPr>
            <w:r w:rsidRPr="00231866">
              <w:rPr>
                <w:b/>
                <w:sz w:val="18"/>
                <w:szCs w:val="18"/>
                <w:lang w:val="fr-FR"/>
              </w:rPr>
              <w:t>Thème</w:t>
            </w:r>
          </w:p>
        </w:tc>
        <w:tc>
          <w:tcPr>
            <w:tcW w:w="4364" w:type="dxa"/>
          </w:tcPr>
          <w:p w14:paraId="3F00117F"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sz w:val="18"/>
                <w:szCs w:val="18"/>
                <w:lang w:val="fr-FR"/>
              </w:rPr>
            </w:pPr>
            <w:r w:rsidRPr="00231866">
              <w:rPr>
                <w:b/>
                <w:sz w:val="18"/>
                <w:szCs w:val="18"/>
                <w:lang w:val="fr-FR"/>
              </w:rPr>
              <w:t>Réalisation</w:t>
            </w:r>
          </w:p>
        </w:tc>
        <w:tc>
          <w:tcPr>
            <w:tcW w:w="2551" w:type="dxa"/>
          </w:tcPr>
          <w:p w14:paraId="00AC0517"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Cs w:val="0"/>
                <w:sz w:val="18"/>
                <w:szCs w:val="18"/>
                <w:lang w:val="fr-FR"/>
              </w:rPr>
            </w:pPr>
            <w:r w:rsidRPr="00231866">
              <w:rPr>
                <w:b/>
                <w:sz w:val="18"/>
                <w:szCs w:val="18"/>
                <w:lang w:val="fr-FR"/>
              </w:rPr>
              <w:t>Produits</w:t>
            </w:r>
            <w:r w:rsidRPr="00231866">
              <w:rPr>
                <w:b/>
                <w:sz w:val="18"/>
                <w:szCs w:val="18"/>
                <w:lang w:val="fr-FR"/>
              </w:rPr>
              <w:br/>
              <w:t>(Produits et services)</w:t>
            </w:r>
          </w:p>
        </w:tc>
        <w:tc>
          <w:tcPr>
            <w:tcW w:w="2552" w:type="dxa"/>
          </w:tcPr>
          <w:p w14:paraId="624BEF90"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sz w:val="18"/>
                <w:szCs w:val="18"/>
                <w:lang w:val="fr-FR"/>
              </w:rPr>
            </w:pPr>
            <w:r w:rsidRPr="00231866">
              <w:rPr>
                <w:b/>
                <w:sz w:val="18"/>
                <w:szCs w:val="18"/>
                <w:lang w:val="fr-FR"/>
              </w:rPr>
              <w:t>Indicateurs fondamentaux de performance*</w:t>
            </w:r>
          </w:p>
        </w:tc>
        <w:tc>
          <w:tcPr>
            <w:tcW w:w="1134" w:type="dxa"/>
          </w:tcPr>
          <w:p w14:paraId="16324799"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Cs w:val="0"/>
                <w:sz w:val="18"/>
                <w:szCs w:val="18"/>
                <w:lang w:val="fr-FR"/>
              </w:rPr>
            </w:pPr>
            <w:r w:rsidRPr="00231866">
              <w:rPr>
                <w:b/>
                <w:sz w:val="18"/>
                <w:szCs w:val="18"/>
                <w:lang w:val="fr-FR"/>
              </w:rPr>
              <w:t>Budget 2023</w:t>
            </w:r>
            <w:r w:rsidRPr="00231866">
              <w:rPr>
                <w:b/>
                <w:sz w:val="18"/>
                <w:szCs w:val="18"/>
                <w:lang w:val="fr-FR"/>
              </w:rPr>
              <w:br/>
              <w:t>(en CHF)</w:t>
            </w:r>
          </w:p>
        </w:tc>
        <w:tc>
          <w:tcPr>
            <w:tcW w:w="1417" w:type="dxa"/>
            <w:noWrap/>
          </w:tcPr>
          <w:p w14:paraId="21F1872F"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Cs w:val="0"/>
                <w:sz w:val="18"/>
                <w:szCs w:val="18"/>
                <w:lang w:val="fr-FR"/>
              </w:rPr>
            </w:pPr>
            <w:r w:rsidRPr="00231866">
              <w:rPr>
                <w:b/>
                <w:sz w:val="18"/>
                <w:szCs w:val="18"/>
                <w:lang w:val="fr-FR"/>
              </w:rPr>
              <w:t>% du total général</w:t>
            </w:r>
          </w:p>
        </w:tc>
      </w:tr>
      <w:tr w:rsidR="00BC680E" w:rsidRPr="00231866" w14:paraId="207AF8CE" w14:textId="77777777" w:rsidTr="00FA4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hideMark/>
          </w:tcPr>
          <w:p w14:paraId="12EC3413" w14:textId="77777777" w:rsidR="00BC680E" w:rsidRPr="00231866" w:rsidRDefault="00BC680E" w:rsidP="00FA497F">
            <w:pPr>
              <w:pStyle w:val="Tabletext"/>
              <w:jc w:val="left"/>
              <w:rPr>
                <w:sz w:val="18"/>
                <w:szCs w:val="18"/>
                <w:lang w:val="fr-FR"/>
              </w:rPr>
            </w:pPr>
            <w:r w:rsidRPr="00231866">
              <w:rPr>
                <w:sz w:val="18"/>
                <w:szCs w:val="18"/>
                <w:lang w:val="fr-FR"/>
              </w:rPr>
              <w:t>Transversal</w:t>
            </w:r>
          </w:p>
        </w:tc>
        <w:tc>
          <w:tcPr>
            <w:tcW w:w="4364" w:type="dxa"/>
            <w:hideMark/>
          </w:tcPr>
          <w:p w14:paraId="0A96794C"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Renforcement de la coopération et de la coordination avec l'Organisation des Nations Unies et ses institutions spécialisées, d'autres organisations internationales, les organisations régionales de télécommunication et les institutions régionales et mondiales de développement, pour la mise en œuvre des priorités de l'UIT-D</w:t>
            </w:r>
          </w:p>
          <w:p w14:paraId="49B81B85"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 xml:space="preserve">Renforcement de la stratégie de mobilisation de ressources et du cadre opérationnel pour nouer des partenariats avec l'Organisation des Nations Unies et ses institutions spécialisées, d'autres organisations internationales, des organisations régionales de télécommunication et des organismes de financement et de développement régionaux ou mondiaux, afin d'exécuter le Plan d'action de Kigali, y compris les priorités de l'UIT-D visant à mettre en œuvre les ODD à l'horizon 2030 qui ont trait aux questions de développement des </w:t>
            </w:r>
            <w:r w:rsidRPr="00231866">
              <w:rPr>
                <w:sz w:val="18"/>
                <w:szCs w:val="18"/>
                <w:lang w:val="fr-FR"/>
              </w:rPr>
              <w:lastRenderedPageBreak/>
              <w:t>télécommunications/TIC, ainsi que les résultats du SMSI</w:t>
            </w:r>
          </w:p>
          <w:p w14:paraId="37049F06"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Renforcement de la stratégie de mobilisation de ressources grâce à la coopération avec les organismes de financement et de développement aux niveaux international et régional</w:t>
            </w:r>
          </w:p>
          <w:p w14:paraId="47557DA0" w14:textId="77777777" w:rsidR="00BC680E" w:rsidRPr="00231866" w:rsidRDefault="00BC680E" w:rsidP="00FA497F">
            <w:pPr>
              <w:pStyle w:val="Tabletext"/>
              <w:keepNext/>
              <w:keepLines/>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Renforcement de la collaboration et de la coopération entre les bureaux régionaux et avec l'Organisation des Nations Unies et ses institutions spécialisées, les organisations de télécommunication régionales ainsi que les organismes de financement et de développement pour atteindre les ODD à l'horizon 2030 se rapportant aux questions de développement de l'économie numérique</w:t>
            </w:r>
          </w:p>
          <w:p w14:paraId="35C131CD"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Renforcement de la planification conjointe, de la collaboration et de la coopération à l'échelle des Nations Unies, ainsi qu'avec les organismes de financement et de développement aux niveaux international et régional, en vue d'atteindre les ODD à l'horizon 2030 se rapportant aux questions de développement des télécommunications/TIC</w:t>
            </w:r>
          </w:p>
        </w:tc>
        <w:tc>
          <w:tcPr>
            <w:tcW w:w="2551" w:type="dxa"/>
            <w:hideMark/>
          </w:tcPr>
          <w:p w14:paraId="4FA054AC"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lastRenderedPageBreak/>
              <w:t>•</w:t>
            </w:r>
            <w:r w:rsidRPr="00231866">
              <w:rPr>
                <w:sz w:val="18"/>
                <w:szCs w:val="18"/>
                <w:lang w:val="fr-FR"/>
              </w:rPr>
              <w:tab/>
              <w:t>Élaboration de cadres politiques et de supports de connaissance</w:t>
            </w:r>
          </w:p>
          <w:p w14:paraId="54DD2419"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Renforcement des capacités</w:t>
            </w:r>
          </w:p>
          <w:p w14:paraId="42BEB636"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Fourniture d'une assistance technique</w:t>
            </w:r>
          </w:p>
          <w:p w14:paraId="29611B5F"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Plates-formes fédératrices</w:t>
            </w:r>
          </w:p>
        </w:tc>
        <w:tc>
          <w:tcPr>
            <w:tcW w:w="2552" w:type="dxa"/>
            <w:hideMark/>
          </w:tcPr>
          <w:p w14:paraId="0D63D89E"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Valeur des ressources mobilisées pour la mise en œuvre des projets ou activités du BDT</w:t>
            </w:r>
          </w:p>
          <w:p w14:paraId="4A79D55A"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Nombre d'accords de partenariat signés</w:t>
            </w:r>
          </w:p>
          <w:p w14:paraId="3EFAC120"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Valeur globale des accords de partenariat</w:t>
            </w:r>
          </w:p>
          <w:p w14:paraId="34CFC3E3"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Nombre de cadres de pays des Nations Unies actifs</w:t>
            </w:r>
          </w:p>
          <w:p w14:paraId="219ABE73"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Valeur des accords de partenariat conclus avec des institutions des Nations Unies</w:t>
            </w:r>
          </w:p>
          <w:p w14:paraId="4888F33B"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 xml:space="preserve">Nombre de plates-formes d'échange créées avec d'autres institutions des Nations Unies pour faire </w:t>
            </w:r>
            <w:r w:rsidRPr="00231866">
              <w:rPr>
                <w:sz w:val="18"/>
                <w:szCs w:val="18"/>
                <w:lang w:val="fr-FR"/>
              </w:rPr>
              <w:lastRenderedPageBreak/>
              <w:t>participer la communauté du numérique et des TIC à l'examen de la contribution des TIC/du numérique au Programme de développement durable à l'horizon 2030</w:t>
            </w:r>
          </w:p>
          <w:p w14:paraId="48E7F3C7"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Nombre d'initiatives de planification à l'échelle des Nations Unies menées conjointement avec les organismes compétents aux niveaux international et régional, en vue d'atteindre les ODD se rapportant aux questions de développement des télécommunications/TIC</w:t>
            </w:r>
          </w:p>
        </w:tc>
        <w:tc>
          <w:tcPr>
            <w:tcW w:w="1134" w:type="dxa"/>
            <w:hideMark/>
          </w:tcPr>
          <w:p w14:paraId="057FEEDD" w14:textId="77777777" w:rsidR="00BC680E" w:rsidRPr="00231866" w:rsidRDefault="00BC680E" w:rsidP="00FA497F">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231866">
              <w:rPr>
                <w:b/>
                <w:bCs/>
                <w:sz w:val="18"/>
                <w:szCs w:val="18"/>
                <w:lang w:val="fr-FR"/>
              </w:rPr>
              <w:lastRenderedPageBreak/>
              <w:t>120 000</w:t>
            </w:r>
          </w:p>
        </w:tc>
        <w:tc>
          <w:tcPr>
            <w:tcW w:w="1417" w:type="dxa"/>
            <w:noWrap/>
            <w:hideMark/>
          </w:tcPr>
          <w:p w14:paraId="17FB5866" w14:textId="77777777" w:rsidR="00BC680E" w:rsidRPr="00231866" w:rsidRDefault="00BC680E" w:rsidP="00FA497F">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231866">
              <w:rPr>
                <w:b/>
                <w:bCs/>
                <w:sz w:val="18"/>
                <w:szCs w:val="18"/>
                <w:lang w:val="fr-FR"/>
              </w:rPr>
              <w:t>2,9%</w:t>
            </w:r>
          </w:p>
        </w:tc>
      </w:tr>
    </w:tbl>
    <w:p w14:paraId="28A7AFB5" w14:textId="77777777" w:rsidR="00BC680E" w:rsidRDefault="00BC680E" w:rsidP="00BC680E">
      <w:pPr>
        <w:pStyle w:val="Tablelegend"/>
        <w:spacing w:after="240"/>
        <w:ind w:left="284" w:hanging="284"/>
        <w:rPr>
          <w:lang w:val="fr-FR"/>
        </w:rPr>
      </w:pPr>
      <w:r w:rsidRPr="00231866">
        <w:rPr>
          <w:lang w:val="fr-FR"/>
        </w:rPr>
        <w:t>*</w:t>
      </w:r>
      <w:r w:rsidRPr="00231866">
        <w:rPr>
          <w:lang w:val="fr-FR"/>
        </w:rPr>
        <w:tab/>
        <w:t>Ces indicateurs fondamentaux de performance pourraient être encore affinés à mesure que la mise en œuvre du Plan d'action de Kigali progresse afin de mieux rendre compte des résultats obtenus.</w:t>
      </w:r>
    </w:p>
    <w:p w14:paraId="5FA79797" w14:textId="3B6F77DD" w:rsidR="00BC680E" w:rsidRDefault="00BC680E">
      <w:pPr>
        <w:tabs>
          <w:tab w:val="clear" w:pos="794"/>
          <w:tab w:val="clear" w:pos="1191"/>
          <w:tab w:val="clear" w:pos="1588"/>
          <w:tab w:val="clear" w:pos="1985"/>
        </w:tabs>
        <w:overflowPunct/>
        <w:autoSpaceDE/>
        <w:autoSpaceDN/>
        <w:adjustRightInd/>
        <w:spacing w:before="0"/>
        <w:jc w:val="left"/>
        <w:textAlignment w:val="auto"/>
        <w:rPr>
          <w:sz w:val="22"/>
          <w:lang w:val="fr-FR"/>
        </w:rPr>
      </w:pPr>
      <w:r>
        <w:rPr>
          <w:lang w:val="fr-FR"/>
        </w:rPr>
        <w:br w:type="page"/>
      </w:r>
    </w:p>
    <w:tbl>
      <w:tblPr>
        <w:tblStyle w:val="TableGrid"/>
        <w:tblW w:w="0" w:type="auto"/>
        <w:tblInd w:w="274" w:type="dxa"/>
        <w:tblLayout w:type="fixed"/>
        <w:tblLook w:val="04A0" w:firstRow="1" w:lastRow="0" w:firstColumn="1" w:lastColumn="0" w:noHBand="0" w:noVBand="1"/>
      </w:tblPr>
      <w:tblGrid>
        <w:gridCol w:w="13466"/>
      </w:tblGrid>
      <w:tr w:rsidR="00BC680E" w:rsidRPr="00231866" w14:paraId="2FB41DD1"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440C876C" w14:textId="77777777" w:rsidR="00BC680E" w:rsidRPr="00231866" w:rsidRDefault="00BC680E" w:rsidP="00FA497F">
            <w:pPr>
              <w:spacing w:after="120"/>
              <w:jc w:val="left"/>
              <w:rPr>
                <w:lang w:val="fr-FR"/>
              </w:rPr>
            </w:pPr>
            <w:r w:rsidRPr="00231866">
              <w:rPr>
                <w:b/>
                <w:bCs/>
                <w:lang w:val="fr-FR"/>
              </w:rPr>
              <w:lastRenderedPageBreak/>
              <w:t>Principales mesures mises en œuvre en 2023: Priorité 5 de l'UIT-D et catalyseur 7 de l'UIT-D – Mobilisation de ressources et coopération internationale</w:t>
            </w:r>
          </w:p>
        </w:tc>
      </w:tr>
      <w:tr w:rsidR="00BC680E" w:rsidRPr="00231866" w14:paraId="53C54B11"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BE89DC3" w14:textId="77777777" w:rsidR="00BC680E" w:rsidRPr="00231866" w:rsidRDefault="00BC680E" w:rsidP="00FA497F">
            <w:pPr>
              <w:jc w:val="left"/>
              <w:rPr>
                <w:lang w:val="fr-FR"/>
              </w:rPr>
            </w:pPr>
            <w:r w:rsidRPr="00231866">
              <w:rPr>
                <w:lang w:val="fr-FR"/>
              </w:rPr>
              <w:t>De nouveaux partenariats avec les Nations Unies et des établissements universitaires ont été noués en 2023:</w:t>
            </w:r>
          </w:p>
          <w:p w14:paraId="15F91C95" w14:textId="77777777" w:rsidR="00BC680E" w:rsidRPr="00231866" w:rsidRDefault="00BC680E" w:rsidP="00BC680E">
            <w:pPr>
              <w:pStyle w:val="enumlev1"/>
              <w:spacing w:after="120"/>
              <w:jc w:val="left"/>
              <w:rPr>
                <w:lang w:val="fr-FR"/>
              </w:rPr>
            </w:pPr>
            <w:r w:rsidRPr="00231866">
              <w:rPr>
                <w:lang w:val="fr-FR"/>
              </w:rPr>
              <w:t>•</w:t>
            </w:r>
            <w:r w:rsidRPr="00231866">
              <w:rPr>
                <w:lang w:val="fr-FR"/>
              </w:rPr>
              <w:tab/>
              <w:t xml:space="preserve">Activités conjointes de renforcement des capacités menées dans le cadre du nouveau </w:t>
            </w:r>
            <w:r w:rsidRPr="00231866">
              <w:rPr>
                <w:b/>
                <w:bCs/>
                <w:lang w:val="fr-FR"/>
              </w:rPr>
              <w:t>programme de centres de formation de l'Académie de l'UIT (ATC)</w:t>
            </w:r>
            <w:r w:rsidRPr="00231866">
              <w:rPr>
                <w:lang w:val="fr-FR"/>
              </w:rPr>
              <w:t>: l'UIT et plus de dix établissements universitaires partenaires ont conclu des accords dans le cadre du nouveau programme ATC. Par exemple, l'Université du Witwatersrand (République sudafricaine) a signé un accord en vue de renforcer les capacités des décideurs chargés de concevoir et de mettre en œuvre des politiques et des stratégies pour permettre à leurs pays de mener à bien la transformation numérique, ainsi que les capacités d'autres professionnels du secteur des TIC ayant besoin d'acquérir des connaissances et des compétences dans le domaine des technologies numériques.</w:t>
            </w:r>
          </w:p>
          <w:p w14:paraId="10CA3256" w14:textId="77777777" w:rsidR="00BC680E" w:rsidRPr="00231866" w:rsidRDefault="00BC680E" w:rsidP="00FA497F">
            <w:pPr>
              <w:pStyle w:val="enumlev1"/>
              <w:keepNext/>
              <w:keepLines/>
              <w:jc w:val="left"/>
              <w:rPr>
                <w:lang w:val="fr-FR"/>
              </w:rPr>
            </w:pPr>
            <w:r w:rsidRPr="00231866">
              <w:rPr>
                <w:lang w:val="fr-FR"/>
              </w:rPr>
              <w:t>•</w:t>
            </w:r>
            <w:r w:rsidRPr="00231866">
              <w:rPr>
                <w:lang w:val="fr-FR"/>
              </w:rPr>
              <w:tab/>
              <w:t>Afin de promouvoir la représentation égale, complète et véritable des femmes dans le domaine de la cybersécurité pour garantir un cyberespace plus résilient pour tous, l'UIT et la GIZ collaborent dans le cadre de l'initiative "</w:t>
            </w:r>
            <w:r w:rsidRPr="00231866">
              <w:rPr>
                <w:b/>
                <w:bCs/>
                <w:lang w:val="fr-FR"/>
              </w:rPr>
              <w:t>Her CyberTracks</w:t>
            </w:r>
            <w:r w:rsidRPr="00231866">
              <w:rPr>
                <w:lang w:val="fr-FR"/>
              </w:rPr>
              <w:t>", qui permettra d'harmoniser, d'améliorer, de développer et d'élargir les offres existantes en matière de renforcement des cybercapacités. Des pays d'Afrique et d'Europe, notamment la Géorgie, le Moldova, l'Ukraine, l'Albanie, la Bosnie-Herzégovine, le Monténégro, la Macédoine du Nord et la Serbie prendront part à cette initiative.</w:t>
            </w:r>
          </w:p>
          <w:p w14:paraId="37F9B52E" w14:textId="77777777" w:rsidR="00BC680E" w:rsidRPr="00231866" w:rsidRDefault="00BC680E" w:rsidP="00FA497F">
            <w:pPr>
              <w:pStyle w:val="enumlev1"/>
              <w:jc w:val="left"/>
              <w:rPr>
                <w:lang w:val="fr-FR"/>
              </w:rPr>
            </w:pPr>
            <w:r w:rsidRPr="00231866">
              <w:rPr>
                <w:lang w:val="fr-FR"/>
              </w:rPr>
              <w:t>•</w:t>
            </w:r>
            <w:r w:rsidRPr="00231866">
              <w:rPr>
                <w:lang w:val="fr-FR"/>
              </w:rPr>
              <w:tab/>
            </w:r>
            <w:r w:rsidRPr="00231866">
              <w:rPr>
                <w:b/>
                <w:bCs/>
                <w:lang w:val="fr-FR"/>
              </w:rPr>
              <w:t>Transformation numérique et innovation technologique:</w:t>
            </w:r>
            <w:r w:rsidRPr="00231866">
              <w:rPr>
                <w:lang w:val="fr-FR"/>
              </w:rPr>
              <w:t xml:space="preserve"> l'UIT et l'ONU représentée par l'Office des technologies de l'information et de la communication (ONU-OICT) ont signé un accord de coopération sur la transformation numérique et l'innovation technologique.</w:t>
            </w:r>
          </w:p>
          <w:p w14:paraId="01A87870" w14:textId="77777777" w:rsidR="00BC680E" w:rsidRPr="00231866" w:rsidRDefault="00BC680E" w:rsidP="00FA497F">
            <w:pPr>
              <w:jc w:val="left"/>
              <w:rPr>
                <w:lang w:val="fr-FR"/>
              </w:rPr>
            </w:pPr>
            <w:r w:rsidRPr="00231866">
              <w:rPr>
                <w:lang w:val="fr-FR"/>
              </w:rPr>
              <w:t>Un certain nombre de nouveaux projets ont été signés avec la Commission européenne, avec un début de mise en œuvre en 2023.</w:t>
            </w:r>
          </w:p>
          <w:p w14:paraId="4A4BA9FE" w14:textId="76578971" w:rsidR="00BC680E" w:rsidRPr="00231866" w:rsidRDefault="00BC680E" w:rsidP="000A5084">
            <w:pPr>
              <w:pStyle w:val="enumlev1"/>
              <w:spacing w:after="120"/>
              <w:jc w:val="left"/>
              <w:rPr>
                <w:lang w:val="fr-FR"/>
              </w:rPr>
            </w:pPr>
            <w:r w:rsidRPr="00231866">
              <w:rPr>
                <w:lang w:val="fr-FR"/>
              </w:rPr>
              <w:t>•</w:t>
            </w:r>
            <w:r w:rsidRPr="00231866">
              <w:rPr>
                <w:lang w:val="fr-FR"/>
              </w:rPr>
              <w:tab/>
            </w:r>
            <w:r w:rsidRPr="00231866">
              <w:rPr>
                <w:b/>
                <w:bCs/>
                <w:lang w:val="fr-FR"/>
              </w:rPr>
              <w:t>Promouvoir une connectivité efficace et universelle et la mesurer</w:t>
            </w:r>
            <w:r w:rsidRPr="00231866">
              <w:rPr>
                <w:lang w:val="fr-FR"/>
              </w:rPr>
              <w:t>: l'UIT et la Commission européenne se sont associées pour promouvoir une connectivité universelle efficace et la mesurer. En mai, le BDT a lancé le projet "Promouvoir une connectivité numérique efficace et universelle et la mesurer", dont l'objectif est de faire progresser les services Internet et l'acquisition de compétences en la matière à travers le monde au cours des trois années à venir. Avec un budget de 3 millions d'euros, le projet devrait intensifier l'accent mené pour atteindre les principaux objectifs en matière de connectivité numérique et faire progresser le développement durable à l'échelle mondiale.</w:t>
            </w:r>
          </w:p>
        </w:tc>
      </w:tr>
      <w:tr w:rsidR="000A5084" w:rsidRPr="00231866" w14:paraId="64FC4C3D"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E05A53D" w14:textId="77777777" w:rsidR="000A5084" w:rsidRPr="00231866" w:rsidRDefault="000A5084" w:rsidP="000A5084">
            <w:pPr>
              <w:pStyle w:val="enumlev1"/>
              <w:keepLines/>
              <w:jc w:val="left"/>
              <w:rPr>
                <w:lang w:val="fr-FR"/>
              </w:rPr>
            </w:pPr>
            <w:r w:rsidRPr="00231866">
              <w:rPr>
                <w:lang w:val="fr-FR"/>
              </w:rPr>
              <w:lastRenderedPageBreak/>
              <w:t>•</w:t>
            </w:r>
            <w:r w:rsidRPr="00231866">
              <w:rPr>
                <w:lang w:val="fr-FR"/>
              </w:rPr>
              <w:tab/>
            </w:r>
            <w:r w:rsidRPr="00231866">
              <w:rPr>
                <w:b/>
                <w:bCs/>
                <w:lang w:val="fr-FR"/>
              </w:rPr>
              <w:t>Transformation numérique</w:t>
            </w:r>
            <w:r w:rsidRPr="00231866">
              <w:rPr>
                <w:lang w:val="fr-FR"/>
              </w:rPr>
              <w:t>: l'UIT et la Commission européenne ont signé un accord pour le nouveau projet "Construire les bases de VaMoz Digital!" (volet UIT du projet "VaMoz Digital" mené conjointement par l'UIT, la CE et l'Agence italienne de coopération pour le développement), qui vise à appuyer l'utilisation de la transformation numérique axée sur les personnes au service du développement durable et d'une croissance inclusive au Mozambique. Le projet, qui porte sur une période de trois ans et demi avec un budget de 2,3 millions d'euros, consiste à utiliser les produits et services de l'UIT-D afin d'appuyer les efforts déployés par le Gouvernement du Mozambique en matière de transformation numérique.</w:t>
            </w:r>
          </w:p>
          <w:p w14:paraId="79A0F045" w14:textId="77777777" w:rsidR="000A5084" w:rsidRPr="00231866" w:rsidRDefault="000A5084" w:rsidP="000A5084">
            <w:pPr>
              <w:pStyle w:val="enumlev1"/>
              <w:jc w:val="left"/>
              <w:rPr>
                <w:lang w:val="fr-FR"/>
              </w:rPr>
            </w:pPr>
            <w:r w:rsidRPr="00231866">
              <w:rPr>
                <w:lang w:val="fr-FR"/>
              </w:rPr>
              <w:t>•</w:t>
            </w:r>
            <w:r w:rsidRPr="00231866">
              <w:rPr>
                <w:lang w:val="fr-FR"/>
              </w:rPr>
              <w:tab/>
              <w:t xml:space="preserve">Dans le cadre de l'initiative pour la Corne de l'Afrique, l'UIT, en collaboration avec la GIZ, l'Estonie et DIAL et avec l'appui financier de l'Union européenne, aide Djibouti, le Kenya et la Somalie à améliorer la fourniture des services numériques grâce à la mise en œuvre de services d'administration publique numériques dans le cadre de l'initiative </w:t>
            </w:r>
            <w:r w:rsidRPr="00231866">
              <w:rPr>
                <w:b/>
                <w:bCs/>
                <w:lang w:val="fr-FR"/>
              </w:rPr>
              <w:t>GovStack</w:t>
            </w:r>
            <w:r w:rsidRPr="00231866">
              <w:rPr>
                <w:lang w:val="fr-FR"/>
              </w:rPr>
              <w:t>.</w:t>
            </w:r>
          </w:p>
          <w:p w14:paraId="2E2E827A" w14:textId="77777777" w:rsidR="000A5084" w:rsidRPr="00231866" w:rsidRDefault="000A5084" w:rsidP="000A5084">
            <w:pPr>
              <w:keepNext/>
              <w:keepLines/>
              <w:jc w:val="left"/>
              <w:rPr>
                <w:lang w:val="fr-FR"/>
              </w:rPr>
            </w:pPr>
            <w:r w:rsidRPr="00231866">
              <w:rPr>
                <w:lang w:val="fr-FR"/>
              </w:rPr>
              <w:t>Les projets, partenariats et activités de coopération existants ont également pris de l'ampleur:</w:t>
            </w:r>
          </w:p>
          <w:p w14:paraId="49503C17" w14:textId="77777777" w:rsidR="000A5084" w:rsidRPr="00231866" w:rsidRDefault="000A5084" w:rsidP="000A5084">
            <w:pPr>
              <w:pStyle w:val="enumlev1"/>
              <w:keepNext/>
              <w:keepLines/>
              <w:jc w:val="left"/>
              <w:rPr>
                <w:lang w:val="fr-FR"/>
              </w:rPr>
            </w:pPr>
            <w:r w:rsidRPr="00231866">
              <w:rPr>
                <w:lang w:val="fr-FR"/>
              </w:rPr>
              <w:t>•</w:t>
            </w:r>
            <w:r w:rsidRPr="00231866">
              <w:rPr>
                <w:lang w:val="fr-FR"/>
              </w:rPr>
              <w:tab/>
              <w:t>En janvier, une étape importante a été franchie dans le cadre de l'initiative Giga, avec la cartographie de 2 millions d'écoles dans le monde sur notre plate-forme à code source ouvert, Project Connect. Il s'agit là d'une étape décisive en vue d'identifier les déficits en matière de connectivité et d'adopter des mesures visant à connecter toutes les écoles dans le monde. En mars, l'initiative Giga a reçu le Prix Projet ayant des retombées sociales de l'année lors du Sommet sur l'intelligence artificielle, la chaîne de blocs et les crypto-monnaies (AIBC) organisé à Dubaï (Émirats arabes unis). L'UIT continue d'appuyer l'initiative Giga partout dans le monde grâce à la participation des pays, ainsi qu'au travail de cartographie de l'infrastructure numérique, y compris large bande, et d'analyse associée qui contribuent à la prise de décisions éclairées concernant les projets relatifs à la connectivité et à l'infrastructure dans les écoles.</w:t>
            </w:r>
          </w:p>
          <w:p w14:paraId="28FF4B66" w14:textId="61B0D155" w:rsidR="000A5084" w:rsidRPr="00231866" w:rsidRDefault="000A5084" w:rsidP="000A5084">
            <w:pPr>
              <w:pStyle w:val="enumlev1"/>
              <w:spacing w:after="120"/>
              <w:jc w:val="left"/>
              <w:rPr>
                <w:lang w:val="fr-FR"/>
              </w:rPr>
            </w:pPr>
            <w:r w:rsidRPr="00231866">
              <w:rPr>
                <w:lang w:val="fr-FR"/>
              </w:rPr>
              <w:t>•</w:t>
            </w:r>
            <w:r w:rsidRPr="00231866">
              <w:rPr>
                <w:lang w:val="fr-FR"/>
              </w:rPr>
              <w:tab/>
              <w:t>L'</w:t>
            </w:r>
            <w:r w:rsidRPr="00231866">
              <w:rPr>
                <w:b/>
                <w:bCs/>
                <w:lang w:val="fr-FR"/>
              </w:rPr>
              <w:t>initiative de politique et de régulation pour le numérique en Afrique (PRIDA)</w:t>
            </w:r>
            <w:r w:rsidRPr="00231866">
              <w:rPr>
                <w:lang w:val="fr-FR"/>
              </w:rPr>
              <w:t xml:space="preserve"> menée conjointement par l'UIT, l'Union africaine et l'UE a continué de fournir un appui aux pays bénéficiaires, notamment en ce qui concerne la valorisation du dividende numérique aux </w:t>
            </w:r>
            <w:r w:rsidRPr="00231866">
              <w:rPr>
                <w:b/>
                <w:bCs/>
                <w:lang w:val="fr-FR"/>
              </w:rPr>
              <w:t>Comores</w:t>
            </w:r>
            <w:r w:rsidRPr="00231866">
              <w:rPr>
                <w:lang w:val="fr-FR"/>
              </w:rPr>
              <w:t xml:space="preserve">, la formation de formateurs concernant l'accord sur la méthode de calcul harmonisée pour l'Afrique (HCM4A) organisée au </w:t>
            </w:r>
            <w:r w:rsidRPr="00231866">
              <w:rPr>
                <w:b/>
                <w:bCs/>
                <w:lang w:val="fr-FR"/>
              </w:rPr>
              <w:t>Kenya</w:t>
            </w:r>
            <w:r w:rsidRPr="00231866">
              <w:rPr>
                <w:lang w:val="fr-FR"/>
              </w:rPr>
              <w:t xml:space="preserve">, la formation destinée à plusieurs experts dans le domaine des communications aéronautiques et maritimes ainsi que des obligations internationales incombant aux pays afin de mettre en œuvre des services de recherche et de sauvetage (SAR) organisée en Tanzanie et au Sénégal, ainsi qu'une formation sur le contrôle des émissions, pour ne donner que quelques exemples. En outre, le travail d'élaboration d'un tableau national d'attribution des fréquences a commencé en </w:t>
            </w:r>
            <w:r w:rsidRPr="00231866">
              <w:rPr>
                <w:b/>
                <w:bCs/>
                <w:lang w:val="fr-FR"/>
              </w:rPr>
              <w:t>Libye</w:t>
            </w:r>
            <w:r w:rsidRPr="00231866">
              <w:rPr>
                <w:lang w:val="fr-FR"/>
              </w:rPr>
              <w:t xml:space="preserve">, en </w:t>
            </w:r>
            <w:r w:rsidRPr="00231866">
              <w:rPr>
                <w:b/>
                <w:bCs/>
                <w:lang w:val="fr-FR"/>
              </w:rPr>
              <w:t xml:space="preserve">Somalie </w:t>
            </w:r>
            <w:r w:rsidRPr="00231866">
              <w:rPr>
                <w:lang w:val="fr-FR"/>
              </w:rPr>
              <w:t xml:space="preserve">et au </w:t>
            </w:r>
            <w:r w:rsidRPr="00231866">
              <w:rPr>
                <w:b/>
                <w:bCs/>
                <w:lang w:val="fr-FR"/>
              </w:rPr>
              <w:t>Soudan</w:t>
            </w:r>
            <w:r w:rsidRPr="00231866">
              <w:rPr>
                <w:lang w:val="fr-FR"/>
              </w:rPr>
              <w:t>. À ce jour, l'accord HCM4A a été signé par 42 pays du continent, et des discussions sont en cours avec d'autres pays.</w:t>
            </w:r>
          </w:p>
        </w:tc>
      </w:tr>
      <w:tr w:rsidR="000A5084" w:rsidRPr="00231866" w14:paraId="0DE01D13"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9C82842" w14:textId="77777777" w:rsidR="000A5084" w:rsidRPr="000A5084" w:rsidRDefault="000A5084" w:rsidP="000A5084">
            <w:pPr>
              <w:pStyle w:val="enumlev1"/>
              <w:keepLines/>
              <w:jc w:val="left"/>
              <w:rPr>
                <w:lang w:val="fr-FR"/>
              </w:rPr>
            </w:pPr>
            <w:r w:rsidRPr="000A5084">
              <w:rPr>
                <w:lang w:val="fr-FR"/>
              </w:rPr>
              <w:lastRenderedPageBreak/>
              <w:t>•</w:t>
            </w:r>
            <w:r w:rsidRPr="000A5084">
              <w:rPr>
                <w:lang w:val="fr-FR"/>
              </w:rPr>
              <w:tab/>
              <w:t xml:space="preserve">Dans le cadre de la contribution de l'UIT, le BDT a participé aux activités récentes du Bureau de l'Envoyé du Secrétaire général pour les technologies, notamment à la consultation sur la portée et les modalités d'un </w:t>
            </w:r>
            <w:r w:rsidRPr="000A5084">
              <w:rPr>
                <w:b/>
                <w:bCs/>
                <w:lang w:val="fr-FR"/>
              </w:rPr>
              <w:t>Pacte numérique mondial</w:t>
            </w:r>
            <w:r w:rsidRPr="000A5084">
              <w:rPr>
                <w:lang w:val="fr-FR"/>
              </w:rPr>
              <w:t>, conjointement avec le Secrétariat général et les autres Bureaux de l'UIT. Ce travail s'inscrit dans le cadre d'une série d'activités déployées à l'échelle des Nations Unies pour renforcer la coopération internationale et faire fond sur le rapport du Secrétaire général de l'ONU "Notre programme commun".</w:t>
            </w:r>
          </w:p>
          <w:p w14:paraId="700F1687" w14:textId="3EBD5B52" w:rsidR="000A5084" w:rsidRPr="00231866" w:rsidRDefault="000A5084" w:rsidP="000A5084">
            <w:pPr>
              <w:spacing w:after="120"/>
              <w:jc w:val="left"/>
              <w:rPr>
                <w:lang w:val="fr-FR"/>
              </w:rPr>
            </w:pPr>
            <w:r w:rsidRPr="000A5084">
              <w:rPr>
                <w:lang w:val="fr-FR"/>
              </w:rPr>
              <w:t xml:space="preserve">On trouvera de plus amples informations sur les efforts déployés par le BDT dans le domaine de la mobilisation de ressources et des partenariats dans le </w:t>
            </w:r>
            <w:r w:rsidRPr="00C75999">
              <w:rPr>
                <w:highlight w:val="yellow"/>
                <w:lang w:val="fr-FR"/>
              </w:rPr>
              <w:t>Document 4 et dans le Document INF/1 du GCDT</w:t>
            </w:r>
            <w:r w:rsidRPr="000A5084">
              <w:rPr>
                <w:lang w:val="fr-FR"/>
              </w:rPr>
              <w:t>.</w:t>
            </w:r>
          </w:p>
        </w:tc>
      </w:tr>
    </w:tbl>
    <w:p w14:paraId="52DDA431" w14:textId="77777777" w:rsidR="00BC680E" w:rsidRPr="00231866" w:rsidRDefault="00BC680E" w:rsidP="00BC680E">
      <w:pPr>
        <w:pStyle w:val="Heading2"/>
        <w:spacing w:after="240"/>
        <w:rPr>
          <w:lang w:val="fr-FR"/>
        </w:rPr>
      </w:pPr>
      <w:r w:rsidRPr="00231866">
        <w:rPr>
          <w:lang w:val="fr-FR"/>
        </w:rPr>
        <w:t>3.6</w:t>
      </w:r>
      <w:r w:rsidRPr="00231866">
        <w:rPr>
          <w:lang w:val="fr-FR"/>
        </w:rPr>
        <w:tab/>
        <w:t>Catalyseur 1 de l'UIT-D: Travaux reposant sur les contributions des membres</w:t>
      </w:r>
    </w:p>
    <w:tbl>
      <w:tblPr>
        <w:tblStyle w:val="GridTable2-Accent1"/>
        <w:tblW w:w="13466" w:type="dxa"/>
        <w:tblInd w:w="27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1710"/>
        <w:gridCol w:w="3960"/>
        <w:gridCol w:w="2410"/>
        <w:gridCol w:w="2835"/>
        <w:gridCol w:w="1084"/>
        <w:gridCol w:w="1467"/>
      </w:tblGrid>
      <w:tr w:rsidR="00BC680E" w:rsidRPr="00231866" w14:paraId="7BAAD4C7" w14:textId="77777777" w:rsidTr="001C13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95B3D7" w:themeColor="accent1" w:themeTint="99"/>
              <w:right w:val="single" w:sz="4" w:space="0" w:color="95B3D7" w:themeColor="accent1" w:themeTint="99"/>
            </w:tcBorders>
          </w:tcPr>
          <w:p w14:paraId="1BF0BD8D" w14:textId="77777777" w:rsidR="00BC680E" w:rsidRPr="00231866" w:rsidRDefault="00BC680E" w:rsidP="00FA497F">
            <w:pPr>
              <w:pStyle w:val="Tablehead"/>
              <w:keepLines/>
              <w:rPr>
                <w:b/>
                <w:bCs w:val="0"/>
                <w:sz w:val="18"/>
                <w:szCs w:val="18"/>
                <w:lang w:val="fr-FR"/>
              </w:rPr>
            </w:pPr>
            <w:r w:rsidRPr="00231866">
              <w:rPr>
                <w:b/>
                <w:bCs w:val="0"/>
                <w:sz w:val="18"/>
                <w:szCs w:val="18"/>
                <w:lang w:val="fr-FR"/>
              </w:rPr>
              <w:t>Thème</w:t>
            </w:r>
          </w:p>
        </w:tc>
        <w:tc>
          <w:tcPr>
            <w:tcW w:w="3960" w:type="dxa"/>
            <w:tcBorders>
              <w:top w:val="single" w:sz="4" w:space="0" w:color="95B3D7" w:themeColor="accent1" w:themeTint="99"/>
              <w:left w:val="single" w:sz="4" w:space="0" w:color="95B3D7" w:themeColor="accent1" w:themeTint="99"/>
              <w:right w:val="single" w:sz="4" w:space="0" w:color="95B3D7" w:themeColor="accent1" w:themeTint="99"/>
            </w:tcBorders>
          </w:tcPr>
          <w:p w14:paraId="7DA48437" w14:textId="77777777" w:rsidR="00BC680E" w:rsidRPr="00231866" w:rsidRDefault="00BC680E" w:rsidP="00FA497F">
            <w:pPr>
              <w:pStyle w:val="Tablehead"/>
              <w:keepLines/>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Réalisation</w:t>
            </w:r>
          </w:p>
        </w:tc>
        <w:tc>
          <w:tcPr>
            <w:tcW w:w="2410" w:type="dxa"/>
            <w:tcBorders>
              <w:top w:val="single" w:sz="4" w:space="0" w:color="95B3D7" w:themeColor="accent1" w:themeTint="99"/>
              <w:left w:val="single" w:sz="4" w:space="0" w:color="95B3D7" w:themeColor="accent1" w:themeTint="99"/>
              <w:right w:val="single" w:sz="4" w:space="0" w:color="95B3D7" w:themeColor="accent1" w:themeTint="99"/>
            </w:tcBorders>
          </w:tcPr>
          <w:p w14:paraId="2B712273" w14:textId="77777777" w:rsidR="00BC680E" w:rsidRPr="00231866" w:rsidRDefault="00BC680E" w:rsidP="00FA497F">
            <w:pPr>
              <w:pStyle w:val="Tablehead"/>
              <w:keepLines/>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Produits</w:t>
            </w:r>
            <w:r w:rsidRPr="00231866">
              <w:rPr>
                <w:b/>
                <w:bCs w:val="0"/>
                <w:sz w:val="18"/>
                <w:szCs w:val="18"/>
                <w:lang w:val="fr-FR"/>
              </w:rPr>
              <w:br/>
              <w:t>(Produits et services)</w:t>
            </w:r>
          </w:p>
        </w:tc>
        <w:tc>
          <w:tcPr>
            <w:tcW w:w="2835" w:type="dxa"/>
            <w:tcBorders>
              <w:top w:val="single" w:sz="4" w:space="0" w:color="95B3D7" w:themeColor="accent1" w:themeTint="99"/>
              <w:left w:val="single" w:sz="4" w:space="0" w:color="95B3D7" w:themeColor="accent1" w:themeTint="99"/>
              <w:right w:val="single" w:sz="4" w:space="0" w:color="95B3D7" w:themeColor="accent1" w:themeTint="99"/>
            </w:tcBorders>
          </w:tcPr>
          <w:p w14:paraId="2E4361FB" w14:textId="77777777" w:rsidR="00BC680E" w:rsidRPr="00231866" w:rsidRDefault="00BC680E" w:rsidP="00FA497F">
            <w:pPr>
              <w:pStyle w:val="Tablehead"/>
              <w:keepLines/>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Indicateurs fondamentaux de performance*</w:t>
            </w:r>
          </w:p>
        </w:tc>
        <w:tc>
          <w:tcPr>
            <w:tcW w:w="1084" w:type="dxa"/>
            <w:tcBorders>
              <w:top w:val="single" w:sz="4" w:space="0" w:color="95B3D7" w:themeColor="accent1" w:themeTint="99"/>
              <w:left w:val="single" w:sz="4" w:space="0" w:color="95B3D7" w:themeColor="accent1" w:themeTint="99"/>
              <w:right w:val="single" w:sz="4" w:space="0" w:color="95B3D7" w:themeColor="accent1" w:themeTint="99"/>
            </w:tcBorders>
          </w:tcPr>
          <w:p w14:paraId="6A12A99B" w14:textId="77777777" w:rsidR="00BC680E" w:rsidRPr="00231866" w:rsidRDefault="00BC680E" w:rsidP="00FA497F">
            <w:pPr>
              <w:pStyle w:val="Tablehead"/>
              <w:keepLines/>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Budget 2023</w:t>
            </w:r>
            <w:r w:rsidRPr="00231866">
              <w:rPr>
                <w:b/>
                <w:bCs w:val="0"/>
                <w:sz w:val="18"/>
                <w:szCs w:val="18"/>
                <w:lang w:val="fr-FR"/>
              </w:rPr>
              <w:br/>
              <w:t>(en CHF)</w:t>
            </w:r>
          </w:p>
        </w:tc>
        <w:tc>
          <w:tcPr>
            <w:tcW w:w="1467" w:type="dxa"/>
            <w:tcBorders>
              <w:top w:val="single" w:sz="4" w:space="0" w:color="95B3D7" w:themeColor="accent1" w:themeTint="99"/>
              <w:left w:val="single" w:sz="4" w:space="0" w:color="95B3D7" w:themeColor="accent1" w:themeTint="99"/>
            </w:tcBorders>
            <w:noWrap/>
          </w:tcPr>
          <w:p w14:paraId="69018DD3" w14:textId="77777777" w:rsidR="00BC680E" w:rsidRPr="00231866" w:rsidRDefault="00BC680E" w:rsidP="00FA497F">
            <w:pPr>
              <w:pStyle w:val="Tablehead"/>
              <w:keepLines/>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 du total général</w:t>
            </w:r>
          </w:p>
        </w:tc>
      </w:tr>
      <w:tr w:rsidR="00BC680E" w:rsidRPr="00231866" w14:paraId="7B38B01D" w14:textId="77777777" w:rsidTr="00FA4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63B1E388" w14:textId="77777777" w:rsidR="00BC680E" w:rsidRPr="00231866" w:rsidRDefault="00BC680E" w:rsidP="00FA497F">
            <w:pPr>
              <w:pStyle w:val="Tabletext"/>
              <w:keepNext/>
              <w:keepLines/>
              <w:jc w:val="left"/>
              <w:rPr>
                <w:sz w:val="18"/>
                <w:szCs w:val="18"/>
                <w:lang w:val="fr-FR"/>
              </w:rPr>
            </w:pPr>
            <w:r w:rsidRPr="00231866">
              <w:rPr>
                <w:sz w:val="18"/>
                <w:szCs w:val="18"/>
                <w:lang w:val="fr-FR"/>
              </w:rPr>
              <w:t>Transversal</w:t>
            </w:r>
          </w:p>
        </w:tc>
        <w:tc>
          <w:tcPr>
            <w:tcW w:w="3960" w:type="dxa"/>
            <w:hideMark/>
          </w:tcPr>
          <w:p w14:paraId="3A72C162" w14:textId="77777777" w:rsidR="00BC680E" w:rsidRPr="00231866" w:rsidRDefault="00BC680E" w:rsidP="00FA497F">
            <w:pPr>
              <w:pStyle w:val="Tabletext"/>
              <w:keepNext/>
              <w:keepLines/>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Renforcement de la mise en œuvre des Résolutions de la CMDT</w:t>
            </w:r>
          </w:p>
          <w:p w14:paraId="5F71926F" w14:textId="77777777" w:rsidR="00BC680E" w:rsidRPr="00231866" w:rsidRDefault="00BC680E" w:rsidP="00FA497F">
            <w:pPr>
              <w:pStyle w:val="Tabletext"/>
              <w:keepNext/>
              <w:keepLines/>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Renforcement de l'échange de connaissances, de la recherche-développement, du dialogue et des partenariats entre les membres de l'UIT concernant les questions de télécommunication/TIC</w:t>
            </w:r>
          </w:p>
        </w:tc>
        <w:tc>
          <w:tcPr>
            <w:tcW w:w="2410" w:type="dxa"/>
            <w:hideMark/>
          </w:tcPr>
          <w:p w14:paraId="230B9141" w14:textId="77777777" w:rsidR="00BC680E" w:rsidRPr="00231866" w:rsidRDefault="00BC680E" w:rsidP="00FA497F">
            <w:pPr>
              <w:pStyle w:val="Tabletext"/>
              <w:keepNext/>
              <w:keepLines/>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Plates-formes fédératrices</w:t>
            </w:r>
          </w:p>
        </w:tc>
        <w:tc>
          <w:tcPr>
            <w:tcW w:w="2835" w:type="dxa"/>
            <w:hideMark/>
          </w:tcPr>
          <w:p w14:paraId="0DD037CB" w14:textId="77777777" w:rsidR="00BC680E" w:rsidRPr="00231866" w:rsidRDefault="00BC680E" w:rsidP="00FA497F">
            <w:pPr>
              <w:pStyle w:val="Tabletext"/>
              <w:keepNext/>
              <w:keepLines/>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Nombre de nouveaux Membres de l'UIT-D</w:t>
            </w:r>
          </w:p>
          <w:p w14:paraId="07F91DAC" w14:textId="77777777" w:rsidR="00BC680E" w:rsidRPr="00231866" w:rsidRDefault="00BC680E" w:rsidP="00FA497F">
            <w:pPr>
              <w:pStyle w:val="Tabletext"/>
              <w:keepNext/>
              <w:keepLines/>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sz w:val="18"/>
                <w:szCs w:val="18"/>
                <w:lang w:val="fr-FR"/>
              </w:rPr>
              <w:t>•</w:t>
            </w:r>
            <w:r w:rsidRPr="00231866">
              <w:rPr>
                <w:sz w:val="18"/>
                <w:szCs w:val="18"/>
                <w:lang w:val="fr-FR"/>
              </w:rPr>
              <w:tab/>
              <w:t>Nombre de participants aux réunions statutaires du BDT</w:t>
            </w:r>
          </w:p>
        </w:tc>
        <w:tc>
          <w:tcPr>
            <w:tcW w:w="1084" w:type="dxa"/>
            <w:hideMark/>
          </w:tcPr>
          <w:p w14:paraId="7AF4086D" w14:textId="77777777" w:rsidR="00BC680E" w:rsidRPr="00231866" w:rsidRDefault="00BC680E" w:rsidP="00FA497F">
            <w:pPr>
              <w:pStyle w:val="Tabletext"/>
              <w:keepNext/>
              <w:keepLines/>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231866">
              <w:rPr>
                <w:b/>
                <w:bCs/>
                <w:sz w:val="18"/>
                <w:szCs w:val="18"/>
                <w:lang w:val="fr-FR"/>
              </w:rPr>
              <w:t>15 000</w:t>
            </w:r>
          </w:p>
        </w:tc>
        <w:tc>
          <w:tcPr>
            <w:tcW w:w="1467" w:type="dxa"/>
            <w:noWrap/>
            <w:hideMark/>
          </w:tcPr>
          <w:p w14:paraId="7EF43F98" w14:textId="77777777" w:rsidR="00BC680E" w:rsidRPr="00231866" w:rsidRDefault="00BC680E" w:rsidP="00FA497F">
            <w:pPr>
              <w:pStyle w:val="Tabletext"/>
              <w:keepNext/>
              <w:keepLines/>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231866">
              <w:rPr>
                <w:b/>
                <w:bCs/>
                <w:sz w:val="18"/>
                <w:szCs w:val="18"/>
                <w:lang w:val="fr-FR"/>
              </w:rPr>
              <w:t>0,4%</w:t>
            </w:r>
          </w:p>
        </w:tc>
      </w:tr>
    </w:tbl>
    <w:p w14:paraId="48C93927" w14:textId="77777777" w:rsidR="00BC680E" w:rsidRDefault="00BC680E" w:rsidP="00BC680E">
      <w:pPr>
        <w:pStyle w:val="Tablelegend"/>
        <w:spacing w:after="240"/>
        <w:ind w:left="284" w:hanging="284"/>
        <w:rPr>
          <w:lang w:val="fr-FR"/>
        </w:rPr>
      </w:pPr>
      <w:r w:rsidRPr="00231866">
        <w:rPr>
          <w:lang w:val="fr-FR"/>
        </w:rPr>
        <w:t>*</w:t>
      </w:r>
      <w:r w:rsidRPr="00231866">
        <w:rPr>
          <w:lang w:val="fr-FR"/>
        </w:rPr>
        <w:tab/>
        <w:t>Ces indicateurs fondamentaux de performance pourraient être encore affinés à mesure que la mise en œuvre du Plan d'action de Kigali progresse afin de mieux rendre compte des résultats obtenus.</w:t>
      </w:r>
    </w:p>
    <w:p w14:paraId="3E4B060C" w14:textId="5F33D339" w:rsidR="000A5084" w:rsidRDefault="000A5084">
      <w:pPr>
        <w:tabs>
          <w:tab w:val="clear" w:pos="794"/>
          <w:tab w:val="clear" w:pos="1191"/>
          <w:tab w:val="clear" w:pos="1588"/>
          <w:tab w:val="clear" w:pos="1985"/>
        </w:tabs>
        <w:overflowPunct/>
        <w:autoSpaceDE/>
        <w:autoSpaceDN/>
        <w:adjustRightInd/>
        <w:spacing w:before="0"/>
        <w:jc w:val="left"/>
        <w:textAlignment w:val="auto"/>
        <w:rPr>
          <w:sz w:val="22"/>
          <w:lang w:val="fr-FR"/>
        </w:rPr>
      </w:pPr>
      <w:r>
        <w:rPr>
          <w:lang w:val="fr-FR"/>
        </w:rPr>
        <w:br w:type="page"/>
      </w:r>
    </w:p>
    <w:tbl>
      <w:tblPr>
        <w:tblStyle w:val="TableGrid"/>
        <w:tblW w:w="0" w:type="auto"/>
        <w:tblInd w:w="274" w:type="dxa"/>
        <w:tblLayout w:type="fixed"/>
        <w:tblLook w:val="04A0" w:firstRow="1" w:lastRow="0" w:firstColumn="1" w:lastColumn="0" w:noHBand="0" w:noVBand="1"/>
      </w:tblPr>
      <w:tblGrid>
        <w:gridCol w:w="13466"/>
      </w:tblGrid>
      <w:tr w:rsidR="00BC680E" w:rsidRPr="00231866" w14:paraId="736208E1"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AA2674E" w14:textId="77777777" w:rsidR="00BC680E" w:rsidRPr="00231866" w:rsidRDefault="00BC680E" w:rsidP="00FA497F">
            <w:pPr>
              <w:spacing w:after="120"/>
              <w:jc w:val="left"/>
              <w:rPr>
                <w:lang w:val="fr-FR"/>
              </w:rPr>
            </w:pPr>
            <w:r w:rsidRPr="00231866">
              <w:rPr>
                <w:b/>
                <w:bCs/>
                <w:lang w:val="fr-FR"/>
              </w:rPr>
              <w:lastRenderedPageBreak/>
              <w:t>Principales mesures mises en œuvre en 2023: Catalyseur 4 de l'UIT-D – Travaux reposant sur les contributions des membres</w:t>
            </w:r>
          </w:p>
        </w:tc>
      </w:tr>
      <w:tr w:rsidR="00BC680E" w:rsidRPr="00231866" w14:paraId="6121683D"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2FB8F03" w14:textId="77777777" w:rsidR="00BC680E" w:rsidRPr="00231866" w:rsidRDefault="00BC680E" w:rsidP="00FA497F">
            <w:pPr>
              <w:pStyle w:val="Headingb"/>
              <w:keepNext w:val="0"/>
              <w:jc w:val="left"/>
              <w:rPr>
                <w:i/>
                <w:iCs/>
                <w:lang w:val="fr-FR"/>
              </w:rPr>
            </w:pPr>
            <w:r w:rsidRPr="00231866">
              <w:rPr>
                <w:i/>
                <w:iCs/>
                <w:lang w:val="fr-FR"/>
              </w:rPr>
              <w:t>Commissions d'études (CE) de l'UIT-D</w:t>
            </w:r>
          </w:p>
          <w:p w14:paraId="57AA0F86" w14:textId="77777777" w:rsidR="00BC680E" w:rsidRPr="00231866" w:rsidRDefault="00BC680E" w:rsidP="00FA497F">
            <w:pPr>
              <w:jc w:val="left"/>
              <w:rPr>
                <w:lang w:val="fr-FR"/>
              </w:rPr>
            </w:pPr>
            <w:r w:rsidRPr="00231866">
              <w:rPr>
                <w:lang w:val="fr-FR"/>
              </w:rPr>
              <w:t xml:space="preserve">La </w:t>
            </w:r>
            <w:hyperlink r:id="rId48" w:history="1">
              <w:r w:rsidRPr="00231866">
                <w:rPr>
                  <w:rStyle w:val="Hyperlink"/>
                  <w:b/>
                  <w:bCs/>
                  <w:lang w:val="fr-FR"/>
                </w:rPr>
                <w:t>première série de réunions des Groupes du Rapporteur</w:t>
              </w:r>
              <w:r w:rsidRPr="00231866">
                <w:rPr>
                  <w:lang w:val="fr-FR"/>
                </w:rPr>
                <w:t xml:space="preserve"> des commissions d'études</w:t>
              </w:r>
            </w:hyperlink>
            <w:r w:rsidRPr="00231866">
              <w:rPr>
                <w:lang w:val="fr-FR"/>
              </w:rPr>
              <w:t xml:space="preserve"> de l'UIT-D a lieu du 8 mai au 2 juin. Les Groupes du Rapporteur devraient prendre des décisions sur la manière dont les contributions soumises par les membres de l'UIT-D et dans le cadre d'ateliers publics seront utilisées dans les résultats des travaux sur les Questions. Les participants à ces réunions élaboreront des programmes de travail actualisés pour les Questions, la table des matières des rapports finals et des notes de liaison à envoyer pour permettre une collaboration ciblée, et se mettront d'accord sur les produits intérimaires et les ateliers. Dans le cadre des réunions des Groupes du Rapporteur, des ateliers thématiques publics et des sessions spécialisées ont pour objectifs de produire des contenus supplémentaires, en particulier grâce à la participation d'entités non-membres de l'UIT-D, afin de renforcer les travaux menés au titre des Questions confiées aux commissions d'études de l'UIT-D.</w:t>
            </w:r>
          </w:p>
          <w:p w14:paraId="322272AE" w14:textId="77777777" w:rsidR="00BC680E" w:rsidRPr="00231866" w:rsidRDefault="00BC680E" w:rsidP="00FA497F">
            <w:pPr>
              <w:jc w:val="left"/>
              <w:rPr>
                <w:lang w:val="fr-FR"/>
              </w:rPr>
            </w:pPr>
            <w:r w:rsidRPr="00231866">
              <w:rPr>
                <w:lang w:val="fr-FR"/>
              </w:rPr>
              <w:t xml:space="preserve">Afin de donner davantage de visibilité aux travaux du BDT et d'attirer de nouveaux membres, la </w:t>
            </w:r>
            <w:r w:rsidRPr="00231866">
              <w:rPr>
                <w:b/>
                <w:bCs/>
                <w:lang w:val="fr-FR"/>
              </w:rPr>
              <w:t xml:space="preserve">Commission d'études 1 de l'UIT-D </w:t>
            </w:r>
            <w:r w:rsidRPr="00231866">
              <w:rPr>
                <w:lang w:val="fr-FR"/>
              </w:rPr>
              <w:t>a organisé sept ateliers publics portant sur différentes Questions pour les sujets en lien avec la "Mise en place d'un environnement propice à une connectivité efficace", animés par des experts du BDT, à savoir:</w:t>
            </w:r>
          </w:p>
          <w:p w14:paraId="6E963F5F" w14:textId="77777777" w:rsidR="00BC680E" w:rsidRPr="00231866" w:rsidRDefault="00BC680E" w:rsidP="00FA497F">
            <w:pPr>
              <w:pStyle w:val="enumlev1"/>
              <w:jc w:val="left"/>
              <w:rPr>
                <w:lang w:val="fr-FR"/>
              </w:rPr>
            </w:pPr>
            <w:r w:rsidRPr="00231866">
              <w:rPr>
                <w:lang w:val="fr-FR"/>
              </w:rPr>
              <w:t>•</w:t>
            </w:r>
            <w:r w:rsidRPr="00231866">
              <w:rPr>
                <w:lang w:val="fr-FR"/>
              </w:rPr>
              <w:tab/>
            </w:r>
            <w:hyperlink r:id="rId49" w:tgtFrame="_blank" w:history="1">
              <w:r w:rsidRPr="00231866">
                <w:rPr>
                  <w:rStyle w:val="Hyperlink"/>
                  <w:lang w:val="fr-FR"/>
                </w:rPr>
                <w:t>"Connectivité efficace: innovation et accélération"</w:t>
              </w:r>
              <w:r w:rsidRPr="00231866">
                <w:rPr>
                  <w:lang w:val="fr-FR"/>
                </w:rPr>
                <w:t>, organisé par le Service de l'innovation du BDT</w:t>
              </w:r>
            </w:hyperlink>
            <w:r w:rsidRPr="00231866">
              <w:rPr>
                <w:lang w:val="fr-FR"/>
              </w:rPr>
              <w:t>.</w:t>
            </w:r>
          </w:p>
          <w:p w14:paraId="150A0844" w14:textId="77777777" w:rsidR="00BC680E" w:rsidRPr="00231866" w:rsidRDefault="00BC680E" w:rsidP="00FA497F">
            <w:pPr>
              <w:pStyle w:val="enumlev1"/>
              <w:jc w:val="left"/>
              <w:rPr>
                <w:lang w:val="fr-FR"/>
              </w:rPr>
            </w:pPr>
            <w:r w:rsidRPr="00231866">
              <w:rPr>
                <w:lang w:val="fr-FR"/>
              </w:rPr>
              <w:t>•</w:t>
            </w:r>
            <w:r w:rsidRPr="00231866">
              <w:rPr>
                <w:lang w:val="fr-FR"/>
              </w:rPr>
              <w:tab/>
            </w:r>
            <w:hyperlink r:id="rId50" w:tgtFrame="_blank" w:history="1">
              <w:r w:rsidRPr="00231866">
                <w:rPr>
                  <w:rStyle w:val="Hyperlink"/>
                  <w:lang w:val="fr-FR"/>
                </w:rPr>
                <w:t>"Au-delà de l'universalité: une connectivité efficace – Un impératif"</w:t>
              </w:r>
              <w:r w:rsidRPr="00231866">
                <w:rPr>
                  <w:lang w:val="fr-FR"/>
                </w:rPr>
                <w:t>, organisé par la Division des données et des analyses sur les TIC</w:t>
              </w:r>
            </w:hyperlink>
            <w:r w:rsidRPr="00231866">
              <w:rPr>
                <w:lang w:val="fr-FR"/>
              </w:rPr>
              <w:t>.</w:t>
            </w:r>
          </w:p>
          <w:p w14:paraId="3CEBC9C8" w14:textId="77777777" w:rsidR="00BC680E" w:rsidRPr="00231866" w:rsidRDefault="00BC680E" w:rsidP="00FA497F">
            <w:pPr>
              <w:pStyle w:val="enumlev1"/>
              <w:jc w:val="left"/>
              <w:rPr>
                <w:lang w:val="fr-FR"/>
              </w:rPr>
            </w:pPr>
            <w:r w:rsidRPr="00231866">
              <w:rPr>
                <w:lang w:val="fr-FR"/>
              </w:rPr>
              <w:t>•</w:t>
            </w:r>
            <w:r w:rsidRPr="00231866">
              <w:rPr>
                <w:lang w:val="fr-FR"/>
              </w:rPr>
              <w:tab/>
            </w:r>
            <w:hyperlink r:id="rId51" w:tgtFrame="_blank" w:history="1">
              <w:r w:rsidRPr="00231866">
                <w:rPr>
                  <w:rStyle w:val="Hyperlink"/>
                  <w:lang w:val="fr-FR"/>
                </w:rPr>
                <w:t>"Une connectivité efficace: la clé de la durabilité"</w:t>
              </w:r>
              <w:r w:rsidRPr="00231866">
                <w:rPr>
                  <w:lang w:val="fr-FR"/>
                </w:rPr>
                <w:t>, organisé par la Division des initiatives spéciales</w:t>
              </w:r>
            </w:hyperlink>
            <w:r w:rsidRPr="00231866">
              <w:rPr>
                <w:lang w:val="fr-FR"/>
              </w:rPr>
              <w:t>.</w:t>
            </w:r>
          </w:p>
          <w:p w14:paraId="3CA8D686" w14:textId="77777777" w:rsidR="00BC680E" w:rsidRPr="00231866" w:rsidRDefault="00BC680E" w:rsidP="00FA497F">
            <w:pPr>
              <w:pStyle w:val="enumlev1"/>
              <w:jc w:val="left"/>
              <w:rPr>
                <w:lang w:val="fr-FR"/>
              </w:rPr>
            </w:pPr>
            <w:r w:rsidRPr="00231866">
              <w:rPr>
                <w:lang w:val="fr-FR"/>
              </w:rPr>
              <w:t>•</w:t>
            </w:r>
            <w:r w:rsidRPr="00231866">
              <w:rPr>
                <w:lang w:val="fr-FR"/>
              </w:rPr>
              <w:tab/>
            </w:r>
            <w:hyperlink r:id="rId52" w:tgtFrame="_blank" w:history="1">
              <w:r w:rsidRPr="00231866">
                <w:rPr>
                  <w:rStyle w:val="Hyperlink"/>
                  <w:lang w:val="fr-FR"/>
                </w:rPr>
                <w:t>"Projets en faveur d'une connectivité efficace et incidences"</w:t>
              </w:r>
              <w:r w:rsidRPr="00231866">
                <w:rPr>
                  <w:lang w:val="fr-FR"/>
                </w:rPr>
                <w:t>, organisé par la Division de l'appui aux projets</w:t>
              </w:r>
            </w:hyperlink>
            <w:r w:rsidRPr="00231866">
              <w:rPr>
                <w:lang w:val="fr-FR"/>
              </w:rPr>
              <w:t>.</w:t>
            </w:r>
          </w:p>
          <w:p w14:paraId="343A967E" w14:textId="77777777" w:rsidR="00BC680E" w:rsidRPr="00231866" w:rsidRDefault="00BC680E" w:rsidP="00FA497F">
            <w:pPr>
              <w:pStyle w:val="enumlev1"/>
              <w:jc w:val="left"/>
              <w:rPr>
                <w:lang w:val="fr-FR"/>
              </w:rPr>
            </w:pPr>
            <w:r w:rsidRPr="00231866">
              <w:rPr>
                <w:lang w:val="fr-FR"/>
              </w:rPr>
              <w:t>•</w:t>
            </w:r>
            <w:r w:rsidRPr="00231866">
              <w:rPr>
                <w:lang w:val="fr-FR"/>
              </w:rPr>
              <w:tab/>
            </w:r>
            <w:hyperlink r:id="rId53" w:tgtFrame="_blank" w:history="1">
              <w:r w:rsidRPr="00231866">
                <w:rPr>
                  <w:rStyle w:val="Hyperlink"/>
                  <w:lang w:val="fr-FR"/>
                </w:rPr>
                <w:t>"Action menée au niveau régional en faveur d'une connectivité efficace"</w:t>
              </w:r>
              <w:r w:rsidRPr="00231866">
                <w:rPr>
                  <w:lang w:val="fr-FR"/>
                </w:rPr>
                <w:t>, organisé par les bureaux régionaux de l'UIT</w:t>
              </w:r>
            </w:hyperlink>
            <w:r w:rsidRPr="00231866">
              <w:rPr>
                <w:lang w:val="fr-FR"/>
              </w:rPr>
              <w:t>.</w:t>
            </w:r>
          </w:p>
          <w:p w14:paraId="46AC2203" w14:textId="77777777" w:rsidR="00BC680E" w:rsidRPr="00231866" w:rsidRDefault="00BC680E" w:rsidP="00FA497F">
            <w:pPr>
              <w:pStyle w:val="enumlev1"/>
              <w:jc w:val="left"/>
              <w:rPr>
                <w:lang w:val="fr-FR"/>
              </w:rPr>
            </w:pPr>
            <w:r w:rsidRPr="00231866">
              <w:rPr>
                <w:lang w:val="fr-FR"/>
              </w:rPr>
              <w:t>•</w:t>
            </w:r>
            <w:r w:rsidRPr="00231866">
              <w:rPr>
                <w:lang w:val="fr-FR"/>
              </w:rPr>
              <w:tab/>
            </w:r>
            <w:hyperlink r:id="rId54" w:tgtFrame="_blank" w:history="1">
              <w:r w:rsidRPr="00231866">
                <w:rPr>
                  <w:rStyle w:val="Hyperlink"/>
                  <w:lang w:val="fr-FR"/>
                </w:rPr>
                <w:t>"Connectivité efficace: inclure les expertes et les jeunes spécialistes"</w:t>
              </w:r>
              <w:r w:rsidRPr="00231866">
                <w:rPr>
                  <w:lang w:val="fr-FR"/>
                </w:rPr>
                <w:t>, organisé par le Réseau de femmes, EQUALS &amp; Generation Connect</w:t>
              </w:r>
            </w:hyperlink>
            <w:r w:rsidRPr="00231866">
              <w:rPr>
                <w:lang w:val="fr-FR"/>
              </w:rPr>
              <w:t>.</w:t>
            </w:r>
          </w:p>
          <w:p w14:paraId="54A19672" w14:textId="77777777" w:rsidR="00BC680E" w:rsidRPr="00231866" w:rsidRDefault="00BC680E" w:rsidP="000A5084">
            <w:pPr>
              <w:spacing w:after="120"/>
              <w:jc w:val="left"/>
              <w:rPr>
                <w:lang w:val="fr-FR"/>
              </w:rPr>
            </w:pPr>
            <w:r w:rsidRPr="00231866">
              <w:rPr>
                <w:lang w:val="fr-FR"/>
              </w:rPr>
              <w:t>Une séance spécialisée sur le thème "</w:t>
            </w:r>
            <w:hyperlink r:id="rId55" w:history="1">
              <w:r w:rsidRPr="00231866">
                <w:rPr>
                  <w:rStyle w:val="Hyperlink"/>
                  <w:lang w:val="fr-FR"/>
                </w:rPr>
                <w:t>Comment les produits de la Commission d'études 1 de l'UIT-D sont-ils utilisés?</w:t>
              </w:r>
            </w:hyperlink>
            <w:r w:rsidRPr="00231866">
              <w:rPr>
                <w:lang w:val="fr-FR"/>
              </w:rPr>
              <w:t>" organisée par le Service de l'innovation du BDT, dont les résultats seront transmis au GCDT à sa réunion de 2023 par la Présidente de la CE 1 de l'UIT-D.</w:t>
            </w:r>
          </w:p>
          <w:p w14:paraId="56156695" w14:textId="77777777" w:rsidR="00BC680E" w:rsidRPr="00231866" w:rsidRDefault="00BC680E" w:rsidP="000A5084">
            <w:pPr>
              <w:keepNext/>
              <w:keepLines/>
              <w:jc w:val="left"/>
              <w:rPr>
                <w:lang w:val="fr-FR"/>
              </w:rPr>
            </w:pPr>
            <w:r w:rsidRPr="00231866">
              <w:rPr>
                <w:lang w:val="fr-FR"/>
              </w:rPr>
              <w:lastRenderedPageBreak/>
              <w:t>En outre, afin d'encourager la collaboration et de stimuler les synergies, une série d'ateliers ont été organisés parallèlement aux réunions des Groupes du Rapporteur:</w:t>
            </w:r>
          </w:p>
          <w:p w14:paraId="0E0D53CC" w14:textId="77777777" w:rsidR="00BC680E" w:rsidRPr="00231866" w:rsidRDefault="00BC680E" w:rsidP="000A5084">
            <w:pPr>
              <w:pStyle w:val="enumlev1"/>
              <w:keepNext/>
              <w:keepLines/>
              <w:jc w:val="left"/>
              <w:rPr>
                <w:lang w:val="fr-FR"/>
              </w:rPr>
            </w:pPr>
            <w:r w:rsidRPr="00231866">
              <w:rPr>
                <w:lang w:val="fr-FR"/>
              </w:rPr>
              <w:t>•</w:t>
            </w:r>
            <w:r w:rsidRPr="00231866">
              <w:rPr>
                <w:lang w:val="fr-FR"/>
              </w:rPr>
              <w:tab/>
              <w:t>Séance spéciale sur la radiodiffusion pour les nouvelles applications, organisée dans le cadre de la Question 2/1 de l'UIT-D.</w:t>
            </w:r>
          </w:p>
          <w:p w14:paraId="305481A4" w14:textId="77777777" w:rsidR="00BC680E" w:rsidRPr="00231866" w:rsidRDefault="00BC680E" w:rsidP="000A5084">
            <w:pPr>
              <w:pStyle w:val="enumlev1"/>
              <w:keepNext/>
              <w:keepLines/>
              <w:jc w:val="left"/>
              <w:rPr>
                <w:lang w:val="fr-FR"/>
              </w:rPr>
            </w:pPr>
            <w:r w:rsidRPr="00231866">
              <w:rPr>
                <w:lang w:val="fr-FR"/>
              </w:rPr>
              <w:t>•</w:t>
            </w:r>
            <w:r w:rsidRPr="00231866">
              <w:rPr>
                <w:lang w:val="fr-FR"/>
              </w:rPr>
              <w:tab/>
              <w:t xml:space="preserve">Atelier sur la </w:t>
            </w:r>
            <w:hyperlink r:id="rId56" w:history="1">
              <w:r w:rsidRPr="00231866">
                <w:rPr>
                  <w:rStyle w:val="Hyperlink"/>
                  <w:lang w:val="fr-FR"/>
                </w:rPr>
                <w:t>préparation aux situations d'urgence pour la gestion des catastrophes</w:t>
              </w:r>
            </w:hyperlink>
            <w:r w:rsidRPr="00231866">
              <w:rPr>
                <w:lang w:val="fr-FR"/>
              </w:rPr>
              <w:t>, organisé dans le cadre de la Question 3/1 de l'UIT-D.</w:t>
            </w:r>
          </w:p>
          <w:p w14:paraId="34FE43D3" w14:textId="77777777" w:rsidR="00BC680E" w:rsidRPr="00231866" w:rsidRDefault="00BC680E" w:rsidP="00FA497F">
            <w:pPr>
              <w:pStyle w:val="enumlev1"/>
              <w:jc w:val="left"/>
              <w:rPr>
                <w:lang w:val="fr-FR"/>
              </w:rPr>
            </w:pPr>
            <w:r w:rsidRPr="00231866">
              <w:rPr>
                <w:lang w:val="fr-FR"/>
              </w:rPr>
              <w:t>•</w:t>
            </w:r>
            <w:r w:rsidRPr="00231866">
              <w:rPr>
                <w:lang w:val="fr-FR"/>
              </w:rPr>
              <w:tab/>
              <w:t xml:space="preserve">Atelier conjoint dans le cadre des Questions 4/1 et 5/1, consacré aux </w:t>
            </w:r>
            <w:hyperlink r:id="rId57" w:history="1">
              <w:r w:rsidRPr="00231866">
                <w:rPr>
                  <w:rStyle w:val="Hyperlink"/>
                  <w:lang w:val="fr-FR"/>
                </w:rPr>
                <w:t>Problèmes et perspectives liés à l'utilisation des fonds de service universel pour réduire la fracture numérique</w:t>
              </w:r>
            </w:hyperlink>
            <w:r w:rsidRPr="00231866">
              <w:rPr>
                <w:lang w:val="fr-FR"/>
              </w:rPr>
              <w:t>.</w:t>
            </w:r>
          </w:p>
          <w:p w14:paraId="197CC7ED" w14:textId="77777777" w:rsidR="00BC680E" w:rsidRPr="00231866" w:rsidRDefault="00BC680E" w:rsidP="00FA497F">
            <w:pPr>
              <w:pStyle w:val="enumlev1"/>
              <w:jc w:val="left"/>
              <w:rPr>
                <w:lang w:val="fr-FR"/>
              </w:rPr>
            </w:pPr>
            <w:r w:rsidRPr="00231866">
              <w:rPr>
                <w:lang w:val="fr-FR"/>
              </w:rPr>
              <w:t>•</w:t>
            </w:r>
            <w:r w:rsidRPr="00231866">
              <w:rPr>
                <w:lang w:val="fr-FR"/>
              </w:rPr>
              <w:tab/>
              <w:t>Atelier sur le thème "</w:t>
            </w:r>
            <w:hyperlink r:id="rId58" w:history="1">
              <w:r w:rsidRPr="00231866">
                <w:rPr>
                  <w:rStyle w:val="Hyperlink"/>
                  <w:lang w:val="fr-FR"/>
                </w:rPr>
                <w:t>Évolution des instruments réglementaires pour la protection du consommateur afin de permettre la transformation numérique</w:t>
              </w:r>
            </w:hyperlink>
            <w:r w:rsidRPr="00231866">
              <w:rPr>
                <w:lang w:val="fr-FR"/>
              </w:rPr>
              <w:t>", organisé dans le cadre de la Question 6/1 de l'UIT-D.</w:t>
            </w:r>
          </w:p>
          <w:p w14:paraId="630E9381" w14:textId="77777777" w:rsidR="00BC680E" w:rsidRPr="00231866" w:rsidRDefault="00BC680E" w:rsidP="00FA497F">
            <w:pPr>
              <w:pStyle w:val="enumlev1"/>
              <w:jc w:val="left"/>
              <w:rPr>
                <w:lang w:val="fr-FR"/>
              </w:rPr>
            </w:pPr>
            <w:r w:rsidRPr="00231866">
              <w:rPr>
                <w:lang w:val="fr-FR"/>
              </w:rPr>
              <w:t>•</w:t>
            </w:r>
            <w:r w:rsidRPr="00231866">
              <w:rPr>
                <w:lang w:val="fr-FR"/>
              </w:rPr>
              <w:tab/>
              <w:t>Atelier sur le thème "</w:t>
            </w:r>
            <w:hyperlink r:id="rId59" w:history="1">
              <w:r w:rsidRPr="00231866">
                <w:rPr>
                  <w:rStyle w:val="Hyperlink"/>
                  <w:lang w:val="fr-FR"/>
                </w:rPr>
                <w:t>Accessibilité des TIC: la clé d'une communication inclusive pour tous</w:t>
              </w:r>
            </w:hyperlink>
            <w:r w:rsidRPr="00231866">
              <w:rPr>
                <w:lang w:val="fr-FR"/>
              </w:rPr>
              <w:t>", organisé dans le cadre de la Question 7/1 de l'UIT-D.</w:t>
            </w:r>
          </w:p>
          <w:p w14:paraId="413DB5D9" w14:textId="77777777" w:rsidR="00BC680E" w:rsidRPr="00231866" w:rsidRDefault="00BC680E" w:rsidP="00FA497F">
            <w:pPr>
              <w:jc w:val="left"/>
              <w:rPr>
                <w:lang w:val="fr-FR"/>
              </w:rPr>
            </w:pPr>
            <w:r w:rsidRPr="00231866">
              <w:rPr>
                <w:lang w:val="fr-FR"/>
              </w:rPr>
              <w:t>Étant donné que les discussions sur la Question 2/1 avaient lieu au même moment que l'atelier de l'UIT sur "</w:t>
            </w:r>
            <w:hyperlink r:id="rId60" w:history="1">
              <w:r w:rsidRPr="00231866">
                <w:rPr>
                  <w:rStyle w:val="Hyperlink"/>
                  <w:lang w:val="fr-FR"/>
                </w:rPr>
                <w:t>L'avenir de la télévision pour l'Asie du Sud, les États arabes et l'Afrique</w:t>
              </w:r>
            </w:hyperlink>
            <w:r w:rsidRPr="00231866">
              <w:rPr>
                <w:lang w:val="fr-FR"/>
              </w:rPr>
              <w:t xml:space="preserve">", tenu à Bangalore (Inde), un Corapporteur pour la Question est intervenu en direct depuis Genève, ce qui a permis un échange fructueux d'idées et de données d'expérience. Le premier déjeuner du </w:t>
            </w:r>
            <w:hyperlink r:id="rId61" w:history="1">
              <w:r w:rsidRPr="00231866">
                <w:rPr>
                  <w:rStyle w:val="Hyperlink"/>
                  <w:lang w:val="fr-FR"/>
                </w:rPr>
                <w:t>Réseau des femmes (NoW)</w:t>
              </w:r>
            </w:hyperlink>
            <w:r w:rsidRPr="00231866">
              <w:rPr>
                <w:lang w:val="fr-FR"/>
              </w:rPr>
              <w:t xml:space="preserve"> organisé par les expertes de la CE 1 de l'UIT-D s'est déroulé le 15 mai et a permis de faire émerger des idées qui seront soumises au Conseil consultatif du Réseau.</w:t>
            </w:r>
          </w:p>
          <w:p w14:paraId="77761494" w14:textId="77777777" w:rsidR="00BC680E" w:rsidRPr="00231866" w:rsidRDefault="00BC680E" w:rsidP="00BC680E">
            <w:pPr>
              <w:keepLines/>
              <w:jc w:val="left"/>
              <w:rPr>
                <w:lang w:val="fr-FR"/>
              </w:rPr>
            </w:pPr>
            <w:r w:rsidRPr="00231866">
              <w:rPr>
                <w:lang w:val="fr-FR"/>
              </w:rPr>
              <w:t xml:space="preserve">Au total, 369 </w:t>
            </w:r>
            <w:hyperlink r:id="rId62" w:history="1">
              <w:r w:rsidRPr="00231866">
                <w:rPr>
                  <w:rStyle w:val="Hyperlink"/>
                  <w:lang w:val="fr-FR"/>
                </w:rPr>
                <w:t>participants</w:t>
              </w:r>
            </w:hyperlink>
            <w:r w:rsidRPr="00231866">
              <w:rPr>
                <w:lang w:val="fr-FR"/>
              </w:rPr>
              <w:t xml:space="preserve"> ont été annoncés pour les réunions des Groupes du Rapporteur de la CE 1 de l'UIT-D et pour les ateliers publics. Cent vingt-cinq </w:t>
            </w:r>
            <w:hyperlink r:id="rId63" w:history="1">
              <w:r w:rsidRPr="00231866">
                <w:rPr>
                  <w:rStyle w:val="Hyperlink"/>
                  <w:lang w:val="fr-FR"/>
                </w:rPr>
                <w:t>contributions</w:t>
              </w:r>
            </w:hyperlink>
            <w:r w:rsidRPr="00231866">
              <w:rPr>
                <w:lang w:val="fr-FR"/>
              </w:rPr>
              <w:t xml:space="preserve"> ont été soumises pour examen aux réunions des Groupes du Rapporteur. De plus amples informations sont disponibles dans le rapport de la Présidente de la Commission d'études 1 de l'UIT-D au GCDT et sur la </w:t>
            </w:r>
            <w:hyperlink r:id="rId64" w:history="1">
              <w:r w:rsidRPr="00231866">
                <w:rPr>
                  <w:rStyle w:val="Hyperlink"/>
                  <w:lang w:val="fr-FR"/>
                </w:rPr>
                <w:t>page web des réunions</w:t>
              </w:r>
            </w:hyperlink>
            <w:r w:rsidRPr="00231866">
              <w:rPr>
                <w:lang w:val="fr-FR"/>
              </w:rPr>
              <w:t>. Toutes les réunions et tous les ateliers ont été organisés en mode hybride, avec interprétation en anglais et en français et sous-titrage. Un service d'interprétation en chinois était également disponible pour la réunion du Groupe du Rapporteur pour la Question 1/1, et des moyens de sous-titrage en langue des signes internationale ont été mis à disposition pour la réunion du Groupe du Rapporteur pour la Question 7/1.</w:t>
            </w:r>
          </w:p>
          <w:p w14:paraId="08006E4D" w14:textId="77777777" w:rsidR="00BC680E" w:rsidRPr="00231866" w:rsidRDefault="00BC680E" w:rsidP="00FA497F">
            <w:pPr>
              <w:jc w:val="left"/>
              <w:rPr>
                <w:lang w:val="fr-FR"/>
              </w:rPr>
            </w:pPr>
            <w:r w:rsidRPr="00231866">
              <w:rPr>
                <w:lang w:val="fr-FR"/>
              </w:rPr>
              <w:t xml:space="preserve">Afin d'approfondir les connaissances sur certains sujets traités dans le cadre des Questions à l'étude et d'encourager l'échange de connaissances avec les autres Secteurs de l'UIT et organisations, une série d'ateliers publics ont également été organisés à l'occasion des réunions des Groupes du Rapporteur de la </w:t>
            </w:r>
            <w:r w:rsidRPr="00231866">
              <w:rPr>
                <w:b/>
                <w:bCs/>
                <w:lang w:val="fr-FR"/>
              </w:rPr>
              <w:t>Commission d'études 2 (CE 2) de l'UIT-D</w:t>
            </w:r>
            <w:r w:rsidRPr="00231866">
              <w:rPr>
                <w:lang w:val="fr-FR"/>
              </w:rPr>
              <w:t>. Ces manifestations ont rassemblé des experts de Membres de l'UIT ainsi que de plusieurs entités non membres de l'Union. Sept ateliers ont été organisés sur les thèmes suivants:</w:t>
            </w:r>
          </w:p>
          <w:p w14:paraId="13942F41" w14:textId="77777777" w:rsidR="00BC680E" w:rsidRPr="00231866" w:rsidRDefault="00BC680E" w:rsidP="000A5084">
            <w:pPr>
              <w:pStyle w:val="enumlev1"/>
              <w:spacing w:after="120"/>
              <w:jc w:val="left"/>
              <w:rPr>
                <w:lang w:val="fr-FR"/>
              </w:rPr>
            </w:pPr>
            <w:r w:rsidRPr="00231866">
              <w:rPr>
                <w:lang w:val="fr-FR"/>
              </w:rPr>
              <w:t>•</w:t>
            </w:r>
            <w:r w:rsidRPr="00231866">
              <w:rPr>
                <w:lang w:val="fr-FR"/>
              </w:rPr>
              <w:tab/>
              <w:t>Question 1/2: Atelier sur l'infrastructure publique numérique et les services partagés pour l'administration, les villes et les communautés intelligentes et durables;</w:t>
            </w:r>
          </w:p>
          <w:p w14:paraId="36E59BB1" w14:textId="77777777" w:rsidR="00BC680E" w:rsidRPr="00231866" w:rsidRDefault="00BC680E" w:rsidP="00FA497F">
            <w:pPr>
              <w:pStyle w:val="enumlev1"/>
              <w:jc w:val="left"/>
              <w:rPr>
                <w:lang w:val="fr-FR"/>
              </w:rPr>
            </w:pPr>
            <w:r w:rsidRPr="00231866">
              <w:rPr>
                <w:lang w:val="fr-FR"/>
              </w:rPr>
              <w:lastRenderedPageBreak/>
              <w:t>•</w:t>
            </w:r>
            <w:r w:rsidRPr="00231866">
              <w:rPr>
                <w:lang w:val="fr-FR"/>
              </w:rPr>
              <w:tab/>
              <w:t>Question 2/2: Atelier sur l'adoption des nouvelles technologies numériques au service de la cybersanté, du cyberapprentissage et d'autres cyberservices;</w:t>
            </w:r>
          </w:p>
          <w:p w14:paraId="2192AF4B" w14:textId="77777777" w:rsidR="00BC680E" w:rsidRPr="00231866" w:rsidRDefault="00BC680E" w:rsidP="00FA497F">
            <w:pPr>
              <w:pStyle w:val="enumlev1"/>
              <w:jc w:val="left"/>
              <w:rPr>
                <w:lang w:val="fr-FR"/>
              </w:rPr>
            </w:pPr>
            <w:r w:rsidRPr="00231866">
              <w:rPr>
                <w:lang w:val="fr-FR"/>
              </w:rPr>
              <w:t>•</w:t>
            </w:r>
            <w:r w:rsidRPr="00231866">
              <w:rPr>
                <w:lang w:val="fr-FR"/>
              </w:rPr>
              <w:tab/>
              <w:t>Question 3/2: Atelier sur les pratiques en matière d'assurance de la cybersécurité;</w:t>
            </w:r>
          </w:p>
          <w:p w14:paraId="135B897F" w14:textId="77777777" w:rsidR="00BC680E" w:rsidRPr="00231866" w:rsidRDefault="00BC680E" w:rsidP="00FA497F">
            <w:pPr>
              <w:pStyle w:val="enumlev1"/>
              <w:jc w:val="left"/>
              <w:rPr>
                <w:lang w:val="fr-FR"/>
              </w:rPr>
            </w:pPr>
            <w:r w:rsidRPr="00231866">
              <w:rPr>
                <w:lang w:val="fr-FR"/>
              </w:rPr>
              <w:t>•</w:t>
            </w:r>
            <w:r w:rsidRPr="00231866">
              <w:rPr>
                <w:lang w:val="fr-FR"/>
              </w:rPr>
              <w:tab/>
              <w:t>Question 4/2: Atelier sur les enjeux de la conformité et l'interopérabilité pour la transformation numérique;</w:t>
            </w:r>
          </w:p>
          <w:p w14:paraId="39B677EC" w14:textId="77777777" w:rsidR="00BC680E" w:rsidRPr="00231866" w:rsidRDefault="00BC680E" w:rsidP="00FA497F">
            <w:pPr>
              <w:pStyle w:val="enumlev1"/>
              <w:jc w:val="left"/>
              <w:rPr>
                <w:lang w:val="fr-FR"/>
              </w:rPr>
            </w:pPr>
            <w:r w:rsidRPr="00231866">
              <w:rPr>
                <w:lang w:val="fr-FR"/>
              </w:rPr>
              <w:t>•</w:t>
            </w:r>
            <w:r w:rsidRPr="00231866">
              <w:rPr>
                <w:lang w:val="fr-FR"/>
              </w:rPr>
              <w:tab/>
              <w:t>Question 5/2: Atelier sur l'adoption des TIC et le développement des compétences numériques;</w:t>
            </w:r>
          </w:p>
          <w:p w14:paraId="282367B6" w14:textId="77777777" w:rsidR="00BC680E" w:rsidRPr="00231866" w:rsidRDefault="00BC680E" w:rsidP="00FA497F">
            <w:pPr>
              <w:pStyle w:val="enumlev1"/>
              <w:jc w:val="left"/>
              <w:rPr>
                <w:lang w:val="fr-FR"/>
              </w:rPr>
            </w:pPr>
            <w:r w:rsidRPr="00231866">
              <w:rPr>
                <w:lang w:val="fr-FR"/>
              </w:rPr>
              <w:t>•</w:t>
            </w:r>
            <w:r w:rsidRPr="00231866">
              <w:rPr>
                <w:lang w:val="fr-FR"/>
              </w:rPr>
              <w:tab/>
              <w:t>Question 6/2: Atelier sur les TIC et les technologies émergentes vertes au service de l'atténuation des effets des changements climatiques; et</w:t>
            </w:r>
          </w:p>
          <w:p w14:paraId="714E75D3" w14:textId="77777777" w:rsidR="00BC680E" w:rsidRPr="00231866" w:rsidRDefault="00BC680E" w:rsidP="00FA497F">
            <w:pPr>
              <w:pStyle w:val="enumlev1"/>
              <w:jc w:val="left"/>
              <w:rPr>
                <w:lang w:val="fr-FR"/>
              </w:rPr>
            </w:pPr>
            <w:r w:rsidRPr="00231866">
              <w:rPr>
                <w:lang w:val="fr-FR"/>
              </w:rPr>
              <w:t>•</w:t>
            </w:r>
            <w:r w:rsidRPr="00231866">
              <w:rPr>
                <w:lang w:val="fr-FR"/>
              </w:rPr>
              <w:tab/>
              <w:t>Question 7/2: Atelier sur les politiques internationales, régionales et nationales relatives à l'exposition des personnes aux champs électromagnétiques.</w:t>
            </w:r>
          </w:p>
          <w:p w14:paraId="6A0B0F25" w14:textId="77777777" w:rsidR="00BC680E" w:rsidRPr="00231866" w:rsidRDefault="00BC680E" w:rsidP="00FA497F">
            <w:pPr>
              <w:jc w:val="left"/>
              <w:rPr>
                <w:lang w:val="fr-FR"/>
              </w:rPr>
            </w:pPr>
            <w:r w:rsidRPr="00231866">
              <w:rPr>
                <w:lang w:val="fr-FR"/>
              </w:rPr>
              <w:t xml:space="preserve">Les programmes des ateliers de la CE 2 peuvent être consultés sur la </w:t>
            </w:r>
            <w:hyperlink r:id="rId65" w:history="1">
              <w:r w:rsidRPr="00231866">
                <w:rPr>
                  <w:rStyle w:val="Hyperlink"/>
                  <w:lang w:val="fr-FR"/>
                </w:rPr>
                <w:t>page web consacrée à la réunion de la CE 2</w:t>
              </w:r>
            </w:hyperlink>
            <w:r w:rsidRPr="00231866">
              <w:rPr>
                <w:lang w:val="fr-FR"/>
              </w:rPr>
              <w:t>. Compte tenu du calendrier des manifestations, de nouvelles informations sur la participation aux réunions des Groupes du Rapporteur de la CE 2 et aux manifestations connexes seront présentées à la réunion de 2023 du GCDT.</w:t>
            </w:r>
          </w:p>
          <w:p w14:paraId="4550E312" w14:textId="77777777" w:rsidR="00BC680E" w:rsidRPr="00231866" w:rsidRDefault="00BC680E" w:rsidP="00BC680E">
            <w:pPr>
              <w:pStyle w:val="Headingb"/>
              <w:keepLines/>
              <w:rPr>
                <w:i/>
                <w:iCs/>
                <w:lang w:val="fr-FR"/>
              </w:rPr>
            </w:pPr>
            <w:r w:rsidRPr="00231866">
              <w:rPr>
                <w:i/>
                <w:iCs/>
                <w:lang w:val="fr-FR"/>
              </w:rPr>
              <w:t>Mise en œuvre et suivi des résultats du SMSI</w:t>
            </w:r>
          </w:p>
          <w:p w14:paraId="4B240134" w14:textId="77777777" w:rsidR="00BC680E" w:rsidRPr="00231866" w:rsidRDefault="00BC680E" w:rsidP="00BC680E">
            <w:pPr>
              <w:keepNext/>
              <w:keepLines/>
              <w:jc w:val="left"/>
              <w:rPr>
                <w:lang w:val="fr-FR"/>
              </w:rPr>
            </w:pPr>
            <w:r w:rsidRPr="00231866">
              <w:rPr>
                <w:lang w:val="fr-FR"/>
              </w:rPr>
              <w:t xml:space="preserve">Lors du </w:t>
            </w:r>
            <w:hyperlink r:id="rId66" w:history="1">
              <w:r w:rsidRPr="00231866">
                <w:rPr>
                  <w:rStyle w:val="Hyperlink"/>
                  <w:lang w:val="fr-FR"/>
                </w:rPr>
                <w:t>Forum 2023 du SMSI</w:t>
              </w:r>
            </w:hyperlink>
            <w:r w:rsidRPr="00231866">
              <w:rPr>
                <w:lang w:val="fr-FR"/>
              </w:rPr>
              <w:t>, le BDT a organisé les réunions annuelles interactives de coordination sur les grandes orientations du SMSI et un certain nombre de tables rondes thématiques, afin d'échanger des idées, des bonnes pratiques et des données d'expérience, et de promouvoir une action multi-parties prenantes en vue de favoriser le développement durable et d'atteindre les objectifs mondiaux, notamment:</w:t>
            </w:r>
          </w:p>
          <w:p w14:paraId="3F4F15A9" w14:textId="77777777" w:rsidR="00BC680E" w:rsidRPr="00231866" w:rsidRDefault="00BC680E" w:rsidP="00FA497F">
            <w:pPr>
              <w:pStyle w:val="enumlev1"/>
              <w:jc w:val="left"/>
              <w:rPr>
                <w:lang w:val="fr-FR"/>
              </w:rPr>
            </w:pPr>
            <w:r w:rsidRPr="00231866">
              <w:rPr>
                <w:lang w:val="fr-FR"/>
              </w:rPr>
              <w:t>•</w:t>
            </w:r>
            <w:r w:rsidRPr="00231866">
              <w:rPr>
                <w:lang w:val="fr-FR"/>
              </w:rPr>
              <w:tab/>
            </w:r>
            <w:hyperlink r:id="rId67">
              <w:r w:rsidRPr="00231866">
                <w:rPr>
                  <w:rStyle w:val="Hyperlink"/>
                  <w:lang w:val="fr-FR"/>
                </w:rPr>
                <w:t>Grande orientation C2 du SMSI, Infrastructure: Réglementation de prochaine génération au service d'une transformation numérique durable</w:t>
              </w:r>
            </w:hyperlink>
          </w:p>
          <w:p w14:paraId="57FED234" w14:textId="77777777" w:rsidR="00BC680E" w:rsidRPr="00231866" w:rsidRDefault="00BC680E" w:rsidP="00FA497F">
            <w:pPr>
              <w:pStyle w:val="enumlev1"/>
              <w:jc w:val="left"/>
              <w:rPr>
                <w:lang w:val="fr-FR"/>
              </w:rPr>
            </w:pPr>
            <w:r w:rsidRPr="00231866">
              <w:rPr>
                <w:lang w:val="fr-FR"/>
              </w:rPr>
              <w:t>•</w:t>
            </w:r>
            <w:r w:rsidRPr="00231866">
              <w:rPr>
                <w:lang w:val="fr-FR"/>
              </w:rPr>
              <w:tab/>
            </w:r>
            <w:hyperlink r:id="rId68">
              <w:r w:rsidRPr="00231866">
                <w:rPr>
                  <w:rStyle w:val="Hyperlink"/>
                  <w:lang w:val="fr-FR"/>
                </w:rPr>
                <w:t>Grande orientation C4 du SMSI, Renforcement des capacités: Comprendre l'apprentissage fondé sur l'intelligence artificielle: Incidences pour les pays en développement</w:t>
              </w:r>
            </w:hyperlink>
          </w:p>
          <w:p w14:paraId="65D2FE9D" w14:textId="77777777" w:rsidR="00BC680E" w:rsidRPr="00231866" w:rsidRDefault="00BC680E" w:rsidP="00FA497F">
            <w:pPr>
              <w:pStyle w:val="enumlev1"/>
              <w:jc w:val="left"/>
              <w:rPr>
                <w:lang w:val="fr-FR"/>
              </w:rPr>
            </w:pPr>
            <w:r w:rsidRPr="00231866">
              <w:rPr>
                <w:lang w:val="fr-FR"/>
              </w:rPr>
              <w:t>•</w:t>
            </w:r>
            <w:r w:rsidRPr="00231866">
              <w:rPr>
                <w:lang w:val="fr-FR"/>
              </w:rPr>
              <w:tab/>
            </w:r>
            <w:hyperlink r:id="rId69">
              <w:r w:rsidRPr="00231866">
                <w:rPr>
                  <w:rStyle w:val="Hyperlink"/>
                  <w:lang w:val="fr-FR"/>
                </w:rPr>
                <w:t>Grande orientation C6 du SMSI, Environnement propice: Réglementation de prochaine génération au service d'une transformation numérique durable</w:t>
              </w:r>
            </w:hyperlink>
          </w:p>
          <w:p w14:paraId="6A7EB230" w14:textId="77777777" w:rsidR="00BC680E" w:rsidRPr="00231866" w:rsidRDefault="00BC680E" w:rsidP="00FA497F">
            <w:pPr>
              <w:jc w:val="left"/>
              <w:rPr>
                <w:lang w:val="fr-FR"/>
              </w:rPr>
            </w:pPr>
            <w:r w:rsidRPr="00231866">
              <w:rPr>
                <w:lang w:val="fr-FR"/>
              </w:rPr>
              <w:t xml:space="preserve">Un compte rendu complet des tables rondes thématiques organisées dans le cadre du Forum 2023 du SMSI et de la session virtuelle du SMSI en avril et mai est disponible sur le </w:t>
            </w:r>
            <w:hyperlink r:id="rId70" w:history="1">
              <w:r w:rsidRPr="00231866">
                <w:rPr>
                  <w:rStyle w:val="Hyperlink"/>
                  <w:lang w:val="fr-FR"/>
                </w:rPr>
                <w:t>site web du SMSI</w:t>
              </w:r>
            </w:hyperlink>
            <w:r w:rsidRPr="00231866">
              <w:rPr>
                <w:lang w:val="fr-FR"/>
              </w:rPr>
              <w:t>.</w:t>
            </w:r>
          </w:p>
          <w:p w14:paraId="1986BD85" w14:textId="77777777" w:rsidR="00BC680E" w:rsidRPr="00231866" w:rsidRDefault="00BC680E" w:rsidP="00FA497F">
            <w:pPr>
              <w:spacing w:after="120"/>
              <w:jc w:val="left"/>
              <w:rPr>
                <w:lang w:val="fr-FR"/>
              </w:rPr>
            </w:pPr>
            <w:r w:rsidRPr="00231866">
              <w:rPr>
                <w:lang w:val="fr-FR"/>
              </w:rPr>
              <w:t xml:space="preserve">On trouvera des informations sur l'évolution du nombre de membres de l'UIT-D dans le </w:t>
            </w:r>
            <w:r w:rsidRPr="00231866">
              <w:rPr>
                <w:highlight w:val="yellow"/>
                <w:lang w:val="fr-FR"/>
              </w:rPr>
              <w:t>Document 8 du GCDT</w:t>
            </w:r>
            <w:r w:rsidRPr="00231866">
              <w:rPr>
                <w:lang w:val="fr-FR"/>
              </w:rPr>
              <w:t>.</w:t>
            </w:r>
          </w:p>
        </w:tc>
      </w:tr>
    </w:tbl>
    <w:p w14:paraId="59A8CC97" w14:textId="77777777" w:rsidR="00BC680E" w:rsidRPr="00231866" w:rsidRDefault="00BC680E" w:rsidP="00BC680E">
      <w:pPr>
        <w:pStyle w:val="Heading2"/>
        <w:spacing w:after="240"/>
        <w:jc w:val="left"/>
        <w:rPr>
          <w:lang w:val="fr-FR"/>
        </w:rPr>
      </w:pPr>
      <w:r w:rsidRPr="00231866">
        <w:rPr>
          <w:lang w:val="fr-FR"/>
        </w:rPr>
        <w:lastRenderedPageBreak/>
        <w:t>3.7</w:t>
      </w:r>
      <w:r w:rsidRPr="00231866">
        <w:rPr>
          <w:lang w:val="fr-FR"/>
        </w:rPr>
        <w:tab/>
        <w:t>Catalyseur 2 de l'UIT-D: Présence régionale</w:t>
      </w:r>
    </w:p>
    <w:tbl>
      <w:tblPr>
        <w:tblStyle w:val="GridTable2-Accent1"/>
        <w:tblW w:w="13466" w:type="dxa"/>
        <w:tblInd w:w="27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1701"/>
        <w:gridCol w:w="3969"/>
        <w:gridCol w:w="2410"/>
        <w:gridCol w:w="2835"/>
        <w:gridCol w:w="1134"/>
        <w:gridCol w:w="1417"/>
      </w:tblGrid>
      <w:tr w:rsidR="00BC680E" w:rsidRPr="00231866" w14:paraId="1745DCA4" w14:textId="77777777" w:rsidTr="00FA49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95B3D7" w:themeColor="accent1" w:themeTint="99"/>
              <w:right w:val="single" w:sz="4" w:space="0" w:color="95B3D7" w:themeColor="accent1" w:themeTint="99"/>
            </w:tcBorders>
          </w:tcPr>
          <w:p w14:paraId="3BBDB44B" w14:textId="77777777" w:rsidR="00BC680E" w:rsidRPr="00231866" w:rsidRDefault="00BC680E" w:rsidP="00FA497F">
            <w:pPr>
              <w:pStyle w:val="Tablehead"/>
              <w:rPr>
                <w:b/>
                <w:bCs w:val="0"/>
                <w:sz w:val="18"/>
                <w:szCs w:val="18"/>
                <w:lang w:val="fr-FR"/>
              </w:rPr>
            </w:pPr>
            <w:r w:rsidRPr="00231866">
              <w:rPr>
                <w:b/>
                <w:bCs w:val="0"/>
                <w:sz w:val="18"/>
                <w:szCs w:val="18"/>
                <w:lang w:val="fr-FR"/>
              </w:rPr>
              <w:t>Thème</w:t>
            </w:r>
          </w:p>
        </w:tc>
        <w:tc>
          <w:tcPr>
            <w:tcW w:w="3969" w:type="dxa"/>
            <w:tcBorders>
              <w:top w:val="single" w:sz="4" w:space="0" w:color="95B3D7" w:themeColor="accent1" w:themeTint="99"/>
              <w:left w:val="single" w:sz="4" w:space="0" w:color="95B3D7" w:themeColor="accent1" w:themeTint="99"/>
              <w:right w:val="single" w:sz="4" w:space="0" w:color="95B3D7" w:themeColor="accent1" w:themeTint="99"/>
            </w:tcBorders>
          </w:tcPr>
          <w:p w14:paraId="77BA6940"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Réalisation</w:t>
            </w:r>
          </w:p>
        </w:tc>
        <w:tc>
          <w:tcPr>
            <w:tcW w:w="2410" w:type="dxa"/>
            <w:tcBorders>
              <w:top w:val="single" w:sz="4" w:space="0" w:color="95B3D7" w:themeColor="accent1" w:themeTint="99"/>
              <w:left w:val="single" w:sz="4" w:space="0" w:color="95B3D7" w:themeColor="accent1" w:themeTint="99"/>
              <w:right w:val="single" w:sz="4" w:space="0" w:color="95B3D7" w:themeColor="accent1" w:themeTint="99"/>
            </w:tcBorders>
          </w:tcPr>
          <w:p w14:paraId="4564AB72"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Produits</w:t>
            </w:r>
            <w:r w:rsidRPr="00231866">
              <w:rPr>
                <w:b/>
                <w:bCs w:val="0"/>
                <w:sz w:val="18"/>
                <w:szCs w:val="18"/>
                <w:lang w:val="fr-FR"/>
              </w:rPr>
              <w:br/>
              <w:t>(Produits et services)</w:t>
            </w:r>
          </w:p>
        </w:tc>
        <w:tc>
          <w:tcPr>
            <w:tcW w:w="2835" w:type="dxa"/>
            <w:tcBorders>
              <w:top w:val="single" w:sz="4" w:space="0" w:color="95B3D7" w:themeColor="accent1" w:themeTint="99"/>
              <w:left w:val="single" w:sz="4" w:space="0" w:color="95B3D7" w:themeColor="accent1" w:themeTint="99"/>
              <w:right w:val="single" w:sz="4" w:space="0" w:color="95B3D7" w:themeColor="accent1" w:themeTint="99"/>
            </w:tcBorders>
          </w:tcPr>
          <w:p w14:paraId="4211FD2B"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Indicateurs fondamentaux de performance*</w:t>
            </w:r>
          </w:p>
        </w:tc>
        <w:tc>
          <w:tcPr>
            <w:tcW w:w="1134" w:type="dxa"/>
            <w:tcBorders>
              <w:top w:val="single" w:sz="4" w:space="0" w:color="95B3D7" w:themeColor="accent1" w:themeTint="99"/>
              <w:left w:val="single" w:sz="4" w:space="0" w:color="95B3D7" w:themeColor="accent1" w:themeTint="99"/>
              <w:right w:val="single" w:sz="4" w:space="0" w:color="95B3D7" w:themeColor="accent1" w:themeTint="99"/>
            </w:tcBorders>
          </w:tcPr>
          <w:p w14:paraId="472A42C5"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Budget 2023</w:t>
            </w:r>
            <w:r w:rsidRPr="00231866">
              <w:rPr>
                <w:b/>
                <w:bCs w:val="0"/>
                <w:sz w:val="18"/>
                <w:szCs w:val="18"/>
                <w:lang w:val="fr-FR"/>
              </w:rPr>
              <w:br/>
              <w:t>(en CHF)</w:t>
            </w:r>
          </w:p>
        </w:tc>
        <w:tc>
          <w:tcPr>
            <w:tcW w:w="1417" w:type="dxa"/>
            <w:tcBorders>
              <w:top w:val="single" w:sz="4" w:space="0" w:color="95B3D7" w:themeColor="accent1" w:themeTint="99"/>
              <w:left w:val="single" w:sz="4" w:space="0" w:color="95B3D7" w:themeColor="accent1" w:themeTint="99"/>
            </w:tcBorders>
            <w:noWrap/>
          </w:tcPr>
          <w:p w14:paraId="3B506BD7"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 du total général</w:t>
            </w:r>
          </w:p>
        </w:tc>
      </w:tr>
      <w:tr w:rsidR="00BC680E" w:rsidRPr="00231866" w14:paraId="761B3823" w14:textId="77777777" w:rsidTr="00FA497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01" w:type="dxa"/>
            <w:hideMark/>
          </w:tcPr>
          <w:p w14:paraId="6E2E48A1" w14:textId="77777777" w:rsidR="00BC680E" w:rsidRPr="00231866" w:rsidRDefault="00BC680E" w:rsidP="00FA497F">
            <w:pPr>
              <w:pStyle w:val="Tabletext"/>
              <w:jc w:val="left"/>
              <w:rPr>
                <w:sz w:val="18"/>
                <w:szCs w:val="18"/>
                <w:lang w:val="fr-FR"/>
              </w:rPr>
            </w:pPr>
            <w:r w:rsidRPr="00231866">
              <w:rPr>
                <w:sz w:val="18"/>
                <w:szCs w:val="18"/>
                <w:lang w:val="fr-FR"/>
              </w:rPr>
              <w:t>Transversal</w:t>
            </w:r>
          </w:p>
        </w:tc>
        <w:tc>
          <w:tcPr>
            <w:tcW w:w="3969" w:type="dxa"/>
            <w:hideMark/>
          </w:tcPr>
          <w:p w14:paraId="00A54C84"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Renforcement de la présence de fonctionnaires possédant des compétences spécialisées et de leur autonomisation à tous les niveaux de la présence régionale (bureaux régionaux et bureaux de zone)</w:t>
            </w:r>
          </w:p>
          <w:p w14:paraId="60751986"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Renforcement de la double responsabilité de l'UIT en tant qu'institution spécialisée des Nations Unies et agent d'exécution pour la mise en œuvre de projets</w:t>
            </w:r>
          </w:p>
          <w:p w14:paraId="07612504"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Renforcement de l'échange de connaissances, de la recherche-développement, du dialogue et des partenariats entre les membres de l'UIT sur l'utilisation des télécommunications/TIC pour favoriser le développement durable et la transformation numérique de la société</w:t>
            </w:r>
          </w:p>
          <w:p w14:paraId="087F32A5" w14:textId="4A54C8AC"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Renforcement de la présence régionale pour atteindre les objectifs de l'UIT-D et obtenir les réalisations et produits attendus, grâce à la participation et à la collaboration des Secteurs des radiocommunications (UIT-R) et de la normalisation des télécommunications (UIT-T) et à l'intégration de l'approche "Une UIT unie dans l'action" et de la GAR</w:t>
            </w:r>
          </w:p>
        </w:tc>
        <w:tc>
          <w:tcPr>
            <w:tcW w:w="2410" w:type="dxa"/>
            <w:hideMark/>
          </w:tcPr>
          <w:p w14:paraId="12C6891C"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Élaboration de cadres politiques et de supports de connaissance</w:t>
            </w:r>
          </w:p>
          <w:p w14:paraId="6586AE3E"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Renforcement des capacités</w:t>
            </w:r>
          </w:p>
          <w:p w14:paraId="7AD76DC4"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Fourniture de données et de statistiques</w:t>
            </w:r>
          </w:p>
          <w:p w14:paraId="359AF1F6"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Plates-formes fédératrices</w:t>
            </w:r>
          </w:p>
        </w:tc>
        <w:tc>
          <w:tcPr>
            <w:tcW w:w="2835" w:type="dxa"/>
            <w:hideMark/>
          </w:tcPr>
          <w:p w14:paraId="14414AA7"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Nombre d'États Membres engagés dans le processus de planification annuelle</w:t>
            </w:r>
          </w:p>
          <w:p w14:paraId="27D9ABCE"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Nombre de forums régionaux sur le développement et de dialogues de haut niveau régionaux organisés</w:t>
            </w:r>
          </w:p>
          <w:p w14:paraId="64A0CE15"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Nombre de participants aux forums régionaux sur le développement et aux dialogues régionaux</w:t>
            </w:r>
          </w:p>
          <w:p w14:paraId="3F36AAB4" w14:textId="46C5A353"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Nombre d'activités menées par le BDT pour atteindre les objectifs de l'UIT-D et obtenir les réalisations et produits attendus, grâce à la participation et à la collaboration des Secteurs des radiocommunications et de la normalisation des télécommunications et à l'intégration de l'approche "Une UIT unie dans l'action" et de la GAR</w:t>
            </w:r>
          </w:p>
        </w:tc>
        <w:tc>
          <w:tcPr>
            <w:tcW w:w="1134" w:type="dxa"/>
            <w:hideMark/>
          </w:tcPr>
          <w:p w14:paraId="2F3F8007" w14:textId="77777777" w:rsidR="00BC680E" w:rsidRPr="00231866" w:rsidRDefault="00BC680E" w:rsidP="00FA497F">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231866">
              <w:rPr>
                <w:b/>
                <w:bCs/>
                <w:sz w:val="18"/>
                <w:szCs w:val="18"/>
                <w:lang w:val="fr-FR"/>
              </w:rPr>
              <w:t>280 000</w:t>
            </w:r>
          </w:p>
        </w:tc>
        <w:tc>
          <w:tcPr>
            <w:tcW w:w="1417" w:type="dxa"/>
            <w:noWrap/>
            <w:hideMark/>
          </w:tcPr>
          <w:p w14:paraId="321F4EB5" w14:textId="77777777" w:rsidR="00BC680E" w:rsidRPr="00231866" w:rsidRDefault="00BC680E" w:rsidP="00FA497F">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231866">
              <w:rPr>
                <w:b/>
                <w:bCs/>
                <w:sz w:val="18"/>
                <w:szCs w:val="18"/>
                <w:lang w:val="fr-FR"/>
              </w:rPr>
              <w:t>6,7%</w:t>
            </w:r>
          </w:p>
        </w:tc>
      </w:tr>
    </w:tbl>
    <w:p w14:paraId="3721C7F6" w14:textId="51CD31A5" w:rsidR="000A5084" w:rsidRDefault="000A5084" w:rsidP="00BC680E">
      <w:pPr>
        <w:pStyle w:val="Tablelegend"/>
        <w:spacing w:after="240"/>
        <w:ind w:left="284" w:hanging="284"/>
        <w:rPr>
          <w:lang w:val="fr-FR"/>
        </w:rPr>
      </w:pPr>
      <w:r>
        <w:rPr>
          <w:lang w:val="fr-FR"/>
        </w:rPr>
        <w:br w:type="page"/>
      </w:r>
    </w:p>
    <w:tbl>
      <w:tblPr>
        <w:tblStyle w:val="GridTable2-Accent1"/>
        <w:tblW w:w="13466" w:type="dxa"/>
        <w:tblInd w:w="27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1701"/>
        <w:gridCol w:w="3969"/>
        <w:gridCol w:w="2410"/>
        <w:gridCol w:w="2835"/>
        <w:gridCol w:w="1134"/>
        <w:gridCol w:w="1417"/>
      </w:tblGrid>
      <w:tr w:rsidR="000A5084" w:rsidRPr="00231866" w14:paraId="328D2B9A" w14:textId="77777777" w:rsidTr="00FA49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95B3D7" w:themeColor="accent1" w:themeTint="99"/>
              <w:right w:val="single" w:sz="4" w:space="0" w:color="95B3D7" w:themeColor="accent1" w:themeTint="99"/>
            </w:tcBorders>
          </w:tcPr>
          <w:p w14:paraId="1860F9DB" w14:textId="77777777" w:rsidR="000A5084" w:rsidRPr="00231866" w:rsidRDefault="000A5084" w:rsidP="00FA497F">
            <w:pPr>
              <w:pStyle w:val="Tablehead"/>
              <w:rPr>
                <w:b/>
                <w:bCs w:val="0"/>
                <w:sz w:val="18"/>
                <w:szCs w:val="18"/>
                <w:lang w:val="fr-FR"/>
              </w:rPr>
            </w:pPr>
            <w:r w:rsidRPr="00231866">
              <w:rPr>
                <w:b/>
                <w:bCs w:val="0"/>
                <w:sz w:val="18"/>
                <w:szCs w:val="18"/>
                <w:lang w:val="fr-FR"/>
              </w:rPr>
              <w:lastRenderedPageBreak/>
              <w:t>Thème</w:t>
            </w:r>
          </w:p>
        </w:tc>
        <w:tc>
          <w:tcPr>
            <w:tcW w:w="3969" w:type="dxa"/>
            <w:tcBorders>
              <w:top w:val="single" w:sz="4" w:space="0" w:color="95B3D7" w:themeColor="accent1" w:themeTint="99"/>
              <w:left w:val="single" w:sz="4" w:space="0" w:color="95B3D7" w:themeColor="accent1" w:themeTint="99"/>
              <w:right w:val="single" w:sz="4" w:space="0" w:color="95B3D7" w:themeColor="accent1" w:themeTint="99"/>
            </w:tcBorders>
          </w:tcPr>
          <w:p w14:paraId="5B5DF29D" w14:textId="77777777" w:rsidR="000A5084" w:rsidRPr="00231866" w:rsidRDefault="000A5084"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Réalisation</w:t>
            </w:r>
          </w:p>
        </w:tc>
        <w:tc>
          <w:tcPr>
            <w:tcW w:w="2410" w:type="dxa"/>
            <w:tcBorders>
              <w:top w:val="single" w:sz="4" w:space="0" w:color="95B3D7" w:themeColor="accent1" w:themeTint="99"/>
              <w:left w:val="single" w:sz="4" w:space="0" w:color="95B3D7" w:themeColor="accent1" w:themeTint="99"/>
              <w:right w:val="single" w:sz="4" w:space="0" w:color="95B3D7" w:themeColor="accent1" w:themeTint="99"/>
            </w:tcBorders>
          </w:tcPr>
          <w:p w14:paraId="3E3169BF" w14:textId="77777777" w:rsidR="000A5084" w:rsidRPr="00231866" w:rsidRDefault="000A5084"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Produits</w:t>
            </w:r>
            <w:r w:rsidRPr="00231866">
              <w:rPr>
                <w:b/>
                <w:bCs w:val="0"/>
                <w:sz w:val="18"/>
                <w:szCs w:val="18"/>
                <w:lang w:val="fr-FR"/>
              </w:rPr>
              <w:br/>
              <w:t>(Produits et services)</w:t>
            </w:r>
          </w:p>
        </w:tc>
        <w:tc>
          <w:tcPr>
            <w:tcW w:w="2835" w:type="dxa"/>
            <w:tcBorders>
              <w:top w:val="single" w:sz="4" w:space="0" w:color="95B3D7" w:themeColor="accent1" w:themeTint="99"/>
              <w:left w:val="single" w:sz="4" w:space="0" w:color="95B3D7" w:themeColor="accent1" w:themeTint="99"/>
              <w:right w:val="single" w:sz="4" w:space="0" w:color="95B3D7" w:themeColor="accent1" w:themeTint="99"/>
            </w:tcBorders>
          </w:tcPr>
          <w:p w14:paraId="08B28FC5" w14:textId="77777777" w:rsidR="000A5084" w:rsidRPr="00231866" w:rsidRDefault="000A5084"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Indicateurs fondamentaux de performance*</w:t>
            </w:r>
          </w:p>
        </w:tc>
        <w:tc>
          <w:tcPr>
            <w:tcW w:w="1134" w:type="dxa"/>
            <w:tcBorders>
              <w:top w:val="single" w:sz="4" w:space="0" w:color="95B3D7" w:themeColor="accent1" w:themeTint="99"/>
              <w:left w:val="single" w:sz="4" w:space="0" w:color="95B3D7" w:themeColor="accent1" w:themeTint="99"/>
              <w:right w:val="single" w:sz="4" w:space="0" w:color="95B3D7" w:themeColor="accent1" w:themeTint="99"/>
            </w:tcBorders>
          </w:tcPr>
          <w:p w14:paraId="454221B4" w14:textId="77777777" w:rsidR="000A5084" w:rsidRPr="00231866" w:rsidRDefault="000A5084"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Budget 2023</w:t>
            </w:r>
            <w:r w:rsidRPr="00231866">
              <w:rPr>
                <w:b/>
                <w:bCs w:val="0"/>
                <w:sz w:val="18"/>
                <w:szCs w:val="18"/>
                <w:lang w:val="fr-FR"/>
              </w:rPr>
              <w:br/>
              <w:t>(en CHF)</w:t>
            </w:r>
          </w:p>
        </w:tc>
        <w:tc>
          <w:tcPr>
            <w:tcW w:w="1417" w:type="dxa"/>
            <w:tcBorders>
              <w:top w:val="single" w:sz="4" w:space="0" w:color="95B3D7" w:themeColor="accent1" w:themeTint="99"/>
              <w:left w:val="single" w:sz="4" w:space="0" w:color="95B3D7" w:themeColor="accent1" w:themeTint="99"/>
            </w:tcBorders>
            <w:noWrap/>
          </w:tcPr>
          <w:p w14:paraId="1513C585" w14:textId="77777777" w:rsidR="000A5084" w:rsidRPr="00231866" w:rsidRDefault="000A5084"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 du total général</w:t>
            </w:r>
          </w:p>
        </w:tc>
      </w:tr>
      <w:tr w:rsidR="000A5084" w:rsidRPr="00231866" w14:paraId="395FAB8A" w14:textId="77777777" w:rsidTr="00FA497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01" w:type="dxa"/>
          </w:tcPr>
          <w:p w14:paraId="15C55508" w14:textId="77777777" w:rsidR="000A5084" w:rsidRPr="00231866" w:rsidRDefault="000A5084" w:rsidP="00FA497F">
            <w:pPr>
              <w:pStyle w:val="Tabletext"/>
              <w:jc w:val="left"/>
              <w:rPr>
                <w:sz w:val="18"/>
                <w:szCs w:val="18"/>
                <w:lang w:val="fr-FR"/>
              </w:rPr>
            </w:pPr>
          </w:p>
        </w:tc>
        <w:tc>
          <w:tcPr>
            <w:tcW w:w="3969" w:type="dxa"/>
          </w:tcPr>
          <w:p w14:paraId="4E5BC522" w14:textId="77777777" w:rsidR="000A5084" w:rsidRPr="00231866" w:rsidRDefault="000A5084"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lang w:val="fr-FR"/>
              </w:rPr>
            </w:pPr>
            <w:r w:rsidRPr="00231866">
              <w:rPr>
                <w:lang w:val="fr-FR"/>
              </w:rPr>
              <w:t>•</w:t>
            </w:r>
            <w:r w:rsidRPr="00231866">
              <w:rPr>
                <w:lang w:val="fr-FR"/>
              </w:rPr>
              <w:tab/>
            </w:r>
            <w:r w:rsidRPr="00231866">
              <w:rPr>
                <w:sz w:val="18"/>
                <w:szCs w:val="18"/>
                <w:lang w:val="fr-FR"/>
              </w:rPr>
              <w:t>Renforcement de la collaboration et de la coopération entre les bureaux régionaux et avec l'Organisation des Nations Unies et ses institutions spécialisées, les organisations de télécommunication régionales ainsi que les organismes de financement et de développement pour atteindre les ODD à l'horizon 2030 se rapportant aux questions de développement de l'économie numérique</w:t>
            </w:r>
          </w:p>
        </w:tc>
        <w:tc>
          <w:tcPr>
            <w:tcW w:w="2410" w:type="dxa"/>
          </w:tcPr>
          <w:p w14:paraId="31A69028" w14:textId="77777777" w:rsidR="000A5084" w:rsidRPr="00231866" w:rsidRDefault="000A5084"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lang w:val="fr-FR"/>
              </w:rPr>
            </w:pPr>
          </w:p>
        </w:tc>
        <w:tc>
          <w:tcPr>
            <w:tcW w:w="2835" w:type="dxa"/>
          </w:tcPr>
          <w:p w14:paraId="5DF50A19" w14:textId="77777777" w:rsidR="000A5084" w:rsidRPr="00231866" w:rsidRDefault="000A5084"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lang w:val="fr-FR"/>
              </w:rPr>
            </w:pPr>
            <w:r w:rsidRPr="00231866">
              <w:rPr>
                <w:lang w:val="fr-FR"/>
              </w:rPr>
              <w:t>•</w:t>
            </w:r>
            <w:r w:rsidRPr="00231866">
              <w:rPr>
                <w:lang w:val="fr-FR"/>
              </w:rPr>
              <w:tab/>
            </w:r>
            <w:r w:rsidRPr="00231866">
              <w:rPr>
                <w:sz w:val="18"/>
                <w:szCs w:val="18"/>
                <w:lang w:val="fr-FR"/>
              </w:rPr>
              <w:t>Nombre d'équipes de pays des Nations Unies auxquelles le</w:t>
            </w:r>
            <w:r>
              <w:rPr>
                <w:sz w:val="18"/>
                <w:szCs w:val="18"/>
                <w:lang w:val="fr-FR"/>
              </w:rPr>
              <w:t> </w:t>
            </w:r>
            <w:r w:rsidRPr="00231866">
              <w:rPr>
                <w:sz w:val="18"/>
                <w:szCs w:val="18"/>
                <w:lang w:val="fr-FR"/>
              </w:rPr>
              <w:t>BDT a pris part</w:t>
            </w:r>
          </w:p>
        </w:tc>
        <w:tc>
          <w:tcPr>
            <w:tcW w:w="1134" w:type="dxa"/>
          </w:tcPr>
          <w:p w14:paraId="1C914A6F" w14:textId="77777777" w:rsidR="000A5084" w:rsidRPr="00231866" w:rsidRDefault="000A5084" w:rsidP="00FA497F">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p>
        </w:tc>
        <w:tc>
          <w:tcPr>
            <w:tcW w:w="1417" w:type="dxa"/>
            <w:noWrap/>
          </w:tcPr>
          <w:p w14:paraId="0CE146A4" w14:textId="77777777" w:rsidR="000A5084" w:rsidRPr="00231866" w:rsidRDefault="000A5084" w:rsidP="00FA497F">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p>
        </w:tc>
      </w:tr>
    </w:tbl>
    <w:p w14:paraId="0D45945F" w14:textId="439E13C7" w:rsidR="00BC680E" w:rsidRDefault="00BC680E" w:rsidP="00BC680E">
      <w:pPr>
        <w:pStyle w:val="Tablelegend"/>
        <w:spacing w:after="240"/>
        <w:ind w:left="284" w:hanging="284"/>
        <w:rPr>
          <w:lang w:val="fr-FR"/>
        </w:rPr>
      </w:pPr>
      <w:r w:rsidRPr="00231866">
        <w:rPr>
          <w:lang w:val="fr-FR"/>
        </w:rPr>
        <w:t>*</w:t>
      </w:r>
      <w:r w:rsidRPr="00231866">
        <w:rPr>
          <w:lang w:val="fr-FR"/>
        </w:rPr>
        <w:tab/>
        <w:t>Ces indicateurs fondamentaux de performance pourraient être encore affinés à mesure que la mise en œuvre du Plan d'action de Kigali progresse afin de mieux rendre compte des résultats obtenus.</w:t>
      </w:r>
    </w:p>
    <w:tbl>
      <w:tblPr>
        <w:tblStyle w:val="TableGrid"/>
        <w:tblW w:w="0" w:type="auto"/>
        <w:tblInd w:w="274" w:type="dxa"/>
        <w:tblLayout w:type="fixed"/>
        <w:tblLook w:val="04A0" w:firstRow="1" w:lastRow="0" w:firstColumn="1" w:lastColumn="0" w:noHBand="0" w:noVBand="1"/>
      </w:tblPr>
      <w:tblGrid>
        <w:gridCol w:w="13466"/>
      </w:tblGrid>
      <w:tr w:rsidR="00BC680E" w:rsidRPr="00231866" w14:paraId="2CE159FA"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4159CB84" w14:textId="77777777" w:rsidR="00BC680E" w:rsidRPr="00231866" w:rsidRDefault="00BC680E" w:rsidP="00FA497F">
            <w:pPr>
              <w:keepNext/>
              <w:keepLines/>
              <w:spacing w:after="120"/>
              <w:jc w:val="left"/>
              <w:rPr>
                <w:lang w:val="fr-FR"/>
              </w:rPr>
            </w:pPr>
            <w:r w:rsidRPr="00231866">
              <w:rPr>
                <w:b/>
                <w:bCs/>
                <w:lang w:val="fr-FR"/>
              </w:rPr>
              <w:t>Principales mesures mises en œuvre en 2023: Catalyseur 6 de l'UIT-D – Présence régionale</w:t>
            </w:r>
          </w:p>
        </w:tc>
      </w:tr>
      <w:tr w:rsidR="00BC680E" w:rsidRPr="00231866" w14:paraId="507AFEE2"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C45892F" w14:textId="77777777" w:rsidR="00BC680E" w:rsidRPr="00231866" w:rsidRDefault="00BC680E" w:rsidP="00FA497F">
            <w:pPr>
              <w:pStyle w:val="Headingb"/>
              <w:keepNext w:val="0"/>
              <w:jc w:val="left"/>
              <w:rPr>
                <w:i/>
                <w:iCs/>
                <w:lang w:val="fr-FR"/>
              </w:rPr>
            </w:pPr>
            <w:r w:rsidRPr="00231866">
              <w:rPr>
                <w:i/>
                <w:iCs/>
                <w:lang w:val="fr-FR"/>
              </w:rPr>
              <w:t>Bureau régional de l'UIT pour l'Afrique</w:t>
            </w:r>
          </w:p>
          <w:p w14:paraId="72ACC735" w14:textId="77777777" w:rsidR="00BC680E" w:rsidRPr="00231866" w:rsidRDefault="00BC680E" w:rsidP="00FA497F">
            <w:pPr>
              <w:pStyle w:val="enumlev1"/>
              <w:jc w:val="left"/>
              <w:rPr>
                <w:lang w:val="fr-FR"/>
              </w:rPr>
            </w:pPr>
            <w:r w:rsidRPr="00231866">
              <w:rPr>
                <w:lang w:val="fr-FR"/>
              </w:rPr>
              <w:t>•</w:t>
            </w:r>
            <w:r w:rsidRPr="00231866">
              <w:rPr>
                <w:lang w:val="fr-FR"/>
              </w:rPr>
              <w:tab/>
              <w:t xml:space="preserve">Le </w:t>
            </w:r>
            <w:hyperlink r:id="rId71" w:history="1">
              <w:r w:rsidRPr="00231866">
                <w:rPr>
                  <w:rStyle w:val="Hyperlink"/>
                  <w:b/>
                  <w:bCs/>
                  <w:lang w:val="fr-FR"/>
                </w:rPr>
                <w:t>Bureau régional</w:t>
              </w:r>
            </w:hyperlink>
            <w:r w:rsidRPr="00231866">
              <w:rPr>
                <w:lang w:val="fr-FR"/>
              </w:rPr>
              <w:t xml:space="preserve"> a participé à diverses activités de coordination régionale et à l'établissement de rapports au niveau des Nations Unies, notamment à la rédaction du cadre de coopération des Nations Unies pour le développement durable (UNSCDF) et à l'élaboration d'analyses communes de pays (CCA) intégrant des éléments sur le numérique et présentant des informations sur ces éléments.</w:t>
            </w:r>
          </w:p>
          <w:p w14:paraId="6963351C" w14:textId="77777777" w:rsidR="00BC680E" w:rsidRPr="00231866" w:rsidRDefault="00BC680E" w:rsidP="001C13BF">
            <w:pPr>
              <w:pStyle w:val="enumlev1"/>
              <w:spacing w:after="120"/>
              <w:jc w:val="left"/>
              <w:rPr>
                <w:bCs/>
                <w:lang w:val="fr-FR"/>
              </w:rPr>
            </w:pPr>
            <w:r w:rsidRPr="00231866">
              <w:rPr>
                <w:lang w:val="fr-FR"/>
              </w:rPr>
              <w:t>•</w:t>
            </w:r>
            <w:r w:rsidRPr="00231866">
              <w:rPr>
                <w:lang w:val="fr-FR"/>
              </w:rPr>
              <w:tab/>
              <w:t>Il a contribué aux réunions périodiques des mécanismes de coordination régionaux des Nations Unies ainsi qu'aux forums régionaux des Nations Unies sur le développement durable, et a mis en avant les activités menées par l'UIT afin d'appuyer l'action menée au niveau national par les pays pour permettre la transformation numérique. Le Bureau a continué de participer activement aux activités du système des Nations Unies, intégrant ainsi l'UIT en tant qu'institution non-résidente dans les travaux de plusieurs équipes de pays des Nations Unies et acteur fournissant un appui aux coordonnateurs résidents des Nations Unies au Cameroun, en Éthiopie, au Sénégal et au Zimbabwe.</w:t>
            </w:r>
          </w:p>
          <w:p w14:paraId="1DF972ED" w14:textId="77777777" w:rsidR="00BC680E" w:rsidRPr="00231866" w:rsidRDefault="00BC680E" w:rsidP="000A5084">
            <w:pPr>
              <w:pStyle w:val="enumlev1"/>
              <w:keepLines/>
              <w:jc w:val="left"/>
              <w:rPr>
                <w:lang w:val="fr-FR"/>
              </w:rPr>
            </w:pPr>
            <w:r w:rsidRPr="00231866">
              <w:rPr>
                <w:lang w:val="fr-FR"/>
              </w:rPr>
              <w:lastRenderedPageBreak/>
              <w:t>•</w:t>
            </w:r>
            <w:r w:rsidRPr="00231866">
              <w:rPr>
                <w:lang w:val="fr-FR"/>
              </w:rPr>
              <w:tab/>
              <w:t>La collaboration avec la représentation régionale du Bureau de la coordination des activités de développement (BCAD) et dans le cadre des Coalitions africaines Opportunité et interrogation (O/IBC) s'est poursuivie. L'UIT a codirigé avec l'OMS, ONU</w:t>
            </w:r>
            <w:r w:rsidRPr="00231866">
              <w:rPr>
                <w:lang w:val="fr-FR"/>
              </w:rPr>
              <w:noBreakHyphen/>
              <w:t>HABITAT et l'UNESCO la coalition OIBC4 qui vise à tirer parti des nouvelles technologies et à favoriser les transitions numériques en vue d'une croissance et d'un développement inclusifs. En 2023, la coalition O/IBC4 a fusionné avec la coalition O/IBC3 en vue de se concentrer sur l'éducation, l'innovation, le passage au tout numérique et la jeunesse, l'UIT continuant de jouer un rôle de codirecteur. Cette initiative devrait offrir un cadre exemplaire, au sein du continent, pour aider les équipes de pays des Nations Unies à comprendre la manière dont les technologies numériques peuvent être exploitées dans la planification des activités de développement des pays et l'appui à ces activités, tout en mettant à profit les principales priorités mondiales et régionales et en travaillant en vue de les mettre en œuvre.</w:t>
            </w:r>
          </w:p>
          <w:p w14:paraId="05BABC54" w14:textId="77777777" w:rsidR="00BC680E" w:rsidRPr="00231866" w:rsidRDefault="00BC680E" w:rsidP="00FA497F">
            <w:pPr>
              <w:pStyle w:val="Headingb"/>
              <w:jc w:val="left"/>
              <w:rPr>
                <w:i/>
                <w:iCs/>
                <w:lang w:val="fr-FR"/>
              </w:rPr>
            </w:pPr>
            <w:r w:rsidRPr="00231866">
              <w:rPr>
                <w:i/>
                <w:iCs/>
                <w:lang w:val="fr-FR"/>
              </w:rPr>
              <w:t>Bureau régional de l'UIT pour les Amériques</w:t>
            </w:r>
          </w:p>
          <w:p w14:paraId="67D787E7" w14:textId="77777777" w:rsidR="00BC680E" w:rsidRPr="00231866" w:rsidRDefault="00BC680E" w:rsidP="00FA497F">
            <w:pPr>
              <w:pStyle w:val="enumlev1"/>
              <w:jc w:val="left"/>
              <w:rPr>
                <w:lang w:val="fr-FR"/>
              </w:rPr>
            </w:pPr>
            <w:r w:rsidRPr="00231866">
              <w:rPr>
                <w:lang w:val="fr-FR"/>
              </w:rPr>
              <w:t>•</w:t>
            </w:r>
            <w:r w:rsidRPr="00231866">
              <w:rPr>
                <w:lang w:val="fr-FR"/>
              </w:rPr>
              <w:tab/>
              <w:t xml:space="preserve">En février, le </w:t>
            </w:r>
            <w:r w:rsidRPr="00231866">
              <w:rPr>
                <w:b/>
                <w:bCs/>
                <w:lang w:val="fr-FR"/>
              </w:rPr>
              <w:t>Bureau régional</w:t>
            </w:r>
            <w:r w:rsidRPr="00231866">
              <w:rPr>
                <w:lang w:val="fr-FR"/>
              </w:rPr>
              <w:t xml:space="preserve"> a participé en tant que partenaire clé au lancement régional de l</w:t>
            </w:r>
            <w:r w:rsidRPr="00231866">
              <w:rPr>
                <w:b/>
                <w:bCs/>
                <w:lang w:val="fr-FR"/>
              </w:rPr>
              <w:t>'initiative des Nations Unies sur les systèmes d'alerte précoce pour tous (EW4ALL)</w:t>
            </w:r>
            <w:r w:rsidRPr="00231866">
              <w:rPr>
                <w:lang w:val="fr-FR"/>
              </w:rPr>
              <w:t>. L'objectif était d'obtenir la mobilisation des premiers ministres des pays des Caraïbes afin qu'ils appuient l'initiative EW4ALL et facilitent l'adoption des mécanismes de gouvernance nationaux et régionaux qui permettront sa mise en œuvre. Le Plan d'action exécutif pour la mise en œuvre de l'initiative EW4ALL a été présenté par le Secrétaire général de l'ONU, António Guterres, lors de la COP 27.</w:t>
            </w:r>
          </w:p>
          <w:p w14:paraId="52859B42" w14:textId="77777777" w:rsidR="00BC680E" w:rsidRPr="00231866" w:rsidRDefault="00BC680E" w:rsidP="00FA497F">
            <w:pPr>
              <w:pStyle w:val="enumlev1"/>
              <w:keepNext/>
              <w:keepLines/>
              <w:jc w:val="left"/>
              <w:rPr>
                <w:lang w:val="fr-FR"/>
              </w:rPr>
            </w:pPr>
            <w:r w:rsidRPr="00231866">
              <w:rPr>
                <w:lang w:val="fr-FR"/>
              </w:rPr>
              <w:t>•</w:t>
            </w:r>
            <w:r w:rsidRPr="00231866">
              <w:rPr>
                <w:lang w:val="fr-FR"/>
              </w:rPr>
              <w:tab/>
              <w:t>Le Bureau régional a participé activement aux équipes de pays des Nations Unies au titre des activités menées dans le contexte des plans-cadres des Nations Unies pour le développement durable au Honduras, à El Salvador et au Paraguay, tout en collaborant également avec les équipes de pays et les coordonnateurs résidents des Nations Unies dans d'autres pays de la région, afin de tirer efficacement parti des TIC dans l'action menée par les Nations Unies pour instaurer une connectivité efficace et réduire la fracture numérique.</w:t>
            </w:r>
          </w:p>
          <w:p w14:paraId="6AA213DB" w14:textId="77777777" w:rsidR="00BC680E" w:rsidRPr="00231866" w:rsidRDefault="00BC680E" w:rsidP="00FA497F">
            <w:pPr>
              <w:pStyle w:val="enumlev1"/>
              <w:jc w:val="left"/>
              <w:rPr>
                <w:lang w:val="fr-FR"/>
              </w:rPr>
            </w:pPr>
            <w:r w:rsidRPr="00231866">
              <w:rPr>
                <w:lang w:val="fr-FR"/>
              </w:rPr>
              <w:t>•</w:t>
            </w:r>
            <w:r w:rsidRPr="00231866">
              <w:rPr>
                <w:lang w:val="fr-FR"/>
              </w:rPr>
              <w:tab/>
              <w:t>Le Bureau a défendu le rôle important des TIC dans le plan-cadre pour le développement durable pour la République dominicaine (2023-2027), que l'UIT devrait signer dans les prochains mois.</w:t>
            </w:r>
          </w:p>
          <w:p w14:paraId="66E0B370" w14:textId="77777777" w:rsidR="00BC680E" w:rsidRPr="00231866" w:rsidRDefault="00BC680E" w:rsidP="00FA497F">
            <w:pPr>
              <w:pStyle w:val="enumlev1"/>
              <w:jc w:val="left"/>
              <w:rPr>
                <w:lang w:val="fr-FR"/>
              </w:rPr>
            </w:pPr>
            <w:r w:rsidRPr="00231866">
              <w:rPr>
                <w:lang w:val="fr-FR"/>
              </w:rPr>
              <w:t>•</w:t>
            </w:r>
            <w:r w:rsidRPr="00231866">
              <w:rPr>
                <w:lang w:val="fr-FR"/>
              </w:rPr>
              <w:tab/>
              <w:t>Au Honduras, le Bureau relance les travaux sur la stratégie en matière de cyberagriculture élaborée par l'UIT en vue de rechercher des synergies dans la mise en œuvre, en particulier avec la FAO.</w:t>
            </w:r>
          </w:p>
          <w:p w14:paraId="5550CBB1" w14:textId="77777777" w:rsidR="00BC680E" w:rsidRPr="00231866" w:rsidRDefault="00BC680E" w:rsidP="00FA497F">
            <w:pPr>
              <w:pStyle w:val="enumlev1"/>
              <w:jc w:val="left"/>
              <w:rPr>
                <w:lang w:val="fr-FR"/>
              </w:rPr>
            </w:pPr>
            <w:r w:rsidRPr="00231866">
              <w:rPr>
                <w:lang w:val="fr-FR"/>
              </w:rPr>
              <w:t>•</w:t>
            </w:r>
            <w:r w:rsidRPr="00231866">
              <w:rPr>
                <w:lang w:val="fr-FR"/>
              </w:rPr>
              <w:tab/>
              <w:t>Le kit pratique sur le numérique à l'intention des micro et petites entreprises élaboré par l'UIT est en cours de mise en œuvre en République dominicaine, au Guatemala et au Panama, en partenariat avec ONU-Femmes.</w:t>
            </w:r>
          </w:p>
          <w:p w14:paraId="17A336BF" w14:textId="77777777" w:rsidR="00BC680E" w:rsidRPr="00231866" w:rsidRDefault="00BC680E" w:rsidP="000A5084">
            <w:pPr>
              <w:pStyle w:val="enumlev1"/>
              <w:spacing w:after="120"/>
              <w:jc w:val="left"/>
              <w:rPr>
                <w:lang w:val="fr-FR"/>
              </w:rPr>
            </w:pPr>
            <w:r w:rsidRPr="00231866">
              <w:rPr>
                <w:lang w:val="fr-FR"/>
              </w:rPr>
              <w:t>•</w:t>
            </w:r>
            <w:r w:rsidRPr="00231866">
              <w:rPr>
                <w:lang w:val="fr-FR"/>
              </w:rPr>
              <w:tab/>
              <w:t xml:space="preserve">L'UIT a également rejoint le Comité de </w:t>
            </w:r>
            <w:proofErr w:type="spellStart"/>
            <w:r w:rsidRPr="00231866">
              <w:rPr>
                <w:lang w:val="fr-FR"/>
              </w:rPr>
              <w:t>Generación</w:t>
            </w:r>
            <w:proofErr w:type="spellEnd"/>
            <w:r w:rsidRPr="00231866">
              <w:rPr>
                <w:lang w:val="fr-FR"/>
              </w:rPr>
              <w:t xml:space="preserve"> </w:t>
            </w:r>
            <w:proofErr w:type="spellStart"/>
            <w:r w:rsidRPr="00231866">
              <w:rPr>
                <w:lang w:val="fr-FR"/>
              </w:rPr>
              <w:t>Única</w:t>
            </w:r>
            <w:proofErr w:type="spellEnd"/>
            <w:r w:rsidRPr="00231866">
              <w:rPr>
                <w:lang w:val="fr-FR"/>
              </w:rPr>
              <w:t xml:space="preserve"> à l'invitation de l'UNICEF en Argentine et le Partenariat des Nations Unies sur les projets relatifs aux droits des personnes handicapées à l'invitation de l'équipe de pays des Nations Unies du Guatemala.</w:t>
            </w:r>
          </w:p>
          <w:p w14:paraId="6B77F103" w14:textId="77777777" w:rsidR="00BC680E" w:rsidRPr="00231866" w:rsidRDefault="00BC680E" w:rsidP="00FA497F">
            <w:pPr>
              <w:pStyle w:val="Headingb"/>
              <w:jc w:val="left"/>
              <w:rPr>
                <w:i/>
                <w:iCs/>
                <w:lang w:val="fr-FR"/>
              </w:rPr>
            </w:pPr>
            <w:r w:rsidRPr="00231866">
              <w:rPr>
                <w:i/>
                <w:iCs/>
                <w:lang w:val="fr-FR"/>
              </w:rPr>
              <w:lastRenderedPageBreak/>
              <w:t>Bureau régional de l'UIT pour les États arabes</w:t>
            </w:r>
          </w:p>
          <w:p w14:paraId="7365DFB2" w14:textId="77777777" w:rsidR="00BC680E" w:rsidRPr="00231866" w:rsidRDefault="00BC680E" w:rsidP="00FA497F">
            <w:pPr>
              <w:pStyle w:val="enumlev1"/>
              <w:jc w:val="left"/>
              <w:rPr>
                <w:lang w:val="fr-FR"/>
              </w:rPr>
            </w:pPr>
            <w:r w:rsidRPr="00231866">
              <w:rPr>
                <w:lang w:val="fr-FR"/>
              </w:rPr>
              <w:t>•</w:t>
            </w:r>
            <w:r w:rsidRPr="00231866">
              <w:rPr>
                <w:lang w:val="fr-FR"/>
              </w:rPr>
              <w:tab/>
              <w:t xml:space="preserve">Ce </w:t>
            </w:r>
            <w:r w:rsidRPr="00231866">
              <w:rPr>
                <w:b/>
                <w:bCs/>
                <w:lang w:val="fr-FR"/>
              </w:rPr>
              <w:t>Bureau régional</w:t>
            </w:r>
            <w:r w:rsidRPr="00231866">
              <w:rPr>
                <w:lang w:val="fr-FR"/>
              </w:rPr>
              <w:t xml:space="preserve"> collabore activement avec diverses institutions des Nations Unies et participe aux activités des équipes de pays des Nations Unies avec les coordonnateurs résidents des Nations Unies, notamment en Algérie, à Bahreïn, en Égypte, en Jordanie, au Maroc et en Arabie saoudite, ainsi qu'avec les deux bureaux régionaux des coordonnateurs résidents, pour les États arabes et l'Afrique. Le Bureau régional a coprésidé et dirigé les travaux de l'Équipe mixte sur la numérisation et l'innovation, conjointement avec l'ONUDI et l'UNESCO.</w:t>
            </w:r>
          </w:p>
          <w:p w14:paraId="2643A72D" w14:textId="77777777" w:rsidR="00BC680E" w:rsidRPr="00231866" w:rsidRDefault="00BC680E" w:rsidP="00FA497F">
            <w:pPr>
              <w:pStyle w:val="enumlev1"/>
              <w:jc w:val="left"/>
              <w:rPr>
                <w:lang w:val="fr-FR"/>
              </w:rPr>
            </w:pPr>
            <w:r w:rsidRPr="00231866">
              <w:rPr>
                <w:lang w:val="fr-FR"/>
              </w:rPr>
              <w:t>•</w:t>
            </w:r>
            <w:r w:rsidRPr="00231866">
              <w:rPr>
                <w:lang w:val="fr-FR"/>
              </w:rPr>
              <w:tab/>
              <w:t>Une stratégie d'engagement des Nations Unies au niveau régional est en cours d'élaboration et sera peaufinée à l'issue de discussions avec les coordonnateurs résidents des Nations Unies et leurs bureaux régionaux, mais des ressources seront peut</w:t>
            </w:r>
            <w:r w:rsidRPr="00231866">
              <w:rPr>
                <w:lang w:val="fr-FR"/>
              </w:rPr>
              <w:noBreakHyphen/>
              <w:t>être nécessaires pour pouvoir prendre part efficacement au système des Nations Unies dans l'ensemble de la région des États arabes, étant donné que tous les pays de la région mènent actuellement une initiative en faveur de la transformation numérique au niveau national.</w:t>
            </w:r>
          </w:p>
          <w:p w14:paraId="0C713867" w14:textId="77777777" w:rsidR="00BC680E" w:rsidRPr="00231866" w:rsidRDefault="00BC680E" w:rsidP="00FA497F">
            <w:pPr>
              <w:pStyle w:val="enumlev1"/>
              <w:jc w:val="left"/>
              <w:rPr>
                <w:b/>
                <w:lang w:val="fr-FR"/>
              </w:rPr>
            </w:pPr>
            <w:r w:rsidRPr="00231866">
              <w:rPr>
                <w:lang w:val="fr-FR"/>
              </w:rPr>
              <w:t>•</w:t>
            </w:r>
            <w:r w:rsidRPr="00231866">
              <w:rPr>
                <w:lang w:val="fr-FR"/>
              </w:rPr>
              <w:tab/>
              <w:t>Le Bureau régional a également travaillé en partenariat avec l'OMS et la FAO pour aider les pays à élaborer des stratégies nationales en matière de santé numérique et de cyberagriculture, par exemple en Égypte, et envisage une collaboration analogue en Algérie et en Jordanie.</w:t>
            </w:r>
          </w:p>
          <w:p w14:paraId="6E8D6CBB" w14:textId="77777777" w:rsidR="00BC680E" w:rsidRPr="00231866" w:rsidRDefault="00BC680E" w:rsidP="00FA497F">
            <w:pPr>
              <w:pStyle w:val="enumlev1"/>
              <w:jc w:val="left"/>
              <w:rPr>
                <w:b/>
                <w:lang w:val="fr-FR"/>
              </w:rPr>
            </w:pPr>
            <w:r w:rsidRPr="00231866">
              <w:rPr>
                <w:lang w:val="fr-FR"/>
              </w:rPr>
              <w:t>•</w:t>
            </w:r>
            <w:r w:rsidRPr="00231866">
              <w:rPr>
                <w:lang w:val="fr-FR"/>
              </w:rPr>
              <w:tab/>
              <w:t>Le Bureau a collaboré avec des parties prenantes de premier plan, comme la CESAO des Nations Unies concernant l'élaboration d'une stratégie régionale en matière de TIC pour les États arabes dans le cadre de la coordination au sein des commissions de la Ligue des États arabes.</w:t>
            </w:r>
          </w:p>
          <w:p w14:paraId="42912D4E" w14:textId="77777777" w:rsidR="00BC680E" w:rsidRPr="00231866" w:rsidRDefault="00BC680E" w:rsidP="00FA497F">
            <w:pPr>
              <w:pStyle w:val="enumlev1"/>
              <w:jc w:val="left"/>
              <w:rPr>
                <w:lang w:val="fr-FR"/>
              </w:rPr>
            </w:pPr>
            <w:r w:rsidRPr="00231866">
              <w:rPr>
                <w:lang w:val="fr-FR"/>
              </w:rPr>
              <w:t>•</w:t>
            </w:r>
            <w:r w:rsidRPr="00231866">
              <w:rPr>
                <w:lang w:val="fr-FR"/>
              </w:rPr>
              <w:tab/>
              <w:t>À l'heure actuelle, l'UIT est signataire du plan-cadre des Nations unies pour le développement durable de l'Algérie, de Bahreïn et de l'Égypte, tandis que les discussions se poursuivent dans d'autres pays de la région.</w:t>
            </w:r>
          </w:p>
          <w:p w14:paraId="5683EE6A" w14:textId="77777777" w:rsidR="00BC680E" w:rsidRPr="00231866" w:rsidRDefault="00BC680E" w:rsidP="001C13BF">
            <w:pPr>
              <w:pStyle w:val="Headingb"/>
              <w:keepNext w:val="0"/>
              <w:jc w:val="left"/>
              <w:rPr>
                <w:i/>
                <w:iCs/>
                <w:lang w:val="fr-FR"/>
              </w:rPr>
            </w:pPr>
            <w:r w:rsidRPr="00231866">
              <w:rPr>
                <w:i/>
                <w:iCs/>
                <w:lang w:val="fr-FR"/>
              </w:rPr>
              <w:t>Bureau régional de l'UIT pour l'Asie et le Pacifique</w:t>
            </w:r>
          </w:p>
          <w:p w14:paraId="72736873" w14:textId="227C3412" w:rsidR="00BC680E" w:rsidRPr="00231866" w:rsidRDefault="00BC680E" w:rsidP="00282783">
            <w:pPr>
              <w:pStyle w:val="enumlev1"/>
              <w:spacing w:after="120"/>
              <w:jc w:val="left"/>
              <w:rPr>
                <w:lang w:val="fr-FR"/>
              </w:rPr>
            </w:pPr>
            <w:r w:rsidRPr="00231866">
              <w:rPr>
                <w:lang w:val="fr-FR"/>
              </w:rPr>
              <w:t>•</w:t>
            </w:r>
            <w:r w:rsidRPr="00231866">
              <w:rPr>
                <w:lang w:val="fr-FR"/>
              </w:rPr>
              <w:tab/>
              <w:t xml:space="preserve">Le </w:t>
            </w:r>
            <w:r w:rsidRPr="00231866">
              <w:rPr>
                <w:b/>
                <w:bCs/>
                <w:lang w:val="fr-FR"/>
              </w:rPr>
              <w:t>Bureau régional</w:t>
            </w:r>
            <w:r w:rsidRPr="00231866">
              <w:rPr>
                <w:lang w:val="fr-FR"/>
              </w:rPr>
              <w:t xml:space="preserve"> a participé au 10ème Forum Asie-Pacifique sur le développement durable (APFSD) organisé par la Commission économique et sociale pour l'Asie et le Pacifique (CESAP) des Nations Unies à Bangkok (Thaïlande) en mars. Tout au long du Forum, l'UIT a collaboré avec la FAO pour présenter l'initiative "Îles et villages intelligents". L'UIT a également coorganisé la table ronde sur l'ODD 9 et apporté son appui pour l'une des séances plénières clés, à savoir celle consacrée à l'examen des progrès accomplis au niveau régional en vue d'atteindre les ODD et les perspectives en la matière.</w:t>
            </w:r>
          </w:p>
        </w:tc>
      </w:tr>
      <w:tr w:rsidR="001C13BF" w:rsidRPr="00231866" w14:paraId="23100123"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B635D6F" w14:textId="77777777" w:rsidR="001C13BF" w:rsidRPr="00231866" w:rsidRDefault="001C13BF" w:rsidP="001C13BF">
            <w:pPr>
              <w:pStyle w:val="enumlev1"/>
              <w:keepLines/>
              <w:jc w:val="left"/>
              <w:rPr>
                <w:lang w:val="fr-FR"/>
              </w:rPr>
            </w:pPr>
            <w:r w:rsidRPr="00231866">
              <w:rPr>
                <w:lang w:val="fr-FR"/>
              </w:rPr>
              <w:lastRenderedPageBreak/>
              <w:t>•</w:t>
            </w:r>
            <w:r w:rsidRPr="00231866">
              <w:rPr>
                <w:lang w:val="fr-FR"/>
              </w:rPr>
              <w:tab/>
              <w:t>Le Bureau régional a également continué de collaborer étroitement avec les coordonnateurs résidents et les institutions des Nations Unies du Pacifique, en particulier au Bhoutan, au Cambodge, en Inde, en Indonésie, en Malaisie, en Mongolie, en Papouasie-Nouvelle-Guinée, aux Philippines et en Thaïlande. L'un des résultats concrets de l'engagement de l'UIT aux côtés des Nations Unies dans la région est l'élaboration et l'approbation de deux projets du Fonds des Nations Unies pour le développement durable, qui visent à accélérer la transformation numérique dans la région Pacifique grâce à la mise en œuvre de l'initiative sur les îles intelligentes et de programmes de passage au numérique dans les pays bénéficiaires.</w:t>
            </w:r>
          </w:p>
          <w:p w14:paraId="3E043906" w14:textId="77777777" w:rsidR="001C13BF" w:rsidRPr="00231866" w:rsidRDefault="001C13BF" w:rsidP="001C13BF">
            <w:pPr>
              <w:pStyle w:val="Headingb"/>
              <w:jc w:val="left"/>
              <w:rPr>
                <w:i/>
                <w:iCs/>
                <w:lang w:val="fr-FR"/>
              </w:rPr>
            </w:pPr>
            <w:r w:rsidRPr="00231866">
              <w:rPr>
                <w:i/>
                <w:iCs/>
                <w:lang w:val="fr-FR"/>
              </w:rPr>
              <w:t>Bureau régional de l'UIT pour les pays de la CEI</w:t>
            </w:r>
          </w:p>
          <w:p w14:paraId="430C82E1" w14:textId="77777777" w:rsidR="001C13BF" w:rsidRPr="00231866" w:rsidRDefault="001C13BF" w:rsidP="001C13BF">
            <w:pPr>
              <w:pStyle w:val="enumlev1"/>
              <w:jc w:val="left"/>
              <w:rPr>
                <w:b/>
                <w:lang w:val="fr-FR"/>
              </w:rPr>
            </w:pPr>
            <w:r w:rsidRPr="00231866">
              <w:rPr>
                <w:lang w:val="fr-FR"/>
              </w:rPr>
              <w:t>•</w:t>
            </w:r>
            <w:r w:rsidRPr="00231866">
              <w:rPr>
                <w:lang w:val="fr-FR"/>
              </w:rPr>
              <w:tab/>
              <w:t xml:space="preserve">Le </w:t>
            </w:r>
            <w:r w:rsidRPr="00231866">
              <w:rPr>
                <w:b/>
                <w:bCs/>
                <w:lang w:val="fr-FR"/>
              </w:rPr>
              <w:t>Bureau régional</w:t>
            </w:r>
            <w:r w:rsidRPr="00231866">
              <w:rPr>
                <w:lang w:val="fr-FR"/>
              </w:rPr>
              <w:t xml:space="preserve"> travaille en étroite collaboration avec les équipes de pays des Nations Unies au Bélarus, au Kazakhstan, au Kirghizistan et en Ouzbékistan. La collaboration se poursuit avec d'autres équipes de pays des Nations Unies dans la région, afin de mieux faire connaître les activités menées par l'UIT aux niveaux mondial et régional et d'étudier des possibilités de partenariat.</w:t>
            </w:r>
          </w:p>
          <w:p w14:paraId="5205DA90" w14:textId="77777777" w:rsidR="001C13BF" w:rsidRPr="00231866" w:rsidRDefault="001C13BF" w:rsidP="001C13BF">
            <w:pPr>
              <w:pStyle w:val="enumlev1"/>
              <w:jc w:val="left"/>
              <w:rPr>
                <w:b/>
                <w:lang w:val="fr-FR"/>
              </w:rPr>
            </w:pPr>
            <w:r w:rsidRPr="00231866">
              <w:rPr>
                <w:lang w:val="fr-FR"/>
              </w:rPr>
              <w:t>•</w:t>
            </w:r>
            <w:r w:rsidRPr="00231866">
              <w:rPr>
                <w:lang w:val="fr-FR"/>
              </w:rPr>
              <w:tab/>
              <w:t>Dans le cadre du Groupe des Nations Unies sur la transformation numérique pour l'Europe et l'Asie centrale, codirigé par l'UIT et la CEE-ONU, une session sur le développement numérique a été organisée à l'occasion du Forum régional des Nations Unies sur le développement durable pour l'Europe et l'Asie centrale. Le Bureau régional a participé au 10ème Forum Asie-Pacifique sur le développement durable organisé par la CESAP en contribuant à la table ronde sur l'ODD 9, conjointement avec le Bureau régional de l'UIT pour l'Asie-Pacifique.</w:t>
            </w:r>
          </w:p>
          <w:p w14:paraId="459EA493" w14:textId="77777777" w:rsidR="001C13BF" w:rsidRPr="00231866" w:rsidRDefault="001C13BF" w:rsidP="001C13BF">
            <w:pPr>
              <w:pStyle w:val="Headingb"/>
              <w:rPr>
                <w:i/>
                <w:iCs/>
                <w:lang w:val="fr-FR"/>
              </w:rPr>
            </w:pPr>
            <w:r w:rsidRPr="00231866">
              <w:rPr>
                <w:i/>
                <w:iCs/>
                <w:lang w:val="fr-FR"/>
              </w:rPr>
              <w:t>Bureau régional de l'UIT pour l'Europe</w:t>
            </w:r>
          </w:p>
          <w:p w14:paraId="721C6235" w14:textId="77777777" w:rsidR="001C13BF" w:rsidRPr="00231866" w:rsidRDefault="001C13BF" w:rsidP="001C13BF">
            <w:pPr>
              <w:pStyle w:val="enumlev1"/>
              <w:jc w:val="left"/>
              <w:rPr>
                <w:lang w:val="fr-FR"/>
              </w:rPr>
            </w:pPr>
            <w:r w:rsidRPr="00231866">
              <w:rPr>
                <w:lang w:val="fr-FR"/>
              </w:rPr>
              <w:t>•</w:t>
            </w:r>
            <w:r w:rsidRPr="00231866">
              <w:rPr>
                <w:lang w:val="fr-FR"/>
              </w:rPr>
              <w:tab/>
              <w:t>Une série de manifestations ont été organisées pendant le Forum 2023 du SMSI, en particulier sur les travaux menés par les pays dans les domaines de l'inclusion numérique, de la généralisation du numérique et de l'infrastructure des TIC.</w:t>
            </w:r>
          </w:p>
          <w:p w14:paraId="45F07E0B" w14:textId="77777777" w:rsidR="001C13BF" w:rsidRPr="00231866" w:rsidRDefault="001C13BF" w:rsidP="001C13BF">
            <w:pPr>
              <w:pStyle w:val="enumlev1"/>
              <w:jc w:val="left"/>
              <w:rPr>
                <w:lang w:val="fr-FR"/>
              </w:rPr>
            </w:pPr>
            <w:r w:rsidRPr="00231866">
              <w:rPr>
                <w:lang w:val="fr-FR"/>
              </w:rPr>
              <w:t>•</w:t>
            </w:r>
            <w:r w:rsidRPr="00231866">
              <w:rPr>
                <w:lang w:val="fr-FR"/>
              </w:rPr>
              <w:tab/>
              <w:t>Une thématique spéciale sur "Le numérique au service du développement" a été organisée à l'occasion du Forum régional des Nations Unies sur le développement durable pour l'Europe et l'Asie centrale. Cette session a débouché sur la formulation d'une série de recommandations concrètes, qui sont destinées à être utilisées pour les débats du Forum politique de haut niveau et mettent en avant le rôle stratégique des TIC dans la réalisation des ODD.</w:t>
            </w:r>
          </w:p>
          <w:p w14:paraId="2DF17486" w14:textId="56AF69E2" w:rsidR="001C13BF" w:rsidRPr="001C13BF" w:rsidRDefault="001C13BF" w:rsidP="001C13BF">
            <w:pPr>
              <w:pStyle w:val="enumlev1"/>
              <w:spacing w:after="120"/>
              <w:jc w:val="left"/>
              <w:rPr>
                <w:lang w:val="fr-FR"/>
              </w:rPr>
            </w:pPr>
            <w:r w:rsidRPr="00231866">
              <w:rPr>
                <w:lang w:val="fr-FR"/>
              </w:rPr>
              <w:t>•</w:t>
            </w:r>
            <w:r w:rsidRPr="00231866">
              <w:rPr>
                <w:lang w:val="fr-FR"/>
              </w:rPr>
              <w:tab/>
              <w:t>En vue d'élaborer le plan de mise en œuvre glissant pour l'Europe et de renforcer l'engagement des parties prenantes en faveur de la mise en œuvre des initiatives régionales de l'UIT, le Forum régional de l'UIT sur le développement pour l'Europe (RDF</w:t>
            </w:r>
            <w:r w:rsidRPr="00231866">
              <w:rPr>
                <w:lang w:val="fr-FR"/>
              </w:rPr>
              <w:noBreakHyphen/>
              <w:t>EUR) de 2023 a été organisé en collaboration étroite avec la Conférence européenne des administrations des postes et des télécommunications (CEPT) du 22 au 23 mai 2023 en Roumanie.</w:t>
            </w:r>
          </w:p>
        </w:tc>
      </w:tr>
      <w:tr w:rsidR="000A5084" w:rsidRPr="00231866" w14:paraId="742B279C"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8CFA361" w14:textId="20BB76B7" w:rsidR="00D43D78" w:rsidRDefault="00D43D78" w:rsidP="001C13BF">
            <w:pPr>
              <w:pStyle w:val="enumlev1"/>
              <w:keepLines/>
              <w:jc w:val="left"/>
              <w:rPr>
                <w:lang w:val="fr-FR"/>
              </w:rPr>
            </w:pPr>
            <w:r w:rsidRPr="00231866">
              <w:rPr>
                <w:lang w:val="fr-FR"/>
              </w:rPr>
              <w:lastRenderedPageBreak/>
              <w:t>•</w:t>
            </w:r>
            <w:r w:rsidRPr="00231866">
              <w:rPr>
                <w:lang w:val="fr-FR"/>
              </w:rPr>
              <w:tab/>
              <w:t>Des efforts importants ont été déployés pour renforcer la coopération avec les institutions de l'Union européenne, l'ORECE, l'ENISA, la Commission européenne, notamment avec l'organisation d'une série de réunions de coordination à Bruxelles et à Genève, en vue de programmer des partenariats stratégiques</w:t>
            </w:r>
            <w:r>
              <w:rPr>
                <w:lang w:val="fr-FR"/>
              </w:rPr>
              <w:t>.</w:t>
            </w:r>
          </w:p>
          <w:p w14:paraId="4F4889B6" w14:textId="70E47E56" w:rsidR="000A5084" w:rsidRPr="00231866" w:rsidRDefault="000A5084" w:rsidP="001C13BF">
            <w:pPr>
              <w:pStyle w:val="enumlev1"/>
              <w:keepLines/>
              <w:jc w:val="left"/>
              <w:rPr>
                <w:lang w:val="fr-FR"/>
              </w:rPr>
            </w:pPr>
            <w:r w:rsidRPr="00231866">
              <w:rPr>
                <w:lang w:val="fr-FR"/>
              </w:rPr>
              <w:t>•</w:t>
            </w:r>
            <w:r w:rsidRPr="00231866">
              <w:rPr>
                <w:lang w:val="fr-FR"/>
              </w:rPr>
              <w:tab/>
              <w:t>Le Bureau régional a élaboré et codirigé deux mécanismes de coordination, à savoir le Groupe pour la transformation numérique en Europe et en Asie centrale et le Groupe spécial des Nations Unies sur le passage au numérique au service du développement durable à Bruxelles. Ce travail a abouti à l'élaboration de la boîte à outils pour le développement numérique des Nations Unies, qui offre des outils et des cadres et facilite la cocréation de projets multi-institutions visant à soutenir la transformation numérique et une connectivité efficace.</w:t>
            </w:r>
          </w:p>
          <w:p w14:paraId="2CD7D9B8" w14:textId="77777777" w:rsidR="000A5084" w:rsidRPr="00231866" w:rsidRDefault="000A5084" w:rsidP="000A5084">
            <w:pPr>
              <w:pStyle w:val="enumlev1"/>
              <w:jc w:val="left"/>
              <w:rPr>
                <w:lang w:val="fr-FR"/>
              </w:rPr>
            </w:pPr>
            <w:r w:rsidRPr="00231866">
              <w:rPr>
                <w:lang w:val="fr-FR"/>
              </w:rPr>
              <w:t>•</w:t>
            </w:r>
            <w:r w:rsidRPr="00231866">
              <w:rPr>
                <w:lang w:val="fr-FR"/>
              </w:rPr>
              <w:tab/>
              <w:t>Le Bureau régional a organisé des ateliers stratégiques ONU-CE sur l'intelligence artificielle.</w:t>
            </w:r>
          </w:p>
          <w:p w14:paraId="6FC83012" w14:textId="77777777" w:rsidR="000A5084" w:rsidRPr="00231866" w:rsidRDefault="000A5084" w:rsidP="000A5084">
            <w:pPr>
              <w:pStyle w:val="enumlev1"/>
              <w:jc w:val="left"/>
              <w:rPr>
                <w:lang w:val="fr-FR"/>
              </w:rPr>
            </w:pPr>
            <w:r w:rsidRPr="00231866">
              <w:rPr>
                <w:lang w:val="fr-FR"/>
              </w:rPr>
              <w:t>•</w:t>
            </w:r>
            <w:r w:rsidRPr="00231866">
              <w:rPr>
                <w:lang w:val="fr-FR"/>
              </w:rPr>
              <w:tab/>
              <w:t>De plus, la collaboration stratégique avec les institutions des Nations Unies a été renforcée, notamment avec la FAO (agriculture numérique), l'UNICEF (protection en ligne des enfants), ONU Femmes (fracture numérique entre les hommes et les femmes) et le PNUD (généralisation du numérique).</w:t>
            </w:r>
          </w:p>
          <w:p w14:paraId="6DE926A3" w14:textId="77777777" w:rsidR="000A5084" w:rsidRPr="00231866" w:rsidRDefault="000A5084" w:rsidP="000A5084">
            <w:pPr>
              <w:pStyle w:val="enumlev1"/>
              <w:jc w:val="left"/>
              <w:rPr>
                <w:lang w:val="fr-FR"/>
              </w:rPr>
            </w:pPr>
            <w:r w:rsidRPr="00231866">
              <w:rPr>
                <w:lang w:val="fr-FR"/>
              </w:rPr>
              <w:t>•</w:t>
            </w:r>
            <w:r w:rsidRPr="00231866">
              <w:rPr>
                <w:lang w:val="fr-FR"/>
              </w:rPr>
              <w:tab/>
              <w:t>Le Bureau régional a continué de travailler activement avec toutes les équipes de pays des Nations Unies dans la région Europe et a collaboré étroitement avec huit équipes de pays (Albanie, Bosnie-Herzégovine, Géorgie, Monténégro, Moldova, Macédoine du Nord, Serbie et Ukraine). Les profils de pays concernant le développement numérique pour la Bosnie</w:t>
            </w:r>
            <w:r w:rsidRPr="00231866">
              <w:rPr>
                <w:lang w:val="fr-FR"/>
              </w:rPr>
              <w:noBreakHyphen/>
              <w:t>Herzégovine et l'Ukraine ont été établis sous leur forme finale. En outre, le Bureau pour l'Europe continue de contribuer à l'élaboration de bilans communs de pays et de plans-cadres des Nations Unies pour le développement durable afin de renforcer la mise en œuvre des projets et initiatives liés à la transformation numérique.</w:t>
            </w:r>
          </w:p>
          <w:p w14:paraId="5A045B30" w14:textId="247C1E0C" w:rsidR="000A5084" w:rsidRPr="000A5084" w:rsidRDefault="000A5084" w:rsidP="001C13BF">
            <w:pPr>
              <w:pStyle w:val="enumlev1"/>
              <w:spacing w:after="120"/>
              <w:jc w:val="left"/>
            </w:pPr>
            <w:r w:rsidRPr="00231866">
              <w:rPr>
                <w:lang w:val="fr-FR"/>
              </w:rPr>
              <w:t>•</w:t>
            </w:r>
            <w:r w:rsidRPr="00231866">
              <w:rPr>
                <w:lang w:val="fr-FR"/>
              </w:rPr>
              <w:tab/>
              <w:t xml:space="preserve">En outre, conformément au </w:t>
            </w:r>
            <w:r w:rsidRPr="001C13BF">
              <w:rPr>
                <w:lang w:val="fr-FR"/>
              </w:rPr>
              <w:t xml:space="preserve">décide </w:t>
            </w:r>
            <w:r w:rsidRPr="00231866">
              <w:rPr>
                <w:lang w:val="fr-FR"/>
              </w:rPr>
              <w:t>de la Résolution 1408 du Conseil de l'UIT, le Bureau régional a continué de fournir une assistance axée sur la reconstruction et la remise en état de l'infrastructure des TIC en Ukraine, ainsi que sur un autre projet pilote sur les stations de radiodiffusion.</w:t>
            </w:r>
          </w:p>
        </w:tc>
      </w:tr>
    </w:tbl>
    <w:p w14:paraId="38F04468" w14:textId="7E6DAC35" w:rsidR="001C13BF" w:rsidRDefault="001C13BF">
      <w:pPr>
        <w:tabs>
          <w:tab w:val="clear" w:pos="794"/>
          <w:tab w:val="clear" w:pos="1191"/>
          <w:tab w:val="clear" w:pos="1588"/>
          <w:tab w:val="clear" w:pos="1985"/>
        </w:tabs>
        <w:overflowPunct/>
        <w:autoSpaceDE/>
        <w:autoSpaceDN/>
        <w:adjustRightInd/>
        <w:spacing w:before="0"/>
        <w:jc w:val="left"/>
        <w:textAlignment w:val="auto"/>
        <w:rPr>
          <w:b/>
          <w:lang w:val="fr-FR"/>
        </w:rPr>
      </w:pPr>
      <w:r>
        <w:rPr>
          <w:b/>
          <w:lang w:val="fr-FR"/>
        </w:rPr>
        <w:br w:type="page"/>
      </w:r>
    </w:p>
    <w:p w14:paraId="19910EBA" w14:textId="50F3EDA2" w:rsidR="00BC680E" w:rsidRPr="00231866" w:rsidRDefault="00BC680E" w:rsidP="00BC680E">
      <w:pPr>
        <w:pStyle w:val="Heading2"/>
        <w:spacing w:after="240"/>
        <w:rPr>
          <w:lang w:val="fr-FR"/>
        </w:rPr>
      </w:pPr>
      <w:r w:rsidRPr="00231866">
        <w:rPr>
          <w:lang w:val="fr-FR"/>
        </w:rPr>
        <w:lastRenderedPageBreak/>
        <w:t>3.8</w:t>
      </w:r>
      <w:r w:rsidRPr="00231866">
        <w:rPr>
          <w:lang w:val="fr-FR"/>
        </w:rPr>
        <w:tab/>
        <w:t>Catalyseur 3 de l'UIT-D – Diversité et inclusion</w:t>
      </w:r>
    </w:p>
    <w:tbl>
      <w:tblPr>
        <w:tblStyle w:val="GridTable2-Accent1"/>
        <w:tblW w:w="13466" w:type="dxa"/>
        <w:tblInd w:w="27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1701"/>
        <w:gridCol w:w="3544"/>
        <w:gridCol w:w="2693"/>
        <w:gridCol w:w="2977"/>
        <w:gridCol w:w="1275"/>
        <w:gridCol w:w="1276"/>
      </w:tblGrid>
      <w:tr w:rsidR="00BC680E" w:rsidRPr="00231866" w14:paraId="770D6730" w14:textId="77777777" w:rsidTr="00FA49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95B3D7" w:themeColor="accent1" w:themeTint="99"/>
              <w:right w:val="single" w:sz="4" w:space="0" w:color="95B3D7" w:themeColor="accent1" w:themeTint="99"/>
            </w:tcBorders>
          </w:tcPr>
          <w:p w14:paraId="6CEEBB40" w14:textId="77777777" w:rsidR="00BC680E" w:rsidRPr="00231866" w:rsidRDefault="00BC680E" w:rsidP="00FA497F">
            <w:pPr>
              <w:pStyle w:val="Tablehead"/>
              <w:rPr>
                <w:b/>
                <w:bCs w:val="0"/>
                <w:sz w:val="18"/>
                <w:szCs w:val="18"/>
                <w:lang w:val="fr-FR"/>
              </w:rPr>
            </w:pPr>
            <w:r w:rsidRPr="00231866">
              <w:rPr>
                <w:b/>
                <w:bCs w:val="0"/>
                <w:sz w:val="18"/>
                <w:szCs w:val="18"/>
                <w:lang w:val="fr-FR"/>
              </w:rPr>
              <w:t>Thème</w:t>
            </w:r>
          </w:p>
        </w:tc>
        <w:tc>
          <w:tcPr>
            <w:tcW w:w="3544" w:type="dxa"/>
            <w:tcBorders>
              <w:top w:val="single" w:sz="4" w:space="0" w:color="95B3D7" w:themeColor="accent1" w:themeTint="99"/>
              <w:left w:val="single" w:sz="4" w:space="0" w:color="95B3D7" w:themeColor="accent1" w:themeTint="99"/>
              <w:right w:val="single" w:sz="4" w:space="0" w:color="95B3D7" w:themeColor="accent1" w:themeTint="99"/>
            </w:tcBorders>
          </w:tcPr>
          <w:p w14:paraId="1D92839C"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Réalisation</w:t>
            </w:r>
          </w:p>
        </w:tc>
        <w:tc>
          <w:tcPr>
            <w:tcW w:w="2693" w:type="dxa"/>
            <w:tcBorders>
              <w:top w:val="single" w:sz="4" w:space="0" w:color="95B3D7" w:themeColor="accent1" w:themeTint="99"/>
              <w:left w:val="single" w:sz="4" w:space="0" w:color="95B3D7" w:themeColor="accent1" w:themeTint="99"/>
              <w:right w:val="single" w:sz="4" w:space="0" w:color="95B3D7" w:themeColor="accent1" w:themeTint="99"/>
            </w:tcBorders>
          </w:tcPr>
          <w:p w14:paraId="18CFA6CE"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Produits</w:t>
            </w:r>
            <w:r w:rsidRPr="00231866">
              <w:rPr>
                <w:b/>
                <w:bCs w:val="0"/>
                <w:sz w:val="18"/>
                <w:szCs w:val="18"/>
                <w:lang w:val="fr-FR"/>
              </w:rPr>
              <w:br/>
              <w:t>(Produits et services)</w:t>
            </w:r>
          </w:p>
        </w:tc>
        <w:tc>
          <w:tcPr>
            <w:tcW w:w="2977" w:type="dxa"/>
            <w:tcBorders>
              <w:top w:val="single" w:sz="4" w:space="0" w:color="95B3D7" w:themeColor="accent1" w:themeTint="99"/>
              <w:left w:val="single" w:sz="4" w:space="0" w:color="95B3D7" w:themeColor="accent1" w:themeTint="99"/>
              <w:right w:val="single" w:sz="4" w:space="0" w:color="95B3D7" w:themeColor="accent1" w:themeTint="99"/>
            </w:tcBorders>
          </w:tcPr>
          <w:p w14:paraId="713EE9FA"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Indicateurs fondamentaux de performance*</w:t>
            </w:r>
          </w:p>
        </w:tc>
        <w:tc>
          <w:tcPr>
            <w:tcW w:w="1275" w:type="dxa"/>
            <w:tcBorders>
              <w:top w:val="single" w:sz="4" w:space="0" w:color="95B3D7" w:themeColor="accent1" w:themeTint="99"/>
              <w:left w:val="single" w:sz="4" w:space="0" w:color="95B3D7" w:themeColor="accent1" w:themeTint="99"/>
              <w:right w:val="single" w:sz="4" w:space="0" w:color="95B3D7" w:themeColor="accent1" w:themeTint="99"/>
            </w:tcBorders>
          </w:tcPr>
          <w:p w14:paraId="15A2FE0E"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Budget 2023</w:t>
            </w:r>
            <w:r w:rsidRPr="00231866">
              <w:rPr>
                <w:b/>
                <w:bCs w:val="0"/>
                <w:sz w:val="18"/>
                <w:szCs w:val="18"/>
                <w:lang w:val="fr-FR"/>
              </w:rPr>
              <w:br/>
              <w:t>(en CHF)</w:t>
            </w:r>
          </w:p>
        </w:tc>
        <w:tc>
          <w:tcPr>
            <w:tcW w:w="1276" w:type="dxa"/>
            <w:tcBorders>
              <w:top w:val="single" w:sz="4" w:space="0" w:color="95B3D7" w:themeColor="accent1" w:themeTint="99"/>
              <w:left w:val="single" w:sz="4" w:space="0" w:color="95B3D7" w:themeColor="accent1" w:themeTint="99"/>
            </w:tcBorders>
            <w:noWrap/>
          </w:tcPr>
          <w:p w14:paraId="28F917A9"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 du total général</w:t>
            </w:r>
          </w:p>
        </w:tc>
      </w:tr>
      <w:tr w:rsidR="00BC680E" w:rsidRPr="00231866" w14:paraId="7CE438AD" w14:textId="77777777" w:rsidTr="00FA4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583C9080" w14:textId="77777777" w:rsidR="00BC680E" w:rsidRPr="00231866" w:rsidRDefault="00BC680E" w:rsidP="00FA497F">
            <w:pPr>
              <w:pStyle w:val="Tabletext"/>
              <w:jc w:val="left"/>
              <w:rPr>
                <w:sz w:val="18"/>
                <w:szCs w:val="18"/>
                <w:lang w:val="fr-FR"/>
              </w:rPr>
            </w:pPr>
            <w:r w:rsidRPr="00231866">
              <w:rPr>
                <w:sz w:val="18"/>
                <w:szCs w:val="18"/>
                <w:lang w:val="fr-FR"/>
              </w:rPr>
              <w:t>Inclusion numérique</w:t>
            </w:r>
          </w:p>
        </w:tc>
        <w:tc>
          <w:tcPr>
            <w:tcW w:w="3544" w:type="dxa"/>
            <w:hideMark/>
          </w:tcPr>
          <w:p w14:paraId="26806647"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Renforcement de la capacité des membres de l'UIT d'élaborer des stratégies, des politiques et des pratiques en faveur de l'inclusion et de l'équité numériques, en particulier pour l'autonomisation des femmes et des jeunes filles, des personnes handicapées, des personnes ayant des besoins particuliers ainsi que des ménages à faible revenu</w:t>
            </w:r>
          </w:p>
        </w:tc>
        <w:tc>
          <w:tcPr>
            <w:tcW w:w="2693" w:type="dxa"/>
            <w:hideMark/>
          </w:tcPr>
          <w:p w14:paraId="26E07B39"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Élaboration de cadres politiques et de supports de connaissance</w:t>
            </w:r>
          </w:p>
          <w:p w14:paraId="0CE413D9"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Renforcement des capacités</w:t>
            </w:r>
          </w:p>
          <w:p w14:paraId="24DA3304"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Fourniture d'une assistance technique</w:t>
            </w:r>
          </w:p>
          <w:p w14:paraId="61E3E95B"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Plates-formes fédératrices</w:t>
            </w:r>
          </w:p>
        </w:tc>
        <w:tc>
          <w:tcPr>
            <w:tcW w:w="2977" w:type="dxa"/>
            <w:hideMark/>
          </w:tcPr>
          <w:p w14:paraId="7F7C3E24"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Nombre de pays dotés d'une politique en matière d'accessibilité et d'égalité hommes-femmes dans le domaine des TIC</w:t>
            </w:r>
          </w:p>
          <w:p w14:paraId="5C68F578"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Nombre d'États Membres et de parties prenantes qui renforcent leurs connaissances/capacités concernant les politiques et stratégies en matière d'inclusion numérique</w:t>
            </w:r>
          </w:p>
          <w:p w14:paraId="419DE951"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Nombre de pays bénéficiant d'une assistance technique du BDT dans le domaine de l'inclusion numérique</w:t>
            </w:r>
          </w:p>
          <w:p w14:paraId="620C9167"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Nombre d'outils et de ressources sur l'inclusion numérique élaborés et mis à disposition pour appuyer les efforts déployés par les membres de l'UIT afin de mettre en œuvre des politiques et des stratégies en matière d'inclusion numérique, et nombre de téléchargements d'outils et de ressources</w:t>
            </w:r>
          </w:p>
          <w:p w14:paraId="1733197A"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Nombre de participants aux formations sur l'inclusion numérique en ligne/mixtes/présentielles</w:t>
            </w:r>
          </w:p>
          <w:p w14:paraId="1E6516DE"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Nombre de manifestations/ateliers/</w:t>
            </w:r>
            <w:r w:rsidRPr="00231866">
              <w:rPr>
                <w:sz w:val="18"/>
                <w:szCs w:val="18"/>
                <w:lang w:val="fr-FR"/>
              </w:rPr>
              <w:br/>
              <w:t xml:space="preserve">séminaires organisés par le BDT ou avec sa participation en vue de fournir une assistance aux États Membres et aux parties </w:t>
            </w:r>
            <w:r w:rsidRPr="00231866">
              <w:rPr>
                <w:sz w:val="18"/>
                <w:szCs w:val="18"/>
                <w:lang w:val="fr-FR"/>
              </w:rPr>
              <w:lastRenderedPageBreak/>
              <w:t>prenantes concernant les efforts qu'ils déploient pour parvenir à l'inclusion numérique pour tous, y compris pour les groupes vulnérables, au niveau national ou régional, et nombre de participants à ces manifestations</w:t>
            </w:r>
          </w:p>
          <w:p w14:paraId="272B094F"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Pourcentage de femmes participant aux réunions statutaires de l'UIT-D</w:t>
            </w:r>
          </w:p>
          <w:p w14:paraId="3910DA31"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Nombre de jeunes participant aux activités de l'UIT</w:t>
            </w:r>
          </w:p>
          <w:p w14:paraId="568F5002"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Nombre de jeunes délégués participant aux manifestations de l'UIT</w:t>
            </w:r>
          </w:p>
        </w:tc>
        <w:tc>
          <w:tcPr>
            <w:tcW w:w="1275" w:type="dxa"/>
            <w:hideMark/>
          </w:tcPr>
          <w:p w14:paraId="52FD3E22" w14:textId="77777777" w:rsidR="00BC680E" w:rsidRPr="00231866" w:rsidRDefault="00BC680E" w:rsidP="00FA497F">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231866">
              <w:rPr>
                <w:b/>
                <w:bCs/>
                <w:sz w:val="18"/>
                <w:szCs w:val="18"/>
                <w:lang w:val="fr-FR"/>
              </w:rPr>
              <w:lastRenderedPageBreak/>
              <w:t>404 500</w:t>
            </w:r>
          </w:p>
        </w:tc>
        <w:tc>
          <w:tcPr>
            <w:tcW w:w="1276" w:type="dxa"/>
            <w:noWrap/>
            <w:hideMark/>
          </w:tcPr>
          <w:p w14:paraId="58457D49" w14:textId="77777777" w:rsidR="00BC680E" w:rsidRPr="00231866" w:rsidRDefault="00BC680E" w:rsidP="00FA497F">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231866">
              <w:rPr>
                <w:b/>
                <w:bCs/>
                <w:sz w:val="18"/>
                <w:szCs w:val="18"/>
                <w:lang w:val="fr-FR"/>
              </w:rPr>
              <w:t>9,6%</w:t>
            </w:r>
          </w:p>
        </w:tc>
      </w:tr>
    </w:tbl>
    <w:p w14:paraId="5A5F38E9" w14:textId="77777777" w:rsidR="00BC680E" w:rsidRPr="00231866" w:rsidRDefault="00BC680E" w:rsidP="00BC680E">
      <w:pPr>
        <w:pStyle w:val="Tablelegend"/>
        <w:spacing w:after="240"/>
        <w:ind w:left="284" w:hanging="284"/>
        <w:rPr>
          <w:lang w:val="fr-FR"/>
        </w:rPr>
      </w:pPr>
      <w:r w:rsidRPr="00231866">
        <w:rPr>
          <w:lang w:val="fr-FR"/>
        </w:rPr>
        <w:t>*</w:t>
      </w:r>
      <w:r w:rsidRPr="00231866">
        <w:rPr>
          <w:lang w:val="fr-FR"/>
        </w:rPr>
        <w:tab/>
        <w:t>Ces indicateurs fondamentaux de performance pourraient être encore affinés à mesure que la mise en œuvre du Plan d'action de Kigali progresse afin de mieux rendre compte des résultats obtenus.</w:t>
      </w:r>
    </w:p>
    <w:tbl>
      <w:tblPr>
        <w:tblStyle w:val="TableGrid"/>
        <w:tblW w:w="0" w:type="auto"/>
        <w:tblInd w:w="274" w:type="dxa"/>
        <w:tblLayout w:type="fixed"/>
        <w:tblLook w:val="04A0" w:firstRow="1" w:lastRow="0" w:firstColumn="1" w:lastColumn="0" w:noHBand="0" w:noVBand="1"/>
      </w:tblPr>
      <w:tblGrid>
        <w:gridCol w:w="13466"/>
      </w:tblGrid>
      <w:tr w:rsidR="00BC680E" w:rsidRPr="00231866" w14:paraId="1DC33AAB"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2172A6C" w14:textId="77777777" w:rsidR="00BC680E" w:rsidRPr="00231866" w:rsidRDefault="00BC680E" w:rsidP="00282783">
            <w:pPr>
              <w:spacing w:before="100" w:after="100"/>
              <w:jc w:val="left"/>
              <w:rPr>
                <w:lang w:val="fr-FR"/>
              </w:rPr>
            </w:pPr>
            <w:r w:rsidRPr="00231866">
              <w:rPr>
                <w:b/>
                <w:bCs/>
                <w:lang w:val="fr-FR"/>
              </w:rPr>
              <w:t>Principales mesures mises en œuvre en 2023: Catalyseur 2 de l'UIT-D – Diversité et inclusion</w:t>
            </w:r>
          </w:p>
        </w:tc>
      </w:tr>
      <w:tr w:rsidR="00BC680E" w:rsidRPr="00231866" w14:paraId="094CB50A"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5AE65E5" w14:textId="77777777" w:rsidR="00BC680E" w:rsidRPr="00231866" w:rsidRDefault="00BC680E" w:rsidP="00282783">
            <w:pPr>
              <w:spacing w:before="100"/>
              <w:jc w:val="left"/>
              <w:rPr>
                <w:lang w:val="fr-FR"/>
              </w:rPr>
            </w:pPr>
            <w:r w:rsidRPr="00231866">
              <w:rPr>
                <w:lang w:val="fr-FR"/>
              </w:rPr>
              <w:t xml:space="preserve">À l'occasion de la Journée internationale de la femme célébrée le 8 mars, le BDT, en collaboration avec le Cadre intégré renforcé et dans le cadre du partenariat mondial EQUALS, a publié le </w:t>
            </w:r>
            <w:hyperlink r:id="rId72" w:history="1">
              <w:r w:rsidRPr="00231866">
                <w:rPr>
                  <w:rStyle w:val="Hyperlink"/>
                  <w:b/>
                  <w:bCs/>
                  <w:lang w:val="fr-FR"/>
                </w:rPr>
                <w:t>Manuel sur l'intégration du principe de la problématique hommes-femmes dans les politiques relatives au numérique</w:t>
              </w:r>
            </w:hyperlink>
            <w:r w:rsidRPr="00231866">
              <w:rPr>
                <w:lang w:val="fr-FR"/>
              </w:rPr>
              <w:t>. Ce lancement a eu lieu à l'occasion de la manifestation "Réduire la fracture numérique entre les hommes et les femmes par des mesures politiques", organisé avec le Gouvernement allemand, qui a également offert l'occasion de lancer le Réseau de femmes ayant rang de ministre du numérique et d'examiner comment une politique sur le numérique inclusive pouvait peser dans les résultats obtenus en matière de développement numérique.</w:t>
            </w:r>
          </w:p>
          <w:p w14:paraId="6E87EFBC" w14:textId="77777777" w:rsidR="00BC680E" w:rsidRPr="00231866" w:rsidRDefault="00BC680E" w:rsidP="00282783">
            <w:pPr>
              <w:spacing w:after="120"/>
              <w:jc w:val="left"/>
              <w:rPr>
                <w:lang w:val="fr-FR"/>
              </w:rPr>
            </w:pPr>
            <w:r w:rsidRPr="00231866">
              <w:rPr>
                <w:lang w:val="fr-FR"/>
              </w:rPr>
              <w:t>Toujours en mars, l'UIT, en collaboration avec le Ministère de l'information, des communications et des technologies de l'Indonésie, a organisé une manifestation sur le thème "Socialisation fondée sur l'intelligence artificielle: politique et normes relatives à l'intelligence artificielle fondées sur le genre en Indonésie". Cette manifestation a servi de cadre de diffusion d'un rapport de recherche sur les politiques d'intelligence artificielle tenant compte des spécificités hommes-femmes en Asie du Sud-Est, avec une série de dialogues et des activités de mise en réseau. Des formations sur l'intelligence artificielle ont été dispensées à Yogyakarta (Indonésie) sur les politiques et les normes en matière d'égalité hommes/femmes.</w:t>
            </w:r>
          </w:p>
          <w:p w14:paraId="7004EE90" w14:textId="77777777" w:rsidR="00BC680E" w:rsidRPr="00231866" w:rsidRDefault="00BC680E" w:rsidP="00FA497F">
            <w:pPr>
              <w:jc w:val="left"/>
              <w:rPr>
                <w:bCs/>
                <w:lang w:val="fr-FR"/>
              </w:rPr>
            </w:pPr>
            <w:r w:rsidRPr="00231866">
              <w:rPr>
                <w:bCs/>
                <w:lang w:val="fr-FR"/>
              </w:rPr>
              <w:lastRenderedPageBreak/>
              <w:t xml:space="preserve">En avril, avec l'appui de partenaires, l'équipe de l'initiative sur la </w:t>
            </w:r>
            <w:r w:rsidRPr="00231866">
              <w:rPr>
                <w:b/>
                <w:lang w:val="fr-FR"/>
              </w:rPr>
              <w:t xml:space="preserve">protection en ligne des enfants </w:t>
            </w:r>
            <w:r w:rsidRPr="00231866">
              <w:rPr>
                <w:bCs/>
                <w:lang w:val="fr-FR"/>
              </w:rPr>
              <w:t>(COP) a lancé la deuxième de trois </w:t>
            </w:r>
            <w:hyperlink r:id="rId73" w:history="1">
              <w:r w:rsidRPr="00231866">
                <w:rPr>
                  <w:rStyle w:val="Hyperlink"/>
                  <w:b/>
                  <w:lang w:val="fr-FR"/>
                </w:rPr>
                <w:t>formations en ligne adaptées au rythme de chacun à l'intention des enfants âgés de 9 à 12 ans et de 13 à 18 ans</w:t>
              </w:r>
            </w:hyperlink>
            <w:r w:rsidRPr="00231866">
              <w:rPr>
                <w:bCs/>
                <w:lang w:val="fr-FR"/>
              </w:rPr>
              <w:t>. Les modules de formation interactifs en ligne destinés aux enfants et aux jeunes visent à donner un aperçu des différentes questions liées à leurs droits en ligne, y compris en ce qui concerne la protection en ligne des enfants, la sécurité en ligne et l'accès aux ressources pour faire face aux situations difficiles en ligne. Ces formations permettent d'acquérir des connaissances dans trois domaines prioritaires: respect de la vie privée, désinformation/mésinformation et harcèlement.</w:t>
            </w:r>
          </w:p>
          <w:p w14:paraId="0841007A" w14:textId="77777777" w:rsidR="00BC680E" w:rsidRPr="00231866" w:rsidRDefault="00BC680E" w:rsidP="00FA497F">
            <w:pPr>
              <w:jc w:val="left"/>
              <w:rPr>
                <w:lang w:val="fr-FR"/>
              </w:rPr>
            </w:pPr>
            <w:r w:rsidRPr="00231866">
              <w:rPr>
                <w:lang w:val="fr-FR"/>
              </w:rPr>
              <w:t xml:space="preserve">Cette année, le thème retenu pour la </w:t>
            </w:r>
            <w:hyperlink r:id="rId74" w:history="1">
              <w:r w:rsidRPr="00231866">
                <w:rPr>
                  <w:rStyle w:val="Hyperlink"/>
                  <w:b/>
                  <w:bCs/>
                  <w:lang w:val="fr-FR"/>
                </w:rPr>
                <w:t>Journée des jeunes filles dans le secteur des TIC</w:t>
              </w:r>
            </w:hyperlink>
            <w:r w:rsidRPr="00231866">
              <w:rPr>
                <w:lang w:val="fr-FR"/>
              </w:rPr>
              <w:t xml:space="preserve"> est "Des compétences numériques essentielles pour la vie". La manifestation internationale tenue à l'occasion de la Journée des jeunes filles dans le secteur des TIC a eu lieu le 27 avril au Zimbabwe, dans le cadre de l'édition 2023 du Sommet Transformer l'Afrique, et était organisée en coordination et en collaboration avec l'Autorité de régulation des postes et des télécommunications du Zimbabwe (POTRAZ) et Smart </w:t>
            </w:r>
            <w:proofErr w:type="spellStart"/>
            <w:r w:rsidRPr="00231866">
              <w:rPr>
                <w:lang w:val="fr-FR"/>
              </w:rPr>
              <w:t>Africa</w:t>
            </w:r>
            <w:proofErr w:type="spellEnd"/>
            <w:r w:rsidRPr="00231866">
              <w:rPr>
                <w:lang w:val="fr-FR"/>
              </w:rPr>
              <w:t>. La Journée des jeunes filles dans le secteur des TIC est désormais une dynamique mondiale, avec la participation de partenaires de l'UIT et d'autres organisations qui organisent leurs propres manifestations et célébrations à l'occasion de cette Journée et tout au long de l'année.</w:t>
            </w:r>
          </w:p>
          <w:p w14:paraId="40BC0D08" w14:textId="77777777" w:rsidR="00BC680E" w:rsidRPr="00231866" w:rsidRDefault="00BC680E" w:rsidP="001C13BF">
            <w:pPr>
              <w:spacing w:after="120"/>
              <w:jc w:val="left"/>
              <w:rPr>
                <w:lang w:val="fr-FR"/>
              </w:rPr>
            </w:pPr>
            <w:r w:rsidRPr="00231866">
              <w:rPr>
                <w:lang w:val="fr-FR"/>
              </w:rPr>
              <w:t xml:space="preserve">Le </w:t>
            </w:r>
            <w:hyperlink r:id="rId75" w:history="1">
              <w:r w:rsidRPr="00231866">
                <w:rPr>
                  <w:rStyle w:val="Hyperlink"/>
                  <w:lang w:val="fr-FR"/>
                </w:rPr>
                <w:t>Forum de la jeunesse du Conseil économique et social (ECOSOC)</w:t>
              </w:r>
            </w:hyperlink>
            <w:r w:rsidRPr="00231866">
              <w:rPr>
                <w:lang w:val="fr-FR"/>
              </w:rPr>
              <w:t xml:space="preserve"> s'est tenu à New York (États-Unis) en avril. Ce Forum a permis aux jeunes d'engager un dialogue avec les États Membres et d'autres acteurs afin de faire connaître leurs vues et leurs préoccupations et d'intensifier l'action menée pour construire un monde plus équitable, plus écologique et plus durable, conformément aux ODD. L'initiative Generation Connect a organisé conjointement une manifestation sur le thème "</w:t>
            </w:r>
            <w:r w:rsidRPr="00231866">
              <w:rPr>
                <w:b/>
                <w:bCs/>
                <w:lang w:val="fr-FR"/>
              </w:rPr>
              <w:t>Les jeunes aux avant-postes de la transformation numérique dans les PMA</w:t>
            </w:r>
            <w:r w:rsidRPr="00231866">
              <w:rPr>
                <w:lang w:val="fr-FR"/>
              </w:rPr>
              <w:t>" et a coorganisé la session thématique sur la mise à profit du potentiel des jeunes pour atteindre l'ODD 9 sur l'industrie, l'innovation et l'infrastructure.</w:t>
            </w:r>
          </w:p>
        </w:tc>
      </w:tr>
    </w:tbl>
    <w:p w14:paraId="7E3EBB97" w14:textId="77777777" w:rsidR="001C13BF" w:rsidRDefault="001C13BF">
      <w:pPr>
        <w:tabs>
          <w:tab w:val="clear" w:pos="794"/>
          <w:tab w:val="clear" w:pos="1191"/>
          <w:tab w:val="clear" w:pos="1588"/>
          <w:tab w:val="clear" w:pos="1985"/>
        </w:tabs>
        <w:overflowPunct/>
        <w:autoSpaceDE/>
        <w:autoSpaceDN/>
        <w:adjustRightInd/>
        <w:spacing w:before="0"/>
        <w:jc w:val="left"/>
        <w:textAlignment w:val="auto"/>
        <w:rPr>
          <w:b/>
          <w:lang w:val="fr-FR"/>
        </w:rPr>
      </w:pPr>
      <w:r>
        <w:rPr>
          <w:lang w:val="fr-FR"/>
        </w:rPr>
        <w:lastRenderedPageBreak/>
        <w:br w:type="page"/>
      </w:r>
    </w:p>
    <w:p w14:paraId="5EC9FEE6" w14:textId="424F7B6C" w:rsidR="00BC680E" w:rsidRPr="00231866" w:rsidRDefault="00BC680E" w:rsidP="00BC680E">
      <w:pPr>
        <w:pStyle w:val="Heading2"/>
        <w:spacing w:after="240"/>
        <w:jc w:val="left"/>
        <w:rPr>
          <w:lang w:val="fr-FR"/>
        </w:rPr>
      </w:pPr>
      <w:r w:rsidRPr="00231866">
        <w:rPr>
          <w:lang w:val="fr-FR"/>
        </w:rPr>
        <w:lastRenderedPageBreak/>
        <w:t>3.9</w:t>
      </w:r>
      <w:r w:rsidRPr="00231866">
        <w:rPr>
          <w:lang w:val="fr-FR"/>
        </w:rPr>
        <w:tab/>
        <w:t>Catalyseur 4 de l'UIT-D: Engagement en faveur de la durabilité environnementale</w:t>
      </w:r>
    </w:p>
    <w:tbl>
      <w:tblPr>
        <w:tblStyle w:val="GridTable2-Accent1"/>
        <w:tblW w:w="13501" w:type="dxa"/>
        <w:tblInd w:w="27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1701"/>
        <w:gridCol w:w="3544"/>
        <w:gridCol w:w="2693"/>
        <w:gridCol w:w="2977"/>
        <w:gridCol w:w="1275"/>
        <w:gridCol w:w="1311"/>
      </w:tblGrid>
      <w:tr w:rsidR="00BC680E" w:rsidRPr="00231866" w14:paraId="35A71CA1" w14:textId="77777777" w:rsidTr="00FA49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tcPr>
          <w:p w14:paraId="0644953A" w14:textId="77777777" w:rsidR="00BC680E" w:rsidRPr="00231866" w:rsidRDefault="00BC680E" w:rsidP="00FA497F">
            <w:pPr>
              <w:pStyle w:val="Tablehead"/>
              <w:rPr>
                <w:b/>
                <w:bCs w:val="0"/>
                <w:sz w:val="18"/>
                <w:szCs w:val="18"/>
                <w:lang w:val="fr-FR"/>
              </w:rPr>
            </w:pPr>
            <w:r w:rsidRPr="00231866">
              <w:rPr>
                <w:b/>
                <w:bCs w:val="0"/>
                <w:sz w:val="18"/>
                <w:szCs w:val="18"/>
                <w:lang w:val="fr-FR"/>
              </w:rPr>
              <w:t>Thème</w:t>
            </w:r>
          </w:p>
        </w:tc>
        <w:tc>
          <w:tcPr>
            <w:tcW w:w="3544" w:type="dxa"/>
            <w:tcBorders>
              <w:top w:val="none" w:sz="0" w:space="0" w:color="auto"/>
              <w:left w:val="none" w:sz="0" w:space="0" w:color="auto"/>
              <w:bottom w:val="none" w:sz="0" w:space="0" w:color="auto"/>
              <w:right w:val="none" w:sz="0" w:space="0" w:color="auto"/>
            </w:tcBorders>
          </w:tcPr>
          <w:p w14:paraId="101D731E"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Réalisation</w:t>
            </w:r>
          </w:p>
        </w:tc>
        <w:tc>
          <w:tcPr>
            <w:tcW w:w="2693" w:type="dxa"/>
            <w:tcBorders>
              <w:top w:val="none" w:sz="0" w:space="0" w:color="auto"/>
              <w:left w:val="none" w:sz="0" w:space="0" w:color="auto"/>
              <w:bottom w:val="none" w:sz="0" w:space="0" w:color="auto"/>
              <w:right w:val="none" w:sz="0" w:space="0" w:color="auto"/>
            </w:tcBorders>
          </w:tcPr>
          <w:p w14:paraId="54D5FD58"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Produits</w:t>
            </w:r>
            <w:r w:rsidRPr="00231866">
              <w:rPr>
                <w:b/>
                <w:bCs w:val="0"/>
                <w:sz w:val="18"/>
                <w:szCs w:val="18"/>
                <w:lang w:val="fr-FR"/>
              </w:rPr>
              <w:br/>
              <w:t>(Produits et services)</w:t>
            </w:r>
          </w:p>
        </w:tc>
        <w:tc>
          <w:tcPr>
            <w:tcW w:w="2977" w:type="dxa"/>
            <w:tcBorders>
              <w:top w:val="none" w:sz="0" w:space="0" w:color="auto"/>
              <w:left w:val="none" w:sz="0" w:space="0" w:color="auto"/>
              <w:bottom w:val="none" w:sz="0" w:space="0" w:color="auto"/>
              <w:right w:val="none" w:sz="0" w:space="0" w:color="auto"/>
            </w:tcBorders>
          </w:tcPr>
          <w:p w14:paraId="306502B2"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Indicateurs fondamentaux de performance*</w:t>
            </w:r>
          </w:p>
        </w:tc>
        <w:tc>
          <w:tcPr>
            <w:tcW w:w="1275" w:type="dxa"/>
            <w:tcBorders>
              <w:top w:val="none" w:sz="0" w:space="0" w:color="auto"/>
              <w:left w:val="none" w:sz="0" w:space="0" w:color="auto"/>
              <w:bottom w:val="none" w:sz="0" w:space="0" w:color="auto"/>
              <w:right w:val="none" w:sz="0" w:space="0" w:color="auto"/>
            </w:tcBorders>
          </w:tcPr>
          <w:p w14:paraId="2E252575"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Budget 2023</w:t>
            </w:r>
            <w:r w:rsidRPr="00231866">
              <w:rPr>
                <w:b/>
                <w:bCs w:val="0"/>
                <w:sz w:val="18"/>
                <w:szCs w:val="18"/>
                <w:lang w:val="fr-FR"/>
              </w:rPr>
              <w:br/>
              <w:t>(en CHF)</w:t>
            </w:r>
          </w:p>
        </w:tc>
        <w:tc>
          <w:tcPr>
            <w:tcW w:w="1311" w:type="dxa"/>
            <w:tcBorders>
              <w:top w:val="none" w:sz="0" w:space="0" w:color="auto"/>
              <w:left w:val="none" w:sz="0" w:space="0" w:color="auto"/>
              <w:bottom w:val="none" w:sz="0" w:space="0" w:color="auto"/>
            </w:tcBorders>
            <w:noWrap/>
          </w:tcPr>
          <w:p w14:paraId="621AB538"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 du total général</w:t>
            </w:r>
          </w:p>
        </w:tc>
      </w:tr>
      <w:tr w:rsidR="00BC680E" w:rsidRPr="00231866" w14:paraId="6E6D57D4" w14:textId="77777777" w:rsidTr="00FA4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7022CEB" w14:textId="77777777" w:rsidR="00BC680E" w:rsidRPr="00231866" w:rsidRDefault="00BC680E" w:rsidP="00FA497F">
            <w:pPr>
              <w:pStyle w:val="Tabletext"/>
              <w:jc w:val="left"/>
              <w:rPr>
                <w:sz w:val="18"/>
                <w:szCs w:val="18"/>
                <w:lang w:val="fr-FR"/>
              </w:rPr>
            </w:pPr>
            <w:r w:rsidRPr="00231866">
              <w:rPr>
                <w:sz w:val="18"/>
                <w:szCs w:val="18"/>
                <w:lang w:val="fr-FR"/>
              </w:rPr>
              <w:t>Environnement</w:t>
            </w:r>
          </w:p>
        </w:tc>
        <w:tc>
          <w:tcPr>
            <w:tcW w:w="3544" w:type="dxa"/>
          </w:tcPr>
          <w:p w14:paraId="59822ACE"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Renforcement de la capacité des membres de l'UIT de concevoir des stratégies et des solutions de télécommunication/TIC relatives à l'adaptation aux effets des changements climatiques et à l'atténuation de ces effets ainsi qu'à l'utilisation d'énergies vertes/renouvelables</w:t>
            </w:r>
          </w:p>
        </w:tc>
        <w:tc>
          <w:tcPr>
            <w:tcW w:w="2693" w:type="dxa"/>
          </w:tcPr>
          <w:p w14:paraId="71B10F34"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Élaboration de cadres politiques et de supports de connaissance</w:t>
            </w:r>
          </w:p>
          <w:p w14:paraId="30A12D16"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Fourniture de données et de statistiques</w:t>
            </w:r>
          </w:p>
          <w:p w14:paraId="324B6DC0"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Plates-formes fédératrices</w:t>
            </w:r>
          </w:p>
        </w:tc>
        <w:tc>
          <w:tcPr>
            <w:tcW w:w="2977" w:type="dxa"/>
          </w:tcPr>
          <w:p w14:paraId="12BE208A"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Nombre d'États Membres bénéficiant de l'assistance du BDT pour élaborer des stratégies et des cadres politiques et réglementaires relatifs aux changements climatiques</w:t>
            </w:r>
          </w:p>
          <w:p w14:paraId="22F3140B"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Nombre d'États Membres appliquant des méthodes harmonisées de collecte de données</w:t>
            </w:r>
          </w:p>
          <w:p w14:paraId="6254AF87"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Nombre de pays dotés d'une politique, d'une législation ou d'une réglementation sur les déchets d'équipements électriques et électroniques (DEEE)</w:t>
            </w:r>
          </w:p>
        </w:tc>
        <w:tc>
          <w:tcPr>
            <w:tcW w:w="1275" w:type="dxa"/>
          </w:tcPr>
          <w:p w14:paraId="65DEBD76" w14:textId="77777777" w:rsidR="00BC680E" w:rsidRPr="00231866" w:rsidRDefault="00BC680E" w:rsidP="00FA497F">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231866">
              <w:rPr>
                <w:b/>
                <w:bCs/>
                <w:sz w:val="18"/>
                <w:szCs w:val="18"/>
                <w:lang w:val="fr-FR"/>
              </w:rPr>
              <w:t>155 000</w:t>
            </w:r>
          </w:p>
        </w:tc>
        <w:tc>
          <w:tcPr>
            <w:tcW w:w="1311" w:type="dxa"/>
            <w:noWrap/>
          </w:tcPr>
          <w:p w14:paraId="2D173587" w14:textId="77777777" w:rsidR="00BC680E" w:rsidRPr="00231866" w:rsidRDefault="00BC680E" w:rsidP="00FA497F">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231866">
              <w:rPr>
                <w:b/>
                <w:bCs/>
                <w:sz w:val="18"/>
                <w:szCs w:val="18"/>
                <w:lang w:val="fr-FR"/>
              </w:rPr>
              <w:t>3,7%</w:t>
            </w:r>
          </w:p>
        </w:tc>
      </w:tr>
    </w:tbl>
    <w:p w14:paraId="73CF4D68" w14:textId="77777777" w:rsidR="00BC680E" w:rsidRDefault="00BC680E" w:rsidP="00BC680E">
      <w:pPr>
        <w:pStyle w:val="Tablelegend"/>
        <w:spacing w:after="240"/>
        <w:ind w:left="284" w:hanging="284"/>
        <w:rPr>
          <w:lang w:val="fr-FR"/>
        </w:rPr>
      </w:pPr>
      <w:r w:rsidRPr="00231866">
        <w:rPr>
          <w:lang w:val="fr-FR"/>
        </w:rPr>
        <w:t>*</w:t>
      </w:r>
      <w:r w:rsidRPr="00231866">
        <w:rPr>
          <w:lang w:val="fr-FR"/>
        </w:rPr>
        <w:tab/>
        <w:t>Ces indicateurs fondamentaux de performance pourraient être encore affinés à mesure que la mise en œuvre du Plan d'action de Kigali progresse afin de mieux rendre compte des résultats obtenus.</w:t>
      </w:r>
    </w:p>
    <w:p w14:paraId="37138BBB" w14:textId="03E44560" w:rsidR="001C13BF" w:rsidRDefault="001C13BF">
      <w:pPr>
        <w:tabs>
          <w:tab w:val="clear" w:pos="794"/>
          <w:tab w:val="clear" w:pos="1191"/>
          <w:tab w:val="clear" w:pos="1588"/>
          <w:tab w:val="clear" w:pos="1985"/>
        </w:tabs>
        <w:overflowPunct/>
        <w:autoSpaceDE/>
        <w:autoSpaceDN/>
        <w:adjustRightInd/>
        <w:spacing w:before="0"/>
        <w:jc w:val="left"/>
        <w:textAlignment w:val="auto"/>
        <w:rPr>
          <w:sz w:val="22"/>
          <w:lang w:val="fr-FR"/>
        </w:rPr>
      </w:pPr>
      <w:r>
        <w:rPr>
          <w:lang w:val="fr-FR"/>
        </w:rPr>
        <w:br w:type="page"/>
      </w:r>
    </w:p>
    <w:tbl>
      <w:tblPr>
        <w:tblStyle w:val="TableGrid"/>
        <w:tblW w:w="0" w:type="auto"/>
        <w:tblInd w:w="274" w:type="dxa"/>
        <w:tblLayout w:type="fixed"/>
        <w:tblLook w:val="04A0" w:firstRow="1" w:lastRow="0" w:firstColumn="1" w:lastColumn="0" w:noHBand="0" w:noVBand="1"/>
      </w:tblPr>
      <w:tblGrid>
        <w:gridCol w:w="13466"/>
      </w:tblGrid>
      <w:tr w:rsidR="00BC680E" w:rsidRPr="00231866" w14:paraId="206E9E5D"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72D99679" w14:textId="77777777" w:rsidR="00BC680E" w:rsidRPr="00231866" w:rsidRDefault="00BC680E" w:rsidP="00FA497F">
            <w:pPr>
              <w:spacing w:after="120"/>
              <w:jc w:val="left"/>
              <w:rPr>
                <w:lang w:val="fr-FR"/>
              </w:rPr>
            </w:pPr>
            <w:r w:rsidRPr="00231866">
              <w:rPr>
                <w:b/>
                <w:bCs/>
                <w:lang w:val="fr-FR"/>
              </w:rPr>
              <w:lastRenderedPageBreak/>
              <w:t>Principales mesures mises en œuvre en 2023: Catalyseur 1 de l'UIT-D – Engagement en faveur de la durabilité environnementale</w:t>
            </w:r>
          </w:p>
        </w:tc>
      </w:tr>
      <w:tr w:rsidR="00BC680E" w:rsidRPr="00231866" w14:paraId="2F221BBC" w14:textId="77777777" w:rsidTr="00FA497F">
        <w:trPr>
          <w:trHeight w:val="458"/>
        </w:trPr>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EBE19BF" w14:textId="77777777" w:rsidR="00BC680E" w:rsidRPr="00231866" w:rsidRDefault="00BC680E" w:rsidP="00FA497F">
            <w:pPr>
              <w:jc w:val="left"/>
              <w:rPr>
                <w:lang w:val="fr-FR"/>
              </w:rPr>
            </w:pPr>
            <w:r w:rsidRPr="00231866">
              <w:rPr>
                <w:lang w:val="fr-FR"/>
              </w:rPr>
              <w:t>Le cours de formation en ligne "</w:t>
            </w:r>
            <w:hyperlink r:id="rId76" w:history="1">
              <w:r w:rsidRPr="00231866">
                <w:rPr>
                  <w:rStyle w:val="Hyperlink"/>
                  <w:lang w:val="fr-FR"/>
                </w:rPr>
                <w:t>Étude approfondie du principe de la responsabilité élargie du producteur appliqué à la gestion des déchets d'équipements électriques et électroniques</w:t>
              </w:r>
            </w:hyperlink>
            <w:r w:rsidRPr="00231866">
              <w:rPr>
                <w:lang w:val="fr-FR"/>
              </w:rPr>
              <w:t>" a été lancé dans le cadre de l'Académie de l'UIT en janvier 2023. Il fait suite au cours intitulé "Introduction aux politiques générales en matière de déchets d'équipements électriques et électroniques" et constitue une ressource essentielle pour les décideurs et les parties prenantes concernées souhaitant comprendre les fondements de la REP et examiner de manière plus approfondie les exigences d'un système de REP. Ce cours est dispensé dans le cadre de l'assistance technique fournie par l'UIT aux pays concernant l'élaboration de politiques et de réglementations relatives aux déchets d'équipements électriques et électroniques.</w:t>
            </w:r>
          </w:p>
          <w:p w14:paraId="6DEE848F" w14:textId="77777777" w:rsidR="00BC680E" w:rsidRPr="00231866" w:rsidRDefault="00BC680E" w:rsidP="00FA497F">
            <w:pPr>
              <w:jc w:val="left"/>
              <w:rPr>
                <w:lang w:val="fr-FR"/>
              </w:rPr>
            </w:pPr>
            <w:r w:rsidRPr="00231866">
              <w:rPr>
                <w:lang w:val="fr-FR"/>
              </w:rPr>
              <w:t xml:space="preserve">L'UIT a mis au point un cours de cyberapprentissage dans le cadre de </w:t>
            </w:r>
            <w:hyperlink r:id="rId77" w:history="1">
              <w:r w:rsidRPr="00231866">
                <w:rPr>
                  <w:lang w:val="fr-FR"/>
                </w:rPr>
                <w:t>l'</w:t>
              </w:r>
              <w:r w:rsidRPr="00231866">
                <w:rPr>
                  <w:rStyle w:val="Hyperlink"/>
                  <w:lang w:val="fr-FR"/>
                </w:rPr>
                <w:t>initiative destinée à faciliter l'entrepreneuriat pour les femmes</w:t>
              </w:r>
            </w:hyperlink>
            <w:r w:rsidRPr="00231866">
              <w:rPr>
                <w:lang w:val="fr-FR"/>
              </w:rPr>
              <w:t>, financée par Mary Kay sur le thème "</w:t>
            </w:r>
            <w:hyperlink r:id="rId78" w:history="1">
              <w:r w:rsidRPr="00231866">
                <w:rPr>
                  <w:rStyle w:val="Hyperlink"/>
                  <w:b/>
                  <w:bCs/>
                  <w:lang w:val="fr-FR"/>
                </w:rPr>
                <w:t>Entrepreneuriat écologique et numérique</w:t>
              </w:r>
            </w:hyperlink>
            <w:r w:rsidRPr="00231866">
              <w:rPr>
                <w:lang w:val="fr-FR"/>
              </w:rPr>
              <w:t>". Le cours sera lancé en juin 2023 à l'occasion de la Journée mondiale de l'environnement.</w:t>
            </w:r>
          </w:p>
          <w:p w14:paraId="7260496C" w14:textId="77777777" w:rsidR="00BC680E" w:rsidRPr="00231866" w:rsidRDefault="00BC680E" w:rsidP="00FA497F">
            <w:pPr>
              <w:jc w:val="left"/>
              <w:rPr>
                <w:lang w:val="fr-FR"/>
              </w:rPr>
            </w:pPr>
            <w:r w:rsidRPr="00231866">
              <w:rPr>
                <w:lang w:val="fr-FR"/>
              </w:rPr>
              <w:t xml:space="preserve">Une carte-récit publiée récemment présente les travaux menés par l'UIT concernant </w:t>
            </w:r>
            <w:hyperlink r:id="rId79" w:history="1">
              <w:r w:rsidRPr="00231866">
                <w:rPr>
                  <w:lang w:val="fr-FR"/>
                </w:rPr>
                <w:t>l'</w:t>
              </w:r>
              <w:r w:rsidRPr="00231866">
                <w:rPr>
                  <w:rStyle w:val="Hyperlink"/>
                  <w:b/>
                  <w:bCs/>
                  <w:lang w:val="fr-FR"/>
                </w:rPr>
                <w:t>élaboration de politiques relatives aux déchets d'équipements électriques et électroniques et la collecte de données dans la région Afrique</w:t>
              </w:r>
            </w:hyperlink>
            <w:r w:rsidRPr="00231866">
              <w:rPr>
                <w:lang w:val="fr-FR"/>
              </w:rPr>
              <w:t>, avec des exemples d'activités menées dans des pays partenaires, par exemple des consultations stratégiques, des campagnes de sensibilisation et des enquêtes sur les déchets d'équipements électriques et électroniques auprès des ménages et des entreprises. Il s'agit d'une plate-forme interactive qui permet aux membres, aux donateurs et au grand public de comprendre la portée des travaux de l'UIT, qui s'appuient sur la collaboration et traite de nombreux domaines.</w:t>
            </w:r>
          </w:p>
          <w:p w14:paraId="72EDAE97" w14:textId="77777777" w:rsidR="00BC680E" w:rsidRPr="00231866" w:rsidRDefault="00BC680E" w:rsidP="00FA497F">
            <w:pPr>
              <w:jc w:val="left"/>
              <w:rPr>
                <w:lang w:val="fr-FR"/>
              </w:rPr>
            </w:pPr>
            <w:r w:rsidRPr="00231866">
              <w:rPr>
                <w:lang w:val="fr-FR"/>
              </w:rPr>
              <w:t xml:space="preserve">Le TSB et le BDT, en collaboration avec </w:t>
            </w:r>
            <w:proofErr w:type="spellStart"/>
            <w:r w:rsidRPr="00231866">
              <w:rPr>
                <w:lang w:val="fr-FR"/>
              </w:rPr>
              <w:t>GovStack</w:t>
            </w:r>
            <w:proofErr w:type="spellEnd"/>
            <w:r w:rsidRPr="00231866">
              <w:rPr>
                <w:lang w:val="fr-FR"/>
              </w:rPr>
              <w:t xml:space="preserve">, </w:t>
            </w:r>
            <w:proofErr w:type="spellStart"/>
            <w:r w:rsidRPr="00231866">
              <w:rPr>
                <w:lang w:val="fr-FR"/>
              </w:rPr>
              <w:t>GiZ</w:t>
            </w:r>
            <w:proofErr w:type="spellEnd"/>
            <w:r w:rsidRPr="00231866">
              <w:rPr>
                <w:lang w:val="fr-FR"/>
              </w:rPr>
              <w:t>, le Partenariat pour l'électronique circulaire et le Global Electronics Council, ont organisé un atelier sur le thème "</w:t>
            </w:r>
            <w:hyperlink r:id="rId80" w:history="1">
              <w:r w:rsidRPr="00231866">
                <w:rPr>
                  <w:rStyle w:val="Hyperlink"/>
                  <w:b/>
                  <w:bCs/>
                  <w:lang w:val="fr-FR"/>
                </w:rPr>
                <w:t>Accélérer la passation de marchés publics circulaires et durables concernant les TIC</w:t>
              </w:r>
            </w:hyperlink>
            <w:r w:rsidRPr="00231866">
              <w:rPr>
                <w:lang w:val="fr-FR"/>
              </w:rPr>
              <w:t>", qui s'est tenu de manière virtuelle en février 2023. L'atelier a permis aux participants d'obtenir des renseignements et d'acquérir des connaissances sur les concepts de l'économie circulaire et sur la manière d'intégrer des exigences en matière d'économie circulaire et durable dans les politiques et projets de passation de marchés publics dans le domaine des TIC.</w:t>
            </w:r>
          </w:p>
          <w:p w14:paraId="234FC886" w14:textId="77777777" w:rsidR="00BC680E" w:rsidRPr="00231866" w:rsidRDefault="00BC680E" w:rsidP="001C13BF">
            <w:pPr>
              <w:spacing w:after="120"/>
              <w:jc w:val="left"/>
              <w:rPr>
                <w:lang w:val="fr-FR"/>
              </w:rPr>
            </w:pPr>
            <w:r w:rsidRPr="00231866">
              <w:rPr>
                <w:lang w:val="fr-FR"/>
              </w:rPr>
              <w:t xml:space="preserve">Dans la région Asie-Pacifique, l'UIT a organisé en mars une </w:t>
            </w:r>
            <w:hyperlink r:id="rId81" w:history="1">
              <w:r w:rsidRPr="00231866">
                <w:rPr>
                  <w:rStyle w:val="Hyperlink"/>
                  <w:b/>
                  <w:bCs/>
                  <w:lang w:val="fr-FR"/>
                </w:rPr>
                <w:t>séance d'information pour l'Asie-Pacifique sur le thème "Transformation numérique écologique dans une économie circulaire pour l'électronique</w:t>
              </w:r>
            </w:hyperlink>
            <w:r w:rsidRPr="00231866">
              <w:rPr>
                <w:lang w:val="fr-FR"/>
              </w:rPr>
              <w:t>". Cette séance a permis aux Membres de l'UIT de la région Asie-Pacifique d'avoir une vue d'ensemble du rôle des TIC dans les changements climatiques et de relever les défis que posent les déchets d'équipements électriques et électroniques.</w:t>
            </w:r>
          </w:p>
          <w:p w14:paraId="46CC8549" w14:textId="77777777" w:rsidR="00BC680E" w:rsidRPr="00231866" w:rsidRDefault="00BC680E" w:rsidP="00FA497F">
            <w:pPr>
              <w:keepNext/>
              <w:keepLines/>
              <w:spacing w:after="120"/>
              <w:jc w:val="left"/>
              <w:rPr>
                <w:lang w:val="fr-FR"/>
              </w:rPr>
            </w:pPr>
            <w:r w:rsidRPr="00231866">
              <w:rPr>
                <w:lang w:val="fr-FR"/>
              </w:rPr>
              <w:lastRenderedPageBreak/>
              <w:t xml:space="preserve">L'UIT, la CESAP et la Télécommunauté Asie-Pacifique (APT) ont organisé conjointement la </w:t>
            </w:r>
            <w:r w:rsidRPr="00231866">
              <w:rPr>
                <w:b/>
                <w:bCs/>
                <w:lang w:val="fr-FR"/>
              </w:rPr>
              <w:t>27ème réunion du Groupe de travail régional interinstitutions (IAWG)</w:t>
            </w:r>
            <w:r w:rsidRPr="00231866">
              <w:rPr>
                <w:lang w:val="fr-FR"/>
              </w:rPr>
              <w:t xml:space="preserve"> en mars. Cette réunion a rassemblé des représentants de 11 organismes régionaux afin de réfléchir aux possibilités de collaboration pour la mise en œuvre d'initiatives dans le domaine des TIC et des technologies numériques dans la région. Lors de cette réunion, l'UIT a proposé une collaboration dans les domaines suivants: villages intelligents, îles intelligentes, inclusion numérique et renforcement des capacités. L'UIT a également invité les organismes participants à assister à la Conférence mondiale des radiocommunications de 2023 (CMR-23) et au Forum régional sur le développement pour la région Asie-Pacifique (RDF).</w:t>
            </w:r>
          </w:p>
        </w:tc>
      </w:tr>
    </w:tbl>
    <w:p w14:paraId="4A8EC972" w14:textId="77777777" w:rsidR="00BC680E" w:rsidRPr="00231866" w:rsidRDefault="00BC680E" w:rsidP="00BC680E">
      <w:pPr>
        <w:pStyle w:val="Heading2"/>
        <w:spacing w:after="240"/>
        <w:jc w:val="left"/>
        <w:rPr>
          <w:lang w:val="fr-FR"/>
        </w:rPr>
      </w:pPr>
      <w:r w:rsidRPr="00231866">
        <w:rPr>
          <w:lang w:val="fr-FR"/>
        </w:rPr>
        <w:lastRenderedPageBreak/>
        <w:t>3.10</w:t>
      </w:r>
      <w:r w:rsidRPr="00231866">
        <w:rPr>
          <w:lang w:val="fr-FR"/>
        </w:rPr>
        <w:tab/>
        <w:t>Catalyseur 5 de l'UIT-D – Excellence en matière de ressources humaines et innovation organisationnelle</w:t>
      </w:r>
    </w:p>
    <w:tbl>
      <w:tblPr>
        <w:tblStyle w:val="GridTable2-Accent1"/>
        <w:tblW w:w="13466" w:type="dxa"/>
        <w:tblInd w:w="27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1350"/>
        <w:gridCol w:w="3895"/>
        <w:gridCol w:w="2693"/>
        <w:gridCol w:w="2977"/>
        <w:gridCol w:w="1275"/>
        <w:gridCol w:w="1276"/>
      </w:tblGrid>
      <w:tr w:rsidR="00BC680E" w:rsidRPr="00231866" w14:paraId="7A601645" w14:textId="77777777" w:rsidTr="00FA49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none" w:sz="0" w:space="0" w:color="auto"/>
              <w:bottom w:val="none" w:sz="0" w:space="0" w:color="auto"/>
              <w:right w:val="none" w:sz="0" w:space="0" w:color="auto"/>
            </w:tcBorders>
          </w:tcPr>
          <w:p w14:paraId="62D3058F" w14:textId="77777777" w:rsidR="00BC680E" w:rsidRPr="00231866" w:rsidRDefault="00BC680E" w:rsidP="00FA497F">
            <w:pPr>
              <w:pStyle w:val="Tablehead"/>
              <w:rPr>
                <w:b/>
                <w:bCs w:val="0"/>
                <w:sz w:val="18"/>
                <w:szCs w:val="18"/>
                <w:lang w:val="fr-FR"/>
              </w:rPr>
            </w:pPr>
            <w:r w:rsidRPr="00231866">
              <w:rPr>
                <w:b/>
                <w:bCs w:val="0"/>
                <w:sz w:val="18"/>
                <w:szCs w:val="18"/>
                <w:lang w:val="fr-FR"/>
              </w:rPr>
              <w:t>Thème</w:t>
            </w:r>
          </w:p>
        </w:tc>
        <w:tc>
          <w:tcPr>
            <w:tcW w:w="3895" w:type="dxa"/>
            <w:tcBorders>
              <w:top w:val="none" w:sz="0" w:space="0" w:color="auto"/>
              <w:left w:val="none" w:sz="0" w:space="0" w:color="auto"/>
              <w:bottom w:val="none" w:sz="0" w:space="0" w:color="auto"/>
              <w:right w:val="none" w:sz="0" w:space="0" w:color="auto"/>
            </w:tcBorders>
          </w:tcPr>
          <w:p w14:paraId="54893569"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Réalisation</w:t>
            </w:r>
          </w:p>
        </w:tc>
        <w:tc>
          <w:tcPr>
            <w:tcW w:w="2693" w:type="dxa"/>
            <w:tcBorders>
              <w:top w:val="none" w:sz="0" w:space="0" w:color="auto"/>
              <w:left w:val="none" w:sz="0" w:space="0" w:color="auto"/>
              <w:bottom w:val="none" w:sz="0" w:space="0" w:color="auto"/>
              <w:right w:val="none" w:sz="0" w:space="0" w:color="auto"/>
            </w:tcBorders>
          </w:tcPr>
          <w:p w14:paraId="2ED2DDA7"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Produits</w:t>
            </w:r>
            <w:r w:rsidRPr="00231866">
              <w:rPr>
                <w:b/>
                <w:bCs w:val="0"/>
                <w:sz w:val="18"/>
                <w:szCs w:val="18"/>
                <w:lang w:val="fr-FR"/>
              </w:rPr>
              <w:br/>
              <w:t>(Produits et services)</w:t>
            </w:r>
          </w:p>
        </w:tc>
        <w:tc>
          <w:tcPr>
            <w:tcW w:w="2977" w:type="dxa"/>
            <w:tcBorders>
              <w:top w:val="none" w:sz="0" w:space="0" w:color="auto"/>
              <w:left w:val="none" w:sz="0" w:space="0" w:color="auto"/>
              <w:bottom w:val="none" w:sz="0" w:space="0" w:color="auto"/>
              <w:right w:val="none" w:sz="0" w:space="0" w:color="auto"/>
            </w:tcBorders>
          </w:tcPr>
          <w:p w14:paraId="6A8E27B5"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Indicateurs fondamentaux de performance*</w:t>
            </w:r>
          </w:p>
        </w:tc>
        <w:tc>
          <w:tcPr>
            <w:tcW w:w="1275" w:type="dxa"/>
            <w:tcBorders>
              <w:top w:val="none" w:sz="0" w:space="0" w:color="auto"/>
              <w:left w:val="none" w:sz="0" w:space="0" w:color="auto"/>
              <w:bottom w:val="none" w:sz="0" w:space="0" w:color="auto"/>
              <w:right w:val="none" w:sz="0" w:space="0" w:color="auto"/>
            </w:tcBorders>
          </w:tcPr>
          <w:p w14:paraId="6A963500"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Budget 2023</w:t>
            </w:r>
            <w:r w:rsidRPr="00231866">
              <w:rPr>
                <w:b/>
                <w:bCs w:val="0"/>
                <w:sz w:val="18"/>
                <w:szCs w:val="18"/>
                <w:lang w:val="fr-FR"/>
              </w:rPr>
              <w:br/>
              <w:t>(en CHF)</w:t>
            </w:r>
          </w:p>
        </w:tc>
        <w:tc>
          <w:tcPr>
            <w:tcW w:w="1276" w:type="dxa"/>
            <w:tcBorders>
              <w:top w:val="none" w:sz="0" w:space="0" w:color="auto"/>
              <w:left w:val="none" w:sz="0" w:space="0" w:color="auto"/>
              <w:bottom w:val="none" w:sz="0" w:space="0" w:color="auto"/>
            </w:tcBorders>
            <w:noWrap/>
          </w:tcPr>
          <w:p w14:paraId="1F7C3092" w14:textId="77777777" w:rsidR="00BC680E" w:rsidRPr="00231866" w:rsidRDefault="00BC680E" w:rsidP="00FA497F">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231866">
              <w:rPr>
                <w:b/>
                <w:bCs w:val="0"/>
                <w:sz w:val="18"/>
                <w:szCs w:val="18"/>
                <w:lang w:val="fr-FR"/>
              </w:rPr>
              <w:t>% du total général</w:t>
            </w:r>
          </w:p>
        </w:tc>
      </w:tr>
      <w:tr w:rsidR="00BC680E" w:rsidRPr="00231866" w14:paraId="48AF9FAE" w14:textId="77777777" w:rsidTr="00FA4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14:paraId="53434EF9" w14:textId="77777777" w:rsidR="00BC680E" w:rsidRPr="00231866" w:rsidRDefault="00BC680E" w:rsidP="00FA497F">
            <w:pPr>
              <w:pStyle w:val="Tabletext"/>
              <w:jc w:val="left"/>
              <w:rPr>
                <w:sz w:val="18"/>
                <w:szCs w:val="18"/>
                <w:lang w:val="fr-FR"/>
              </w:rPr>
            </w:pPr>
            <w:r w:rsidRPr="00231866">
              <w:rPr>
                <w:sz w:val="18"/>
                <w:szCs w:val="18"/>
                <w:lang w:val="fr-FR"/>
              </w:rPr>
              <w:t>Transversal</w:t>
            </w:r>
          </w:p>
        </w:tc>
        <w:tc>
          <w:tcPr>
            <w:tcW w:w="3895" w:type="dxa"/>
            <w:hideMark/>
          </w:tcPr>
          <w:p w14:paraId="583994AD"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Renforcement de l'efficacité du BDT dans l'exécution de son mandat</w:t>
            </w:r>
          </w:p>
          <w:p w14:paraId="3409921B"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Renforcement de la double responsabilité de l'UIT en tant qu'institution spécialisée des Nations Unies et agent d'exécution pour la mise en œuvre de projets</w:t>
            </w:r>
          </w:p>
          <w:p w14:paraId="6E36E6CE"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Renforcement de la coopération et de la coordination entre les trois Secteurs, l'accent étant mis sur la présence régionale, à l'appui de l'intégration du concept "Une UIT unie dans l'action"</w:t>
            </w:r>
          </w:p>
          <w:p w14:paraId="4B41543D"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Renforcement de la fonction d'agent d'exécution de projets de l'UIT</w:t>
            </w:r>
          </w:p>
        </w:tc>
        <w:tc>
          <w:tcPr>
            <w:tcW w:w="2693" w:type="dxa"/>
            <w:hideMark/>
          </w:tcPr>
          <w:p w14:paraId="2449751D"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Gestion efficace</w:t>
            </w:r>
          </w:p>
        </w:tc>
        <w:tc>
          <w:tcPr>
            <w:tcW w:w="2977" w:type="dxa"/>
            <w:hideMark/>
          </w:tcPr>
          <w:p w14:paraId="311EA1EB"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Niveau moyen d'efficacité du personnel</w:t>
            </w:r>
          </w:p>
          <w:p w14:paraId="7F3679AD"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Niveau moyen de satisfaction des États Membres à l'écart des travaux du BDT</w:t>
            </w:r>
          </w:p>
          <w:p w14:paraId="67E6E2B9" w14:textId="77777777" w:rsidR="00BC680E" w:rsidRPr="00231866" w:rsidRDefault="00BC680E" w:rsidP="00FA497F">
            <w:pPr>
              <w:pStyle w:val="Tabletext"/>
              <w:ind w:left="284" w:hanging="284"/>
              <w:jc w:val="left"/>
              <w:cnfStyle w:val="000000100000" w:firstRow="0" w:lastRow="0" w:firstColumn="0" w:lastColumn="0" w:oddVBand="0" w:evenVBand="0" w:oddHBand="1" w:evenHBand="0" w:firstRowFirstColumn="0" w:firstRowLastColumn="0" w:lastRowFirstColumn="0" w:lastRowLastColumn="0"/>
              <w:rPr>
                <w:sz w:val="18"/>
                <w:szCs w:val="18"/>
                <w:lang w:val="fr-FR"/>
              </w:rPr>
            </w:pPr>
            <w:r w:rsidRPr="00231866">
              <w:rPr>
                <w:lang w:val="fr-FR"/>
              </w:rPr>
              <w:t>•</w:t>
            </w:r>
            <w:r w:rsidRPr="00231866">
              <w:rPr>
                <w:lang w:val="fr-FR"/>
              </w:rPr>
              <w:tab/>
            </w:r>
            <w:r w:rsidRPr="00231866">
              <w:rPr>
                <w:sz w:val="18"/>
                <w:szCs w:val="18"/>
                <w:lang w:val="fr-FR"/>
              </w:rPr>
              <w:t>Niveau de mise en œuvre du Plan d'action de Kigali, en %</w:t>
            </w:r>
          </w:p>
        </w:tc>
        <w:tc>
          <w:tcPr>
            <w:tcW w:w="1275" w:type="dxa"/>
            <w:hideMark/>
          </w:tcPr>
          <w:p w14:paraId="1F94BD3C" w14:textId="77777777" w:rsidR="00BC680E" w:rsidRPr="00231866" w:rsidRDefault="00BC680E" w:rsidP="00FA497F">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231866">
              <w:rPr>
                <w:b/>
                <w:bCs/>
                <w:sz w:val="18"/>
                <w:szCs w:val="18"/>
                <w:lang w:val="fr-FR"/>
              </w:rPr>
              <w:t>359 500</w:t>
            </w:r>
          </w:p>
        </w:tc>
        <w:tc>
          <w:tcPr>
            <w:tcW w:w="1276" w:type="dxa"/>
            <w:noWrap/>
            <w:hideMark/>
          </w:tcPr>
          <w:p w14:paraId="282C5B19" w14:textId="77777777" w:rsidR="00BC680E" w:rsidRPr="00231866" w:rsidRDefault="00BC680E" w:rsidP="00FA497F">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231866">
              <w:rPr>
                <w:b/>
                <w:bCs/>
                <w:sz w:val="18"/>
                <w:szCs w:val="18"/>
                <w:lang w:val="fr-FR"/>
              </w:rPr>
              <w:t>8,6%</w:t>
            </w:r>
          </w:p>
        </w:tc>
      </w:tr>
    </w:tbl>
    <w:p w14:paraId="148DA8A3" w14:textId="77777777" w:rsidR="00BC680E" w:rsidRDefault="00BC680E" w:rsidP="00BC680E">
      <w:pPr>
        <w:pStyle w:val="Tablelegend"/>
        <w:spacing w:after="240"/>
        <w:ind w:left="284" w:hanging="284"/>
        <w:jc w:val="left"/>
        <w:rPr>
          <w:lang w:val="fr-FR"/>
        </w:rPr>
      </w:pPr>
      <w:r w:rsidRPr="00231866">
        <w:rPr>
          <w:lang w:val="fr-FR"/>
        </w:rPr>
        <w:t>*</w:t>
      </w:r>
      <w:r w:rsidRPr="00231866">
        <w:rPr>
          <w:lang w:val="fr-FR"/>
        </w:rPr>
        <w:tab/>
        <w:t>Ces indicateurs de performance pourraient être encore affinés à mesure que la mise en œuvre du Plan d'action de Kigali progresse afin de mieux rendre compte des résultats obtenus.</w:t>
      </w:r>
    </w:p>
    <w:p w14:paraId="5AD190BA" w14:textId="34AA2642" w:rsidR="001C13BF" w:rsidRDefault="001C13BF">
      <w:pPr>
        <w:tabs>
          <w:tab w:val="clear" w:pos="794"/>
          <w:tab w:val="clear" w:pos="1191"/>
          <w:tab w:val="clear" w:pos="1588"/>
          <w:tab w:val="clear" w:pos="1985"/>
        </w:tabs>
        <w:overflowPunct/>
        <w:autoSpaceDE/>
        <w:autoSpaceDN/>
        <w:adjustRightInd/>
        <w:spacing w:before="0"/>
        <w:jc w:val="left"/>
        <w:textAlignment w:val="auto"/>
        <w:rPr>
          <w:sz w:val="22"/>
          <w:lang w:val="fr-FR"/>
        </w:rPr>
      </w:pPr>
      <w:r>
        <w:rPr>
          <w:lang w:val="fr-FR"/>
        </w:rPr>
        <w:br w:type="page"/>
      </w:r>
    </w:p>
    <w:tbl>
      <w:tblPr>
        <w:tblStyle w:val="TableGrid"/>
        <w:tblW w:w="0" w:type="auto"/>
        <w:tblInd w:w="274" w:type="dxa"/>
        <w:tblLayout w:type="fixed"/>
        <w:tblLook w:val="04A0" w:firstRow="1" w:lastRow="0" w:firstColumn="1" w:lastColumn="0" w:noHBand="0" w:noVBand="1"/>
      </w:tblPr>
      <w:tblGrid>
        <w:gridCol w:w="13466"/>
      </w:tblGrid>
      <w:tr w:rsidR="00BC680E" w:rsidRPr="00231866" w14:paraId="09856CE9"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98B2133" w14:textId="77777777" w:rsidR="00BC680E" w:rsidRPr="00231866" w:rsidRDefault="00BC680E" w:rsidP="00FA497F">
            <w:pPr>
              <w:spacing w:after="120"/>
              <w:jc w:val="left"/>
              <w:rPr>
                <w:lang w:val="fr-FR"/>
              </w:rPr>
            </w:pPr>
            <w:r w:rsidRPr="00231866">
              <w:rPr>
                <w:b/>
                <w:bCs/>
                <w:lang w:val="fr-FR"/>
              </w:rPr>
              <w:lastRenderedPageBreak/>
              <w:t>Principales mesures mises en œuvre en 2023: Catalyseur 3 de l'UIT-D – Excellence en matière de ressources humaines et innovation organisationnelle</w:t>
            </w:r>
          </w:p>
        </w:tc>
      </w:tr>
      <w:tr w:rsidR="00BC680E" w:rsidRPr="00231866" w14:paraId="4349969D" w14:textId="77777777" w:rsidTr="00FA497F">
        <w:tc>
          <w:tcPr>
            <w:tcW w:w="1346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EAFCFC7" w14:textId="77777777" w:rsidR="00BC680E" w:rsidRPr="00231866" w:rsidRDefault="00BC680E" w:rsidP="00FA497F">
            <w:pPr>
              <w:jc w:val="left"/>
              <w:rPr>
                <w:lang w:val="fr-FR"/>
              </w:rPr>
            </w:pPr>
            <w:r w:rsidRPr="00231866">
              <w:rPr>
                <w:lang w:val="fr-FR"/>
              </w:rPr>
              <w:t>Le Directeur du BDT a lancé une série de nouvelles initiatives visant à obtenir l'excellence dans l'organisation et à renforcer les capacités internes en matière d'innovation pour améliorer la mise en œuvre au BDT, notamment:</w:t>
            </w:r>
          </w:p>
          <w:p w14:paraId="19C2FAC8" w14:textId="77777777" w:rsidR="00BC680E" w:rsidRPr="00231866" w:rsidRDefault="00BC680E" w:rsidP="00FA497F">
            <w:pPr>
              <w:pStyle w:val="enumlev1"/>
              <w:jc w:val="left"/>
              <w:rPr>
                <w:lang w:val="fr-FR"/>
              </w:rPr>
            </w:pPr>
            <w:r w:rsidRPr="00231866">
              <w:rPr>
                <w:lang w:val="fr-FR"/>
              </w:rPr>
              <w:t>•</w:t>
            </w:r>
            <w:r w:rsidRPr="00231866">
              <w:rPr>
                <w:lang w:val="fr-FR"/>
              </w:rPr>
              <w:tab/>
              <w:t xml:space="preserve">La </w:t>
            </w:r>
            <w:r w:rsidRPr="00231866">
              <w:rPr>
                <w:b/>
                <w:bCs/>
                <w:lang w:val="fr-FR"/>
              </w:rPr>
              <w:t>retraite destinée aux hauts fonctionnaires du BDT</w:t>
            </w:r>
            <w:r w:rsidRPr="00231866">
              <w:rPr>
                <w:lang w:val="fr-FR"/>
              </w:rPr>
              <w:t xml:space="preserve"> organisée en février 2023 a été, pour la nouvelle direction, l'occasion de discuter de manière constructive des solutions pour accroître les retombées des activités mises en œuvre par le BDT, remédier efficacement aux problèmes d'exécution et renforcer la cohérence dans la mise en œuvre des projets de l'UIT, des activités prévues dans le Plan opérationnel du BDT, des initiatives régionales et des Résolutions de la CMDT, ainsi que pour améliorer la contribution de l'UIT-D à la réalisation des buts stratégiques de l'UIT. Cette retraite a servi de cadre pour aligner la stratégie opérationnelle adoptée pour les travaux du Bureau pour le cycle de mise en œuvre en cours (2023-2026) sur les résultats de la CMDT-22 et de la PP-22 et les instructions données lors de ces conférences, afin de favoriser une connectivité universelle efficace ainsi qu'une transformation numérique durable dans le monde entier durant la période 2022-2025. Le rapport de cette retraite figure dans l'</w:t>
            </w:r>
            <w:r w:rsidRPr="001C13BF">
              <w:rPr>
                <w:highlight w:val="yellow"/>
                <w:lang w:val="fr-FR"/>
              </w:rPr>
              <w:t xml:space="preserve">Annexe 1 du Document </w:t>
            </w:r>
            <w:r w:rsidRPr="00231866">
              <w:rPr>
                <w:highlight w:val="yellow"/>
                <w:lang w:val="fr-FR"/>
              </w:rPr>
              <w:t>TDAG-23/2(Add.2)</w:t>
            </w:r>
            <w:r w:rsidRPr="00231866">
              <w:rPr>
                <w:lang w:val="fr-FR"/>
              </w:rPr>
              <w:t>.</w:t>
            </w:r>
          </w:p>
          <w:p w14:paraId="681B9D4D" w14:textId="77777777" w:rsidR="00BC680E" w:rsidRPr="00231866" w:rsidRDefault="00BC680E" w:rsidP="00FA497F">
            <w:pPr>
              <w:pStyle w:val="enumlev1"/>
              <w:jc w:val="left"/>
              <w:rPr>
                <w:lang w:val="fr-FR"/>
              </w:rPr>
            </w:pPr>
            <w:r w:rsidRPr="00231866">
              <w:rPr>
                <w:lang w:val="fr-FR"/>
              </w:rPr>
              <w:t>•</w:t>
            </w:r>
            <w:r w:rsidRPr="00231866">
              <w:rPr>
                <w:lang w:val="fr-FR"/>
              </w:rPr>
              <w:tab/>
              <w:t xml:space="preserve">Le nouveau Comité exécutif de gestion (MEC), convoqué par le Directeur du BDT pour consulter les chefs de département et les directeurs des bureaux régionaux, a été renforcé par une fonction décisionnelle et a remplacé le </w:t>
            </w:r>
            <w:r w:rsidRPr="00231866">
              <w:rPr>
                <w:b/>
                <w:bCs/>
                <w:lang w:val="fr-FR"/>
              </w:rPr>
              <w:t>Groupe pour la gestion du développement (DMG)</w:t>
            </w:r>
            <w:r w:rsidRPr="00231866">
              <w:rPr>
                <w:lang w:val="fr-FR"/>
              </w:rPr>
              <w:t>.</w:t>
            </w:r>
          </w:p>
          <w:p w14:paraId="066E7A3A" w14:textId="77777777" w:rsidR="00BC680E" w:rsidRPr="00231866" w:rsidRDefault="00BC680E" w:rsidP="001C13BF">
            <w:pPr>
              <w:pStyle w:val="enumlev1"/>
              <w:spacing w:after="120"/>
              <w:jc w:val="left"/>
              <w:rPr>
                <w:lang w:val="fr-FR"/>
              </w:rPr>
            </w:pPr>
            <w:r w:rsidRPr="00231866">
              <w:rPr>
                <w:lang w:val="fr-FR"/>
              </w:rPr>
              <w:t>•</w:t>
            </w:r>
            <w:r w:rsidRPr="00231866">
              <w:rPr>
                <w:lang w:val="fr-FR"/>
              </w:rPr>
              <w:tab/>
              <w:t xml:space="preserve">Dans le cadre de l'Alliance pour l'innovation et l'esprit d'entreprise au service du développement numérique, le BDT a lancé un </w:t>
            </w:r>
            <w:r w:rsidRPr="00231866">
              <w:rPr>
                <w:b/>
                <w:bCs/>
                <w:lang w:val="fr-FR"/>
              </w:rPr>
              <w:t>laboratoire de transformation numérique</w:t>
            </w:r>
            <w:r w:rsidRPr="00231866">
              <w:rPr>
                <w:lang w:val="fr-FR"/>
              </w:rPr>
              <w:t xml:space="preserve"> (DT </w:t>
            </w:r>
            <w:proofErr w:type="spellStart"/>
            <w:r w:rsidRPr="00231866">
              <w:rPr>
                <w:lang w:val="fr-FR"/>
              </w:rPr>
              <w:t>Lab</w:t>
            </w:r>
            <w:proofErr w:type="spellEnd"/>
            <w:r w:rsidRPr="00231866">
              <w:rPr>
                <w:lang w:val="fr-FR"/>
              </w:rPr>
              <w:t xml:space="preserve">). Ce laboratoire aura pour mission d'appuyer la création et la mise en œuvre du réseau de centres d'innovation et de fournir, sur demande, une assistance technique aux États Membres, en particulier aux pays en développement et aux PMA, qui ne disposent pas des capacités nécessaires pour instaurer un environnement de type "bac à sable" et élaborer des activités propres à accélérer le développement du numérique. Situé au siège de l'UIT à Genève, ce laboratoire est accessible de manière virtuelle et offre au personnel du BDT et aux pays des services en matière d'innovation. En interne, le BDT tirera parti de nouveaux mécanismes destinés à améliorer les produits et les services qu'il offre, ce qui lui permettra de se hisser au rang de première institution à même d'accompagner les pays en développement dans leur processus de transformation numérique. On trouvera de plus amples informations sur l'Alliance dans le </w:t>
            </w:r>
            <w:r w:rsidRPr="00231866">
              <w:rPr>
                <w:highlight w:val="yellow"/>
                <w:lang w:val="fr-FR"/>
              </w:rPr>
              <w:t>Document TDAG-23/13</w:t>
            </w:r>
            <w:r w:rsidRPr="00231866">
              <w:rPr>
                <w:lang w:val="fr-FR"/>
              </w:rPr>
              <w:t>.</w:t>
            </w:r>
          </w:p>
          <w:p w14:paraId="5753C215" w14:textId="77777777" w:rsidR="00BC680E" w:rsidRPr="00231866" w:rsidRDefault="00BC680E" w:rsidP="00FA497F">
            <w:pPr>
              <w:pStyle w:val="enumlev1"/>
              <w:keepNext/>
              <w:keepLines/>
              <w:spacing w:after="120"/>
              <w:jc w:val="left"/>
              <w:rPr>
                <w:lang w:val="fr-FR"/>
              </w:rPr>
            </w:pPr>
            <w:r w:rsidRPr="00231866">
              <w:rPr>
                <w:lang w:val="fr-FR"/>
              </w:rPr>
              <w:lastRenderedPageBreak/>
              <w:t>•</w:t>
            </w:r>
            <w:r w:rsidRPr="00231866">
              <w:rPr>
                <w:lang w:val="fr-FR"/>
              </w:rPr>
              <w:tab/>
              <w:t xml:space="preserve">Le Directeur du BDT a lancé un nouveau mécanisme pour communiquer aux fonctionnaires du BDT des informations sur les travaux en cours et obtenir leurs retours d'information sur des questions de premier plan. Les </w:t>
            </w:r>
            <w:r w:rsidRPr="00231866">
              <w:rPr>
                <w:b/>
                <w:bCs/>
                <w:lang w:val="fr-FR"/>
              </w:rPr>
              <w:t>réunions organisées régulièrement pour mobiliser le personnel</w:t>
            </w:r>
            <w:r w:rsidRPr="00231866">
              <w:rPr>
                <w:lang w:val="fr-FR"/>
              </w:rPr>
              <w:t xml:space="preserve"> sont ouvertes à tous les fonctionnaires, quel que soit leur statut contractuel, et offrent un espace où chacun peut, en toute sécurité, s'exprimer et faire part de ses idées sur les enjeux et les perspectives liés à la fonction d'exécution au BDT et à l'évolution de la culture institutionnelle au sein de l'Union.</w:t>
            </w:r>
          </w:p>
        </w:tc>
      </w:tr>
    </w:tbl>
    <w:p w14:paraId="7923EFF4" w14:textId="77777777" w:rsidR="00BC680E" w:rsidRPr="00231866" w:rsidRDefault="00BC680E" w:rsidP="00BC680E">
      <w:pPr>
        <w:spacing w:before="360"/>
        <w:jc w:val="center"/>
        <w:rPr>
          <w:lang w:val="fr-FR"/>
        </w:rPr>
      </w:pPr>
      <w:r w:rsidRPr="00231866">
        <w:rPr>
          <w:lang w:val="fr-FR"/>
        </w:rPr>
        <w:lastRenderedPageBreak/>
        <w:t>______________</w:t>
      </w:r>
    </w:p>
    <w:sectPr w:rsidR="00BC680E" w:rsidRPr="00231866" w:rsidSect="00E80210">
      <w:headerReference w:type="even" r:id="rId82"/>
      <w:headerReference w:type="default" r:id="rId83"/>
      <w:footerReference w:type="even" r:id="rId84"/>
      <w:footerReference w:type="default" r:id="rId85"/>
      <w:headerReference w:type="first" r:id="rId86"/>
      <w:footerReference w:type="first" r:id="rId87"/>
      <w:pgSz w:w="16834" w:h="11907" w:orient="landscape" w:code="9"/>
      <w:pgMar w:top="1138"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792C" w14:textId="77777777" w:rsidR="00970D1B" w:rsidRDefault="00970D1B">
      <w:r>
        <w:separator/>
      </w:r>
    </w:p>
  </w:endnote>
  <w:endnote w:type="continuationSeparator" w:id="0">
    <w:p w14:paraId="790B6764" w14:textId="77777777" w:rsidR="00970D1B" w:rsidRDefault="00970D1B">
      <w:r>
        <w:continuationSeparator/>
      </w:r>
    </w:p>
  </w:endnote>
  <w:endnote w:type="continuationNotice" w:id="1">
    <w:p w14:paraId="67DE1328" w14:textId="77777777" w:rsidR="00970D1B" w:rsidRDefault="00970D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A8D9" w14:textId="3342CBC3" w:rsidR="00970D1B" w:rsidRDefault="00D43D78" w:rsidP="00CF6619">
    <w:pPr>
      <w:pStyle w:val="Footer"/>
    </w:pPr>
    <w:fldSimple w:instr=" FILENAME \p  \* MERGEFORMAT ">
      <w:r w:rsidR="00970D1B">
        <w:t>P:\FRA\ITU-D\CONF-D\TDAG23\TDAG23-30\000\002ADD02F.docx</w:t>
      </w:r>
    </w:fldSimple>
    <w:r w:rsidR="00970D1B">
      <w:t xml:space="preserve"> (523173)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250"/>
      <w:gridCol w:w="5958"/>
    </w:tblGrid>
    <w:tr w:rsidR="00970D1B" w:rsidRPr="00970D1B" w14:paraId="577BBC98" w14:textId="77777777" w:rsidTr="007C6276">
      <w:tc>
        <w:tcPr>
          <w:tcW w:w="1432" w:type="dxa"/>
          <w:tcBorders>
            <w:top w:val="single" w:sz="4" w:space="0" w:color="000000"/>
          </w:tcBorders>
          <w:shd w:val="clear" w:color="auto" w:fill="auto"/>
        </w:tcPr>
        <w:p w14:paraId="35C11205" w14:textId="77777777" w:rsidR="00970D1B" w:rsidRPr="007C6276" w:rsidRDefault="00970D1B" w:rsidP="001D2782">
          <w:pPr>
            <w:pStyle w:val="FirstFooter"/>
            <w:tabs>
              <w:tab w:val="left" w:pos="1559"/>
              <w:tab w:val="left" w:pos="3828"/>
            </w:tabs>
            <w:spacing w:before="0"/>
            <w:rPr>
              <w:sz w:val="18"/>
              <w:szCs w:val="18"/>
            </w:rPr>
          </w:pPr>
          <w:r w:rsidRPr="007C6276">
            <w:rPr>
              <w:sz w:val="18"/>
              <w:szCs w:val="18"/>
            </w:rPr>
            <w:t>Contact:</w:t>
          </w:r>
        </w:p>
      </w:tc>
      <w:tc>
        <w:tcPr>
          <w:tcW w:w="2250" w:type="dxa"/>
          <w:tcBorders>
            <w:top w:val="single" w:sz="4" w:space="0" w:color="000000"/>
          </w:tcBorders>
          <w:shd w:val="clear" w:color="auto" w:fill="auto"/>
        </w:tcPr>
        <w:p w14:paraId="4ADD090E" w14:textId="77777777" w:rsidR="00970D1B" w:rsidRPr="007C6276" w:rsidRDefault="00970D1B" w:rsidP="001D2782">
          <w:pPr>
            <w:pStyle w:val="FirstFooter"/>
            <w:tabs>
              <w:tab w:val="left" w:pos="2302"/>
            </w:tabs>
            <w:spacing w:before="0"/>
            <w:ind w:left="2302" w:hanging="2302"/>
            <w:rPr>
              <w:sz w:val="18"/>
              <w:szCs w:val="18"/>
            </w:rPr>
          </w:pPr>
          <w:r w:rsidRPr="007C6276">
            <w:rPr>
              <w:sz w:val="18"/>
              <w:szCs w:val="18"/>
            </w:rPr>
            <w:t>Nom/Organisation/Entité:</w:t>
          </w:r>
        </w:p>
      </w:tc>
      <w:tc>
        <w:tcPr>
          <w:tcW w:w="5958" w:type="dxa"/>
          <w:tcBorders>
            <w:top w:val="single" w:sz="4" w:space="0" w:color="000000"/>
          </w:tcBorders>
        </w:tcPr>
        <w:p w14:paraId="1CB1439E" w14:textId="77777777" w:rsidR="00970D1B" w:rsidRPr="007C6276" w:rsidRDefault="00970D1B" w:rsidP="00CF6619">
          <w:pPr>
            <w:pStyle w:val="FirstFooter"/>
            <w:tabs>
              <w:tab w:val="left" w:pos="2302"/>
            </w:tabs>
            <w:spacing w:before="0"/>
            <w:jc w:val="left"/>
            <w:rPr>
              <w:sz w:val="18"/>
              <w:szCs w:val="18"/>
              <w:highlight w:val="yellow"/>
            </w:rPr>
          </w:pPr>
          <w:r w:rsidRPr="007C6276">
            <w:rPr>
              <w:sz w:val="18"/>
              <w:szCs w:val="18"/>
            </w:rPr>
            <w:t>M. Stephen Bereaux, Adjoint au Directeur du Bureau de développement des télécommunications</w:t>
          </w:r>
        </w:p>
      </w:tc>
    </w:tr>
    <w:tr w:rsidR="00970D1B" w:rsidRPr="007C6276" w14:paraId="60E58CD1" w14:textId="77777777" w:rsidTr="007C6276">
      <w:tc>
        <w:tcPr>
          <w:tcW w:w="1432" w:type="dxa"/>
          <w:shd w:val="clear" w:color="auto" w:fill="auto"/>
        </w:tcPr>
        <w:p w14:paraId="40FEF5E6" w14:textId="77777777" w:rsidR="00970D1B" w:rsidRPr="007C6276" w:rsidRDefault="00970D1B" w:rsidP="001D2782">
          <w:pPr>
            <w:pStyle w:val="FirstFooter"/>
            <w:tabs>
              <w:tab w:val="left" w:pos="1559"/>
              <w:tab w:val="left" w:pos="3828"/>
            </w:tabs>
            <w:spacing w:before="0"/>
            <w:rPr>
              <w:sz w:val="18"/>
              <w:szCs w:val="18"/>
              <w:lang w:val="fr-CH"/>
            </w:rPr>
          </w:pPr>
        </w:p>
      </w:tc>
      <w:tc>
        <w:tcPr>
          <w:tcW w:w="2250" w:type="dxa"/>
          <w:shd w:val="clear" w:color="auto" w:fill="auto"/>
        </w:tcPr>
        <w:p w14:paraId="102C5ADD" w14:textId="77777777" w:rsidR="00970D1B" w:rsidRPr="007C6276" w:rsidRDefault="00970D1B" w:rsidP="001D2782">
          <w:pPr>
            <w:pStyle w:val="FirstFooter"/>
            <w:tabs>
              <w:tab w:val="left" w:pos="2302"/>
            </w:tabs>
            <w:spacing w:before="0"/>
            <w:rPr>
              <w:sz w:val="18"/>
              <w:szCs w:val="18"/>
            </w:rPr>
          </w:pPr>
          <w:r w:rsidRPr="007C6276">
            <w:rPr>
              <w:sz w:val="18"/>
              <w:szCs w:val="18"/>
            </w:rPr>
            <w:t>Numéro de téléphone:</w:t>
          </w:r>
        </w:p>
      </w:tc>
      <w:tc>
        <w:tcPr>
          <w:tcW w:w="5958" w:type="dxa"/>
        </w:tcPr>
        <w:p w14:paraId="10A68FC1" w14:textId="77777777" w:rsidR="00970D1B" w:rsidRPr="007C6276" w:rsidRDefault="00970D1B" w:rsidP="001D2782">
          <w:pPr>
            <w:pStyle w:val="FirstFooter"/>
            <w:tabs>
              <w:tab w:val="left" w:pos="2302"/>
            </w:tabs>
            <w:spacing w:before="0"/>
            <w:rPr>
              <w:sz w:val="18"/>
              <w:szCs w:val="18"/>
              <w:highlight w:val="yellow"/>
            </w:rPr>
          </w:pPr>
          <w:r w:rsidRPr="007C6276">
            <w:rPr>
              <w:sz w:val="18"/>
              <w:szCs w:val="18"/>
            </w:rPr>
            <w:t>+41 22 730 5131</w:t>
          </w:r>
        </w:p>
      </w:tc>
    </w:tr>
    <w:tr w:rsidR="00970D1B" w:rsidRPr="007C6276" w14:paraId="61BAF590" w14:textId="77777777" w:rsidTr="007C6276">
      <w:tc>
        <w:tcPr>
          <w:tcW w:w="1432" w:type="dxa"/>
          <w:shd w:val="clear" w:color="auto" w:fill="auto"/>
        </w:tcPr>
        <w:p w14:paraId="6158267C" w14:textId="77777777" w:rsidR="00970D1B" w:rsidRPr="007C6276" w:rsidRDefault="00970D1B" w:rsidP="001D2782">
          <w:pPr>
            <w:pStyle w:val="FirstFooter"/>
            <w:tabs>
              <w:tab w:val="left" w:pos="1559"/>
              <w:tab w:val="left" w:pos="3828"/>
            </w:tabs>
            <w:spacing w:before="0"/>
            <w:rPr>
              <w:sz w:val="18"/>
              <w:szCs w:val="18"/>
            </w:rPr>
          </w:pPr>
        </w:p>
      </w:tc>
      <w:tc>
        <w:tcPr>
          <w:tcW w:w="2250" w:type="dxa"/>
          <w:shd w:val="clear" w:color="auto" w:fill="auto"/>
        </w:tcPr>
        <w:p w14:paraId="0DC946DB" w14:textId="77777777" w:rsidR="00970D1B" w:rsidRPr="007C6276" w:rsidRDefault="00970D1B" w:rsidP="001D2782">
          <w:pPr>
            <w:pStyle w:val="FirstFooter"/>
            <w:tabs>
              <w:tab w:val="left" w:pos="2302"/>
            </w:tabs>
            <w:spacing w:before="0"/>
            <w:rPr>
              <w:sz w:val="18"/>
              <w:szCs w:val="18"/>
            </w:rPr>
          </w:pPr>
          <w:r w:rsidRPr="007C6276">
            <w:rPr>
              <w:sz w:val="18"/>
              <w:szCs w:val="18"/>
            </w:rPr>
            <w:t>Courriel:</w:t>
          </w:r>
        </w:p>
      </w:tc>
      <w:tc>
        <w:tcPr>
          <w:tcW w:w="5958" w:type="dxa"/>
        </w:tcPr>
        <w:p w14:paraId="7DAFF0EF" w14:textId="143DF0CF" w:rsidR="00970D1B" w:rsidRPr="007C6276" w:rsidRDefault="00F36287" w:rsidP="001D2782">
          <w:pPr>
            <w:pStyle w:val="FirstFooter"/>
            <w:tabs>
              <w:tab w:val="left" w:pos="2302"/>
            </w:tabs>
            <w:spacing w:before="0"/>
            <w:rPr>
              <w:rStyle w:val="Hyperlink"/>
              <w:sz w:val="18"/>
              <w:szCs w:val="18"/>
              <w:highlight w:val="yellow"/>
            </w:rPr>
          </w:pPr>
          <w:hyperlink r:id="rId1" w:history="1">
            <w:r w:rsidR="00970D1B" w:rsidRPr="007C6276">
              <w:rPr>
                <w:rStyle w:val="Hyperlink"/>
                <w:sz w:val="18"/>
                <w:szCs w:val="18"/>
              </w:rPr>
              <w:t>stephen.bereaux@itu.int</w:t>
            </w:r>
          </w:hyperlink>
        </w:p>
      </w:tc>
    </w:tr>
  </w:tbl>
  <w:p w14:paraId="2202BF2D" w14:textId="77777777" w:rsidR="00970D1B" w:rsidRPr="001011EB" w:rsidRDefault="00F36287" w:rsidP="007C6276">
    <w:pPr>
      <w:pStyle w:val="Footer"/>
      <w:spacing w:before="120"/>
      <w:jc w:val="center"/>
      <w:rPr>
        <w:lang w:val="fr-CH"/>
      </w:rPr>
    </w:pPr>
    <w:hyperlink r:id="rId2" w:history="1">
      <w:r w:rsidR="00970D1B" w:rsidRPr="001011EB">
        <w:rPr>
          <w:rStyle w:val="Hyperlink"/>
          <w:noProof w:val="0"/>
          <w:sz w:val="18"/>
          <w:szCs w:val="18"/>
          <w:lang w:val="fr-CH"/>
        </w:rPr>
        <w:t>TDAG</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DA04" w14:textId="77777777" w:rsidR="00970D1B" w:rsidRDefault="00970D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3E4B" w14:textId="0DC49FAD" w:rsidR="00970D1B" w:rsidRDefault="00D43D78">
    <w:pPr>
      <w:pStyle w:val="Footer"/>
    </w:pPr>
    <w:fldSimple w:instr=" FILENAME \p  \* MERGEFORMAT ">
      <w:r w:rsidR="00F36287">
        <w:t>P:\FRA\ITU-D\CONF-D\TDAG23\TDAG23-30\000\002ADD02F.docx</w:t>
      </w:r>
    </w:fldSimple>
    <w:r w:rsidR="00970D1B">
      <w:t xml:space="preserve"> (523173)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E7F9" w14:textId="1C880744" w:rsidR="00970D1B" w:rsidRDefault="00D43D78" w:rsidP="00B01FE6">
    <w:pPr>
      <w:pStyle w:val="Footer"/>
      <w:jc w:val="left"/>
      <w:rPr>
        <w:lang w:val="en-GB"/>
      </w:rPr>
    </w:pPr>
    <w:fldSimple w:instr=" FILENAME \p  \* MERGEFORMAT ">
      <w:r w:rsidR="00970D1B">
        <w:t>P:\FRA\ITU-D\CONF-D\TDAG23\TDAG23-30\000\002ADD02F.docx</w:t>
      </w:r>
    </w:fldSimple>
    <w:r w:rsidR="00970D1B">
      <w:t xml:space="preserve"> (523173)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168C9" w14:textId="77777777" w:rsidR="00970D1B" w:rsidRDefault="00970D1B">
      <w:r>
        <w:t>____________________</w:t>
      </w:r>
    </w:p>
  </w:footnote>
  <w:footnote w:type="continuationSeparator" w:id="0">
    <w:p w14:paraId="08E7B223" w14:textId="77777777" w:rsidR="00970D1B" w:rsidRDefault="00970D1B">
      <w:r>
        <w:continuationSeparator/>
      </w:r>
    </w:p>
  </w:footnote>
  <w:footnote w:type="continuationNotice" w:id="1">
    <w:p w14:paraId="72A94EB0" w14:textId="77777777" w:rsidR="00970D1B" w:rsidRDefault="00970D1B">
      <w:pPr>
        <w:spacing w:before="0"/>
      </w:pPr>
    </w:p>
  </w:footnote>
  <w:footnote w:id="2">
    <w:p w14:paraId="1E3A513C" w14:textId="323EFA94" w:rsidR="00970D1B" w:rsidRPr="0059527A" w:rsidRDefault="00970D1B" w:rsidP="00E80210">
      <w:pPr>
        <w:pStyle w:val="FootnoteText"/>
        <w:spacing w:before="60"/>
        <w:rPr>
          <w:sz w:val="18"/>
          <w:szCs w:val="18"/>
          <w:lang w:val="fr-CH"/>
        </w:rPr>
      </w:pPr>
      <w:r w:rsidRPr="0059527A">
        <w:rPr>
          <w:rStyle w:val="denotaalpie1"/>
          <w:szCs w:val="18"/>
          <w:lang w:val="fr-FR"/>
        </w:rPr>
        <w:footnoteRef/>
      </w:r>
      <w:r>
        <w:rPr>
          <w:sz w:val="18"/>
          <w:szCs w:val="18"/>
          <w:lang w:val="fr-FR"/>
        </w:rPr>
        <w:tab/>
      </w:r>
      <w:r w:rsidRPr="007C6276">
        <w:rPr>
          <w:lang w:val="fr-FR"/>
        </w:rPr>
        <w:t>Les pilotes des risques seront désignés par le Directeur du Bureau.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0BEB" w14:textId="7E47BC10" w:rsidR="00970D1B" w:rsidRPr="001D2782" w:rsidRDefault="00970D1B" w:rsidP="001D2782">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87388">
      <w:rPr>
        <w:noProof/>
        <w:sz w:val="22"/>
        <w:szCs w:val="22"/>
        <w:lang w:val="de-CH"/>
      </w:rPr>
      <w:t>8</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033A" w14:textId="77777777" w:rsidR="00970D1B" w:rsidRDefault="00970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93C3" w14:textId="7A0A3DA8" w:rsidR="00970D1B" w:rsidRPr="001D2782" w:rsidRDefault="00970D1B" w:rsidP="00A36690">
    <w:pPr>
      <w:tabs>
        <w:tab w:val="clear" w:pos="794"/>
        <w:tab w:val="clear" w:pos="1191"/>
        <w:tab w:val="clear" w:pos="1588"/>
        <w:tab w:val="clear" w:pos="1985"/>
        <w:tab w:val="center" w:pos="6946"/>
        <w:tab w:val="right" w:pos="13892"/>
      </w:tabs>
      <w:spacing w:after="120"/>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87388">
      <w:rPr>
        <w:noProof/>
        <w:sz w:val="22"/>
        <w:szCs w:val="22"/>
        <w:lang w:val="de-CH"/>
      </w:rPr>
      <w:t>22</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7ED6" w14:textId="17920484" w:rsidR="00970D1B" w:rsidRPr="001D2782" w:rsidRDefault="00970D1B" w:rsidP="001D2782">
    <w:pPr>
      <w:tabs>
        <w:tab w:val="clear" w:pos="794"/>
        <w:tab w:val="clear" w:pos="1191"/>
        <w:tab w:val="clear" w:pos="1588"/>
        <w:tab w:val="clear" w:pos="1985"/>
        <w:tab w:val="center" w:pos="6946"/>
        <w:tab w:val="right" w:pos="13892"/>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87388">
      <w:rPr>
        <w:noProof/>
        <w:sz w:val="22"/>
        <w:szCs w:val="22"/>
        <w:lang w:val="de-CH"/>
      </w:rPr>
      <w:t>9</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yNDE1NzG1NDA1szBT0lEKTi0uzszPAykwqgUAffXxxiwAAAA="/>
  </w:docVars>
  <w:rsids>
    <w:rsidRoot w:val="00003C43"/>
    <w:rsid w:val="000022D1"/>
    <w:rsid w:val="00002716"/>
    <w:rsid w:val="00002F13"/>
    <w:rsid w:val="00003C43"/>
    <w:rsid w:val="00004BFA"/>
    <w:rsid w:val="00004DDC"/>
    <w:rsid w:val="00005132"/>
    <w:rsid w:val="00005791"/>
    <w:rsid w:val="00006FF4"/>
    <w:rsid w:val="00010827"/>
    <w:rsid w:val="00011373"/>
    <w:rsid w:val="00011C86"/>
    <w:rsid w:val="000127D5"/>
    <w:rsid w:val="00013EC6"/>
    <w:rsid w:val="00013FB3"/>
    <w:rsid w:val="0001479C"/>
    <w:rsid w:val="00015089"/>
    <w:rsid w:val="0001642B"/>
    <w:rsid w:val="00021341"/>
    <w:rsid w:val="000246C1"/>
    <w:rsid w:val="0002520B"/>
    <w:rsid w:val="00026CB2"/>
    <w:rsid w:val="00027042"/>
    <w:rsid w:val="00027E7D"/>
    <w:rsid w:val="0003109F"/>
    <w:rsid w:val="0003417C"/>
    <w:rsid w:val="00035AF8"/>
    <w:rsid w:val="00035DF2"/>
    <w:rsid w:val="00037A9E"/>
    <w:rsid w:val="00037F91"/>
    <w:rsid w:val="00040B0A"/>
    <w:rsid w:val="00041C93"/>
    <w:rsid w:val="000426F7"/>
    <w:rsid w:val="00043256"/>
    <w:rsid w:val="00043DA2"/>
    <w:rsid w:val="00045061"/>
    <w:rsid w:val="0004573C"/>
    <w:rsid w:val="00045D67"/>
    <w:rsid w:val="00045D77"/>
    <w:rsid w:val="0004616F"/>
    <w:rsid w:val="000461CF"/>
    <w:rsid w:val="000477E8"/>
    <w:rsid w:val="00047A16"/>
    <w:rsid w:val="000502D1"/>
    <w:rsid w:val="000516CC"/>
    <w:rsid w:val="00051CA5"/>
    <w:rsid w:val="000521C8"/>
    <w:rsid w:val="000524B4"/>
    <w:rsid w:val="00052BE1"/>
    <w:rsid w:val="000539F1"/>
    <w:rsid w:val="00053DA9"/>
    <w:rsid w:val="00054747"/>
    <w:rsid w:val="00054C3D"/>
    <w:rsid w:val="000550B1"/>
    <w:rsid w:val="00055A2A"/>
    <w:rsid w:val="00057930"/>
    <w:rsid w:val="00060176"/>
    <w:rsid w:val="0006039F"/>
    <w:rsid w:val="000604C8"/>
    <w:rsid w:val="00060D23"/>
    <w:rsid w:val="00061513"/>
    <w:rsid w:val="000615C1"/>
    <w:rsid w:val="00061675"/>
    <w:rsid w:val="00062193"/>
    <w:rsid w:val="000622A2"/>
    <w:rsid w:val="00062D20"/>
    <w:rsid w:val="0006307C"/>
    <w:rsid w:val="00063FAB"/>
    <w:rsid w:val="000666A2"/>
    <w:rsid w:val="00066903"/>
    <w:rsid w:val="00067F35"/>
    <w:rsid w:val="0007130A"/>
    <w:rsid w:val="00071B4B"/>
    <w:rsid w:val="00073D2F"/>
    <w:rsid w:val="00074300"/>
    <w:rsid w:val="000743AA"/>
    <w:rsid w:val="00074E78"/>
    <w:rsid w:val="0007557F"/>
    <w:rsid w:val="00075F39"/>
    <w:rsid w:val="00077F46"/>
    <w:rsid w:val="00080652"/>
    <w:rsid w:val="00080F91"/>
    <w:rsid w:val="00083069"/>
    <w:rsid w:val="0009076F"/>
    <w:rsid w:val="0009147D"/>
    <w:rsid w:val="000916C1"/>
    <w:rsid w:val="0009225C"/>
    <w:rsid w:val="0009328F"/>
    <w:rsid w:val="00095C60"/>
    <w:rsid w:val="000A09E3"/>
    <w:rsid w:val="000A17C4"/>
    <w:rsid w:val="000A30E5"/>
    <w:rsid w:val="000A36A4"/>
    <w:rsid w:val="000A5084"/>
    <w:rsid w:val="000A5453"/>
    <w:rsid w:val="000A79E5"/>
    <w:rsid w:val="000B1B03"/>
    <w:rsid w:val="000B1D6A"/>
    <w:rsid w:val="000B2352"/>
    <w:rsid w:val="000B32B0"/>
    <w:rsid w:val="000B473B"/>
    <w:rsid w:val="000B7B12"/>
    <w:rsid w:val="000B7BC9"/>
    <w:rsid w:val="000C2824"/>
    <w:rsid w:val="000C4C03"/>
    <w:rsid w:val="000C7B84"/>
    <w:rsid w:val="000C7CE3"/>
    <w:rsid w:val="000C7FF8"/>
    <w:rsid w:val="000D1326"/>
    <w:rsid w:val="000D1776"/>
    <w:rsid w:val="000D255C"/>
    <w:rsid w:val="000D260E"/>
    <w:rsid w:val="000D261B"/>
    <w:rsid w:val="000D32CF"/>
    <w:rsid w:val="000D53A8"/>
    <w:rsid w:val="000D58A3"/>
    <w:rsid w:val="000D6CE3"/>
    <w:rsid w:val="000D6DBE"/>
    <w:rsid w:val="000D6EAD"/>
    <w:rsid w:val="000E065E"/>
    <w:rsid w:val="000E1218"/>
    <w:rsid w:val="000E184D"/>
    <w:rsid w:val="000E3A70"/>
    <w:rsid w:val="000E3ED4"/>
    <w:rsid w:val="000E3F9C"/>
    <w:rsid w:val="000E517E"/>
    <w:rsid w:val="000E605A"/>
    <w:rsid w:val="000E7019"/>
    <w:rsid w:val="000F0319"/>
    <w:rsid w:val="000F0450"/>
    <w:rsid w:val="000F068B"/>
    <w:rsid w:val="000F1550"/>
    <w:rsid w:val="000F251B"/>
    <w:rsid w:val="000F2F1F"/>
    <w:rsid w:val="000F2FA6"/>
    <w:rsid w:val="000F5549"/>
    <w:rsid w:val="000F5D27"/>
    <w:rsid w:val="000F5DE0"/>
    <w:rsid w:val="000F5FE8"/>
    <w:rsid w:val="000F6644"/>
    <w:rsid w:val="000F66E6"/>
    <w:rsid w:val="00100833"/>
    <w:rsid w:val="00101847"/>
    <w:rsid w:val="00101D8D"/>
    <w:rsid w:val="00102D36"/>
    <w:rsid w:val="00102F72"/>
    <w:rsid w:val="00104B1F"/>
    <w:rsid w:val="00105636"/>
    <w:rsid w:val="0010662B"/>
    <w:rsid w:val="00107D19"/>
    <w:rsid w:val="00107E85"/>
    <w:rsid w:val="00110ED0"/>
    <w:rsid w:val="00112CCC"/>
    <w:rsid w:val="001132FC"/>
    <w:rsid w:val="001135D1"/>
    <w:rsid w:val="0011367D"/>
    <w:rsid w:val="00113EE8"/>
    <w:rsid w:val="0011455A"/>
    <w:rsid w:val="00114A65"/>
    <w:rsid w:val="00115D54"/>
    <w:rsid w:val="001179AE"/>
    <w:rsid w:val="00117B94"/>
    <w:rsid w:val="00120D67"/>
    <w:rsid w:val="00124A9B"/>
    <w:rsid w:val="0012626E"/>
    <w:rsid w:val="00126297"/>
    <w:rsid w:val="00126F72"/>
    <w:rsid w:val="00126F7F"/>
    <w:rsid w:val="00127086"/>
    <w:rsid w:val="0012761C"/>
    <w:rsid w:val="00130255"/>
    <w:rsid w:val="001304BE"/>
    <w:rsid w:val="001321AA"/>
    <w:rsid w:val="0013276A"/>
    <w:rsid w:val="00133061"/>
    <w:rsid w:val="00134F0B"/>
    <w:rsid w:val="00135329"/>
    <w:rsid w:val="00136AC9"/>
    <w:rsid w:val="0014039B"/>
    <w:rsid w:val="001413C7"/>
    <w:rsid w:val="00141699"/>
    <w:rsid w:val="00145327"/>
    <w:rsid w:val="00146D3F"/>
    <w:rsid w:val="00147000"/>
    <w:rsid w:val="00147AAD"/>
    <w:rsid w:val="001520C0"/>
    <w:rsid w:val="001533B9"/>
    <w:rsid w:val="001536F6"/>
    <w:rsid w:val="00153A82"/>
    <w:rsid w:val="00155ED1"/>
    <w:rsid w:val="00160663"/>
    <w:rsid w:val="00161EC6"/>
    <w:rsid w:val="0016206F"/>
    <w:rsid w:val="00163091"/>
    <w:rsid w:val="00163530"/>
    <w:rsid w:val="001645CB"/>
    <w:rsid w:val="00165054"/>
    <w:rsid w:val="00166305"/>
    <w:rsid w:val="00166FA1"/>
    <w:rsid w:val="00166FD7"/>
    <w:rsid w:val="00167545"/>
    <w:rsid w:val="00167FB6"/>
    <w:rsid w:val="001703C6"/>
    <w:rsid w:val="0017210A"/>
    <w:rsid w:val="00172878"/>
    <w:rsid w:val="00173781"/>
    <w:rsid w:val="00175ADF"/>
    <w:rsid w:val="00175CAE"/>
    <w:rsid w:val="00176563"/>
    <w:rsid w:val="00176AC4"/>
    <w:rsid w:val="00177439"/>
    <w:rsid w:val="00181C28"/>
    <w:rsid w:val="00181E99"/>
    <w:rsid w:val="001828DB"/>
    <w:rsid w:val="00182924"/>
    <w:rsid w:val="00184EA4"/>
    <w:rsid w:val="001850FE"/>
    <w:rsid w:val="00185135"/>
    <w:rsid w:val="00186D81"/>
    <w:rsid w:val="00187EC9"/>
    <w:rsid w:val="0019037C"/>
    <w:rsid w:val="001905A9"/>
    <w:rsid w:val="00191273"/>
    <w:rsid w:val="00192005"/>
    <w:rsid w:val="0019213C"/>
    <w:rsid w:val="00193594"/>
    <w:rsid w:val="001942A7"/>
    <w:rsid w:val="00195251"/>
    <w:rsid w:val="001956B7"/>
    <w:rsid w:val="0019587B"/>
    <w:rsid w:val="00197EC4"/>
    <w:rsid w:val="001A05A9"/>
    <w:rsid w:val="001A0FC6"/>
    <w:rsid w:val="001A119C"/>
    <w:rsid w:val="001A163D"/>
    <w:rsid w:val="001A3289"/>
    <w:rsid w:val="001A3569"/>
    <w:rsid w:val="001A441E"/>
    <w:rsid w:val="001A6733"/>
    <w:rsid w:val="001A718C"/>
    <w:rsid w:val="001A7B85"/>
    <w:rsid w:val="001B1D7E"/>
    <w:rsid w:val="001B1E1E"/>
    <w:rsid w:val="001B1E84"/>
    <w:rsid w:val="001B2874"/>
    <w:rsid w:val="001B2937"/>
    <w:rsid w:val="001B357F"/>
    <w:rsid w:val="001B5396"/>
    <w:rsid w:val="001B569D"/>
    <w:rsid w:val="001C1224"/>
    <w:rsid w:val="001C13BF"/>
    <w:rsid w:val="001C3444"/>
    <w:rsid w:val="001C3702"/>
    <w:rsid w:val="001C3E43"/>
    <w:rsid w:val="001C3F76"/>
    <w:rsid w:val="001C4490"/>
    <w:rsid w:val="001C4656"/>
    <w:rsid w:val="001C46BC"/>
    <w:rsid w:val="001C55D2"/>
    <w:rsid w:val="001C6DC2"/>
    <w:rsid w:val="001C7624"/>
    <w:rsid w:val="001C7D34"/>
    <w:rsid w:val="001D0624"/>
    <w:rsid w:val="001D1E06"/>
    <w:rsid w:val="001D2782"/>
    <w:rsid w:val="001D3DFA"/>
    <w:rsid w:val="001D4811"/>
    <w:rsid w:val="001D4D3C"/>
    <w:rsid w:val="001D5458"/>
    <w:rsid w:val="001D63B4"/>
    <w:rsid w:val="001D737F"/>
    <w:rsid w:val="001D7EC5"/>
    <w:rsid w:val="001E0BAC"/>
    <w:rsid w:val="001E1C96"/>
    <w:rsid w:val="001E303D"/>
    <w:rsid w:val="001E44B3"/>
    <w:rsid w:val="001E6322"/>
    <w:rsid w:val="001F23E6"/>
    <w:rsid w:val="001F2BDC"/>
    <w:rsid w:val="001F4238"/>
    <w:rsid w:val="001F43BD"/>
    <w:rsid w:val="001F5BFA"/>
    <w:rsid w:val="0020011B"/>
    <w:rsid w:val="00200A38"/>
    <w:rsid w:val="00200A46"/>
    <w:rsid w:val="00200EC7"/>
    <w:rsid w:val="002057E8"/>
    <w:rsid w:val="002059AB"/>
    <w:rsid w:val="0020601A"/>
    <w:rsid w:val="0020692F"/>
    <w:rsid w:val="00211B6F"/>
    <w:rsid w:val="00211DA1"/>
    <w:rsid w:val="00212B84"/>
    <w:rsid w:val="002138E3"/>
    <w:rsid w:val="00217CC3"/>
    <w:rsid w:val="00217FF6"/>
    <w:rsid w:val="00220AB6"/>
    <w:rsid w:val="0022120F"/>
    <w:rsid w:val="002215CC"/>
    <w:rsid w:val="002216DD"/>
    <w:rsid w:val="00221BCD"/>
    <w:rsid w:val="0022264F"/>
    <w:rsid w:val="00223428"/>
    <w:rsid w:val="00224E1B"/>
    <w:rsid w:val="002252EA"/>
    <w:rsid w:val="00225A73"/>
    <w:rsid w:val="0022754A"/>
    <w:rsid w:val="00231628"/>
    <w:rsid w:val="00231F1A"/>
    <w:rsid w:val="00232D38"/>
    <w:rsid w:val="00233482"/>
    <w:rsid w:val="002343A9"/>
    <w:rsid w:val="00236560"/>
    <w:rsid w:val="0023662E"/>
    <w:rsid w:val="00237197"/>
    <w:rsid w:val="002379A0"/>
    <w:rsid w:val="00240034"/>
    <w:rsid w:val="002422B1"/>
    <w:rsid w:val="002425AE"/>
    <w:rsid w:val="002457D7"/>
    <w:rsid w:val="00245D0F"/>
    <w:rsid w:val="00246745"/>
    <w:rsid w:val="0024683F"/>
    <w:rsid w:val="00250A91"/>
    <w:rsid w:val="002518B7"/>
    <w:rsid w:val="00251BA4"/>
    <w:rsid w:val="00253CDF"/>
    <w:rsid w:val="00254420"/>
    <w:rsid w:val="002546C7"/>
    <w:rsid w:val="002548C3"/>
    <w:rsid w:val="00257ACD"/>
    <w:rsid w:val="002601A8"/>
    <w:rsid w:val="00260969"/>
    <w:rsid w:val="002620D3"/>
    <w:rsid w:val="00262908"/>
    <w:rsid w:val="00263955"/>
    <w:rsid w:val="00265099"/>
    <w:rsid w:val="002650F4"/>
    <w:rsid w:val="00266334"/>
    <w:rsid w:val="00266496"/>
    <w:rsid w:val="002704E5"/>
    <w:rsid w:val="002707A7"/>
    <w:rsid w:val="00271262"/>
    <w:rsid w:val="002715FD"/>
    <w:rsid w:val="002733A6"/>
    <w:rsid w:val="00273D7E"/>
    <w:rsid w:val="0027451F"/>
    <w:rsid w:val="0027476E"/>
    <w:rsid w:val="00275EBA"/>
    <w:rsid w:val="002770B1"/>
    <w:rsid w:val="00277E61"/>
    <w:rsid w:val="002812C7"/>
    <w:rsid w:val="00282274"/>
    <w:rsid w:val="00282783"/>
    <w:rsid w:val="00283CC5"/>
    <w:rsid w:val="00284182"/>
    <w:rsid w:val="00284CD5"/>
    <w:rsid w:val="00285105"/>
    <w:rsid w:val="00285165"/>
    <w:rsid w:val="00285B33"/>
    <w:rsid w:val="002870EA"/>
    <w:rsid w:val="0028722F"/>
    <w:rsid w:val="00287A3C"/>
    <w:rsid w:val="00287FA5"/>
    <w:rsid w:val="00291605"/>
    <w:rsid w:val="00293C4D"/>
    <w:rsid w:val="00294081"/>
    <w:rsid w:val="00295F27"/>
    <w:rsid w:val="00297E52"/>
    <w:rsid w:val="002A00EC"/>
    <w:rsid w:val="002A0324"/>
    <w:rsid w:val="002A1888"/>
    <w:rsid w:val="002A19A5"/>
    <w:rsid w:val="002A2FC6"/>
    <w:rsid w:val="002A4D4C"/>
    <w:rsid w:val="002A4E40"/>
    <w:rsid w:val="002A5C3E"/>
    <w:rsid w:val="002A5CF5"/>
    <w:rsid w:val="002B0FEF"/>
    <w:rsid w:val="002B101E"/>
    <w:rsid w:val="002B1480"/>
    <w:rsid w:val="002B14D2"/>
    <w:rsid w:val="002B1703"/>
    <w:rsid w:val="002B2D89"/>
    <w:rsid w:val="002B4B3A"/>
    <w:rsid w:val="002B5C05"/>
    <w:rsid w:val="002B6728"/>
    <w:rsid w:val="002B7E08"/>
    <w:rsid w:val="002C1EC7"/>
    <w:rsid w:val="002C3015"/>
    <w:rsid w:val="002C31B0"/>
    <w:rsid w:val="002C4342"/>
    <w:rsid w:val="002C63E2"/>
    <w:rsid w:val="002C727E"/>
    <w:rsid w:val="002C7EA3"/>
    <w:rsid w:val="002D1F12"/>
    <w:rsid w:val="002D20AE"/>
    <w:rsid w:val="002D33CA"/>
    <w:rsid w:val="002D33CE"/>
    <w:rsid w:val="002D459B"/>
    <w:rsid w:val="002D6647"/>
    <w:rsid w:val="002D6C61"/>
    <w:rsid w:val="002E099A"/>
    <w:rsid w:val="002E1630"/>
    <w:rsid w:val="002E2104"/>
    <w:rsid w:val="002E268F"/>
    <w:rsid w:val="002E2AE6"/>
    <w:rsid w:val="002E2DAC"/>
    <w:rsid w:val="002E548D"/>
    <w:rsid w:val="002E5CEA"/>
    <w:rsid w:val="002E5FA3"/>
    <w:rsid w:val="002E6963"/>
    <w:rsid w:val="002E6F49"/>
    <w:rsid w:val="002E6F8F"/>
    <w:rsid w:val="002E7E4F"/>
    <w:rsid w:val="002F05D8"/>
    <w:rsid w:val="002F1F72"/>
    <w:rsid w:val="002F28FD"/>
    <w:rsid w:val="002F2DE0"/>
    <w:rsid w:val="002F446B"/>
    <w:rsid w:val="002F5E25"/>
    <w:rsid w:val="002F70D3"/>
    <w:rsid w:val="0030353C"/>
    <w:rsid w:val="003049C9"/>
    <w:rsid w:val="00306BC0"/>
    <w:rsid w:val="0030E1AE"/>
    <w:rsid w:val="003108ED"/>
    <w:rsid w:val="003125C3"/>
    <w:rsid w:val="00312AE6"/>
    <w:rsid w:val="0031359B"/>
    <w:rsid w:val="00314019"/>
    <w:rsid w:val="003147FD"/>
    <w:rsid w:val="00314E26"/>
    <w:rsid w:val="0031527E"/>
    <w:rsid w:val="00317D1A"/>
    <w:rsid w:val="003202DF"/>
    <w:rsid w:val="0032034D"/>
    <w:rsid w:val="003211FF"/>
    <w:rsid w:val="003219B5"/>
    <w:rsid w:val="00322620"/>
    <w:rsid w:val="00323350"/>
    <w:rsid w:val="003242AB"/>
    <w:rsid w:val="00324E76"/>
    <w:rsid w:val="00325764"/>
    <w:rsid w:val="00327142"/>
    <w:rsid w:val="0032718B"/>
    <w:rsid w:val="00327247"/>
    <w:rsid w:val="00327A9D"/>
    <w:rsid w:val="003311DF"/>
    <w:rsid w:val="0033130E"/>
    <w:rsid w:val="0033269C"/>
    <w:rsid w:val="003330F2"/>
    <w:rsid w:val="00333349"/>
    <w:rsid w:val="0033463F"/>
    <w:rsid w:val="00335362"/>
    <w:rsid w:val="00335B77"/>
    <w:rsid w:val="00337699"/>
    <w:rsid w:val="003413FE"/>
    <w:rsid w:val="00341CCD"/>
    <w:rsid w:val="00342B3F"/>
    <w:rsid w:val="00343EB6"/>
    <w:rsid w:val="003440B0"/>
    <w:rsid w:val="00344382"/>
    <w:rsid w:val="00344658"/>
    <w:rsid w:val="00346F6E"/>
    <w:rsid w:val="003471D1"/>
    <w:rsid w:val="0035001E"/>
    <w:rsid w:val="00350A36"/>
    <w:rsid w:val="00351C79"/>
    <w:rsid w:val="00352E23"/>
    <w:rsid w:val="00353140"/>
    <w:rsid w:val="00353A05"/>
    <w:rsid w:val="003545A4"/>
    <w:rsid w:val="0035516C"/>
    <w:rsid w:val="0035588D"/>
    <w:rsid w:val="00355A4C"/>
    <w:rsid w:val="00355CDF"/>
    <w:rsid w:val="003566BE"/>
    <w:rsid w:val="003604FB"/>
    <w:rsid w:val="00360B73"/>
    <w:rsid w:val="0036157C"/>
    <w:rsid w:val="00362092"/>
    <w:rsid w:val="003634D5"/>
    <w:rsid w:val="00365332"/>
    <w:rsid w:val="003658B2"/>
    <w:rsid w:val="00365CAA"/>
    <w:rsid w:val="0036709C"/>
    <w:rsid w:val="00370BDE"/>
    <w:rsid w:val="0037273A"/>
    <w:rsid w:val="00372D92"/>
    <w:rsid w:val="0037523E"/>
    <w:rsid w:val="003753F3"/>
    <w:rsid w:val="00375A55"/>
    <w:rsid w:val="003765C1"/>
    <w:rsid w:val="003768A9"/>
    <w:rsid w:val="00377CA6"/>
    <w:rsid w:val="0038054B"/>
    <w:rsid w:val="00380B71"/>
    <w:rsid w:val="00380F44"/>
    <w:rsid w:val="0038365A"/>
    <w:rsid w:val="00384D1C"/>
    <w:rsid w:val="003859C2"/>
    <w:rsid w:val="00386A89"/>
    <w:rsid w:val="00386BAA"/>
    <w:rsid w:val="003878A9"/>
    <w:rsid w:val="0039097A"/>
    <w:rsid w:val="00391128"/>
    <w:rsid w:val="00391E21"/>
    <w:rsid w:val="003923D7"/>
    <w:rsid w:val="003925E0"/>
    <w:rsid w:val="00395538"/>
    <w:rsid w:val="0039648E"/>
    <w:rsid w:val="00396C40"/>
    <w:rsid w:val="00397609"/>
    <w:rsid w:val="003A000C"/>
    <w:rsid w:val="003A23E3"/>
    <w:rsid w:val="003A2E40"/>
    <w:rsid w:val="003A3744"/>
    <w:rsid w:val="003A4C6F"/>
    <w:rsid w:val="003A5AFE"/>
    <w:rsid w:val="003A5D5F"/>
    <w:rsid w:val="003A7FFE"/>
    <w:rsid w:val="003B0A63"/>
    <w:rsid w:val="003B50E1"/>
    <w:rsid w:val="003B5410"/>
    <w:rsid w:val="003C07CF"/>
    <w:rsid w:val="003C1746"/>
    <w:rsid w:val="003C2392"/>
    <w:rsid w:val="003C2AA9"/>
    <w:rsid w:val="003C37F0"/>
    <w:rsid w:val="003C4434"/>
    <w:rsid w:val="003C58BF"/>
    <w:rsid w:val="003C58C3"/>
    <w:rsid w:val="003D451D"/>
    <w:rsid w:val="003D5986"/>
    <w:rsid w:val="003D6FC3"/>
    <w:rsid w:val="003D7E8E"/>
    <w:rsid w:val="003E18AA"/>
    <w:rsid w:val="003E3AE4"/>
    <w:rsid w:val="003E4C25"/>
    <w:rsid w:val="003E55A3"/>
    <w:rsid w:val="003E66CB"/>
    <w:rsid w:val="003F053F"/>
    <w:rsid w:val="003F0E26"/>
    <w:rsid w:val="003F0FB6"/>
    <w:rsid w:val="003F157F"/>
    <w:rsid w:val="003F2DD8"/>
    <w:rsid w:val="003F3F2D"/>
    <w:rsid w:val="003F45A8"/>
    <w:rsid w:val="003F50B2"/>
    <w:rsid w:val="003F50B8"/>
    <w:rsid w:val="003F5FDB"/>
    <w:rsid w:val="00400CCF"/>
    <w:rsid w:val="0040138D"/>
    <w:rsid w:val="00401BFF"/>
    <w:rsid w:val="00404171"/>
    <w:rsid w:val="00404424"/>
    <w:rsid w:val="00406619"/>
    <w:rsid w:val="00406C40"/>
    <w:rsid w:val="004072E7"/>
    <w:rsid w:val="004107FC"/>
    <w:rsid w:val="0041156B"/>
    <w:rsid w:val="004122C5"/>
    <w:rsid w:val="00412748"/>
    <w:rsid w:val="00413B78"/>
    <w:rsid w:val="00414023"/>
    <w:rsid w:val="00414587"/>
    <w:rsid w:val="00415498"/>
    <w:rsid w:val="0041688C"/>
    <w:rsid w:val="00416DDE"/>
    <w:rsid w:val="004178CE"/>
    <w:rsid w:val="00421833"/>
    <w:rsid w:val="00423542"/>
    <w:rsid w:val="004259B4"/>
    <w:rsid w:val="0043082E"/>
    <w:rsid w:val="00431DDF"/>
    <w:rsid w:val="00440D3A"/>
    <w:rsid w:val="00441259"/>
    <w:rsid w:val="00442102"/>
    <w:rsid w:val="00443229"/>
    <w:rsid w:val="0044411E"/>
    <w:rsid w:val="004443A8"/>
    <w:rsid w:val="0044680F"/>
    <w:rsid w:val="00450767"/>
    <w:rsid w:val="00450A8D"/>
    <w:rsid w:val="00451397"/>
    <w:rsid w:val="00451E1D"/>
    <w:rsid w:val="00452C85"/>
    <w:rsid w:val="00453435"/>
    <w:rsid w:val="00453843"/>
    <w:rsid w:val="00453D6D"/>
    <w:rsid w:val="00455B4A"/>
    <w:rsid w:val="0045643A"/>
    <w:rsid w:val="00456926"/>
    <w:rsid w:val="00460089"/>
    <w:rsid w:val="00466398"/>
    <w:rsid w:val="00466594"/>
    <w:rsid w:val="00467A34"/>
    <w:rsid w:val="00470ABB"/>
    <w:rsid w:val="0047306D"/>
    <w:rsid w:val="00473791"/>
    <w:rsid w:val="004747CE"/>
    <w:rsid w:val="00475077"/>
    <w:rsid w:val="0047622B"/>
    <w:rsid w:val="00476E48"/>
    <w:rsid w:val="004773C7"/>
    <w:rsid w:val="00477C66"/>
    <w:rsid w:val="0048093D"/>
    <w:rsid w:val="00481DE9"/>
    <w:rsid w:val="00482765"/>
    <w:rsid w:val="00483353"/>
    <w:rsid w:val="004859C1"/>
    <w:rsid w:val="00485F35"/>
    <w:rsid w:val="00487373"/>
    <w:rsid w:val="00490088"/>
    <w:rsid w:val="0049128B"/>
    <w:rsid w:val="00491492"/>
    <w:rsid w:val="00491819"/>
    <w:rsid w:val="004934CB"/>
    <w:rsid w:val="00493B49"/>
    <w:rsid w:val="00495501"/>
    <w:rsid w:val="00495671"/>
    <w:rsid w:val="0049585F"/>
    <w:rsid w:val="00497DA3"/>
    <w:rsid w:val="004A070A"/>
    <w:rsid w:val="004A09CD"/>
    <w:rsid w:val="004A1E10"/>
    <w:rsid w:val="004A320E"/>
    <w:rsid w:val="004A3608"/>
    <w:rsid w:val="004A4666"/>
    <w:rsid w:val="004A4699"/>
    <w:rsid w:val="004A4E9C"/>
    <w:rsid w:val="004A5159"/>
    <w:rsid w:val="004B06E1"/>
    <w:rsid w:val="004B0867"/>
    <w:rsid w:val="004B1A3C"/>
    <w:rsid w:val="004B3923"/>
    <w:rsid w:val="004B4833"/>
    <w:rsid w:val="004B5B62"/>
    <w:rsid w:val="004B5CC6"/>
    <w:rsid w:val="004B6130"/>
    <w:rsid w:val="004B7052"/>
    <w:rsid w:val="004C113F"/>
    <w:rsid w:val="004C156F"/>
    <w:rsid w:val="004C26A5"/>
    <w:rsid w:val="004C310B"/>
    <w:rsid w:val="004C44E2"/>
    <w:rsid w:val="004C46F4"/>
    <w:rsid w:val="004C65E6"/>
    <w:rsid w:val="004D1E7A"/>
    <w:rsid w:val="004D20C9"/>
    <w:rsid w:val="004D2CC3"/>
    <w:rsid w:val="004D35CB"/>
    <w:rsid w:val="004D44A5"/>
    <w:rsid w:val="004D7B7C"/>
    <w:rsid w:val="004D7DAB"/>
    <w:rsid w:val="004E20E5"/>
    <w:rsid w:val="004E3629"/>
    <w:rsid w:val="004E39A8"/>
    <w:rsid w:val="004E4B08"/>
    <w:rsid w:val="004E58B2"/>
    <w:rsid w:val="004E6138"/>
    <w:rsid w:val="004E64EA"/>
    <w:rsid w:val="004E764F"/>
    <w:rsid w:val="004E7828"/>
    <w:rsid w:val="004F00C7"/>
    <w:rsid w:val="004F0C57"/>
    <w:rsid w:val="004F3F03"/>
    <w:rsid w:val="004F46AA"/>
    <w:rsid w:val="004F4714"/>
    <w:rsid w:val="004F4F3F"/>
    <w:rsid w:val="004F59B9"/>
    <w:rsid w:val="004F619D"/>
    <w:rsid w:val="004F6A70"/>
    <w:rsid w:val="004F76C1"/>
    <w:rsid w:val="00500435"/>
    <w:rsid w:val="005006A7"/>
    <w:rsid w:val="00500AD7"/>
    <w:rsid w:val="00501869"/>
    <w:rsid w:val="00502ABF"/>
    <w:rsid w:val="00504DB0"/>
    <w:rsid w:val="00505256"/>
    <w:rsid w:val="00505E64"/>
    <w:rsid w:val="005063DE"/>
    <w:rsid w:val="00507224"/>
    <w:rsid w:val="00507241"/>
    <w:rsid w:val="00507C35"/>
    <w:rsid w:val="005101F8"/>
    <w:rsid w:val="00510735"/>
    <w:rsid w:val="005135AB"/>
    <w:rsid w:val="00514D2F"/>
    <w:rsid w:val="00515279"/>
    <w:rsid w:val="005169FA"/>
    <w:rsid w:val="00516AC2"/>
    <w:rsid w:val="0051797C"/>
    <w:rsid w:val="00517B44"/>
    <w:rsid w:val="00520207"/>
    <w:rsid w:val="0052585A"/>
    <w:rsid w:val="0052588E"/>
    <w:rsid w:val="0052667E"/>
    <w:rsid w:val="005273A5"/>
    <w:rsid w:val="005321F9"/>
    <w:rsid w:val="005329C5"/>
    <w:rsid w:val="00532B3A"/>
    <w:rsid w:val="00533791"/>
    <w:rsid w:val="00535C79"/>
    <w:rsid w:val="0054093A"/>
    <w:rsid w:val="00542ECA"/>
    <w:rsid w:val="0054420E"/>
    <w:rsid w:val="00544C08"/>
    <w:rsid w:val="00544D1B"/>
    <w:rsid w:val="00545DC0"/>
    <w:rsid w:val="00545F6C"/>
    <w:rsid w:val="005477D9"/>
    <w:rsid w:val="005479C7"/>
    <w:rsid w:val="005507CA"/>
    <w:rsid w:val="005521FD"/>
    <w:rsid w:val="0055504C"/>
    <w:rsid w:val="0055720C"/>
    <w:rsid w:val="00561796"/>
    <w:rsid w:val="0056207D"/>
    <w:rsid w:val="005632DD"/>
    <w:rsid w:val="00563824"/>
    <w:rsid w:val="0056423B"/>
    <w:rsid w:val="00564B95"/>
    <w:rsid w:val="00566621"/>
    <w:rsid w:val="00571513"/>
    <w:rsid w:val="005719D2"/>
    <w:rsid w:val="00571ED7"/>
    <w:rsid w:val="005732EB"/>
    <w:rsid w:val="00573424"/>
    <w:rsid w:val="005738ED"/>
    <w:rsid w:val="0057402F"/>
    <w:rsid w:val="0057409F"/>
    <w:rsid w:val="00574539"/>
    <w:rsid w:val="005745BA"/>
    <w:rsid w:val="005748B7"/>
    <w:rsid w:val="00576097"/>
    <w:rsid w:val="00577492"/>
    <w:rsid w:val="005775B2"/>
    <w:rsid w:val="005801A8"/>
    <w:rsid w:val="00580DE3"/>
    <w:rsid w:val="00581653"/>
    <w:rsid w:val="00581B93"/>
    <w:rsid w:val="00582F29"/>
    <w:rsid w:val="005849D6"/>
    <w:rsid w:val="00584D09"/>
    <w:rsid w:val="00585367"/>
    <w:rsid w:val="005871A1"/>
    <w:rsid w:val="0058737E"/>
    <w:rsid w:val="005874ED"/>
    <w:rsid w:val="005876B9"/>
    <w:rsid w:val="005900C9"/>
    <w:rsid w:val="00592518"/>
    <w:rsid w:val="00592E87"/>
    <w:rsid w:val="0059420B"/>
    <w:rsid w:val="005947EF"/>
    <w:rsid w:val="00594C4D"/>
    <w:rsid w:val="0059527A"/>
    <w:rsid w:val="00595763"/>
    <w:rsid w:val="005959F2"/>
    <w:rsid w:val="005A0367"/>
    <w:rsid w:val="005A0590"/>
    <w:rsid w:val="005A171A"/>
    <w:rsid w:val="005A2715"/>
    <w:rsid w:val="005A296C"/>
    <w:rsid w:val="005A2F29"/>
    <w:rsid w:val="005A30FD"/>
    <w:rsid w:val="005A33B0"/>
    <w:rsid w:val="005A44E6"/>
    <w:rsid w:val="005A509E"/>
    <w:rsid w:val="005B07D9"/>
    <w:rsid w:val="005B363C"/>
    <w:rsid w:val="005B43FD"/>
    <w:rsid w:val="005B45BC"/>
    <w:rsid w:val="005C169F"/>
    <w:rsid w:val="005C2DC2"/>
    <w:rsid w:val="005C304A"/>
    <w:rsid w:val="005C3D69"/>
    <w:rsid w:val="005C5A93"/>
    <w:rsid w:val="005C7C98"/>
    <w:rsid w:val="005D2C3A"/>
    <w:rsid w:val="005D34AB"/>
    <w:rsid w:val="005D3E15"/>
    <w:rsid w:val="005D55A4"/>
    <w:rsid w:val="005D57C8"/>
    <w:rsid w:val="005D6814"/>
    <w:rsid w:val="005D7761"/>
    <w:rsid w:val="005E0278"/>
    <w:rsid w:val="005E090D"/>
    <w:rsid w:val="005E218C"/>
    <w:rsid w:val="005E24A7"/>
    <w:rsid w:val="005E24B8"/>
    <w:rsid w:val="005E3B22"/>
    <w:rsid w:val="005E3CA0"/>
    <w:rsid w:val="005E44B1"/>
    <w:rsid w:val="005E659E"/>
    <w:rsid w:val="005E67B0"/>
    <w:rsid w:val="005E7047"/>
    <w:rsid w:val="005E7234"/>
    <w:rsid w:val="005E777F"/>
    <w:rsid w:val="005E78CD"/>
    <w:rsid w:val="005F0934"/>
    <w:rsid w:val="005F1CA7"/>
    <w:rsid w:val="005F2266"/>
    <w:rsid w:val="005F275C"/>
    <w:rsid w:val="005F3540"/>
    <w:rsid w:val="005F3F74"/>
    <w:rsid w:val="005F43DD"/>
    <w:rsid w:val="005F441E"/>
    <w:rsid w:val="005F4668"/>
    <w:rsid w:val="005F51A9"/>
    <w:rsid w:val="005F6393"/>
    <w:rsid w:val="005F6BE1"/>
    <w:rsid w:val="005F7416"/>
    <w:rsid w:val="005F7E36"/>
    <w:rsid w:val="00600C11"/>
    <w:rsid w:val="00601135"/>
    <w:rsid w:val="00601AB4"/>
    <w:rsid w:val="00603F47"/>
    <w:rsid w:val="00605D58"/>
    <w:rsid w:val="006066E6"/>
    <w:rsid w:val="00606B89"/>
    <w:rsid w:val="00610307"/>
    <w:rsid w:val="00610366"/>
    <w:rsid w:val="00611EAF"/>
    <w:rsid w:val="00613881"/>
    <w:rsid w:val="0062057E"/>
    <w:rsid w:val="00621BE4"/>
    <w:rsid w:val="00622AD9"/>
    <w:rsid w:val="00623940"/>
    <w:rsid w:val="00623F30"/>
    <w:rsid w:val="0062450B"/>
    <w:rsid w:val="00625B6A"/>
    <w:rsid w:val="00625FB8"/>
    <w:rsid w:val="006261BD"/>
    <w:rsid w:val="00627B9C"/>
    <w:rsid w:val="006339A7"/>
    <w:rsid w:val="00633A3C"/>
    <w:rsid w:val="00634532"/>
    <w:rsid w:val="00635EDB"/>
    <w:rsid w:val="00637A97"/>
    <w:rsid w:val="00641046"/>
    <w:rsid w:val="00641203"/>
    <w:rsid w:val="0064213F"/>
    <w:rsid w:val="00642781"/>
    <w:rsid w:val="006446C8"/>
    <w:rsid w:val="006448CF"/>
    <w:rsid w:val="00645595"/>
    <w:rsid w:val="00645F1C"/>
    <w:rsid w:val="00646E3C"/>
    <w:rsid w:val="0064705F"/>
    <w:rsid w:val="0064734E"/>
    <w:rsid w:val="00647E04"/>
    <w:rsid w:val="00650137"/>
    <w:rsid w:val="006509D7"/>
    <w:rsid w:val="00651750"/>
    <w:rsid w:val="00651CE8"/>
    <w:rsid w:val="006528E6"/>
    <w:rsid w:val="0065521B"/>
    <w:rsid w:val="00656088"/>
    <w:rsid w:val="006563ED"/>
    <w:rsid w:val="00656ED1"/>
    <w:rsid w:val="006578A8"/>
    <w:rsid w:val="00657C50"/>
    <w:rsid w:val="00660DEB"/>
    <w:rsid w:val="00665370"/>
    <w:rsid w:val="006659E0"/>
    <w:rsid w:val="00667121"/>
    <w:rsid w:val="00670002"/>
    <w:rsid w:val="006708C7"/>
    <w:rsid w:val="00671EF6"/>
    <w:rsid w:val="0067205B"/>
    <w:rsid w:val="006737FB"/>
    <w:rsid w:val="006748F8"/>
    <w:rsid w:val="0067535C"/>
    <w:rsid w:val="0067626A"/>
    <w:rsid w:val="00680489"/>
    <w:rsid w:val="006826F8"/>
    <w:rsid w:val="00682A88"/>
    <w:rsid w:val="00682D0A"/>
    <w:rsid w:val="00682ED1"/>
    <w:rsid w:val="00683C32"/>
    <w:rsid w:val="0068414A"/>
    <w:rsid w:val="006857ED"/>
    <w:rsid w:val="00685E21"/>
    <w:rsid w:val="0069004A"/>
    <w:rsid w:val="00690601"/>
    <w:rsid w:val="00690BB2"/>
    <w:rsid w:val="00691D17"/>
    <w:rsid w:val="006930B2"/>
    <w:rsid w:val="00693D09"/>
    <w:rsid w:val="00697F2D"/>
    <w:rsid w:val="006A0F55"/>
    <w:rsid w:val="006A4429"/>
    <w:rsid w:val="006A6152"/>
    <w:rsid w:val="006A6549"/>
    <w:rsid w:val="006A6BF7"/>
    <w:rsid w:val="006A71E9"/>
    <w:rsid w:val="006A7710"/>
    <w:rsid w:val="006A7A61"/>
    <w:rsid w:val="006B1E59"/>
    <w:rsid w:val="006B2FFB"/>
    <w:rsid w:val="006B4F58"/>
    <w:rsid w:val="006C0E7A"/>
    <w:rsid w:val="006C10A2"/>
    <w:rsid w:val="006C1A67"/>
    <w:rsid w:val="006C1B66"/>
    <w:rsid w:val="006C1F18"/>
    <w:rsid w:val="006C29C5"/>
    <w:rsid w:val="006C38AA"/>
    <w:rsid w:val="006C4FC7"/>
    <w:rsid w:val="006C641C"/>
    <w:rsid w:val="006C6608"/>
    <w:rsid w:val="006C7E6D"/>
    <w:rsid w:val="006D09F9"/>
    <w:rsid w:val="006D1A6A"/>
    <w:rsid w:val="006D40D5"/>
    <w:rsid w:val="006D516C"/>
    <w:rsid w:val="006D587A"/>
    <w:rsid w:val="006D6FB9"/>
    <w:rsid w:val="006D7F7E"/>
    <w:rsid w:val="006E1E1E"/>
    <w:rsid w:val="006E3E4B"/>
    <w:rsid w:val="006E72FC"/>
    <w:rsid w:val="006F009A"/>
    <w:rsid w:val="006F03FC"/>
    <w:rsid w:val="006F1380"/>
    <w:rsid w:val="006F2425"/>
    <w:rsid w:val="006F2C99"/>
    <w:rsid w:val="006F3087"/>
    <w:rsid w:val="006F39E2"/>
    <w:rsid w:val="006F3D93"/>
    <w:rsid w:val="006F3F75"/>
    <w:rsid w:val="006F45C2"/>
    <w:rsid w:val="006F5421"/>
    <w:rsid w:val="00700250"/>
    <w:rsid w:val="007019B1"/>
    <w:rsid w:val="00703B8C"/>
    <w:rsid w:val="00705600"/>
    <w:rsid w:val="00707EA1"/>
    <w:rsid w:val="00711CCD"/>
    <w:rsid w:val="007127A8"/>
    <w:rsid w:val="00712AF4"/>
    <w:rsid w:val="007130DC"/>
    <w:rsid w:val="00713C85"/>
    <w:rsid w:val="00714B2C"/>
    <w:rsid w:val="00714FDA"/>
    <w:rsid w:val="00721596"/>
    <w:rsid w:val="00721657"/>
    <w:rsid w:val="007279A8"/>
    <w:rsid w:val="00727B1A"/>
    <w:rsid w:val="00730887"/>
    <w:rsid w:val="00731B68"/>
    <w:rsid w:val="007332C7"/>
    <w:rsid w:val="0073609D"/>
    <w:rsid w:val="00737077"/>
    <w:rsid w:val="007376D2"/>
    <w:rsid w:val="00741337"/>
    <w:rsid w:val="00742B56"/>
    <w:rsid w:val="007447E7"/>
    <w:rsid w:val="007453E8"/>
    <w:rsid w:val="007457FF"/>
    <w:rsid w:val="00745E08"/>
    <w:rsid w:val="00746191"/>
    <w:rsid w:val="0074635E"/>
    <w:rsid w:val="00747C6D"/>
    <w:rsid w:val="00750F98"/>
    <w:rsid w:val="00751E30"/>
    <w:rsid w:val="00752258"/>
    <w:rsid w:val="007529E1"/>
    <w:rsid w:val="00753A0F"/>
    <w:rsid w:val="0075406A"/>
    <w:rsid w:val="0075456C"/>
    <w:rsid w:val="00755735"/>
    <w:rsid w:val="00756ADD"/>
    <w:rsid w:val="00760012"/>
    <w:rsid w:val="007619BA"/>
    <w:rsid w:val="00761EE6"/>
    <w:rsid w:val="007621DC"/>
    <w:rsid w:val="00762880"/>
    <w:rsid w:val="00762AD6"/>
    <w:rsid w:val="00762E02"/>
    <w:rsid w:val="00763850"/>
    <w:rsid w:val="00764029"/>
    <w:rsid w:val="00764138"/>
    <w:rsid w:val="007667B9"/>
    <w:rsid w:val="00766F45"/>
    <w:rsid w:val="007678E9"/>
    <w:rsid w:val="00772290"/>
    <w:rsid w:val="00772906"/>
    <w:rsid w:val="007736C1"/>
    <w:rsid w:val="00773979"/>
    <w:rsid w:val="0077552D"/>
    <w:rsid w:val="00776259"/>
    <w:rsid w:val="007763BF"/>
    <w:rsid w:val="00777265"/>
    <w:rsid w:val="007805E7"/>
    <w:rsid w:val="00781382"/>
    <w:rsid w:val="00781C1C"/>
    <w:rsid w:val="0078222A"/>
    <w:rsid w:val="00782CC1"/>
    <w:rsid w:val="007850DA"/>
    <w:rsid w:val="007852FC"/>
    <w:rsid w:val="0078585B"/>
    <w:rsid w:val="00785ABC"/>
    <w:rsid w:val="00785F3F"/>
    <w:rsid w:val="00787D48"/>
    <w:rsid w:val="0079226B"/>
    <w:rsid w:val="00793A1D"/>
    <w:rsid w:val="00794C5D"/>
    <w:rsid w:val="00794CCD"/>
    <w:rsid w:val="00795294"/>
    <w:rsid w:val="0079558D"/>
    <w:rsid w:val="007973BA"/>
    <w:rsid w:val="007A0AE1"/>
    <w:rsid w:val="007A0BE0"/>
    <w:rsid w:val="007A1862"/>
    <w:rsid w:val="007A4E50"/>
    <w:rsid w:val="007A64BE"/>
    <w:rsid w:val="007A6DB1"/>
    <w:rsid w:val="007A7560"/>
    <w:rsid w:val="007B17D4"/>
    <w:rsid w:val="007B18A7"/>
    <w:rsid w:val="007B20E2"/>
    <w:rsid w:val="007B250E"/>
    <w:rsid w:val="007B2536"/>
    <w:rsid w:val="007B337A"/>
    <w:rsid w:val="007B5006"/>
    <w:rsid w:val="007B7977"/>
    <w:rsid w:val="007B7B48"/>
    <w:rsid w:val="007C0C28"/>
    <w:rsid w:val="007C0DA5"/>
    <w:rsid w:val="007C2200"/>
    <w:rsid w:val="007C27FC"/>
    <w:rsid w:val="007C2B8E"/>
    <w:rsid w:val="007C2FCA"/>
    <w:rsid w:val="007C44D7"/>
    <w:rsid w:val="007C47C3"/>
    <w:rsid w:val="007C4CC8"/>
    <w:rsid w:val="007C4E15"/>
    <w:rsid w:val="007C51FF"/>
    <w:rsid w:val="007C58A5"/>
    <w:rsid w:val="007C5BE5"/>
    <w:rsid w:val="007C6276"/>
    <w:rsid w:val="007C72DE"/>
    <w:rsid w:val="007C7C2D"/>
    <w:rsid w:val="007D06D1"/>
    <w:rsid w:val="007D40C6"/>
    <w:rsid w:val="007D41BE"/>
    <w:rsid w:val="007D50E4"/>
    <w:rsid w:val="007D6633"/>
    <w:rsid w:val="007D732A"/>
    <w:rsid w:val="007D7FDC"/>
    <w:rsid w:val="007E0268"/>
    <w:rsid w:val="007E179C"/>
    <w:rsid w:val="007E2A58"/>
    <w:rsid w:val="007E2DC5"/>
    <w:rsid w:val="007E5C99"/>
    <w:rsid w:val="007E6CD4"/>
    <w:rsid w:val="007E740B"/>
    <w:rsid w:val="007F1CC7"/>
    <w:rsid w:val="007F3AF8"/>
    <w:rsid w:val="007F4BB9"/>
    <w:rsid w:val="007F533C"/>
    <w:rsid w:val="007F586B"/>
    <w:rsid w:val="007F6A1B"/>
    <w:rsid w:val="007F7140"/>
    <w:rsid w:val="007F73C0"/>
    <w:rsid w:val="007F750B"/>
    <w:rsid w:val="007F78DA"/>
    <w:rsid w:val="008001B5"/>
    <w:rsid w:val="00800249"/>
    <w:rsid w:val="008027AC"/>
    <w:rsid w:val="008028CE"/>
    <w:rsid w:val="0080332E"/>
    <w:rsid w:val="00803618"/>
    <w:rsid w:val="008039B3"/>
    <w:rsid w:val="008048A6"/>
    <w:rsid w:val="00805CA0"/>
    <w:rsid w:val="00805DDB"/>
    <w:rsid w:val="00810BFC"/>
    <w:rsid w:val="008124CD"/>
    <w:rsid w:val="008125A6"/>
    <w:rsid w:val="008130AF"/>
    <w:rsid w:val="008141E0"/>
    <w:rsid w:val="0081483B"/>
    <w:rsid w:val="00816EE1"/>
    <w:rsid w:val="00816F88"/>
    <w:rsid w:val="00817018"/>
    <w:rsid w:val="00817E5E"/>
    <w:rsid w:val="00820DFC"/>
    <w:rsid w:val="00821996"/>
    <w:rsid w:val="00822323"/>
    <w:rsid w:val="008223AE"/>
    <w:rsid w:val="008228B0"/>
    <w:rsid w:val="00825D47"/>
    <w:rsid w:val="00826787"/>
    <w:rsid w:val="00827BC6"/>
    <w:rsid w:val="008300AD"/>
    <w:rsid w:val="008303B5"/>
    <w:rsid w:val="0083095E"/>
    <w:rsid w:val="00831B26"/>
    <w:rsid w:val="00833024"/>
    <w:rsid w:val="008346B4"/>
    <w:rsid w:val="0083704D"/>
    <w:rsid w:val="008419B1"/>
    <w:rsid w:val="00842AA4"/>
    <w:rsid w:val="0084300A"/>
    <w:rsid w:val="008440F2"/>
    <w:rsid w:val="00844A56"/>
    <w:rsid w:val="00844A96"/>
    <w:rsid w:val="00844C7D"/>
    <w:rsid w:val="00844D39"/>
    <w:rsid w:val="0084520A"/>
    <w:rsid w:val="00845B11"/>
    <w:rsid w:val="008463AC"/>
    <w:rsid w:val="00847092"/>
    <w:rsid w:val="00847428"/>
    <w:rsid w:val="00852081"/>
    <w:rsid w:val="00853BC3"/>
    <w:rsid w:val="00853F2C"/>
    <w:rsid w:val="0085423A"/>
    <w:rsid w:val="00855983"/>
    <w:rsid w:val="00855AC2"/>
    <w:rsid w:val="00856361"/>
    <w:rsid w:val="00857D8D"/>
    <w:rsid w:val="008637E1"/>
    <w:rsid w:val="008654EF"/>
    <w:rsid w:val="00865625"/>
    <w:rsid w:val="00865D12"/>
    <w:rsid w:val="00867F36"/>
    <w:rsid w:val="00870F41"/>
    <w:rsid w:val="008715B9"/>
    <w:rsid w:val="00872B6E"/>
    <w:rsid w:val="0087474D"/>
    <w:rsid w:val="00874DFD"/>
    <w:rsid w:val="00875D2A"/>
    <w:rsid w:val="008765BD"/>
    <w:rsid w:val="00877743"/>
    <w:rsid w:val="00880100"/>
    <w:rsid w:val="008802F9"/>
    <w:rsid w:val="00883086"/>
    <w:rsid w:val="008858A3"/>
    <w:rsid w:val="00886C07"/>
    <w:rsid w:val="008879FD"/>
    <w:rsid w:val="00887C1B"/>
    <w:rsid w:val="00890740"/>
    <w:rsid w:val="0089179F"/>
    <w:rsid w:val="0089382C"/>
    <w:rsid w:val="00894C37"/>
    <w:rsid w:val="0089722B"/>
    <w:rsid w:val="008A00EA"/>
    <w:rsid w:val="008A0E6D"/>
    <w:rsid w:val="008A12F9"/>
    <w:rsid w:val="008A1858"/>
    <w:rsid w:val="008A26A6"/>
    <w:rsid w:val="008A26F2"/>
    <w:rsid w:val="008A3059"/>
    <w:rsid w:val="008A3F93"/>
    <w:rsid w:val="008A401D"/>
    <w:rsid w:val="008A4F6C"/>
    <w:rsid w:val="008A56F7"/>
    <w:rsid w:val="008A6236"/>
    <w:rsid w:val="008A6784"/>
    <w:rsid w:val="008A6E1C"/>
    <w:rsid w:val="008A6FA3"/>
    <w:rsid w:val="008A6FB9"/>
    <w:rsid w:val="008A72FD"/>
    <w:rsid w:val="008B024F"/>
    <w:rsid w:val="008B0FB6"/>
    <w:rsid w:val="008B24F1"/>
    <w:rsid w:val="008B2EDF"/>
    <w:rsid w:val="008B47C7"/>
    <w:rsid w:val="008B54CB"/>
    <w:rsid w:val="008B5A3D"/>
    <w:rsid w:val="008B75D9"/>
    <w:rsid w:val="008B7DDE"/>
    <w:rsid w:val="008C0627"/>
    <w:rsid w:val="008C136B"/>
    <w:rsid w:val="008C13FD"/>
    <w:rsid w:val="008C4010"/>
    <w:rsid w:val="008C47EE"/>
    <w:rsid w:val="008C4978"/>
    <w:rsid w:val="008C4FDF"/>
    <w:rsid w:val="008C6B1F"/>
    <w:rsid w:val="008D08B7"/>
    <w:rsid w:val="008D1ADC"/>
    <w:rsid w:val="008D2278"/>
    <w:rsid w:val="008D2770"/>
    <w:rsid w:val="008D43BB"/>
    <w:rsid w:val="008D4792"/>
    <w:rsid w:val="008D5022"/>
    <w:rsid w:val="008D5379"/>
    <w:rsid w:val="008D59EC"/>
    <w:rsid w:val="008D5E4F"/>
    <w:rsid w:val="008D6F54"/>
    <w:rsid w:val="008D7F04"/>
    <w:rsid w:val="008E05FD"/>
    <w:rsid w:val="008E1F0C"/>
    <w:rsid w:val="008E20B5"/>
    <w:rsid w:val="008E34F0"/>
    <w:rsid w:val="008E366D"/>
    <w:rsid w:val="008E64A8"/>
    <w:rsid w:val="008E78E3"/>
    <w:rsid w:val="008F0605"/>
    <w:rsid w:val="008F0918"/>
    <w:rsid w:val="008F14F5"/>
    <w:rsid w:val="008F2B40"/>
    <w:rsid w:val="008F30EB"/>
    <w:rsid w:val="008F4DC8"/>
    <w:rsid w:val="008F67BA"/>
    <w:rsid w:val="008F6A56"/>
    <w:rsid w:val="008F71C1"/>
    <w:rsid w:val="008F7616"/>
    <w:rsid w:val="00900633"/>
    <w:rsid w:val="00902AAC"/>
    <w:rsid w:val="00902D41"/>
    <w:rsid w:val="00902F49"/>
    <w:rsid w:val="00902FD4"/>
    <w:rsid w:val="009032D4"/>
    <w:rsid w:val="00904230"/>
    <w:rsid w:val="00904619"/>
    <w:rsid w:val="00905B39"/>
    <w:rsid w:val="00906C2C"/>
    <w:rsid w:val="009111C7"/>
    <w:rsid w:val="00914004"/>
    <w:rsid w:val="00916926"/>
    <w:rsid w:val="00916D17"/>
    <w:rsid w:val="009213D5"/>
    <w:rsid w:val="0092150E"/>
    <w:rsid w:val="00922EC1"/>
    <w:rsid w:val="00923CF1"/>
    <w:rsid w:val="00923E88"/>
    <w:rsid w:val="00923F4E"/>
    <w:rsid w:val="00924A87"/>
    <w:rsid w:val="009301F1"/>
    <w:rsid w:val="0093033B"/>
    <w:rsid w:val="009307DF"/>
    <w:rsid w:val="0093238F"/>
    <w:rsid w:val="009338CB"/>
    <w:rsid w:val="009338F7"/>
    <w:rsid w:val="00933BFE"/>
    <w:rsid w:val="00934B15"/>
    <w:rsid w:val="009350BE"/>
    <w:rsid w:val="009359B8"/>
    <w:rsid w:val="00935FF0"/>
    <w:rsid w:val="00936CB6"/>
    <w:rsid w:val="00940DA3"/>
    <w:rsid w:val="00942DEF"/>
    <w:rsid w:val="009431F8"/>
    <w:rsid w:val="009439DC"/>
    <w:rsid w:val="00945A35"/>
    <w:rsid w:val="00945F22"/>
    <w:rsid w:val="009464D5"/>
    <w:rsid w:val="00947A35"/>
    <w:rsid w:val="00947EAA"/>
    <w:rsid w:val="00951101"/>
    <w:rsid w:val="00951CA8"/>
    <w:rsid w:val="00951CCB"/>
    <w:rsid w:val="009528DF"/>
    <w:rsid w:val="00953137"/>
    <w:rsid w:val="0095323A"/>
    <w:rsid w:val="00954217"/>
    <w:rsid w:val="009550CC"/>
    <w:rsid w:val="00956635"/>
    <w:rsid w:val="009570CE"/>
    <w:rsid w:val="009614DB"/>
    <w:rsid w:val="0096201B"/>
    <w:rsid w:val="00962081"/>
    <w:rsid w:val="0096230C"/>
    <w:rsid w:val="0096476C"/>
    <w:rsid w:val="0096494B"/>
    <w:rsid w:val="00966BA7"/>
    <w:rsid w:val="00966CB5"/>
    <w:rsid w:val="00970D1B"/>
    <w:rsid w:val="00972259"/>
    <w:rsid w:val="00973717"/>
    <w:rsid w:val="00974483"/>
    <w:rsid w:val="00975786"/>
    <w:rsid w:val="0097627B"/>
    <w:rsid w:val="00981CB7"/>
    <w:rsid w:val="00983E1F"/>
    <w:rsid w:val="00985D36"/>
    <w:rsid w:val="00985DA7"/>
    <w:rsid w:val="0098630D"/>
    <w:rsid w:val="00987388"/>
    <w:rsid w:val="00987FEB"/>
    <w:rsid w:val="00993A60"/>
    <w:rsid w:val="00993F46"/>
    <w:rsid w:val="00994389"/>
    <w:rsid w:val="00996309"/>
    <w:rsid w:val="00996EC8"/>
    <w:rsid w:val="00997358"/>
    <w:rsid w:val="009A0A4B"/>
    <w:rsid w:val="009A0B71"/>
    <w:rsid w:val="009A0C07"/>
    <w:rsid w:val="009A452B"/>
    <w:rsid w:val="009A5B14"/>
    <w:rsid w:val="009A624C"/>
    <w:rsid w:val="009A67CA"/>
    <w:rsid w:val="009A6F5D"/>
    <w:rsid w:val="009A7B2E"/>
    <w:rsid w:val="009A7CBB"/>
    <w:rsid w:val="009B050C"/>
    <w:rsid w:val="009B087F"/>
    <w:rsid w:val="009B2AF4"/>
    <w:rsid w:val="009B3195"/>
    <w:rsid w:val="009B4839"/>
    <w:rsid w:val="009B66D7"/>
    <w:rsid w:val="009B67F9"/>
    <w:rsid w:val="009C05AD"/>
    <w:rsid w:val="009C0B7B"/>
    <w:rsid w:val="009C110B"/>
    <w:rsid w:val="009C271D"/>
    <w:rsid w:val="009C34E5"/>
    <w:rsid w:val="009C4703"/>
    <w:rsid w:val="009C4F88"/>
    <w:rsid w:val="009C5441"/>
    <w:rsid w:val="009D0E56"/>
    <w:rsid w:val="009D119F"/>
    <w:rsid w:val="009D148A"/>
    <w:rsid w:val="009D21FA"/>
    <w:rsid w:val="009D2B6F"/>
    <w:rsid w:val="009D3A97"/>
    <w:rsid w:val="009D3D95"/>
    <w:rsid w:val="009D3DB2"/>
    <w:rsid w:val="009D40C7"/>
    <w:rsid w:val="009D47DA"/>
    <w:rsid w:val="009D49A2"/>
    <w:rsid w:val="009D6C7C"/>
    <w:rsid w:val="009E0164"/>
    <w:rsid w:val="009E599B"/>
    <w:rsid w:val="009E786D"/>
    <w:rsid w:val="009F077D"/>
    <w:rsid w:val="009F2642"/>
    <w:rsid w:val="009F2FCE"/>
    <w:rsid w:val="009F34A3"/>
    <w:rsid w:val="009F3940"/>
    <w:rsid w:val="009F3EB2"/>
    <w:rsid w:val="009F6038"/>
    <w:rsid w:val="009F6C37"/>
    <w:rsid w:val="009F6EB1"/>
    <w:rsid w:val="00A0065B"/>
    <w:rsid w:val="00A01707"/>
    <w:rsid w:val="00A01CFB"/>
    <w:rsid w:val="00A026B0"/>
    <w:rsid w:val="00A033EB"/>
    <w:rsid w:val="00A034B5"/>
    <w:rsid w:val="00A0453E"/>
    <w:rsid w:val="00A0472C"/>
    <w:rsid w:val="00A04B46"/>
    <w:rsid w:val="00A05CEB"/>
    <w:rsid w:val="00A063D8"/>
    <w:rsid w:val="00A10004"/>
    <w:rsid w:val="00A112E7"/>
    <w:rsid w:val="00A11D05"/>
    <w:rsid w:val="00A12A34"/>
    <w:rsid w:val="00A12AFC"/>
    <w:rsid w:val="00A13162"/>
    <w:rsid w:val="00A13C4A"/>
    <w:rsid w:val="00A14399"/>
    <w:rsid w:val="00A20267"/>
    <w:rsid w:val="00A2103C"/>
    <w:rsid w:val="00A21DC2"/>
    <w:rsid w:val="00A24B66"/>
    <w:rsid w:val="00A27390"/>
    <w:rsid w:val="00A30238"/>
    <w:rsid w:val="00A30D6E"/>
    <w:rsid w:val="00A3158C"/>
    <w:rsid w:val="00A32DF3"/>
    <w:rsid w:val="00A3303E"/>
    <w:rsid w:val="00A33E32"/>
    <w:rsid w:val="00A34654"/>
    <w:rsid w:val="00A35E20"/>
    <w:rsid w:val="00A36690"/>
    <w:rsid w:val="00A36F6D"/>
    <w:rsid w:val="00A41A67"/>
    <w:rsid w:val="00A42715"/>
    <w:rsid w:val="00A43293"/>
    <w:rsid w:val="00A43F56"/>
    <w:rsid w:val="00A453DD"/>
    <w:rsid w:val="00A50CA0"/>
    <w:rsid w:val="00A525CC"/>
    <w:rsid w:val="00A52687"/>
    <w:rsid w:val="00A52CE7"/>
    <w:rsid w:val="00A531A2"/>
    <w:rsid w:val="00A53E7C"/>
    <w:rsid w:val="00A54055"/>
    <w:rsid w:val="00A55356"/>
    <w:rsid w:val="00A574D6"/>
    <w:rsid w:val="00A60087"/>
    <w:rsid w:val="00A65738"/>
    <w:rsid w:val="00A671CE"/>
    <w:rsid w:val="00A705E8"/>
    <w:rsid w:val="00A71730"/>
    <w:rsid w:val="00A71A47"/>
    <w:rsid w:val="00A721F4"/>
    <w:rsid w:val="00A74353"/>
    <w:rsid w:val="00A74518"/>
    <w:rsid w:val="00A74B11"/>
    <w:rsid w:val="00A757A3"/>
    <w:rsid w:val="00A7676E"/>
    <w:rsid w:val="00A84CEB"/>
    <w:rsid w:val="00A85AD4"/>
    <w:rsid w:val="00A85F6A"/>
    <w:rsid w:val="00A8625F"/>
    <w:rsid w:val="00A865EB"/>
    <w:rsid w:val="00A907D2"/>
    <w:rsid w:val="00A928A1"/>
    <w:rsid w:val="00A93859"/>
    <w:rsid w:val="00A938F1"/>
    <w:rsid w:val="00A9392C"/>
    <w:rsid w:val="00A9460B"/>
    <w:rsid w:val="00A9462B"/>
    <w:rsid w:val="00A94FD9"/>
    <w:rsid w:val="00A95483"/>
    <w:rsid w:val="00A966C1"/>
    <w:rsid w:val="00A97D59"/>
    <w:rsid w:val="00AA1E8F"/>
    <w:rsid w:val="00AA3E09"/>
    <w:rsid w:val="00AA4BEF"/>
    <w:rsid w:val="00AA5009"/>
    <w:rsid w:val="00AA6513"/>
    <w:rsid w:val="00AA780E"/>
    <w:rsid w:val="00AA79A8"/>
    <w:rsid w:val="00AB04B3"/>
    <w:rsid w:val="00AB0B16"/>
    <w:rsid w:val="00AB1659"/>
    <w:rsid w:val="00AB4962"/>
    <w:rsid w:val="00AB59C4"/>
    <w:rsid w:val="00AB734E"/>
    <w:rsid w:val="00AB740F"/>
    <w:rsid w:val="00AC05E5"/>
    <w:rsid w:val="00AC0802"/>
    <w:rsid w:val="00AC1129"/>
    <w:rsid w:val="00AC1915"/>
    <w:rsid w:val="00AC1BDD"/>
    <w:rsid w:val="00AC4317"/>
    <w:rsid w:val="00AC6F14"/>
    <w:rsid w:val="00AC7221"/>
    <w:rsid w:val="00AC764D"/>
    <w:rsid w:val="00AD24E0"/>
    <w:rsid w:val="00AD3217"/>
    <w:rsid w:val="00AD4677"/>
    <w:rsid w:val="00AD4694"/>
    <w:rsid w:val="00AD4CF6"/>
    <w:rsid w:val="00AD4EFE"/>
    <w:rsid w:val="00AD63C8"/>
    <w:rsid w:val="00AE3309"/>
    <w:rsid w:val="00AE3C86"/>
    <w:rsid w:val="00AE4EE0"/>
    <w:rsid w:val="00AE5270"/>
    <w:rsid w:val="00AE5961"/>
    <w:rsid w:val="00AE5C86"/>
    <w:rsid w:val="00AE5F46"/>
    <w:rsid w:val="00AE66A3"/>
    <w:rsid w:val="00AE6836"/>
    <w:rsid w:val="00AE6AC5"/>
    <w:rsid w:val="00AF0745"/>
    <w:rsid w:val="00AF0FD1"/>
    <w:rsid w:val="00AF1D12"/>
    <w:rsid w:val="00AF306C"/>
    <w:rsid w:val="00AF3434"/>
    <w:rsid w:val="00AF35AB"/>
    <w:rsid w:val="00AF3F6F"/>
    <w:rsid w:val="00AF4971"/>
    <w:rsid w:val="00AF517D"/>
    <w:rsid w:val="00AF5276"/>
    <w:rsid w:val="00AF5DE5"/>
    <w:rsid w:val="00AF6D72"/>
    <w:rsid w:val="00AF7AB5"/>
    <w:rsid w:val="00AF7C86"/>
    <w:rsid w:val="00B00937"/>
    <w:rsid w:val="00B00B1E"/>
    <w:rsid w:val="00B01046"/>
    <w:rsid w:val="00B0138D"/>
    <w:rsid w:val="00B01D73"/>
    <w:rsid w:val="00B01EB5"/>
    <w:rsid w:val="00B01FE6"/>
    <w:rsid w:val="00B037B5"/>
    <w:rsid w:val="00B04632"/>
    <w:rsid w:val="00B04DBB"/>
    <w:rsid w:val="00B06DAC"/>
    <w:rsid w:val="00B10DCD"/>
    <w:rsid w:val="00B11168"/>
    <w:rsid w:val="00B113CB"/>
    <w:rsid w:val="00B11EAC"/>
    <w:rsid w:val="00B1235B"/>
    <w:rsid w:val="00B144C7"/>
    <w:rsid w:val="00B15147"/>
    <w:rsid w:val="00B17924"/>
    <w:rsid w:val="00B20DB4"/>
    <w:rsid w:val="00B23F83"/>
    <w:rsid w:val="00B253DD"/>
    <w:rsid w:val="00B2639A"/>
    <w:rsid w:val="00B27604"/>
    <w:rsid w:val="00B309CD"/>
    <w:rsid w:val="00B31045"/>
    <w:rsid w:val="00B310F9"/>
    <w:rsid w:val="00B31459"/>
    <w:rsid w:val="00B31947"/>
    <w:rsid w:val="00B31974"/>
    <w:rsid w:val="00B3199B"/>
    <w:rsid w:val="00B32296"/>
    <w:rsid w:val="00B36CDF"/>
    <w:rsid w:val="00B37866"/>
    <w:rsid w:val="00B411C4"/>
    <w:rsid w:val="00B412FB"/>
    <w:rsid w:val="00B4224E"/>
    <w:rsid w:val="00B4461A"/>
    <w:rsid w:val="00B44C59"/>
    <w:rsid w:val="00B44E9A"/>
    <w:rsid w:val="00B45435"/>
    <w:rsid w:val="00B4576B"/>
    <w:rsid w:val="00B46350"/>
    <w:rsid w:val="00B46A85"/>
    <w:rsid w:val="00B46DF3"/>
    <w:rsid w:val="00B47070"/>
    <w:rsid w:val="00B50550"/>
    <w:rsid w:val="00B51407"/>
    <w:rsid w:val="00B528DB"/>
    <w:rsid w:val="00B60C20"/>
    <w:rsid w:val="00B62884"/>
    <w:rsid w:val="00B63977"/>
    <w:rsid w:val="00B648C7"/>
    <w:rsid w:val="00B651DF"/>
    <w:rsid w:val="00B662EE"/>
    <w:rsid w:val="00B66E8F"/>
    <w:rsid w:val="00B672C9"/>
    <w:rsid w:val="00B674FC"/>
    <w:rsid w:val="00B67567"/>
    <w:rsid w:val="00B713C1"/>
    <w:rsid w:val="00B71900"/>
    <w:rsid w:val="00B74DEE"/>
    <w:rsid w:val="00B776C0"/>
    <w:rsid w:val="00B77967"/>
    <w:rsid w:val="00B80157"/>
    <w:rsid w:val="00B83D5E"/>
    <w:rsid w:val="00B844AF"/>
    <w:rsid w:val="00B8460A"/>
    <w:rsid w:val="00B8506E"/>
    <w:rsid w:val="00B8650D"/>
    <w:rsid w:val="00B87608"/>
    <w:rsid w:val="00B879B4"/>
    <w:rsid w:val="00B90F07"/>
    <w:rsid w:val="00B90F7E"/>
    <w:rsid w:val="00B91248"/>
    <w:rsid w:val="00B9171C"/>
    <w:rsid w:val="00B936E0"/>
    <w:rsid w:val="00B94E4C"/>
    <w:rsid w:val="00B956BF"/>
    <w:rsid w:val="00B97BB9"/>
    <w:rsid w:val="00BA0009"/>
    <w:rsid w:val="00BA0E0A"/>
    <w:rsid w:val="00BA2BF4"/>
    <w:rsid w:val="00BA59AA"/>
    <w:rsid w:val="00BB02B5"/>
    <w:rsid w:val="00BB1863"/>
    <w:rsid w:val="00BB1B81"/>
    <w:rsid w:val="00BB25EE"/>
    <w:rsid w:val="00BB363A"/>
    <w:rsid w:val="00BB51B0"/>
    <w:rsid w:val="00BB54A5"/>
    <w:rsid w:val="00BC10A0"/>
    <w:rsid w:val="00BC371B"/>
    <w:rsid w:val="00BC6461"/>
    <w:rsid w:val="00BC680E"/>
    <w:rsid w:val="00BC7BA2"/>
    <w:rsid w:val="00BD038A"/>
    <w:rsid w:val="00BD12ED"/>
    <w:rsid w:val="00BD3B82"/>
    <w:rsid w:val="00BD426B"/>
    <w:rsid w:val="00BD478F"/>
    <w:rsid w:val="00BD5BCB"/>
    <w:rsid w:val="00BD5CD3"/>
    <w:rsid w:val="00BD5D18"/>
    <w:rsid w:val="00BD674E"/>
    <w:rsid w:val="00BD6CAF"/>
    <w:rsid w:val="00BD79C4"/>
    <w:rsid w:val="00BD79F0"/>
    <w:rsid w:val="00BE0555"/>
    <w:rsid w:val="00BE1973"/>
    <w:rsid w:val="00BE2170"/>
    <w:rsid w:val="00BE2B4D"/>
    <w:rsid w:val="00BE4255"/>
    <w:rsid w:val="00BE4493"/>
    <w:rsid w:val="00BE7A47"/>
    <w:rsid w:val="00BE7E56"/>
    <w:rsid w:val="00BF19D8"/>
    <w:rsid w:val="00BF2DFF"/>
    <w:rsid w:val="00BF384C"/>
    <w:rsid w:val="00BF3A8A"/>
    <w:rsid w:val="00BF690F"/>
    <w:rsid w:val="00BF7E96"/>
    <w:rsid w:val="00C0158B"/>
    <w:rsid w:val="00C015F8"/>
    <w:rsid w:val="00C02C2A"/>
    <w:rsid w:val="00C04289"/>
    <w:rsid w:val="00C0520D"/>
    <w:rsid w:val="00C058DA"/>
    <w:rsid w:val="00C06070"/>
    <w:rsid w:val="00C07E26"/>
    <w:rsid w:val="00C1011C"/>
    <w:rsid w:val="00C10618"/>
    <w:rsid w:val="00C118D9"/>
    <w:rsid w:val="00C12F94"/>
    <w:rsid w:val="00C13E73"/>
    <w:rsid w:val="00C14177"/>
    <w:rsid w:val="00C1422F"/>
    <w:rsid w:val="00C149D0"/>
    <w:rsid w:val="00C16573"/>
    <w:rsid w:val="00C177C5"/>
    <w:rsid w:val="00C2113B"/>
    <w:rsid w:val="00C22ACF"/>
    <w:rsid w:val="00C231F6"/>
    <w:rsid w:val="00C27EC4"/>
    <w:rsid w:val="00C2D65F"/>
    <w:rsid w:val="00C3011A"/>
    <w:rsid w:val="00C30F6F"/>
    <w:rsid w:val="00C33921"/>
    <w:rsid w:val="00C3425C"/>
    <w:rsid w:val="00C3493E"/>
    <w:rsid w:val="00C34983"/>
    <w:rsid w:val="00C34EC3"/>
    <w:rsid w:val="00C35528"/>
    <w:rsid w:val="00C35E4D"/>
    <w:rsid w:val="00C371D6"/>
    <w:rsid w:val="00C3749D"/>
    <w:rsid w:val="00C37A0C"/>
    <w:rsid w:val="00C37D37"/>
    <w:rsid w:val="00C4038C"/>
    <w:rsid w:val="00C41FF3"/>
    <w:rsid w:val="00C42BA2"/>
    <w:rsid w:val="00C43CD0"/>
    <w:rsid w:val="00C44066"/>
    <w:rsid w:val="00C44E13"/>
    <w:rsid w:val="00C46342"/>
    <w:rsid w:val="00C4682F"/>
    <w:rsid w:val="00C4735B"/>
    <w:rsid w:val="00C52954"/>
    <w:rsid w:val="00C54B0C"/>
    <w:rsid w:val="00C60A41"/>
    <w:rsid w:val="00C60B4D"/>
    <w:rsid w:val="00C60CB7"/>
    <w:rsid w:val="00C6140E"/>
    <w:rsid w:val="00C61C36"/>
    <w:rsid w:val="00C6233F"/>
    <w:rsid w:val="00C62DE8"/>
    <w:rsid w:val="00C62DFB"/>
    <w:rsid w:val="00C62E11"/>
    <w:rsid w:val="00C630E6"/>
    <w:rsid w:val="00C63812"/>
    <w:rsid w:val="00C64079"/>
    <w:rsid w:val="00C64455"/>
    <w:rsid w:val="00C64A1B"/>
    <w:rsid w:val="00C64AF3"/>
    <w:rsid w:val="00C656D0"/>
    <w:rsid w:val="00C65914"/>
    <w:rsid w:val="00C6644F"/>
    <w:rsid w:val="00C66C84"/>
    <w:rsid w:val="00C66F4D"/>
    <w:rsid w:val="00C675A8"/>
    <w:rsid w:val="00C67BB5"/>
    <w:rsid w:val="00C70E2D"/>
    <w:rsid w:val="00C72713"/>
    <w:rsid w:val="00C740D7"/>
    <w:rsid w:val="00C74932"/>
    <w:rsid w:val="00C75999"/>
    <w:rsid w:val="00C761D9"/>
    <w:rsid w:val="00C76578"/>
    <w:rsid w:val="00C77122"/>
    <w:rsid w:val="00C77C4F"/>
    <w:rsid w:val="00C822A4"/>
    <w:rsid w:val="00C83121"/>
    <w:rsid w:val="00C83737"/>
    <w:rsid w:val="00C848EF"/>
    <w:rsid w:val="00C85D4F"/>
    <w:rsid w:val="00C86600"/>
    <w:rsid w:val="00C86ED1"/>
    <w:rsid w:val="00C8755E"/>
    <w:rsid w:val="00C87BCA"/>
    <w:rsid w:val="00C87EED"/>
    <w:rsid w:val="00C90417"/>
    <w:rsid w:val="00C90594"/>
    <w:rsid w:val="00C908A0"/>
    <w:rsid w:val="00C91E78"/>
    <w:rsid w:val="00C92152"/>
    <w:rsid w:val="00C92980"/>
    <w:rsid w:val="00C92ED9"/>
    <w:rsid w:val="00C93BAB"/>
    <w:rsid w:val="00C94506"/>
    <w:rsid w:val="00C954BC"/>
    <w:rsid w:val="00C96697"/>
    <w:rsid w:val="00C966BD"/>
    <w:rsid w:val="00CA0F55"/>
    <w:rsid w:val="00CA1F0B"/>
    <w:rsid w:val="00CA2128"/>
    <w:rsid w:val="00CA3C31"/>
    <w:rsid w:val="00CA3F41"/>
    <w:rsid w:val="00CA6B91"/>
    <w:rsid w:val="00CA75C9"/>
    <w:rsid w:val="00CB110F"/>
    <w:rsid w:val="00CB2A2E"/>
    <w:rsid w:val="00CB2D38"/>
    <w:rsid w:val="00CB338A"/>
    <w:rsid w:val="00CB34C3"/>
    <w:rsid w:val="00CB4672"/>
    <w:rsid w:val="00CB6CDD"/>
    <w:rsid w:val="00CB79C5"/>
    <w:rsid w:val="00CC0FA7"/>
    <w:rsid w:val="00CC12C7"/>
    <w:rsid w:val="00CC30E5"/>
    <w:rsid w:val="00CC411F"/>
    <w:rsid w:val="00CC4B75"/>
    <w:rsid w:val="00CC6A85"/>
    <w:rsid w:val="00CC732E"/>
    <w:rsid w:val="00CD0C2F"/>
    <w:rsid w:val="00CD2BB7"/>
    <w:rsid w:val="00CD2F7C"/>
    <w:rsid w:val="00CD2FCD"/>
    <w:rsid w:val="00CD40E3"/>
    <w:rsid w:val="00CD62DD"/>
    <w:rsid w:val="00CD6385"/>
    <w:rsid w:val="00CD7207"/>
    <w:rsid w:val="00CE0422"/>
    <w:rsid w:val="00CE0DBE"/>
    <w:rsid w:val="00CE0FCA"/>
    <w:rsid w:val="00CE2590"/>
    <w:rsid w:val="00CE4002"/>
    <w:rsid w:val="00CE4F40"/>
    <w:rsid w:val="00CE5E4D"/>
    <w:rsid w:val="00CE75CB"/>
    <w:rsid w:val="00CF02C4"/>
    <w:rsid w:val="00CF108B"/>
    <w:rsid w:val="00CF167F"/>
    <w:rsid w:val="00CF2ABC"/>
    <w:rsid w:val="00CF2F46"/>
    <w:rsid w:val="00CF6619"/>
    <w:rsid w:val="00CF7031"/>
    <w:rsid w:val="00CF72E5"/>
    <w:rsid w:val="00CF7DB3"/>
    <w:rsid w:val="00D013EE"/>
    <w:rsid w:val="00D01F54"/>
    <w:rsid w:val="00D0218C"/>
    <w:rsid w:val="00D03D07"/>
    <w:rsid w:val="00D040F7"/>
    <w:rsid w:val="00D04A76"/>
    <w:rsid w:val="00D10B42"/>
    <w:rsid w:val="00D10FC7"/>
    <w:rsid w:val="00D11856"/>
    <w:rsid w:val="00D1241D"/>
    <w:rsid w:val="00D1321C"/>
    <w:rsid w:val="00D13E98"/>
    <w:rsid w:val="00D14958"/>
    <w:rsid w:val="00D14CB0"/>
    <w:rsid w:val="00D14D05"/>
    <w:rsid w:val="00D1519F"/>
    <w:rsid w:val="00D169A6"/>
    <w:rsid w:val="00D20E99"/>
    <w:rsid w:val="00D213CC"/>
    <w:rsid w:val="00D21788"/>
    <w:rsid w:val="00D21A3B"/>
    <w:rsid w:val="00D21C83"/>
    <w:rsid w:val="00D23C0D"/>
    <w:rsid w:val="00D247F9"/>
    <w:rsid w:val="00D25AD1"/>
    <w:rsid w:val="00D27B29"/>
    <w:rsid w:val="00D30D4C"/>
    <w:rsid w:val="00D33374"/>
    <w:rsid w:val="00D3339E"/>
    <w:rsid w:val="00D33910"/>
    <w:rsid w:val="00D340EC"/>
    <w:rsid w:val="00D34E25"/>
    <w:rsid w:val="00D35BDD"/>
    <w:rsid w:val="00D376F1"/>
    <w:rsid w:val="00D40D85"/>
    <w:rsid w:val="00D411BE"/>
    <w:rsid w:val="00D41221"/>
    <w:rsid w:val="00D43A1C"/>
    <w:rsid w:val="00D43D78"/>
    <w:rsid w:val="00D461C2"/>
    <w:rsid w:val="00D47C0D"/>
    <w:rsid w:val="00D504F3"/>
    <w:rsid w:val="00D506F1"/>
    <w:rsid w:val="00D511EE"/>
    <w:rsid w:val="00D54335"/>
    <w:rsid w:val="00D55731"/>
    <w:rsid w:val="00D560A1"/>
    <w:rsid w:val="00D569BB"/>
    <w:rsid w:val="00D608B5"/>
    <w:rsid w:val="00D63006"/>
    <w:rsid w:val="00D63F1C"/>
    <w:rsid w:val="00D64014"/>
    <w:rsid w:val="00D64AE6"/>
    <w:rsid w:val="00D64E52"/>
    <w:rsid w:val="00D65B43"/>
    <w:rsid w:val="00D67651"/>
    <w:rsid w:val="00D7012D"/>
    <w:rsid w:val="00D7014E"/>
    <w:rsid w:val="00D719F9"/>
    <w:rsid w:val="00D71D11"/>
    <w:rsid w:val="00D72301"/>
    <w:rsid w:val="00D73E13"/>
    <w:rsid w:val="00D7650D"/>
    <w:rsid w:val="00D77E96"/>
    <w:rsid w:val="00D8133B"/>
    <w:rsid w:val="00D8138E"/>
    <w:rsid w:val="00D829BF"/>
    <w:rsid w:val="00D829EB"/>
    <w:rsid w:val="00D83338"/>
    <w:rsid w:val="00D86C8C"/>
    <w:rsid w:val="00D900DE"/>
    <w:rsid w:val="00D90A89"/>
    <w:rsid w:val="00D90D94"/>
    <w:rsid w:val="00D911DE"/>
    <w:rsid w:val="00D91341"/>
    <w:rsid w:val="00D91B97"/>
    <w:rsid w:val="00D928B9"/>
    <w:rsid w:val="00D93ACC"/>
    <w:rsid w:val="00D93C08"/>
    <w:rsid w:val="00D95DAC"/>
    <w:rsid w:val="00D960E5"/>
    <w:rsid w:val="00D96935"/>
    <w:rsid w:val="00D96AA3"/>
    <w:rsid w:val="00D97489"/>
    <w:rsid w:val="00DA0B53"/>
    <w:rsid w:val="00DA2139"/>
    <w:rsid w:val="00DA3D55"/>
    <w:rsid w:val="00DA42DF"/>
    <w:rsid w:val="00DB032A"/>
    <w:rsid w:val="00DB1171"/>
    <w:rsid w:val="00DB1519"/>
    <w:rsid w:val="00DB2840"/>
    <w:rsid w:val="00DB4708"/>
    <w:rsid w:val="00DB57FA"/>
    <w:rsid w:val="00DB60B6"/>
    <w:rsid w:val="00DB75A2"/>
    <w:rsid w:val="00DB7E2B"/>
    <w:rsid w:val="00DB7F2F"/>
    <w:rsid w:val="00DC08BB"/>
    <w:rsid w:val="00DC1BD3"/>
    <w:rsid w:val="00DC2C1A"/>
    <w:rsid w:val="00DC5490"/>
    <w:rsid w:val="00DC652A"/>
    <w:rsid w:val="00DC7BC1"/>
    <w:rsid w:val="00DD0305"/>
    <w:rsid w:val="00DD11F3"/>
    <w:rsid w:val="00DD4262"/>
    <w:rsid w:val="00DD4BCC"/>
    <w:rsid w:val="00DD66B4"/>
    <w:rsid w:val="00DD6D72"/>
    <w:rsid w:val="00DD7F0E"/>
    <w:rsid w:val="00DE0FC2"/>
    <w:rsid w:val="00DE15D2"/>
    <w:rsid w:val="00DE1972"/>
    <w:rsid w:val="00DE27AB"/>
    <w:rsid w:val="00DE2A65"/>
    <w:rsid w:val="00DE465B"/>
    <w:rsid w:val="00DE4D5B"/>
    <w:rsid w:val="00DE5961"/>
    <w:rsid w:val="00DE5E77"/>
    <w:rsid w:val="00DE795E"/>
    <w:rsid w:val="00DF1E30"/>
    <w:rsid w:val="00DF2AB3"/>
    <w:rsid w:val="00DF34A6"/>
    <w:rsid w:val="00DF3A45"/>
    <w:rsid w:val="00DF4979"/>
    <w:rsid w:val="00DF6A42"/>
    <w:rsid w:val="00DF7250"/>
    <w:rsid w:val="00DF7897"/>
    <w:rsid w:val="00DF7F64"/>
    <w:rsid w:val="00E001E0"/>
    <w:rsid w:val="00E00C96"/>
    <w:rsid w:val="00E00CAA"/>
    <w:rsid w:val="00E02CD2"/>
    <w:rsid w:val="00E03409"/>
    <w:rsid w:val="00E03EBF"/>
    <w:rsid w:val="00E05209"/>
    <w:rsid w:val="00E05AC1"/>
    <w:rsid w:val="00E06058"/>
    <w:rsid w:val="00E06ABD"/>
    <w:rsid w:val="00E074E3"/>
    <w:rsid w:val="00E11BCF"/>
    <w:rsid w:val="00E13643"/>
    <w:rsid w:val="00E13C9A"/>
    <w:rsid w:val="00E153A8"/>
    <w:rsid w:val="00E16245"/>
    <w:rsid w:val="00E165F0"/>
    <w:rsid w:val="00E218BA"/>
    <w:rsid w:val="00E21B65"/>
    <w:rsid w:val="00E2258E"/>
    <w:rsid w:val="00E22824"/>
    <w:rsid w:val="00E232AD"/>
    <w:rsid w:val="00E260C2"/>
    <w:rsid w:val="00E3190C"/>
    <w:rsid w:val="00E31911"/>
    <w:rsid w:val="00E32596"/>
    <w:rsid w:val="00E3299F"/>
    <w:rsid w:val="00E32FAF"/>
    <w:rsid w:val="00E333CD"/>
    <w:rsid w:val="00E33635"/>
    <w:rsid w:val="00E368F7"/>
    <w:rsid w:val="00E36EB8"/>
    <w:rsid w:val="00E37B5A"/>
    <w:rsid w:val="00E37FB8"/>
    <w:rsid w:val="00E40B07"/>
    <w:rsid w:val="00E41CC1"/>
    <w:rsid w:val="00E42326"/>
    <w:rsid w:val="00E423B2"/>
    <w:rsid w:val="00E42D40"/>
    <w:rsid w:val="00E4349F"/>
    <w:rsid w:val="00E43544"/>
    <w:rsid w:val="00E44D89"/>
    <w:rsid w:val="00E455BF"/>
    <w:rsid w:val="00E477EA"/>
    <w:rsid w:val="00E47C1B"/>
    <w:rsid w:val="00E51D60"/>
    <w:rsid w:val="00E545C2"/>
    <w:rsid w:val="00E55807"/>
    <w:rsid w:val="00E5696F"/>
    <w:rsid w:val="00E5787D"/>
    <w:rsid w:val="00E57B2F"/>
    <w:rsid w:val="00E63816"/>
    <w:rsid w:val="00E63B14"/>
    <w:rsid w:val="00E65CA0"/>
    <w:rsid w:val="00E7072B"/>
    <w:rsid w:val="00E70909"/>
    <w:rsid w:val="00E70D9F"/>
    <w:rsid w:val="00E7128E"/>
    <w:rsid w:val="00E714A0"/>
    <w:rsid w:val="00E718AD"/>
    <w:rsid w:val="00E7335B"/>
    <w:rsid w:val="00E743A9"/>
    <w:rsid w:val="00E7450B"/>
    <w:rsid w:val="00E74896"/>
    <w:rsid w:val="00E755F4"/>
    <w:rsid w:val="00E77D85"/>
    <w:rsid w:val="00E77DCF"/>
    <w:rsid w:val="00E80210"/>
    <w:rsid w:val="00E810AA"/>
    <w:rsid w:val="00E812BF"/>
    <w:rsid w:val="00E832B3"/>
    <w:rsid w:val="00E83810"/>
    <w:rsid w:val="00E839C7"/>
    <w:rsid w:val="00E846D3"/>
    <w:rsid w:val="00E86933"/>
    <w:rsid w:val="00E86D19"/>
    <w:rsid w:val="00E9024D"/>
    <w:rsid w:val="00E9089A"/>
    <w:rsid w:val="00E90CF2"/>
    <w:rsid w:val="00E913CB"/>
    <w:rsid w:val="00E921C8"/>
    <w:rsid w:val="00E9227B"/>
    <w:rsid w:val="00E93A25"/>
    <w:rsid w:val="00E94346"/>
    <w:rsid w:val="00E948F7"/>
    <w:rsid w:val="00E9605B"/>
    <w:rsid w:val="00E97005"/>
    <w:rsid w:val="00E97298"/>
    <w:rsid w:val="00E97753"/>
    <w:rsid w:val="00EA0C51"/>
    <w:rsid w:val="00EA14AC"/>
    <w:rsid w:val="00EA2FEC"/>
    <w:rsid w:val="00EA4FBF"/>
    <w:rsid w:val="00EA7DE7"/>
    <w:rsid w:val="00EB0782"/>
    <w:rsid w:val="00EB14B6"/>
    <w:rsid w:val="00EB49A7"/>
    <w:rsid w:val="00EB6F6E"/>
    <w:rsid w:val="00EB7A8A"/>
    <w:rsid w:val="00EC21E1"/>
    <w:rsid w:val="00EC3AA8"/>
    <w:rsid w:val="00EC3C7D"/>
    <w:rsid w:val="00EC4EBB"/>
    <w:rsid w:val="00EC5241"/>
    <w:rsid w:val="00EC6FED"/>
    <w:rsid w:val="00EC7905"/>
    <w:rsid w:val="00EC7F3B"/>
    <w:rsid w:val="00ED191D"/>
    <w:rsid w:val="00ED28A8"/>
    <w:rsid w:val="00ED5299"/>
    <w:rsid w:val="00ED76DE"/>
    <w:rsid w:val="00EE1311"/>
    <w:rsid w:val="00EE20D4"/>
    <w:rsid w:val="00EE364C"/>
    <w:rsid w:val="00EE3963"/>
    <w:rsid w:val="00EE3A64"/>
    <w:rsid w:val="00EE50E5"/>
    <w:rsid w:val="00EE7585"/>
    <w:rsid w:val="00EF01CF"/>
    <w:rsid w:val="00EF0ABD"/>
    <w:rsid w:val="00EF2157"/>
    <w:rsid w:val="00EF289F"/>
    <w:rsid w:val="00EF34FD"/>
    <w:rsid w:val="00EF46D9"/>
    <w:rsid w:val="00EF5736"/>
    <w:rsid w:val="00F00C7C"/>
    <w:rsid w:val="00F0131D"/>
    <w:rsid w:val="00F0258A"/>
    <w:rsid w:val="00F0295D"/>
    <w:rsid w:val="00F03590"/>
    <w:rsid w:val="00F03622"/>
    <w:rsid w:val="00F05B1D"/>
    <w:rsid w:val="00F06EB7"/>
    <w:rsid w:val="00F077FD"/>
    <w:rsid w:val="00F1064F"/>
    <w:rsid w:val="00F1124F"/>
    <w:rsid w:val="00F13D24"/>
    <w:rsid w:val="00F147ED"/>
    <w:rsid w:val="00F157FD"/>
    <w:rsid w:val="00F15D5E"/>
    <w:rsid w:val="00F16E66"/>
    <w:rsid w:val="00F17934"/>
    <w:rsid w:val="00F204F3"/>
    <w:rsid w:val="00F20508"/>
    <w:rsid w:val="00F20977"/>
    <w:rsid w:val="00F218AB"/>
    <w:rsid w:val="00F21A99"/>
    <w:rsid w:val="00F238B3"/>
    <w:rsid w:val="00F24726"/>
    <w:rsid w:val="00F24FED"/>
    <w:rsid w:val="00F2511A"/>
    <w:rsid w:val="00F25586"/>
    <w:rsid w:val="00F2651D"/>
    <w:rsid w:val="00F27362"/>
    <w:rsid w:val="00F27EBE"/>
    <w:rsid w:val="00F30188"/>
    <w:rsid w:val="00F30E45"/>
    <w:rsid w:val="00F31498"/>
    <w:rsid w:val="00F315FF"/>
    <w:rsid w:val="00F32FEF"/>
    <w:rsid w:val="00F350A4"/>
    <w:rsid w:val="00F35193"/>
    <w:rsid w:val="00F36140"/>
    <w:rsid w:val="00F36287"/>
    <w:rsid w:val="00F4051B"/>
    <w:rsid w:val="00F41B1C"/>
    <w:rsid w:val="00F423DE"/>
    <w:rsid w:val="00F42E13"/>
    <w:rsid w:val="00F42EFD"/>
    <w:rsid w:val="00F42F1C"/>
    <w:rsid w:val="00F43B3B"/>
    <w:rsid w:val="00F43B44"/>
    <w:rsid w:val="00F43E15"/>
    <w:rsid w:val="00F440E5"/>
    <w:rsid w:val="00F443BE"/>
    <w:rsid w:val="00F448F6"/>
    <w:rsid w:val="00F4520B"/>
    <w:rsid w:val="00F45711"/>
    <w:rsid w:val="00F45A5F"/>
    <w:rsid w:val="00F45CF5"/>
    <w:rsid w:val="00F47256"/>
    <w:rsid w:val="00F50861"/>
    <w:rsid w:val="00F51989"/>
    <w:rsid w:val="00F524B9"/>
    <w:rsid w:val="00F5260B"/>
    <w:rsid w:val="00F52741"/>
    <w:rsid w:val="00F52812"/>
    <w:rsid w:val="00F53D8A"/>
    <w:rsid w:val="00F546E4"/>
    <w:rsid w:val="00F54783"/>
    <w:rsid w:val="00F548A1"/>
    <w:rsid w:val="00F55A79"/>
    <w:rsid w:val="00F55AE3"/>
    <w:rsid w:val="00F56E71"/>
    <w:rsid w:val="00F5711C"/>
    <w:rsid w:val="00F5742C"/>
    <w:rsid w:val="00F576A2"/>
    <w:rsid w:val="00F57905"/>
    <w:rsid w:val="00F626F7"/>
    <w:rsid w:val="00F6306A"/>
    <w:rsid w:val="00F642FD"/>
    <w:rsid w:val="00F67A4B"/>
    <w:rsid w:val="00F701D9"/>
    <w:rsid w:val="00F704B2"/>
    <w:rsid w:val="00F70C29"/>
    <w:rsid w:val="00F736F9"/>
    <w:rsid w:val="00F73833"/>
    <w:rsid w:val="00F74025"/>
    <w:rsid w:val="00F742AF"/>
    <w:rsid w:val="00F7483C"/>
    <w:rsid w:val="00F75157"/>
    <w:rsid w:val="00F760CF"/>
    <w:rsid w:val="00F771A5"/>
    <w:rsid w:val="00F7727A"/>
    <w:rsid w:val="00F77F51"/>
    <w:rsid w:val="00F8182F"/>
    <w:rsid w:val="00F81855"/>
    <w:rsid w:val="00F81FD2"/>
    <w:rsid w:val="00F8327D"/>
    <w:rsid w:val="00F8330F"/>
    <w:rsid w:val="00F84772"/>
    <w:rsid w:val="00F86269"/>
    <w:rsid w:val="00F87920"/>
    <w:rsid w:val="00F90E11"/>
    <w:rsid w:val="00F91222"/>
    <w:rsid w:val="00F91A2E"/>
    <w:rsid w:val="00F9211C"/>
    <w:rsid w:val="00F93573"/>
    <w:rsid w:val="00F93F03"/>
    <w:rsid w:val="00F9775A"/>
    <w:rsid w:val="00F97C51"/>
    <w:rsid w:val="00FA095D"/>
    <w:rsid w:val="00FA1D22"/>
    <w:rsid w:val="00FA2738"/>
    <w:rsid w:val="00FA3976"/>
    <w:rsid w:val="00FA415D"/>
    <w:rsid w:val="00FA4861"/>
    <w:rsid w:val="00FA4C69"/>
    <w:rsid w:val="00FA613F"/>
    <w:rsid w:val="00FA62BE"/>
    <w:rsid w:val="00FA6C8B"/>
    <w:rsid w:val="00FA6CDA"/>
    <w:rsid w:val="00FA72AB"/>
    <w:rsid w:val="00FA7840"/>
    <w:rsid w:val="00FA7C89"/>
    <w:rsid w:val="00FB07B8"/>
    <w:rsid w:val="00FB1FE0"/>
    <w:rsid w:val="00FB4139"/>
    <w:rsid w:val="00FB476E"/>
    <w:rsid w:val="00FB4DAF"/>
    <w:rsid w:val="00FB5322"/>
    <w:rsid w:val="00FB5440"/>
    <w:rsid w:val="00FB5E9A"/>
    <w:rsid w:val="00FB7038"/>
    <w:rsid w:val="00FC0797"/>
    <w:rsid w:val="00FC0D90"/>
    <w:rsid w:val="00FC122F"/>
    <w:rsid w:val="00FC1BF1"/>
    <w:rsid w:val="00FC1C7D"/>
    <w:rsid w:val="00FC3476"/>
    <w:rsid w:val="00FC4E9A"/>
    <w:rsid w:val="00FC5E26"/>
    <w:rsid w:val="00FC653F"/>
    <w:rsid w:val="00FC7D8C"/>
    <w:rsid w:val="00FD0A85"/>
    <w:rsid w:val="00FD1B91"/>
    <w:rsid w:val="00FD27EF"/>
    <w:rsid w:val="00FD291C"/>
    <w:rsid w:val="00FD3980"/>
    <w:rsid w:val="00FD431E"/>
    <w:rsid w:val="00FD5A2C"/>
    <w:rsid w:val="00FD68F8"/>
    <w:rsid w:val="00FD6C62"/>
    <w:rsid w:val="00FE0D47"/>
    <w:rsid w:val="00FE1782"/>
    <w:rsid w:val="00FE19F4"/>
    <w:rsid w:val="00FE1D5C"/>
    <w:rsid w:val="00FE2F8B"/>
    <w:rsid w:val="00FE3669"/>
    <w:rsid w:val="00FE4C8C"/>
    <w:rsid w:val="00FE5204"/>
    <w:rsid w:val="00FE79C7"/>
    <w:rsid w:val="00FE7FF5"/>
    <w:rsid w:val="00FF0E6A"/>
    <w:rsid w:val="00FF24AA"/>
    <w:rsid w:val="00FF287F"/>
    <w:rsid w:val="00FF4778"/>
    <w:rsid w:val="00FF55F7"/>
    <w:rsid w:val="00FF66AE"/>
    <w:rsid w:val="00FF688D"/>
    <w:rsid w:val="00FF74A8"/>
    <w:rsid w:val="01083DEF"/>
    <w:rsid w:val="01379B7A"/>
    <w:rsid w:val="014C192F"/>
    <w:rsid w:val="0152C6D7"/>
    <w:rsid w:val="016944B3"/>
    <w:rsid w:val="01804201"/>
    <w:rsid w:val="01A1ACE9"/>
    <w:rsid w:val="0243FB0F"/>
    <w:rsid w:val="02A97FB8"/>
    <w:rsid w:val="02BC583F"/>
    <w:rsid w:val="02E23569"/>
    <w:rsid w:val="02FF09BE"/>
    <w:rsid w:val="036DBE47"/>
    <w:rsid w:val="03769635"/>
    <w:rsid w:val="037905EC"/>
    <w:rsid w:val="03DC0491"/>
    <w:rsid w:val="03E12719"/>
    <w:rsid w:val="03EB53E0"/>
    <w:rsid w:val="04976213"/>
    <w:rsid w:val="04E2112A"/>
    <w:rsid w:val="04F380D5"/>
    <w:rsid w:val="051A2CB4"/>
    <w:rsid w:val="05728DDC"/>
    <w:rsid w:val="05AABED2"/>
    <w:rsid w:val="05B53BA2"/>
    <w:rsid w:val="05B680CF"/>
    <w:rsid w:val="07213875"/>
    <w:rsid w:val="073ABD38"/>
    <w:rsid w:val="074EFD88"/>
    <w:rsid w:val="07750355"/>
    <w:rsid w:val="079BD3D3"/>
    <w:rsid w:val="086DA927"/>
    <w:rsid w:val="0871FB0A"/>
    <w:rsid w:val="08F091C4"/>
    <w:rsid w:val="0911BF08"/>
    <w:rsid w:val="091E5463"/>
    <w:rsid w:val="093F9B15"/>
    <w:rsid w:val="09778C67"/>
    <w:rsid w:val="098D1AA6"/>
    <w:rsid w:val="0A23BA86"/>
    <w:rsid w:val="0A30CE5E"/>
    <w:rsid w:val="0AC7696C"/>
    <w:rsid w:val="0B2E7715"/>
    <w:rsid w:val="0B96F268"/>
    <w:rsid w:val="0BC5E7E5"/>
    <w:rsid w:val="0BE18268"/>
    <w:rsid w:val="0C38D1B4"/>
    <w:rsid w:val="0C595833"/>
    <w:rsid w:val="0C7E444A"/>
    <w:rsid w:val="0C809551"/>
    <w:rsid w:val="0C822B73"/>
    <w:rsid w:val="0CAB92B3"/>
    <w:rsid w:val="0CCEA86A"/>
    <w:rsid w:val="0D490CD3"/>
    <w:rsid w:val="0D9C9A2E"/>
    <w:rsid w:val="0DD93938"/>
    <w:rsid w:val="0E083A4B"/>
    <w:rsid w:val="0E1507AF"/>
    <w:rsid w:val="0E200FE7"/>
    <w:rsid w:val="0E5B918F"/>
    <w:rsid w:val="0F14A205"/>
    <w:rsid w:val="0F1F5495"/>
    <w:rsid w:val="0F2E27EE"/>
    <w:rsid w:val="0F31EDEE"/>
    <w:rsid w:val="0F619E52"/>
    <w:rsid w:val="0F97B66A"/>
    <w:rsid w:val="0FB147FD"/>
    <w:rsid w:val="10300A95"/>
    <w:rsid w:val="1054E442"/>
    <w:rsid w:val="10575581"/>
    <w:rsid w:val="10674E65"/>
    <w:rsid w:val="1070BF1E"/>
    <w:rsid w:val="109887FE"/>
    <w:rsid w:val="10CA3338"/>
    <w:rsid w:val="112A3091"/>
    <w:rsid w:val="11427DD8"/>
    <w:rsid w:val="11437EC9"/>
    <w:rsid w:val="1144CAB5"/>
    <w:rsid w:val="115283D3"/>
    <w:rsid w:val="11550E3D"/>
    <w:rsid w:val="11676CCB"/>
    <w:rsid w:val="11B2720B"/>
    <w:rsid w:val="127F7FD2"/>
    <w:rsid w:val="12A31A32"/>
    <w:rsid w:val="12A94A43"/>
    <w:rsid w:val="13A7C513"/>
    <w:rsid w:val="13AD4129"/>
    <w:rsid w:val="13AED61E"/>
    <w:rsid w:val="13BF80E5"/>
    <w:rsid w:val="14076AB1"/>
    <w:rsid w:val="14355F03"/>
    <w:rsid w:val="147DC79C"/>
    <w:rsid w:val="147E3F14"/>
    <w:rsid w:val="148E8606"/>
    <w:rsid w:val="14BF5B53"/>
    <w:rsid w:val="14C3D978"/>
    <w:rsid w:val="1599D030"/>
    <w:rsid w:val="16788713"/>
    <w:rsid w:val="167AED95"/>
    <w:rsid w:val="16A27781"/>
    <w:rsid w:val="16A49A36"/>
    <w:rsid w:val="173EE1DE"/>
    <w:rsid w:val="17A3C7C2"/>
    <w:rsid w:val="17BD6739"/>
    <w:rsid w:val="17E4D800"/>
    <w:rsid w:val="1819FB63"/>
    <w:rsid w:val="18214783"/>
    <w:rsid w:val="186727F2"/>
    <w:rsid w:val="18695546"/>
    <w:rsid w:val="18966C05"/>
    <w:rsid w:val="18BEDEDF"/>
    <w:rsid w:val="18DAB23F"/>
    <w:rsid w:val="1915BCA9"/>
    <w:rsid w:val="19224D98"/>
    <w:rsid w:val="192CAE67"/>
    <w:rsid w:val="192EE506"/>
    <w:rsid w:val="19963BC7"/>
    <w:rsid w:val="19CB0A60"/>
    <w:rsid w:val="19D59AB4"/>
    <w:rsid w:val="1A59CE2B"/>
    <w:rsid w:val="1A7BAA5F"/>
    <w:rsid w:val="1AA95551"/>
    <w:rsid w:val="1ABA1E7F"/>
    <w:rsid w:val="1ABD3AE4"/>
    <w:rsid w:val="1B5C3F90"/>
    <w:rsid w:val="1B78A813"/>
    <w:rsid w:val="1BC29751"/>
    <w:rsid w:val="1C2E35C3"/>
    <w:rsid w:val="1C4D5D6B"/>
    <w:rsid w:val="1C7148D4"/>
    <w:rsid w:val="1C776B36"/>
    <w:rsid w:val="1C7C0F47"/>
    <w:rsid w:val="1C931AA1"/>
    <w:rsid w:val="1C9327A9"/>
    <w:rsid w:val="1CAD1AC4"/>
    <w:rsid w:val="1CE90079"/>
    <w:rsid w:val="1D121BE4"/>
    <w:rsid w:val="1D5009F1"/>
    <w:rsid w:val="1D6163FC"/>
    <w:rsid w:val="1D622DC4"/>
    <w:rsid w:val="1D65B7FD"/>
    <w:rsid w:val="1D66632B"/>
    <w:rsid w:val="1DD06036"/>
    <w:rsid w:val="1E02C881"/>
    <w:rsid w:val="1E2DB5EB"/>
    <w:rsid w:val="1E895FDA"/>
    <w:rsid w:val="1EF21A10"/>
    <w:rsid w:val="1EFE2D06"/>
    <w:rsid w:val="1F2DE0F8"/>
    <w:rsid w:val="1F3A3F67"/>
    <w:rsid w:val="1FAF4FE4"/>
    <w:rsid w:val="205EBC9C"/>
    <w:rsid w:val="205F98C3"/>
    <w:rsid w:val="20A16213"/>
    <w:rsid w:val="20A44DFC"/>
    <w:rsid w:val="20D5E638"/>
    <w:rsid w:val="20D68C23"/>
    <w:rsid w:val="21143F3F"/>
    <w:rsid w:val="218A754E"/>
    <w:rsid w:val="21CA4AB6"/>
    <w:rsid w:val="22D4E23F"/>
    <w:rsid w:val="232E0A12"/>
    <w:rsid w:val="235B758B"/>
    <w:rsid w:val="23947545"/>
    <w:rsid w:val="2452F917"/>
    <w:rsid w:val="2459DCFB"/>
    <w:rsid w:val="24B07CE0"/>
    <w:rsid w:val="24BE8C94"/>
    <w:rsid w:val="250F00D4"/>
    <w:rsid w:val="256989B1"/>
    <w:rsid w:val="25932B9D"/>
    <w:rsid w:val="25B2B1B5"/>
    <w:rsid w:val="25C58043"/>
    <w:rsid w:val="2629F883"/>
    <w:rsid w:val="267CF2FB"/>
    <w:rsid w:val="26B141BE"/>
    <w:rsid w:val="26B919DD"/>
    <w:rsid w:val="26C951E8"/>
    <w:rsid w:val="273ED317"/>
    <w:rsid w:val="27843D60"/>
    <w:rsid w:val="27B4E426"/>
    <w:rsid w:val="27C6A318"/>
    <w:rsid w:val="28010864"/>
    <w:rsid w:val="2806A8FE"/>
    <w:rsid w:val="281BF763"/>
    <w:rsid w:val="2849613A"/>
    <w:rsid w:val="28A684BA"/>
    <w:rsid w:val="28E04E61"/>
    <w:rsid w:val="2963D5C0"/>
    <w:rsid w:val="29CA5922"/>
    <w:rsid w:val="2A067B09"/>
    <w:rsid w:val="2A1C9203"/>
    <w:rsid w:val="2AB70D2B"/>
    <w:rsid w:val="2B5494C2"/>
    <w:rsid w:val="2B9C7FDC"/>
    <w:rsid w:val="2BDD7929"/>
    <w:rsid w:val="2BF8753B"/>
    <w:rsid w:val="2BFB76C9"/>
    <w:rsid w:val="2C25B1FF"/>
    <w:rsid w:val="2C43354E"/>
    <w:rsid w:val="2C6737C7"/>
    <w:rsid w:val="2C90A6F8"/>
    <w:rsid w:val="2C9F95D0"/>
    <w:rsid w:val="2CA74DB0"/>
    <w:rsid w:val="2D031161"/>
    <w:rsid w:val="2D17D822"/>
    <w:rsid w:val="2D424919"/>
    <w:rsid w:val="2D82E465"/>
    <w:rsid w:val="2D8A6C49"/>
    <w:rsid w:val="2D97B83F"/>
    <w:rsid w:val="2DE5963D"/>
    <w:rsid w:val="2DF0B26D"/>
    <w:rsid w:val="2DF29F4A"/>
    <w:rsid w:val="2E0A9E9B"/>
    <w:rsid w:val="2E183515"/>
    <w:rsid w:val="2E60D8FA"/>
    <w:rsid w:val="2E90FE66"/>
    <w:rsid w:val="2EB1AC66"/>
    <w:rsid w:val="2F63126E"/>
    <w:rsid w:val="2F7F40E8"/>
    <w:rsid w:val="3013BBD6"/>
    <w:rsid w:val="301E402C"/>
    <w:rsid w:val="301EC0E2"/>
    <w:rsid w:val="3042A1EE"/>
    <w:rsid w:val="304406C7"/>
    <w:rsid w:val="305C4649"/>
    <w:rsid w:val="306CC3E3"/>
    <w:rsid w:val="30AB00A7"/>
    <w:rsid w:val="311517A3"/>
    <w:rsid w:val="312F1FB2"/>
    <w:rsid w:val="31441F5A"/>
    <w:rsid w:val="316EF838"/>
    <w:rsid w:val="31AA1D34"/>
    <w:rsid w:val="31DFA872"/>
    <w:rsid w:val="31F5A472"/>
    <w:rsid w:val="3293BDA4"/>
    <w:rsid w:val="329C16C0"/>
    <w:rsid w:val="32C2887D"/>
    <w:rsid w:val="32DBDC76"/>
    <w:rsid w:val="33505C41"/>
    <w:rsid w:val="339127FA"/>
    <w:rsid w:val="33B63935"/>
    <w:rsid w:val="33C9C351"/>
    <w:rsid w:val="33F4678E"/>
    <w:rsid w:val="33FCC8B1"/>
    <w:rsid w:val="3400DEC3"/>
    <w:rsid w:val="3449980B"/>
    <w:rsid w:val="3455E1AB"/>
    <w:rsid w:val="34DA13CD"/>
    <w:rsid w:val="35063FA3"/>
    <w:rsid w:val="352D0CCB"/>
    <w:rsid w:val="357BCFC9"/>
    <w:rsid w:val="358F8660"/>
    <w:rsid w:val="35902A80"/>
    <w:rsid w:val="35960A22"/>
    <w:rsid w:val="35C9A8D2"/>
    <w:rsid w:val="35E3F63A"/>
    <w:rsid w:val="35E5686C"/>
    <w:rsid w:val="361CDB7F"/>
    <w:rsid w:val="3683074A"/>
    <w:rsid w:val="36AA9D2B"/>
    <w:rsid w:val="36AD8C78"/>
    <w:rsid w:val="36B73AC2"/>
    <w:rsid w:val="36BA9BBA"/>
    <w:rsid w:val="37040EF4"/>
    <w:rsid w:val="37855109"/>
    <w:rsid w:val="37C05815"/>
    <w:rsid w:val="37F7BDCD"/>
    <w:rsid w:val="3823994A"/>
    <w:rsid w:val="3880CE72"/>
    <w:rsid w:val="3937D4C7"/>
    <w:rsid w:val="39715AAC"/>
    <w:rsid w:val="39757AD0"/>
    <w:rsid w:val="39C0B895"/>
    <w:rsid w:val="39EF0E55"/>
    <w:rsid w:val="3A493DE4"/>
    <w:rsid w:val="3A8EF23F"/>
    <w:rsid w:val="3B6B927B"/>
    <w:rsid w:val="3BA9CE87"/>
    <w:rsid w:val="3C14F1DF"/>
    <w:rsid w:val="3C682C3E"/>
    <w:rsid w:val="3C760C0B"/>
    <w:rsid w:val="3C760D92"/>
    <w:rsid w:val="3CAB79D0"/>
    <w:rsid w:val="3D81937E"/>
    <w:rsid w:val="3E084C8F"/>
    <w:rsid w:val="3E486BAB"/>
    <w:rsid w:val="3EAA860B"/>
    <w:rsid w:val="3EF00FF6"/>
    <w:rsid w:val="3F2BAADA"/>
    <w:rsid w:val="3F3D3C41"/>
    <w:rsid w:val="402EF477"/>
    <w:rsid w:val="40318528"/>
    <w:rsid w:val="408DEC98"/>
    <w:rsid w:val="40984430"/>
    <w:rsid w:val="40C0F178"/>
    <w:rsid w:val="40E22131"/>
    <w:rsid w:val="415A6C35"/>
    <w:rsid w:val="41727C13"/>
    <w:rsid w:val="41BBDAA2"/>
    <w:rsid w:val="41E08E30"/>
    <w:rsid w:val="41F263EB"/>
    <w:rsid w:val="422F9E3E"/>
    <w:rsid w:val="425D99B6"/>
    <w:rsid w:val="4278A9A6"/>
    <w:rsid w:val="428A99DD"/>
    <w:rsid w:val="428E4179"/>
    <w:rsid w:val="42A9646D"/>
    <w:rsid w:val="42DA7F49"/>
    <w:rsid w:val="42E02A2A"/>
    <w:rsid w:val="43002B09"/>
    <w:rsid w:val="43906435"/>
    <w:rsid w:val="43FB7666"/>
    <w:rsid w:val="4437DF48"/>
    <w:rsid w:val="45673F00"/>
    <w:rsid w:val="457AC2B9"/>
    <w:rsid w:val="45BE010D"/>
    <w:rsid w:val="461038E0"/>
    <w:rsid w:val="4640B904"/>
    <w:rsid w:val="4733B3D0"/>
    <w:rsid w:val="474E61A5"/>
    <w:rsid w:val="4779BA12"/>
    <w:rsid w:val="47825BBA"/>
    <w:rsid w:val="47A8330C"/>
    <w:rsid w:val="48112A46"/>
    <w:rsid w:val="4830919F"/>
    <w:rsid w:val="484AB606"/>
    <w:rsid w:val="48672474"/>
    <w:rsid w:val="489EDFC2"/>
    <w:rsid w:val="4904A11E"/>
    <w:rsid w:val="4958197A"/>
    <w:rsid w:val="4987C251"/>
    <w:rsid w:val="499C5448"/>
    <w:rsid w:val="49AAEEBB"/>
    <w:rsid w:val="49B29D14"/>
    <w:rsid w:val="49C6E78B"/>
    <w:rsid w:val="49D7E528"/>
    <w:rsid w:val="4A2A70FC"/>
    <w:rsid w:val="4A5681D6"/>
    <w:rsid w:val="4A5DCF7C"/>
    <w:rsid w:val="4B213353"/>
    <w:rsid w:val="4B7C5E54"/>
    <w:rsid w:val="4B94C14D"/>
    <w:rsid w:val="4BA2B6F6"/>
    <w:rsid w:val="4C02DEB9"/>
    <w:rsid w:val="4C5A1114"/>
    <w:rsid w:val="4C881DA9"/>
    <w:rsid w:val="4C8994BE"/>
    <w:rsid w:val="4CE72A05"/>
    <w:rsid w:val="4CFDB51D"/>
    <w:rsid w:val="4D24352A"/>
    <w:rsid w:val="4DC28DF4"/>
    <w:rsid w:val="4DDC60A2"/>
    <w:rsid w:val="4DF1E0EA"/>
    <w:rsid w:val="4E031F1E"/>
    <w:rsid w:val="4E2ECF6C"/>
    <w:rsid w:val="4E52E156"/>
    <w:rsid w:val="4E89A97A"/>
    <w:rsid w:val="4EA2097E"/>
    <w:rsid w:val="4EEFC5E9"/>
    <w:rsid w:val="4EFFF520"/>
    <w:rsid w:val="4F0E2146"/>
    <w:rsid w:val="4F982B4A"/>
    <w:rsid w:val="500DFEA9"/>
    <w:rsid w:val="503D96AF"/>
    <w:rsid w:val="503EFD92"/>
    <w:rsid w:val="509E7C75"/>
    <w:rsid w:val="50A9F1A7"/>
    <w:rsid w:val="50CA7FFB"/>
    <w:rsid w:val="50CFA39D"/>
    <w:rsid w:val="51022169"/>
    <w:rsid w:val="51208AF9"/>
    <w:rsid w:val="5133F3EC"/>
    <w:rsid w:val="516ED915"/>
    <w:rsid w:val="51984A5A"/>
    <w:rsid w:val="51AF5681"/>
    <w:rsid w:val="51C09396"/>
    <w:rsid w:val="51ECA5B4"/>
    <w:rsid w:val="5250F001"/>
    <w:rsid w:val="525F319D"/>
    <w:rsid w:val="528B0A18"/>
    <w:rsid w:val="52CA897E"/>
    <w:rsid w:val="53718BA1"/>
    <w:rsid w:val="54AAEBEC"/>
    <w:rsid w:val="5517C25B"/>
    <w:rsid w:val="553B37D0"/>
    <w:rsid w:val="5587A134"/>
    <w:rsid w:val="55EE2CC7"/>
    <w:rsid w:val="56149E84"/>
    <w:rsid w:val="563D8125"/>
    <w:rsid w:val="5670F768"/>
    <w:rsid w:val="56C28CB6"/>
    <w:rsid w:val="5710274C"/>
    <w:rsid w:val="571A3A81"/>
    <w:rsid w:val="57358AB5"/>
    <w:rsid w:val="5765C357"/>
    <w:rsid w:val="5780B059"/>
    <w:rsid w:val="57E32E1D"/>
    <w:rsid w:val="581D408F"/>
    <w:rsid w:val="590193B8"/>
    <w:rsid w:val="591C2353"/>
    <w:rsid w:val="597B2F47"/>
    <w:rsid w:val="59E61720"/>
    <w:rsid w:val="59F911A1"/>
    <w:rsid w:val="5A7B780B"/>
    <w:rsid w:val="5A818680"/>
    <w:rsid w:val="5AC88E56"/>
    <w:rsid w:val="5ACCDFB5"/>
    <w:rsid w:val="5AF91B30"/>
    <w:rsid w:val="5B0DD269"/>
    <w:rsid w:val="5B2DC17F"/>
    <w:rsid w:val="5B61C5AC"/>
    <w:rsid w:val="5BDB5714"/>
    <w:rsid w:val="5C31A41B"/>
    <w:rsid w:val="5C39347A"/>
    <w:rsid w:val="5C8C1BAB"/>
    <w:rsid w:val="5CBABC74"/>
    <w:rsid w:val="5D861B4B"/>
    <w:rsid w:val="5DCAB6AB"/>
    <w:rsid w:val="5DD1A1F4"/>
    <w:rsid w:val="5DD504DB"/>
    <w:rsid w:val="5E136DE6"/>
    <w:rsid w:val="5E146C24"/>
    <w:rsid w:val="5E44FEF7"/>
    <w:rsid w:val="5E58D909"/>
    <w:rsid w:val="5E5AC194"/>
    <w:rsid w:val="5E5B5944"/>
    <w:rsid w:val="5E8F03BD"/>
    <w:rsid w:val="5EED4613"/>
    <w:rsid w:val="5F13AF72"/>
    <w:rsid w:val="5F28EBF0"/>
    <w:rsid w:val="5F3F90D0"/>
    <w:rsid w:val="5F74EBC2"/>
    <w:rsid w:val="60180878"/>
    <w:rsid w:val="6024B0A2"/>
    <w:rsid w:val="61128D0D"/>
    <w:rsid w:val="611EBF40"/>
    <w:rsid w:val="6134C347"/>
    <w:rsid w:val="615E17BD"/>
    <w:rsid w:val="61C72855"/>
    <w:rsid w:val="61E2F09D"/>
    <w:rsid w:val="62D46977"/>
    <w:rsid w:val="634C45B7"/>
    <w:rsid w:val="63B5003B"/>
    <w:rsid w:val="63E77486"/>
    <w:rsid w:val="63EFFC75"/>
    <w:rsid w:val="6479E469"/>
    <w:rsid w:val="6483ADA8"/>
    <w:rsid w:val="648D97CF"/>
    <w:rsid w:val="64D250C9"/>
    <w:rsid w:val="6508A113"/>
    <w:rsid w:val="650CB197"/>
    <w:rsid w:val="6517CFB4"/>
    <w:rsid w:val="651DDC83"/>
    <w:rsid w:val="655626EF"/>
    <w:rsid w:val="6563CB07"/>
    <w:rsid w:val="657E3545"/>
    <w:rsid w:val="65B5F645"/>
    <w:rsid w:val="65D207D4"/>
    <w:rsid w:val="65D22506"/>
    <w:rsid w:val="65D254FD"/>
    <w:rsid w:val="65E5C326"/>
    <w:rsid w:val="6640E1F0"/>
    <w:rsid w:val="66575B29"/>
    <w:rsid w:val="66BDE3B4"/>
    <w:rsid w:val="67665C87"/>
    <w:rsid w:val="67AB14A6"/>
    <w:rsid w:val="67EC3035"/>
    <w:rsid w:val="6803DA40"/>
    <w:rsid w:val="685674DA"/>
    <w:rsid w:val="685856E4"/>
    <w:rsid w:val="686DFDD3"/>
    <w:rsid w:val="687FF0E4"/>
    <w:rsid w:val="68B10E47"/>
    <w:rsid w:val="68D94998"/>
    <w:rsid w:val="68E4A98C"/>
    <w:rsid w:val="690FC22C"/>
    <w:rsid w:val="698FFD8F"/>
    <w:rsid w:val="6992A594"/>
    <w:rsid w:val="6A10DE1A"/>
    <w:rsid w:val="6A28D44B"/>
    <w:rsid w:val="6A6439AC"/>
    <w:rsid w:val="6A7E8DF9"/>
    <w:rsid w:val="6A80E959"/>
    <w:rsid w:val="6ABB7569"/>
    <w:rsid w:val="6AD71506"/>
    <w:rsid w:val="6AF2EF2C"/>
    <w:rsid w:val="6BAD1BBC"/>
    <w:rsid w:val="6BBCBD53"/>
    <w:rsid w:val="6C4E2746"/>
    <w:rsid w:val="6C653119"/>
    <w:rsid w:val="6C6F1B4A"/>
    <w:rsid w:val="6CBAC752"/>
    <w:rsid w:val="6D569197"/>
    <w:rsid w:val="6D6A494A"/>
    <w:rsid w:val="6D80962F"/>
    <w:rsid w:val="6D828280"/>
    <w:rsid w:val="6DA4796C"/>
    <w:rsid w:val="6DB0E0AA"/>
    <w:rsid w:val="6DD47ABA"/>
    <w:rsid w:val="6E82A39D"/>
    <w:rsid w:val="6F175862"/>
    <w:rsid w:val="6F685168"/>
    <w:rsid w:val="6F8EE68C"/>
    <w:rsid w:val="6FBEB858"/>
    <w:rsid w:val="701378DF"/>
    <w:rsid w:val="70511536"/>
    <w:rsid w:val="7086036F"/>
    <w:rsid w:val="711221A8"/>
    <w:rsid w:val="713AC73D"/>
    <w:rsid w:val="713C85FC"/>
    <w:rsid w:val="715C0992"/>
    <w:rsid w:val="7191EE74"/>
    <w:rsid w:val="719EE52C"/>
    <w:rsid w:val="71DEE7A8"/>
    <w:rsid w:val="721245F6"/>
    <w:rsid w:val="723D1F7C"/>
    <w:rsid w:val="7246E09B"/>
    <w:rsid w:val="724C4375"/>
    <w:rsid w:val="724DDE6F"/>
    <w:rsid w:val="725063FD"/>
    <w:rsid w:val="7289AA15"/>
    <w:rsid w:val="72CB6DFE"/>
    <w:rsid w:val="72E754B4"/>
    <w:rsid w:val="72F7D9F3"/>
    <w:rsid w:val="7310A502"/>
    <w:rsid w:val="7310B899"/>
    <w:rsid w:val="7392B6F5"/>
    <w:rsid w:val="74492F52"/>
    <w:rsid w:val="746069D8"/>
    <w:rsid w:val="748E9BDA"/>
    <w:rsid w:val="7493AA54"/>
    <w:rsid w:val="74F44997"/>
    <w:rsid w:val="75B580D1"/>
    <w:rsid w:val="761E3FDE"/>
    <w:rsid w:val="76250E9F"/>
    <w:rsid w:val="767F80AF"/>
    <w:rsid w:val="7692FA80"/>
    <w:rsid w:val="76B14FF1"/>
    <w:rsid w:val="76F7FFB0"/>
    <w:rsid w:val="77095625"/>
    <w:rsid w:val="77300621"/>
    <w:rsid w:val="773C64E2"/>
    <w:rsid w:val="7746E66E"/>
    <w:rsid w:val="7750D05D"/>
    <w:rsid w:val="778F45B6"/>
    <w:rsid w:val="77AEE5C4"/>
    <w:rsid w:val="77B17393"/>
    <w:rsid w:val="77D95FBA"/>
    <w:rsid w:val="78034364"/>
    <w:rsid w:val="7826AA87"/>
    <w:rsid w:val="78532EBD"/>
    <w:rsid w:val="786CA581"/>
    <w:rsid w:val="787A79F2"/>
    <w:rsid w:val="789578DC"/>
    <w:rsid w:val="796B2A80"/>
    <w:rsid w:val="79EA18E9"/>
    <w:rsid w:val="7A32B80C"/>
    <w:rsid w:val="7A47DD2B"/>
    <w:rsid w:val="7A68EFCE"/>
    <w:rsid w:val="7AA128DA"/>
    <w:rsid w:val="7AAC1A3A"/>
    <w:rsid w:val="7B10F3B7"/>
    <w:rsid w:val="7B11007C"/>
    <w:rsid w:val="7B257E94"/>
    <w:rsid w:val="7B26C934"/>
    <w:rsid w:val="7B319148"/>
    <w:rsid w:val="7B618F82"/>
    <w:rsid w:val="7B716462"/>
    <w:rsid w:val="7C0814DA"/>
    <w:rsid w:val="7C1DD02A"/>
    <w:rsid w:val="7C2BDE7A"/>
    <w:rsid w:val="7C80B0FE"/>
    <w:rsid w:val="7CA27D23"/>
    <w:rsid w:val="7CA42431"/>
    <w:rsid w:val="7CACD0DD"/>
    <w:rsid w:val="7D2609F5"/>
    <w:rsid w:val="7DF82ED9"/>
    <w:rsid w:val="7E3D4115"/>
    <w:rsid w:val="7E48A13E"/>
    <w:rsid w:val="7E536DD5"/>
    <w:rsid w:val="7E9283B7"/>
    <w:rsid w:val="7ED3CA44"/>
    <w:rsid w:val="7EE4C8D8"/>
    <w:rsid w:val="7F71DEF5"/>
    <w:rsid w:val="7F990ECD"/>
    <w:rsid w:val="7FC1BD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37E748FB-7C11-44A1-BCF6-92210C81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A65"/>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sz w:val="28"/>
    </w:rPr>
  </w:style>
  <w:style w:type="paragraph" w:customStyle="1" w:styleId="Rectitle">
    <w:name w:val="Rec_title"/>
    <w:basedOn w:val="RecNo"/>
    <w:next w:val="Recref"/>
    <w:rsid w:val="00F52741"/>
    <w:pPr>
      <w:spacing w:before="240"/>
    </w:pPr>
    <w:rPr>
      <w:b/>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pPr>
    <w:rPr>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2-Accent1">
    <w:name w:val="Grid Table 2 Accent 1"/>
    <w:basedOn w:val="TableNormal"/>
    <w:uiPriority w:val="47"/>
    <w:rsid w:val="00E802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8021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80210"/>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80210"/>
    <w:rPr>
      <w:rFonts w:ascii="Calibri" w:hAnsi="Calibri"/>
      <w:position w:val="6"/>
      <w:sz w:val="18"/>
    </w:rPr>
  </w:style>
  <w:style w:type="table" w:customStyle="1" w:styleId="GridTable4-Accent11">
    <w:name w:val="Grid Table 4 - Accent 11"/>
    <w:basedOn w:val="TableNormal"/>
    <w:uiPriority w:val="49"/>
    <w:rsid w:val="00E80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80210"/>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76259"/>
    <w:rPr>
      <w:rFonts w:asciiTheme="minorHAnsi" w:hAnsiTheme="minorHAnsi"/>
      <w:sz w:val="24"/>
      <w:lang w:val="en-GB" w:eastAsia="en-US"/>
    </w:rPr>
  </w:style>
  <w:style w:type="table" w:styleId="GridTable4-Accent1">
    <w:name w:val="Grid Table 4 Accent 1"/>
    <w:basedOn w:val="TableNormal"/>
    <w:uiPriority w:val="49"/>
    <w:rsid w:val="00BF38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F38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C4634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lang w:val="en-US"/>
    </w:rPr>
  </w:style>
  <w:style w:type="character" w:customStyle="1" w:styleId="FootnoteTextChar">
    <w:name w:val="Footnote Text Char"/>
    <w:basedOn w:val="DefaultParagraphFont"/>
    <w:link w:val="FootnoteText"/>
    <w:uiPriority w:val="99"/>
    <w:rsid w:val="00C46342"/>
    <w:rPr>
      <w:rFonts w:asciiTheme="minorHAnsi" w:hAnsiTheme="minorHAnsi"/>
      <w:sz w:val="24"/>
      <w:lang w:val="en-GB" w:eastAsia="en-US"/>
    </w:rPr>
  </w:style>
  <w:style w:type="character" w:styleId="SubtleEmphasis">
    <w:name w:val="Subtle Emphasis"/>
    <w:basedOn w:val="DefaultParagraphFont"/>
    <w:uiPriority w:val="19"/>
    <w:qFormat/>
    <w:rsid w:val="00C46342"/>
    <w:rPr>
      <w:i/>
      <w:iCs/>
    </w:rPr>
  </w:style>
  <w:style w:type="table" w:styleId="MediumShading2-Accent5">
    <w:name w:val="Medium Shading 2 Accent 5"/>
    <w:basedOn w:val="TableNormal"/>
    <w:uiPriority w:val="64"/>
    <w:rsid w:val="00C46342"/>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UnresolvedMention1">
    <w:name w:val="Unresolved Mention1"/>
    <w:basedOn w:val="DefaultParagraphFont"/>
    <w:uiPriority w:val="99"/>
    <w:semiHidden/>
    <w:unhideWhenUsed/>
    <w:rsid w:val="008A26A6"/>
    <w:rPr>
      <w:color w:val="605E5C"/>
      <w:shd w:val="clear" w:color="auto" w:fill="E1DFDD"/>
    </w:rPr>
  </w:style>
  <w:style w:type="paragraph" w:styleId="NormalWeb">
    <w:name w:val="Normal (Web)"/>
    <w:basedOn w:val="Normal"/>
    <w:semiHidden/>
    <w:unhideWhenUsed/>
    <w:rsid w:val="00A12A34"/>
    <w:rPr>
      <w:rFonts w:ascii="Times New Roman" w:hAnsi="Times New Roman"/>
      <w:szCs w:val="24"/>
    </w:rPr>
  </w:style>
  <w:style w:type="character" w:customStyle="1" w:styleId="normaltextrun">
    <w:name w:val="normaltextrun"/>
    <w:basedOn w:val="DefaultParagraphFont"/>
    <w:rsid w:val="0078585B"/>
  </w:style>
  <w:style w:type="character" w:styleId="CommentReference">
    <w:name w:val="annotation reference"/>
    <w:basedOn w:val="DefaultParagraphFont"/>
    <w:semiHidden/>
    <w:unhideWhenUsed/>
    <w:rsid w:val="002A5CF5"/>
    <w:rPr>
      <w:sz w:val="16"/>
      <w:szCs w:val="16"/>
    </w:rPr>
  </w:style>
  <w:style w:type="paragraph" w:styleId="CommentText">
    <w:name w:val="annotation text"/>
    <w:basedOn w:val="Normal"/>
    <w:link w:val="CommentTextChar"/>
    <w:unhideWhenUsed/>
    <w:rsid w:val="002A5CF5"/>
    <w:rPr>
      <w:sz w:val="20"/>
    </w:rPr>
  </w:style>
  <w:style w:type="character" w:customStyle="1" w:styleId="CommentTextChar">
    <w:name w:val="Comment Text Char"/>
    <w:basedOn w:val="DefaultParagraphFont"/>
    <w:link w:val="CommentText"/>
    <w:rsid w:val="002A5C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5CF5"/>
    <w:rPr>
      <w:b/>
      <w:bCs/>
    </w:rPr>
  </w:style>
  <w:style w:type="character" w:customStyle="1" w:styleId="CommentSubjectChar">
    <w:name w:val="Comment Subject Char"/>
    <w:basedOn w:val="CommentTextChar"/>
    <w:link w:val="CommentSubject"/>
    <w:semiHidden/>
    <w:rsid w:val="002A5CF5"/>
    <w:rPr>
      <w:rFonts w:asciiTheme="minorHAnsi" w:hAnsiTheme="minorHAnsi"/>
      <w:b/>
      <w:bCs/>
      <w:lang w:val="en-GB" w:eastAsia="en-US"/>
    </w:rPr>
  </w:style>
  <w:style w:type="paragraph" w:customStyle="1" w:styleId="Pa13">
    <w:name w:val="Pa13"/>
    <w:basedOn w:val="Normal"/>
    <w:next w:val="Normal"/>
    <w:uiPriority w:val="99"/>
    <w:rsid w:val="009D0E56"/>
    <w:pPr>
      <w:tabs>
        <w:tab w:val="clear" w:pos="794"/>
        <w:tab w:val="clear" w:pos="1191"/>
        <w:tab w:val="clear" w:pos="1588"/>
        <w:tab w:val="clear" w:pos="1985"/>
      </w:tabs>
      <w:overflowPunct/>
      <w:spacing w:before="0" w:line="201" w:lineRule="atLeast"/>
      <w:jc w:val="left"/>
      <w:textAlignment w:val="auto"/>
    </w:pPr>
    <w:rPr>
      <w:rFonts w:ascii="Calibri Light" w:hAnsi="Calibri Light" w:cs="Calibri Light"/>
      <w:szCs w:val="24"/>
      <w:lang w:eastAsia="zh-CN"/>
    </w:rPr>
  </w:style>
  <w:style w:type="character" w:customStyle="1" w:styleId="eop">
    <w:name w:val="eop"/>
    <w:basedOn w:val="DefaultParagraphFont"/>
    <w:rsid w:val="00785F3F"/>
  </w:style>
  <w:style w:type="paragraph" w:customStyle="1" w:styleId="paragraph">
    <w:name w:val="paragraph"/>
    <w:basedOn w:val="Normal"/>
    <w:rsid w:val="00D40D8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szCs w:val="24"/>
      <w:lang w:eastAsia="en-GB"/>
    </w:rPr>
  </w:style>
  <w:style w:type="character" w:customStyle="1" w:styleId="ui-provider">
    <w:name w:val="ui-provider"/>
    <w:basedOn w:val="DefaultParagraphFont"/>
    <w:rsid w:val="006C641C"/>
  </w:style>
  <w:style w:type="character" w:customStyle="1" w:styleId="Mention1">
    <w:name w:val="Mention1"/>
    <w:basedOn w:val="DefaultParagraphFont"/>
    <w:uiPriority w:val="99"/>
    <w:unhideWhenUsed/>
    <w:rsid w:val="000B1D6A"/>
    <w:rPr>
      <w:color w:val="2B579A"/>
      <w:shd w:val="clear" w:color="auto" w:fill="E1DFDD"/>
    </w:rPr>
  </w:style>
  <w:style w:type="paragraph" w:styleId="BalloonText">
    <w:name w:val="Balloon Text"/>
    <w:basedOn w:val="Normal"/>
    <w:link w:val="BalloonTextChar"/>
    <w:semiHidden/>
    <w:unhideWhenUsed/>
    <w:rsid w:val="00F740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4025"/>
    <w:rPr>
      <w:rFonts w:ascii="Segoe UI" w:hAnsi="Segoe UI" w:cs="Segoe UI"/>
      <w:sz w:val="18"/>
      <w:szCs w:val="18"/>
      <w:lang w:val="en-GB" w:eastAsia="en-US"/>
    </w:rPr>
  </w:style>
  <w:style w:type="paragraph" w:customStyle="1" w:styleId="Figure">
    <w:name w:val="Figure"/>
    <w:basedOn w:val="Normal"/>
    <w:rsid w:val="00B01FE6"/>
    <w:rPr>
      <w:rFonts w:eastAsia="MS Mincho"/>
      <w:noProof/>
      <w:shd w:val="clear" w:color="auto" w:fill="E6E6E6"/>
      <w:lang w:val="en-US"/>
    </w:rPr>
  </w:style>
  <w:style w:type="paragraph" w:customStyle="1" w:styleId="Tabletext9pt">
    <w:name w:val="Table_text + 9 pt"/>
    <w:aliases w:val="Bold,Accent 1"/>
    <w:basedOn w:val="Tabletext"/>
    <w:rsid w:val="00E545C2"/>
    <w:rPr>
      <w:rFonts w:eastAsiaTheme="minorHAnsi" w:cstheme="minorBidi"/>
      <w:b/>
      <w:bCs/>
      <w:color w:val="365F91" w:themeColor="accent1" w:themeShade="BF"/>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itu-d/projects-activities/centres-excellence" TargetMode="External"/><Relationship Id="rId21" Type="http://schemas.openxmlformats.org/officeDocument/2006/relationships/hyperlink" Target="https://www.itu.int/en/ITU-D/Emergency-Telecommunications/Pages/ITU-SADC-Validation-Workshop-Mar23.aspx" TargetMode="External"/><Relationship Id="rId42" Type="http://schemas.openxmlformats.org/officeDocument/2006/relationships/hyperlink" Target="https://www.dgssi.gov.ma/fr/content/ateliers-debats-autour-des-nouveaux-objectifs-strategiques-nationaux-en-matiere-de-cybersecurite.html" TargetMode="External"/><Relationship Id="rId47" Type="http://schemas.openxmlformats.org/officeDocument/2006/relationships/hyperlink" Target="https://www.itu.int/en/ITU-D/Cybersecurity/Pages/Cyber4Good/Cyber4Good.aspx" TargetMode="External"/><Relationship Id="rId63" Type="http://schemas.openxmlformats.org/officeDocument/2006/relationships/hyperlink" Target="https://www.itu.int/md/D22-SG01.RGQ-230508-C" TargetMode="External"/><Relationship Id="rId68" Type="http://schemas.openxmlformats.org/officeDocument/2006/relationships/hyperlink" Target="https://www.itu.int/net4/wsis/forum/2023/fr/Agenda/Session/468" TargetMode="External"/><Relationship Id="rId84" Type="http://schemas.openxmlformats.org/officeDocument/2006/relationships/footer" Target="footer3.xml"/><Relationship Id="rId89" Type="http://schemas.openxmlformats.org/officeDocument/2006/relationships/theme" Target="theme/theme1.xml"/><Relationship Id="rId16" Type="http://schemas.openxmlformats.org/officeDocument/2006/relationships/header" Target="header1.xml"/><Relationship Id="rId11" Type="http://schemas.openxmlformats.org/officeDocument/2006/relationships/image" Target="media/image1.jpeg"/><Relationship Id="rId32" Type="http://schemas.openxmlformats.org/officeDocument/2006/relationships/hyperlink" Target="https://app.gen5.digital/benchmark" TargetMode="External"/><Relationship Id="rId37" Type="http://schemas.openxmlformats.org/officeDocument/2006/relationships/hyperlink" Target="https://www.itu.int/en/ITU-D/Statistics/Documents/IDI/IDI2023TentativeTimeline_v20230201.pdf" TargetMode="External"/><Relationship Id="rId53" Type="http://schemas.openxmlformats.org/officeDocument/2006/relationships/hyperlink" Target="https://www.itu.int/en/ITU-D/Study-Groups/2022-2025/Pages/meetings/workshop-regional-actions-may23.aspx" TargetMode="External"/><Relationship Id="rId58" Type="http://schemas.openxmlformats.org/officeDocument/2006/relationships/hyperlink" Target="https://www.itu.int/en/ITU-D/Study-Groups/2022-2025/Pages/meetings/session-Q6-1-may23.aspx" TargetMode="External"/><Relationship Id="rId74" Type="http://schemas.openxmlformats.org/officeDocument/2006/relationships/hyperlink" Target="https://www.itu.int/women-and-girls/girls-in-ict/fr/edition-de-2023-de-la-journee-internationale-des-jeunes-filles-dans-le-secteur-des-tic/" TargetMode="External"/><Relationship Id="rId79" Type="http://schemas.openxmlformats.org/officeDocument/2006/relationships/hyperlink" Target="https://eur03.safelinks.protection.outlook.com/?url=https%3A%2F%2Fstorymaps.arcgis.com%2Fstories%2F6679f1d9b8174c368b3630fa40138947&amp;data=05%7C01%7Cvanessa.gray%40itu.int%7Cbe6266536c0140e1eb5f08db55492611%7C23e464d704e64b87913c24bd89219fd3%7C0%7C0%7C638197544871331911%7CUnknown%7CTWFpbGZsb3d8eyJWIjoiMC4wLjAwMDAiLCJQIjoiV2luMzIiLCJBTiI6Ik1haWwiLCJXVCI6Mn0%3D%7C3000%7C%7C%7C&amp;sdata=ITQyJgu7WfdURgPcD6MJVKTTj4B%2FGcOlUpzQgVJjYYM%3D&amp;reserved=0" TargetMode="External"/><Relationship Id="rId5" Type="http://schemas.openxmlformats.org/officeDocument/2006/relationships/numbering" Target="numbering.xml"/><Relationship Id="rId14" Type="http://schemas.openxmlformats.org/officeDocument/2006/relationships/image" Target="media/image3.png"/><Relationship Id="rId22" Type="http://schemas.openxmlformats.org/officeDocument/2006/relationships/hyperlink" Target="https://www.itu.int/dms_pub/itu-d/opb/tnd/D-TND-09-2023-01-PDF-E.pdf" TargetMode="External"/><Relationship Id="rId27" Type="http://schemas.openxmlformats.org/officeDocument/2006/relationships/hyperlink" Target="https://academy.itu.int/itu-d/projects-activities/itu-academy-training-centres" TargetMode="External"/><Relationship Id="rId30" Type="http://schemas.openxmlformats.org/officeDocument/2006/relationships/hyperlink" Target="https://www.itu.int/hub/publication/d-pref-bb-reg_out01-2023/" TargetMode="External"/><Relationship Id="rId35" Type="http://schemas.openxmlformats.org/officeDocument/2006/relationships/hyperlink" Target="https://www.itu.int/itu-d/reports/statistics/facts-figures-for-ldc/" TargetMode="External"/><Relationship Id="rId43" Type="http://schemas.openxmlformats.org/officeDocument/2006/relationships/hyperlink" Target="https://www.itu.int/en/ITU-D/Regional-Presence/Africa/Pages/EVENTS/2023/Regional-Cyberdrill-for-Africa-.aspx" TargetMode="External"/><Relationship Id="rId48" Type="http://schemas.openxmlformats.org/officeDocument/2006/relationships/hyperlink" Target="https://www.itu.int/net4/ITU-D/CDS/sg/blkmeetings.asp?lg=1&amp;stg=&amp;sp=2022&amp;blk=28224" TargetMode="External"/><Relationship Id="rId56" Type="http://schemas.openxmlformats.org/officeDocument/2006/relationships/hyperlink" Target="https://www.itu.int/en/ITU-D/Study-Groups/2022-2025/Pages/meetings/session-Q3-1-may23.aspx" TargetMode="External"/><Relationship Id="rId64" Type="http://schemas.openxmlformats.org/officeDocument/2006/relationships/hyperlink" Target="https://www.itu.int/net4/ITU-D/CDS/sg/blkmeetings.asp?lg=1&amp;stg=&amp;sp=2022&amp;blk=28224" TargetMode="External"/><Relationship Id="rId69" Type="http://schemas.openxmlformats.org/officeDocument/2006/relationships/hyperlink" Target="https://www.itu.int/net4/wsis/forum/2023/fr/Agenda/Session/224" TargetMode="External"/><Relationship Id="rId77" Type="http://schemas.openxmlformats.org/officeDocument/2006/relationships/hyperlink" Target="https://eur03.safelinks.protection.outlook.com/?url=https%3A%2F%2Fwww.we-accelerate.com%2F&amp;data=05%7C01%7Cvanessa.gray%40itu.int%7Cbe6266536c0140e1eb5f08db55492611%7C23e464d704e64b87913c24bd89219fd3%7C0%7C0%7C638197544871331911%7CUnknown%7CTWFpbGZsb3d8eyJWIjoiMC4wLjAwMDAiLCJQIjoiV2luMzIiLCJBTiI6Ik1haWwiLCJXVCI6Mn0%3D%7C3000%7C%7C%7C&amp;sdata=utDQTZRKwqzGlA%2F3xDOWcPR%2FQwcquCRg1db%2FApyC4LM%3D&amp;reserved=0" TargetMode="External"/><Relationship Id="rId8" Type="http://schemas.openxmlformats.org/officeDocument/2006/relationships/webSettings" Target="webSettings.xml"/><Relationship Id="rId51" Type="http://schemas.openxmlformats.org/officeDocument/2006/relationships/hyperlink" Target="https://www.itu.int/en/ITU-D/Study-Groups/2022-2025/Pages/meetings/workshop-sustainability-may23.aspx" TargetMode="External"/><Relationship Id="rId72" Type="http://schemas.openxmlformats.org/officeDocument/2006/relationships/hyperlink" Target="https://www.itu.int/hub/publication/d-hdb-gender-2023-01/" TargetMode="External"/><Relationship Id="rId80" Type="http://schemas.openxmlformats.org/officeDocument/2006/relationships/hyperlink" Target="https://www.itu.int/en/ITU-T/Workshops-and-Seminars/2023/0214/Pages/default.aspx" TargetMode="External"/><Relationship Id="rId85"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yperlink" Target="https://www.itu.int/en/publications/ITU-D/Pages/publications.aspx?parent=D-TDC-WTDC-2022&amp;media=electronic" TargetMode="External"/><Relationship Id="rId17" Type="http://schemas.openxmlformats.org/officeDocument/2006/relationships/footer" Target="footer1.xml"/><Relationship Id="rId25" Type="http://schemas.openxmlformats.org/officeDocument/2006/relationships/hyperlink" Target="https://www.itu.int/dms_pub/itu-d/opb/inno/D-INNO-PROFILE.OMAN-2023-PDF-E.pdf" TargetMode="External"/><Relationship Id="rId33" Type="http://schemas.openxmlformats.org/officeDocument/2006/relationships/hyperlink" Target="https://www.itu.int/itu-d/meetings/gsr-23/fr/" TargetMode="External"/><Relationship Id="rId38" Type="http://schemas.openxmlformats.org/officeDocument/2006/relationships/hyperlink" Target="https://www.itu.int/en/ITU-D/Statistics/Documents/IDI/IDI2023ZeroDraftDocument_February2023.pdf" TargetMode="External"/><Relationship Id="rId46" Type="http://schemas.openxmlformats.org/officeDocument/2006/relationships/hyperlink" Target="https://www.itu.int/en/ITU-D/MembersPartners/Pages/Partners/Our-common-work-with-selected-Partners.aspx?pi=6999&amp;nb=3" TargetMode="External"/><Relationship Id="rId59" Type="http://schemas.openxmlformats.org/officeDocument/2006/relationships/hyperlink" Target="https://www.itu.int/en/ITU-D/Study-Groups/2022-2025/Pages/meetings/session-Q7-1-may23.aspx" TargetMode="External"/><Relationship Id="rId67" Type="http://schemas.openxmlformats.org/officeDocument/2006/relationships/hyperlink" Target="https://www.itu.int/net4/wsis/forum/2023/fr/Agenda/Track/13" TargetMode="External"/><Relationship Id="rId20" Type="http://schemas.openxmlformats.org/officeDocument/2006/relationships/hyperlink" Target="https://www.itu.int/en/ITU-D/Emergency-Telecommunications/Pages/Response.aspx" TargetMode="External"/><Relationship Id="rId41" Type="http://schemas.openxmlformats.org/officeDocument/2006/relationships/hyperlink" Target="https://www.itu.int/itu-d/meetings/statistics/joint-egti-egh-meeting-on-idi-2023/" TargetMode="External"/><Relationship Id="rId54" Type="http://schemas.openxmlformats.org/officeDocument/2006/relationships/hyperlink" Target="https://www.itu.int/en/ITU-D/Study-Groups/2022-2025/Pages/meetings/workshop-inclusion-may23.aspx" TargetMode="External"/><Relationship Id="rId62" Type="http://schemas.openxmlformats.org/officeDocument/2006/relationships/hyperlink" Target="https://www.itu.int/online/mm/scripts/s/gensel23?_lang=&amp;_event=C-00012321&amp;_event_type=ZSED" TargetMode="External"/><Relationship Id="rId70" Type="http://schemas.openxmlformats.org/officeDocument/2006/relationships/hyperlink" Target="https://www.itu.int/net4/wsis/forum/2023/fr" TargetMode="External"/><Relationship Id="rId75" Type="http://schemas.openxmlformats.org/officeDocument/2006/relationships/hyperlink" Target="https://www.un.org/ecosoc/en/2023-ecosoc-youth-forum" TargetMode="External"/><Relationship Id="rId83" Type="http://schemas.openxmlformats.org/officeDocument/2006/relationships/header" Target="header3.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itu.int/itu-d/sites/innovation-alliance/fr/events/news/manifestation-communautaire/" TargetMode="External"/><Relationship Id="rId28" Type="http://schemas.openxmlformats.org/officeDocument/2006/relationships/hyperlink" Target="https://academy.itu.int/itu-d/projects-activities/itu-academy-training-centres" TargetMode="External"/><Relationship Id="rId36" Type="http://schemas.openxmlformats.org/officeDocument/2006/relationships/hyperlink" Target="https://www.itu.int/dms_pub/itu-d/opb/ind/D-IND-POL_BRIEF.02-2023-PDF-E.pdf" TargetMode="External"/><Relationship Id="rId49" Type="http://schemas.openxmlformats.org/officeDocument/2006/relationships/hyperlink" Target="https://www.itu.int/en/ITU-D/Study-Groups/2022-2025/Pages/meetings/workshop-innovation-may23.aspx" TargetMode="External"/><Relationship Id="rId57" Type="http://schemas.openxmlformats.org/officeDocument/2006/relationships/hyperlink" Target="https://www.itu.int/en/ITU-D/Study-Groups/2022-2025/Pages/meetings/joint-session-Q4-1-Q5-1-may23.aspx" TargetMode="External"/><Relationship Id="rId10" Type="http://schemas.openxmlformats.org/officeDocument/2006/relationships/endnotes" Target="endnotes.xml"/><Relationship Id="rId31" Type="http://schemas.openxmlformats.org/officeDocument/2006/relationships/hyperlink" Target="https://app.gen5.digital/tracker" TargetMode="External"/><Relationship Id="rId44" Type="http://schemas.openxmlformats.org/officeDocument/2006/relationships/hyperlink" Target="https://www.itu.int/en/ITU-D/Cybersecurity/Pages/global-cybersecurity-index.aspx" TargetMode="External"/><Relationship Id="rId52" Type="http://schemas.openxmlformats.org/officeDocument/2006/relationships/hyperlink" Target="https://www.itu.int/en/ITU-D/Study-Groups/2022-2025/Pages/meetings/workshop-impact-may23.aspx" TargetMode="External"/><Relationship Id="rId60" Type="http://schemas.openxmlformats.org/officeDocument/2006/relationships/hyperlink" Target="https://www.itu.int/en/ITU-T/Workshops-and-Seminars/2023/0511/Pages/default.aspx" TargetMode="External"/><Relationship Id="rId65" Type="http://schemas.openxmlformats.org/officeDocument/2006/relationships/hyperlink" Target="https://www.itu.int/net4/ITU-D/CDS/sg/blkmeetings.asp?lg=1&amp;stg=&amp;sp=2022&amp;blk=28225" TargetMode="External"/><Relationship Id="rId73" Type="http://schemas.openxmlformats.org/officeDocument/2006/relationships/hyperlink" Target="https://www.itu.int/en/ITU-D/Cybersecurity/Pages/COP/Trainings.aspx" TargetMode="External"/><Relationship Id="rId78" Type="http://schemas.openxmlformats.org/officeDocument/2006/relationships/hyperlink" Target="https://academy.itu.int/training-courses/full-catalogue/green-and-digital-entrepreneurship" TargetMode="External"/><Relationship Id="rId81" Type="http://schemas.openxmlformats.org/officeDocument/2006/relationships/hyperlink" Target="https://www.itu.int/en/ITU-D/Regional-Presence/AsiaPacific/Pages/Events/2023/Pacific-Information-Session-Green-Digital-Transformation-and-a-Circular-Economy-for-Electronics.aspx" TargetMode="External"/><Relationship Id="rId86"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9" Type="http://schemas.openxmlformats.org/officeDocument/2006/relationships/hyperlink" Target="https://www.itu.int/en/ITU-D/Statistics/Documents/IDI/IDI_2023_Version1_DraftDocument_April2023.pdf" TargetMode="External"/><Relationship Id="rId34" Type="http://schemas.openxmlformats.org/officeDocument/2006/relationships/hyperlink" Target="https://www.itu.int/itu-d/meetings/gsr-23/fr/consultation/" TargetMode="External"/><Relationship Id="rId50" Type="http://schemas.openxmlformats.org/officeDocument/2006/relationships/hyperlink" Target="https://www.itu.int/en/ITU-D/Study-Groups/2022-2025/Pages/meetings/workshop-measuring-may23.aspx" TargetMode="External"/><Relationship Id="rId55" Type="http://schemas.openxmlformats.org/officeDocument/2006/relationships/hyperlink" Target="https://www.itu.int/en/ITU-D/Study-Groups/2022-2025/Pages/meetings/workshop-products_usage-may23.aspx" TargetMode="External"/><Relationship Id="rId76" Type="http://schemas.openxmlformats.org/officeDocument/2006/relationships/hyperlink" Target="https://academy.itu.int/training-courses/full-catalogue/deep-dive-extended-producer-responsibility-epr-principle-e-waste-management" TargetMode="External"/><Relationship Id="rId7" Type="http://schemas.openxmlformats.org/officeDocument/2006/relationships/settings" Target="settings.xml"/><Relationship Id="rId71" Type="http://schemas.openxmlformats.org/officeDocument/2006/relationships/hyperlink" Target="https://www.itu.int/itu-d/sites/africa/fr/" TargetMode="External"/><Relationship Id="rId2" Type="http://schemas.openxmlformats.org/officeDocument/2006/relationships/customXml" Target="../customXml/item2.xml"/><Relationship Id="rId29" Type="http://schemas.openxmlformats.org/officeDocument/2006/relationships/hyperlink" Target="https://academy.itu.int/itu-d/projects-activities/digital-transformation-centres-initiative" TargetMode="External"/><Relationship Id="rId24" Type="http://schemas.openxmlformats.org/officeDocument/2006/relationships/hyperlink" Target="https://www.itu.int/en/ITU-D/Regional-Presence/AsiaPacific/Pages/v2/RD%27s%20Corner/2023/ITU-South-Asia-Presence-for-Inclusive-Digital-Transformation-.aspx" TargetMode="External"/><Relationship Id="rId40" Type="http://schemas.openxmlformats.org/officeDocument/2006/relationships/hyperlink" Target="https://www.itu.int/dms_pub/itu-d/md/22/bdt/cir/D22-BDT-CIR-0009%21%21PDF-F.pdf" TargetMode="External"/><Relationship Id="rId45" Type="http://schemas.openxmlformats.org/officeDocument/2006/relationships/hyperlink" Target="https://www.itu.int/en/ITU-D/Cybersecurity/Pages/Women-in-Cyber/Women-in-Cyber-Mentorship-Programme.aspx" TargetMode="External"/><Relationship Id="rId66" Type="http://schemas.openxmlformats.org/officeDocument/2006/relationships/hyperlink" Target="https://www.itu.int/net4/wsis/forum/2023/fr" TargetMode="External"/><Relationship Id="rId87" Type="http://schemas.openxmlformats.org/officeDocument/2006/relationships/footer" Target="footer5.xml"/><Relationship Id="rId61" Type="http://schemas.openxmlformats.org/officeDocument/2006/relationships/hyperlink" Target="https://www.itu.int/fr/ITU-D/Conferences/WTDC/WTDC21/NoW/Pages/default.aspx" TargetMode="External"/><Relationship Id="rId82" Type="http://schemas.openxmlformats.org/officeDocument/2006/relationships/header" Target="header2.xml"/><Relationship Id="rId19" Type="http://schemas.openxmlformats.org/officeDocument/2006/relationships/hyperlink" Target="https://www.itu.int/en/ITU-D/Emergency-Telecommunications/Pages/Early-Warnings-for-All-Initiative.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9399490-13b9-4c73-b71e-403b715b75a7">
      <UserInfo>
        <DisplayName>Teltscher, Susan</DisplayName>
        <AccountId>173</AccountId>
        <AccountType/>
      </UserInfo>
      <UserInfo>
        <DisplayName>Pellet, Celia</DisplayName>
        <AccountId>246</AccountId>
        <AccountType/>
      </UserInfo>
      <UserInfo>
        <DisplayName>Letamo, Halima</DisplayName>
        <AccountId>42</AccountId>
        <AccountType/>
      </UserInfo>
      <UserInfo>
        <DisplayName>Bereaux, Stephen</DisplayName>
        <AccountId>50</AccountId>
        <AccountType/>
      </UserInfo>
      <UserInfo>
        <DisplayName>Lozanova, Youlia</DisplayName>
        <AccountId>78</AccountId>
        <AccountType/>
      </UserInfo>
      <UserInfo>
        <DisplayName>Darwish, Adel</DisplayName>
        <AccountId>119</AccountId>
        <AccountType/>
      </UserInfo>
      <UserInfo>
        <DisplayName>Ramos, Bruno</DisplayName>
        <AccountId>72</AccountId>
        <AccountType/>
      </UserInfo>
      <UserInfo>
        <DisplayName>Gray, Vanessa</DisplayName>
        <AccountId>146</AccountId>
        <AccountType/>
      </UserInfo>
      <UserInfo>
        <DisplayName>Eskandar, Hani</DisplayName>
        <AccountId>150</AccountId>
        <AccountType/>
      </UserInfo>
      <UserInfo>
        <DisplayName>Ba, Mohamed</DisplayName>
        <AccountId>216</AccountId>
        <AccountType/>
      </UserInfo>
      <UserInfo>
        <DisplayName>Osmani, Orhan</DisplayName>
        <AccountId>36</AccountId>
        <AccountType/>
      </UserInfo>
      <UserInfo>
        <DisplayName>Widmer-Iliescu, Roxana</DisplayName>
        <AccountId>178</AccountId>
        <AccountType/>
      </UserInfo>
      <UserInfo>
        <DisplayName>Poll Ahrens, Sylvia</DisplayName>
        <AccountId>40</AccountId>
        <AccountType/>
      </UserInfo>
      <UserInfo>
        <DisplayName>Mathlouthi, Walid</DisplayName>
        <AccountId>618</AccountId>
        <AccountType/>
      </UserInfo>
      <UserInfo>
        <DisplayName>Geiger, Thierry</DisplayName>
        <AccountId>124</AccountId>
        <AccountType/>
      </UserInfo>
      <UserInfo>
        <DisplayName>Maddens, Sofie</DisplayName>
        <AccountId>73</AccountId>
        <AccountType/>
      </UserInfo>
      <UserInfo>
        <DisplayName>Sundberg, Nancy</DisplayName>
        <AccountId>435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5239D-C9AA-42A2-9332-8E8D3B817007}">
  <ds:schemaRefs>
    <ds:schemaRef ds:uri="http://schemas.microsoft.com/sharepoint/v3/contenttype/forms"/>
  </ds:schemaRefs>
</ds:datastoreItem>
</file>

<file path=customXml/itemProps2.xml><?xml version="1.0" encoding="utf-8"?>
<ds:datastoreItem xmlns:ds="http://schemas.openxmlformats.org/officeDocument/2006/customXml" ds:itemID="{B5347080-2617-4834-A07F-7430FBB9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AE85C-427E-4650-80F3-97159ACDC249}">
  <ds:schemaRefs>
    <ds:schemaRef ds:uri="29399490-13b9-4c73-b71e-403b715b75a7"/>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d4ea696a-cca3-460b-a983-57ac2621983a"/>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DA5340A-D0A6-4E45-8C98-D1E03A24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48</Pages>
  <Words>16596</Words>
  <Characters>102160</Characters>
  <Application>Microsoft Office Word</Application>
  <DocSecurity>0</DocSecurity>
  <Lines>851</Lines>
  <Paragraphs>237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118519</CharactersWithSpaces>
  <SharedDoc>false</SharedDoc>
  <HLinks>
    <vt:vector size="390" baseType="variant">
      <vt:variant>
        <vt:i4>1441864</vt:i4>
      </vt:variant>
      <vt:variant>
        <vt:i4>216</vt:i4>
      </vt:variant>
      <vt:variant>
        <vt:i4>0</vt:i4>
      </vt:variant>
      <vt:variant>
        <vt:i4>5</vt:i4>
      </vt:variant>
      <vt:variant>
        <vt:lpwstr>https://www.itu.int/en/ITU-D/Regional-Presence/AsiaPacific/Pages/Events/2023/Pacific-Information-Session-Green-Digital-Transformation-and-a-Circular-Economy-for-Electronics.aspx</vt:lpwstr>
      </vt:variant>
      <vt:variant>
        <vt:lpwstr/>
      </vt:variant>
      <vt:variant>
        <vt:i4>6029390</vt:i4>
      </vt:variant>
      <vt:variant>
        <vt:i4>213</vt:i4>
      </vt:variant>
      <vt:variant>
        <vt:i4>0</vt:i4>
      </vt:variant>
      <vt:variant>
        <vt:i4>5</vt:i4>
      </vt:variant>
      <vt:variant>
        <vt:lpwstr>https://www.itu.int/en/ITU-T/Workshops-and-Seminars/2023/0214/Pages/default.aspx</vt:lpwstr>
      </vt:variant>
      <vt:variant>
        <vt:lpwstr/>
      </vt:variant>
      <vt:variant>
        <vt:i4>7340148</vt:i4>
      </vt:variant>
      <vt:variant>
        <vt:i4>210</vt:i4>
      </vt:variant>
      <vt:variant>
        <vt:i4>0</vt:i4>
      </vt:variant>
      <vt:variant>
        <vt:i4>5</vt:i4>
      </vt:variant>
      <vt:variant>
        <vt:lpwstr>https://eur03.safelinks.protection.outlook.com/?url=https%3A%2F%2Fstorymaps.arcgis.com%2Fstories%2F6679f1d9b8174c368b3630fa40138947&amp;data=05%7C01%7Cvanessa.gray%40itu.int%7Cbe6266536c0140e1eb5f08db55492611%7C23e464d704e64b87913c24bd89219fd3%7C0%7C0%7C638197544871331911%7CUnknown%7CTWFpbGZsb3d8eyJWIjoiMC4wLjAwMDAiLCJQIjoiV2luMzIiLCJBTiI6Ik1haWwiLCJXVCI6Mn0%3D%7C3000%7C%7C%7C&amp;sdata=ITQyJgu7WfdURgPcD6MJVKTTj4B%2FGcOlUpzQgVJjYYM%3D&amp;reserved=0</vt:lpwstr>
      </vt:variant>
      <vt:variant>
        <vt:lpwstr/>
      </vt:variant>
      <vt:variant>
        <vt:i4>7077927</vt:i4>
      </vt:variant>
      <vt:variant>
        <vt:i4>207</vt:i4>
      </vt:variant>
      <vt:variant>
        <vt:i4>0</vt:i4>
      </vt:variant>
      <vt:variant>
        <vt:i4>5</vt:i4>
      </vt:variant>
      <vt:variant>
        <vt:lpwstr>https://academy.itu.int/training-courses/full-catalogue/green-and-digital-entrepreneurship</vt:lpwstr>
      </vt:variant>
      <vt:variant>
        <vt:lpwstr/>
      </vt:variant>
      <vt:variant>
        <vt:i4>6291566</vt:i4>
      </vt:variant>
      <vt:variant>
        <vt:i4>204</vt:i4>
      </vt:variant>
      <vt:variant>
        <vt:i4>0</vt:i4>
      </vt:variant>
      <vt:variant>
        <vt:i4>5</vt:i4>
      </vt:variant>
      <vt:variant>
        <vt:lpwstr>https://eur03.safelinks.protection.outlook.com/?url=https%3A%2F%2Fwww.we-accelerate.com%2F&amp;data=05%7C01%7Cvanessa.gray%40itu.int%7Cbe6266536c0140e1eb5f08db55492611%7C23e464d704e64b87913c24bd89219fd3%7C0%7C0%7C638197544871331911%7CUnknown%7CTWFpbGZsb3d8eyJWIjoiMC4wLjAwMDAiLCJQIjoiV2luMzIiLCJBTiI6Ik1haWwiLCJXVCI6Mn0%3D%7C3000%7C%7C%7C&amp;sdata=utDQTZRKwqzGlA%2F3xDOWcPR%2FQwcquCRg1db%2FApyC4LM%3D&amp;reserved=0</vt:lpwstr>
      </vt:variant>
      <vt:variant>
        <vt:lpwstr/>
      </vt:variant>
      <vt:variant>
        <vt:i4>3801204</vt:i4>
      </vt:variant>
      <vt:variant>
        <vt:i4>201</vt:i4>
      </vt:variant>
      <vt:variant>
        <vt:i4>0</vt:i4>
      </vt:variant>
      <vt:variant>
        <vt:i4>5</vt:i4>
      </vt:variant>
      <vt:variant>
        <vt:lpwstr>https://academy.itu.int/training-courses/full-catalogue/deep-dive-extended-producer-responsibility-epr-principle-e-waste-management</vt:lpwstr>
      </vt:variant>
      <vt:variant>
        <vt:lpwstr/>
      </vt:variant>
      <vt:variant>
        <vt:i4>4784152</vt:i4>
      </vt:variant>
      <vt:variant>
        <vt:i4>195</vt:i4>
      </vt:variant>
      <vt:variant>
        <vt:i4>0</vt:i4>
      </vt:variant>
      <vt:variant>
        <vt:i4>5</vt:i4>
      </vt:variant>
      <vt:variant>
        <vt:lpwstr>https://www.un.org/ecosoc/en/2023-ecosoc-youth-forum</vt:lpwstr>
      </vt:variant>
      <vt:variant>
        <vt:lpwstr/>
      </vt:variant>
      <vt:variant>
        <vt:i4>76</vt:i4>
      </vt:variant>
      <vt:variant>
        <vt:i4>192</vt:i4>
      </vt:variant>
      <vt:variant>
        <vt:i4>0</vt:i4>
      </vt:variant>
      <vt:variant>
        <vt:i4>5</vt:i4>
      </vt:variant>
      <vt:variant>
        <vt:lpwstr>https://www.itu.int/women-and-girls/girls-in-ict/international-girls-in-ict-day-2023/</vt:lpwstr>
      </vt:variant>
      <vt:variant>
        <vt:lpwstr/>
      </vt:variant>
      <vt:variant>
        <vt:i4>3539067</vt:i4>
      </vt:variant>
      <vt:variant>
        <vt:i4>189</vt:i4>
      </vt:variant>
      <vt:variant>
        <vt:i4>0</vt:i4>
      </vt:variant>
      <vt:variant>
        <vt:i4>5</vt:i4>
      </vt:variant>
      <vt:variant>
        <vt:lpwstr>https://www.itu.int/en/ITU-D/Cybersecurity/Pages/COP/Trainings.aspx</vt:lpwstr>
      </vt:variant>
      <vt:variant>
        <vt:lpwstr/>
      </vt:variant>
      <vt:variant>
        <vt:i4>4980810</vt:i4>
      </vt:variant>
      <vt:variant>
        <vt:i4>186</vt:i4>
      </vt:variant>
      <vt:variant>
        <vt:i4>0</vt:i4>
      </vt:variant>
      <vt:variant>
        <vt:i4>5</vt:i4>
      </vt:variant>
      <vt:variant>
        <vt:lpwstr>https://www.itu.int/hub/publication/d-hdb-gender-2023-01/</vt:lpwstr>
      </vt:variant>
      <vt:variant>
        <vt:lpwstr/>
      </vt:variant>
      <vt:variant>
        <vt:i4>6815805</vt:i4>
      </vt:variant>
      <vt:variant>
        <vt:i4>183</vt:i4>
      </vt:variant>
      <vt:variant>
        <vt:i4>0</vt:i4>
      </vt:variant>
      <vt:variant>
        <vt:i4>5</vt:i4>
      </vt:variant>
      <vt:variant>
        <vt:lpwstr>https://www.itu.int/itu-d/sites/africa/</vt:lpwstr>
      </vt:variant>
      <vt:variant>
        <vt:lpwstr/>
      </vt:variant>
      <vt:variant>
        <vt:i4>6291490</vt:i4>
      </vt:variant>
      <vt:variant>
        <vt:i4>180</vt:i4>
      </vt:variant>
      <vt:variant>
        <vt:i4>0</vt:i4>
      </vt:variant>
      <vt:variant>
        <vt:i4>5</vt:i4>
      </vt:variant>
      <vt:variant>
        <vt:lpwstr>https://www.itu.int/net4/wsis/forum/2023/en</vt:lpwstr>
      </vt:variant>
      <vt:variant>
        <vt:lpwstr/>
      </vt:variant>
      <vt:variant>
        <vt:i4>3014783</vt:i4>
      </vt:variant>
      <vt:variant>
        <vt:i4>177</vt:i4>
      </vt:variant>
      <vt:variant>
        <vt:i4>0</vt:i4>
      </vt:variant>
      <vt:variant>
        <vt:i4>5</vt:i4>
      </vt:variant>
      <vt:variant>
        <vt:lpwstr>https://www.itu.int/net4/wsis/forum/2023/Agenda/Session/224</vt:lpwstr>
      </vt:variant>
      <vt:variant>
        <vt:lpwstr/>
      </vt:variant>
      <vt:variant>
        <vt:i4>2752633</vt:i4>
      </vt:variant>
      <vt:variant>
        <vt:i4>174</vt:i4>
      </vt:variant>
      <vt:variant>
        <vt:i4>0</vt:i4>
      </vt:variant>
      <vt:variant>
        <vt:i4>5</vt:i4>
      </vt:variant>
      <vt:variant>
        <vt:lpwstr>https://www.itu.int/net4/wsis/forum/2023/Agenda/Session/468</vt:lpwstr>
      </vt:variant>
      <vt:variant>
        <vt:lpwstr/>
      </vt:variant>
      <vt:variant>
        <vt:i4>3080293</vt:i4>
      </vt:variant>
      <vt:variant>
        <vt:i4>171</vt:i4>
      </vt:variant>
      <vt:variant>
        <vt:i4>0</vt:i4>
      </vt:variant>
      <vt:variant>
        <vt:i4>5</vt:i4>
      </vt:variant>
      <vt:variant>
        <vt:lpwstr>https://www.itu.int/net4/wsis/forum/2023/Agenda/Track/13</vt:lpwstr>
      </vt:variant>
      <vt:variant>
        <vt:lpwstr>agenda</vt:lpwstr>
      </vt:variant>
      <vt:variant>
        <vt:i4>6291490</vt:i4>
      </vt:variant>
      <vt:variant>
        <vt:i4>168</vt:i4>
      </vt:variant>
      <vt:variant>
        <vt:i4>0</vt:i4>
      </vt:variant>
      <vt:variant>
        <vt:i4>5</vt:i4>
      </vt:variant>
      <vt:variant>
        <vt:lpwstr>https://www.itu.int/net4/wsis/forum/2023/en</vt:lpwstr>
      </vt:variant>
      <vt:variant>
        <vt:lpwstr/>
      </vt:variant>
      <vt:variant>
        <vt:i4>5701697</vt:i4>
      </vt:variant>
      <vt:variant>
        <vt:i4>159</vt:i4>
      </vt:variant>
      <vt:variant>
        <vt:i4>0</vt:i4>
      </vt:variant>
      <vt:variant>
        <vt:i4>5</vt:i4>
      </vt:variant>
      <vt:variant>
        <vt:lpwstr>https://www.itu.int/net4/ITU-D/CDS/sg/blkmeetings.asp?lg=1&amp;stg=&amp;sp=2022&amp;blk=28225</vt:lpwstr>
      </vt:variant>
      <vt:variant>
        <vt:lpwstr/>
      </vt:variant>
      <vt:variant>
        <vt:i4>5701697</vt:i4>
      </vt:variant>
      <vt:variant>
        <vt:i4>156</vt:i4>
      </vt:variant>
      <vt:variant>
        <vt:i4>0</vt:i4>
      </vt:variant>
      <vt:variant>
        <vt:i4>5</vt:i4>
      </vt:variant>
      <vt:variant>
        <vt:lpwstr>https://www.itu.int/net4/ITU-D/CDS/sg/blkmeetings.asp?lg=1&amp;stg=&amp;sp=2022&amp;blk=28224</vt:lpwstr>
      </vt:variant>
      <vt:variant>
        <vt:lpwstr/>
      </vt:variant>
      <vt:variant>
        <vt:i4>1769558</vt:i4>
      </vt:variant>
      <vt:variant>
        <vt:i4>153</vt:i4>
      </vt:variant>
      <vt:variant>
        <vt:i4>0</vt:i4>
      </vt:variant>
      <vt:variant>
        <vt:i4>5</vt:i4>
      </vt:variant>
      <vt:variant>
        <vt:lpwstr>https://www.itu.int/md/D22-SG01.RGQ-230508-C</vt:lpwstr>
      </vt:variant>
      <vt:variant>
        <vt:lpwstr/>
      </vt:variant>
      <vt:variant>
        <vt:i4>5242894</vt:i4>
      </vt:variant>
      <vt:variant>
        <vt:i4>150</vt:i4>
      </vt:variant>
      <vt:variant>
        <vt:i4>0</vt:i4>
      </vt:variant>
      <vt:variant>
        <vt:i4>5</vt:i4>
      </vt:variant>
      <vt:variant>
        <vt:lpwstr>https://www.itu.int/online/mm/scripts/s/gensel23?_lang=&amp;_event=C-00012321&amp;_event_type=ZSED</vt:lpwstr>
      </vt:variant>
      <vt:variant>
        <vt:lpwstr/>
      </vt:variant>
      <vt:variant>
        <vt:i4>2949221</vt:i4>
      </vt:variant>
      <vt:variant>
        <vt:i4>147</vt:i4>
      </vt:variant>
      <vt:variant>
        <vt:i4>0</vt:i4>
      </vt:variant>
      <vt:variant>
        <vt:i4>5</vt:i4>
      </vt:variant>
      <vt:variant>
        <vt:lpwstr>https://www.itu.int/en/ITU-D/Conferences/WTDC/WTDC21/NoW/Pages/default.aspx</vt:lpwstr>
      </vt:variant>
      <vt:variant>
        <vt:lpwstr/>
      </vt:variant>
      <vt:variant>
        <vt:i4>6029388</vt:i4>
      </vt:variant>
      <vt:variant>
        <vt:i4>144</vt:i4>
      </vt:variant>
      <vt:variant>
        <vt:i4>0</vt:i4>
      </vt:variant>
      <vt:variant>
        <vt:i4>5</vt:i4>
      </vt:variant>
      <vt:variant>
        <vt:lpwstr>https://www.itu.int/en/ITU-T/Workshops-and-Seminars/2023/0511/Pages/default.aspx</vt:lpwstr>
      </vt:variant>
      <vt:variant>
        <vt:lpwstr/>
      </vt:variant>
      <vt:variant>
        <vt:i4>6750261</vt:i4>
      </vt:variant>
      <vt:variant>
        <vt:i4>141</vt:i4>
      </vt:variant>
      <vt:variant>
        <vt:i4>0</vt:i4>
      </vt:variant>
      <vt:variant>
        <vt:i4>5</vt:i4>
      </vt:variant>
      <vt:variant>
        <vt:lpwstr>https://www.itu.int/en/ITU-D/Study-Groups/2022-2025/Pages/meetings/session-Q7-1-may23.aspx</vt:lpwstr>
      </vt:variant>
      <vt:variant>
        <vt:lpwstr/>
      </vt:variant>
      <vt:variant>
        <vt:i4>6750260</vt:i4>
      </vt:variant>
      <vt:variant>
        <vt:i4>135</vt:i4>
      </vt:variant>
      <vt:variant>
        <vt:i4>0</vt:i4>
      </vt:variant>
      <vt:variant>
        <vt:i4>5</vt:i4>
      </vt:variant>
      <vt:variant>
        <vt:lpwstr>https://www.itu.int/en/ITU-D/Study-Groups/2022-2025/Pages/meetings/session-Q6-1-may23.aspx</vt:lpwstr>
      </vt:variant>
      <vt:variant>
        <vt:lpwstr/>
      </vt:variant>
      <vt:variant>
        <vt:i4>5505107</vt:i4>
      </vt:variant>
      <vt:variant>
        <vt:i4>126</vt:i4>
      </vt:variant>
      <vt:variant>
        <vt:i4>0</vt:i4>
      </vt:variant>
      <vt:variant>
        <vt:i4>5</vt:i4>
      </vt:variant>
      <vt:variant>
        <vt:lpwstr>https://www.itu.int/en/ITU-D/Study-Groups/2022-2025/Pages/meetings/joint-session-Q4-1-Q5-1-may23.aspx</vt:lpwstr>
      </vt:variant>
      <vt:variant>
        <vt:lpwstr/>
      </vt:variant>
      <vt:variant>
        <vt:i4>6750257</vt:i4>
      </vt:variant>
      <vt:variant>
        <vt:i4>123</vt:i4>
      </vt:variant>
      <vt:variant>
        <vt:i4>0</vt:i4>
      </vt:variant>
      <vt:variant>
        <vt:i4>5</vt:i4>
      </vt:variant>
      <vt:variant>
        <vt:lpwstr>https://www.itu.int/en/ITU-D/Study-Groups/2022-2025/Pages/meetings/session-Q3-1-may23.aspx</vt:lpwstr>
      </vt:variant>
      <vt:variant>
        <vt:lpwstr/>
      </vt:variant>
      <vt:variant>
        <vt:i4>1179707</vt:i4>
      </vt:variant>
      <vt:variant>
        <vt:i4>117</vt:i4>
      </vt:variant>
      <vt:variant>
        <vt:i4>0</vt:i4>
      </vt:variant>
      <vt:variant>
        <vt:i4>5</vt:i4>
      </vt:variant>
      <vt:variant>
        <vt:lpwstr>https://www.itu.int/en/ITU-D/Study-Groups/2022-2025/Pages/meetings/workshop-products_usage-may23.aspx</vt:lpwstr>
      </vt:variant>
      <vt:variant>
        <vt:lpwstr/>
      </vt:variant>
      <vt:variant>
        <vt:i4>1441795</vt:i4>
      </vt:variant>
      <vt:variant>
        <vt:i4>114</vt:i4>
      </vt:variant>
      <vt:variant>
        <vt:i4>0</vt:i4>
      </vt:variant>
      <vt:variant>
        <vt:i4>5</vt:i4>
      </vt:variant>
      <vt:variant>
        <vt:lpwstr>https://www.itu.int/en/ITU-D/Study-Groups/2022-2025/Pages/meetings/workshop-inclusion-may23.aspx</vt:lpwstr>
      </vt:variant>
      <vt:variant>
        <vt:lpwstr/>
      </vt:variant>
      <vt:variant>
        <vt:i4>6422588</vt:i4>
      </vt:variant>
      <vt:variant>
        <vt:i4>111</vt:i4>
      </vt:variant>
      <vt:variant>
        <vt:i4>0</vt:i4>
      </vt:variant>
      <vt:variant>
        <vt:i4>5</vt:i4>
      </vt:variant>
      <vt:variant>
        <vt:lpwstr>https://www.itu.int/en/ITU-D/Study-Groups/2022-2025/Pages/meetings/workshop-regional-actions-may23.aspx</vt:lpwstr>
      </vt:variant>
      <vt:variant>
        <vt:lpwstr/>
      </vt:variant>
      <vt:variant>
        <vt:i4>1900564</vt:i4>
      </vt:variant>
      <vt:variant>
        <vt:i4>108</vt:i4>
      </vt:variant>
      <vt:variant>
        <vt:i4>0</vt:i4>
      </vt:variant>
      <vt:variant>
        <vt:i4>5</vt:i4>
      </vt:variant>
      <vt:variant>
        <vt:lpwstr>https://www.itu.int/en/ITU-D/Study-Groups/2022-2025/Pages/meetings/workshop-impact-may23.aspx</vt:lpwstr>
      </vt:variant>
      <vt:variant>
        <vt:lpwstr/>
      </vt:variant>
      <vt:variant>
        <vt:i4>1376283</vt:i4>
      </vt:variant>
      <vt:variant>
        <vt:i4>105</vt:i4>
      </vt:variant>
      <vt:variant>
        <vt:i4>0</vt:i4>
      </vt:variant>
      <vt:variant>
        <vt:i4>5</vt:i4>
      </vt:variant>
      <vt:variant>
        <vt:lpwstr>https://www.itu.int/en/ITU-D/Study-Groups/2022-2025/Pages/meetings/workshop-sustainability-may23.aspx</vt:lpwstr>
      </vt:variant>
      <vt:variant>
        <vt:lpwstr/>
      </vt:variant>
      <vt:variant>
        <vt:i4>131084</vt:i4>
      </vt:variant>
      <vt:variant>
        <vt:i4>102</vt:i4>
      </vt:variant>
      <vt:variant>
        <vt:i4>0</vt:i4>
      </vt:variant>
      <vt:variant>
        <vt:i4>5</vt:i4>
      </vt:variant>
      <vt:variant>
        <vt:lpwstr>https://www.itu.int/en/ITU-D/Study-Groups/2022-2025/Pages/meetings/workshop-measuring-may23.aspx</vt:lpwstr>
      </vt:variant>
      <vt:variant>
        <vt:lpwstr/>
      </vt:variant>
      <vt:variant>
        <vt:i4>131076</vt:i4>
      </vt:variant>
      <vt:variant>
        <vt:i4>99</vt:i4>
      </vt:variant>
      <vt:variant>
        <vt:i4>0</vt:i4>
      </vt:variant>
      <vt:variant>
        <vt:i4>5</vt:i4>
      </vt:variant>
      <vt:variant>
        <vt:lpwstr>https://www.itu.int/en/ITU-D/Study-Groups/2022-2025/Pages/meetings/workshop-innovation-may23.aspx</vt:lpwstr>
      </vt:variant>
      <vt:variant>
        <vt:lpwstr/>
      </vt:variant>
      <vt:variant>
        <vt:i4>5701697</vt:i4>
      </vt:variant>
      <vt:variant>
        <vt:i4>96</vt:i4>
      </vt:variant>
      <vt:variant>
        <vt:i4>0</vt:i4>
      </vt:variant>
      <vt:variant>
        <vt:i4>5</vt:i4>
      </vt:variant>
      <vt:variant>
        <vt:lpwstr>https://www.itu.int/net4/ITU-D/CDS/sg/blkmeetings.asp?lg=1&amp;stg=&amp;sp=2022&amp;blk=28224</vt:lpwstr>
      </vt:variant>
      <vt:variant>
        <vt:lpwstr/>
      </vt:variant>
      <vt:variant>
        <vt:i4>3407990</vt:i4>
      </vt:variant>
      <vt:variant>
        <vt:i4>93</vt:i4>
      </vt:variant>
      <vt:variant>
        <vt:i4>0</vt:i4>
      </vt:variant>
      <vt:variant>
        <vt:i4>5</vt:i4>
      </vt:variant>
      <vt:variant>
        <vt:lpwstr>https://www.itu.int/en/ITU-D/Cybersecurity/Pages/Cyber4Good/Cyber4Good.aspx</vt:lpwstr>
      </vt:variant>
      <vt:variant>
        <vt:lpwstr/>
      </vt:variant>
      <vt:variant>
        <vt:i4>1048671</vt:i4>
      </vt:variant>
      <vt:variant>
        <vt:i4>87</vt:i4>
      </vt:variant>
      <vt:variant>
        <vt:i4>0</vt:i4>
      </vt:variant>
      <vt:variant>
        <vt:i4>5</vt:i4>
      </vt:variant>
      <vt:variant>
        <vt:lpwstr>https://www.itu.int/en/ITU-D/MembersPartners/Pages/Partners/Our-common-work-with-selected-Partners.aspx?pi=6999&amp;nb=3</vt:lpwstr>
      </vt:variant>
      <vt:variant>
        <vt:lpwstr/>
      </vt:variant>
      <vt:variant>
        <vt:i4>786503</vt:i4>
      </vt:variant>
      <vt:variant>
        <vt:i4>84</vt:i4>
      </vt:variant>
      <vt:variant>
        <vt:i4>0</vt:i4>
      </vt:variant>
      <vt:variant>
        <vt:i4>5</vt:i4>
      </vt:variant>
      <vt:variant>
        <vt:lpwstr>https://www.itu.int/en/ITU-D/Cybersecurity/Pages/Women-in-Cyber/Women-in-Cyber-Mentorship-Programme.aspx</vt:lpwstr>
      </vt:variant>
      <vt:variant>
        <vt:lpwstr/>
      </vt:variant>
      <vt:variant>
        <vt:i4>2031622</vt:i4>
      </vt:variant>
      <vt:variant>
        <vt:i4>81</vt:i4>
      </vt:variant>
      <vt:variant>
        <vt:i4>0</vt:i4>
      </vt:variant>
      <vt:variant>
        <vt:i4>5</vt:i4>
      </vt:variant>
      <vt:variant>
        <vt:lpwstr>https://www.itu.int/en/ITU-D/Cybersecurity/Pages/global-cybersecurity-index.aspx</vt:lpwstr>
      </vt:variant>
      <vt:variant>
        <vt:lpwstr/>
      </vt:variant>
      <vt:variant>
        <vt:i4>917518</vt:i4>
      </vt:variant>
      <vt:variant>
        <vt:i4>78</vt:i4>
      </vt:variant>
      <vt:variant>
        <vt:i4>0</vt:i4>
      </vt:variant>
      <vt:variant>
        <vt:i4>5</vt:i4>
      </vt:variant>
      <vt:variant>
        <vt:lpwstr>https://www.itu.int/en/ITU-D/Regional-Presence/Africa/Pages/EVENTS/2023/Regional-Cyberdrill-for-Africa-.aspx</vt:lpwstr>
      </vt:variant>
      <vt:variant>
        <vt:lpwstr/>
      </vt:variant>
      <vt:variant>
        <vt:i4>1179716</vt:i4>
      </vt:variant>
      <vt:variant>
        <vt:i4>75</vt:i4>
      </vt:variant>
      <vt:variant>
        <vt:i4>0</vt:i4>
      </vt:variant>
      <vt:variant>
        <vt:i4>5</vt:i4>
      </vt:variant>
      <vt:variant>
        <vt:lpwstr>https://www.dgssi.gov.ma/fr/content/ateliers-debats-autour-des-nouveaux-objectifs-strategiques-nationaux-en-matiere-de-cybersecurite.html</vt:lpwstr>
      </vt:variant>
      <vt:variant>
        <vt:lpwstr/>
      </vt:variant>
      <vt:variant>
        <vt:i4>4915268</vt:i4>
      </vt:variant>
      <vt:variant>
        <vt:i4>72</vt:i4>
      </vt:variant>
      <vt:variant>
        <vt:i4>0</vt:i4>
      </vt:variant>
      <vt:variant>
        <vt:i4>5</vt:i4>
      </vt:variant>
      <vt:variant>
        <vt:lpwstr>https://www.itu.int/itu-d/meetings/statistics/joint-egti-egh-meeting-on-idi-2023</vt:lpwstr>
      </vt:variant>
      <vt:variant>
        <vt:lpwstr/>
      </vt:variant>
      <vt:variant>
        <vt:i4>458815</vt:i4>
      </vt:variant>
      <vt:variant>
        <vt:i4>69</vt:i4>
      </vt:variant>
      <vt:variant>
        <vt:i4>0</vt:i4>
      </vt:variant>
      <vt:variant>
        <vt:i4>5</vt:i4>
      </vt:variant>
      <vt:variant>
        <vt:lpwstr>https://www.itu.int/dms_pub/itu-d/md/22/bdt/cir/D22-BDT-CIR-0009%21%21PDF-E.pdf</vt:lpwstr>
      </vt:variant>
      <vt:variant>
        <vt:lpwstr/>
      </vt:variant>
      <vt:variant>
        <vt:i4>1114114</vt:i4>
      </vt:variant>
      <vt:variant>
        <vt:i4>66</vt:i4>
      </vt:variant>
      <vt:variant>
        <vt:i4>0</vt:i4>
      </vt:variant>
      <vt:variant>
        <vt:i4>5</vt:i4>
      </vt:variant>
      <vt:variant>
        <vt:lpwstr>https://www.itu.int/en/ITU-D/Statistics/Documents/IDI/IDI_2023_Version1_DraftDocument_April2023.pdf</vt:lpwstr>
      </vt:variant>
      <vt:variant>
        <vt:lpwstr/>
      </vt:variant>
      <vt:variant>
        <vt:i4>3539033</vt:i4>
      </vt:variant>
      <vt:variant>
        <vt:i4>63</vt:i4>
      </vt:variant>
      <vt:variant>
        <vt:i4>0</vt:i4>
      </vt:variant>
      <vt:variant>
        <vt:i4>5</vt:i4>
      </vt:variant>
      <vt:variant>
        <vt:lpwstr>https://www.itu.int/en/ITU-D/Statistics/Documents/IDI/IDI2023ZeroDraftDocument_February2023.pdf</vt:lpwstr>
      </vt:variant>
      <vt:variant>
        <vt:lpwstr/>
      </vt:variant>
      <vt:variant>
        <vt:i4>1704061</vt:i4>
      </vt:variant>
      <vt:variant>
        <vt:i4>60</vt:i4>
      </vt:variant>
      <vt:variant>
        <vt:i4>0</vt:i4>
      </vt:variant>
      <vt:variant>
        <vt:i4>5</vt:i4>
      </vt:variant>
      <vt:variant>
        <vt:lpwstr>https://www.itu.int/en/ITU-D/Statistics/Documents/IDI/IDI2023TentativeTimeline_v20230201.pdf</vt:lpwstr>
      </vt:variant>
      <vt:variant>
        <vt:lpwstr/>
      </vt:variant>
      <vt:variant>
        <vt:i4>2621497</vt:i4>
      </vt:variant>
      <vt:variant>
        <vt:i4>57</vt:i4>
      </vt:variant>
      <vt:variant>
        <vt:i4>0</vt:i4>
      </vt:variant>
      <vt:variant>
        <vt:i4>5</vt:i4>
      </vt:variant>
      <vt:variant>
        <vt:lpwstr>https://www.itu.int/dms_pub/itu-d/opb/ind/D-IND-POL_BRIEF.02-2023-PDF-E.pdf</vt:lpwstr>
      </vt:variant>
      <vt:variant>
        <vt:lpwstr/>
      </vt:variant>
      <vt:variant>
        <vt:i4>7340083</vt:i4>
      </vt:variant>
      <vt:variant>
        <vt:i4>54</vt:i4>
      </vt:variant>
      <vt:variant>
        <vt:i4>0</vt:i4>
      </vt:variant>
      <vt:variant>
        <vt:i4>5</vt:i4>
      </vt:variant>
      <vt:variant>
        <vt:lpwstr>https://www.itu.int/itu-d/reports/statistics/facts-figures-for-ldc/</vt:lpwstr>
      </vt:variant>
      <vt:variant>
        <vt:lpwstr/>
      </vt:variant>
      <vt:variant>
        <vt:i4>3604586</vt:i4>
      </vt:variant>
      <vt:variant>
        <vt:i4>51</vt:i4>
      </vt:variant>
      <vt:variant>
        <vt:i4>0</vt:i4>
      </vt:variant>
      <vt:variant>
        <vt:i4>5</vt:i4>
      </vt:variant>
      <vt:variant>
        <vt:lpwstr>https://www.itu.int/itu-d/meetings/gsr-23/consultation/</vt:lpwstr>
      </vt:variant>
      <vt:variant>
        <vt:lpwstr/>
      </vt:variant>
      <vt:variant>
        <vt:i4>2162813</vt:i4>
      </vt:variant>
      <vt:variant>
        <vt:i4>48</vt:i4>
      </vt:variant>
      <vt:variant>
        <vt:i4>0</vt:i4>
      </vt:variant>
      <vt:variant>
        <vt:i4>5</vt:i4>
      </vt:variant>
      <vt:variant>
        <vt:lpwstr>https://www.itu.int/itu-d/meetings/gsr-23/</vt:lpwstr>
      </vt:variant>
      <vt:variant>
        <vt:lpwstr/>
      </vt:variant>
      <vt:variant>
        <vt:i4>6946849</vt:i4>
      </vt:variant>
      <vt:variant>
        <vt:i4>45</vt:i4>
      </vt:variant>
      <vt:variant>
        <vt:i4>0</vt:i4>
      </vt:variant>
      <vt:variant>
        <vt:i4>5</vt:i4>
      </vt:variant>
      <vt:variant>
        <vt:lpwstr>https://app.gen5.digital/benchmark</vt:lpwstr>
      </vt:variant>
      <vt:variant>
        <vt:lpwstr/>
      </vt:variant>
      <vt:variant>
        <vt:i4>524364</vt:i4>
      </vt:variant>
      <vt:variant>
        <vt:i4>42</vt:i4>
      </vt:variant>
      <vt:variant>
        <vt:i4>0</vt:i4>
      </vt:variant>
      <vt:variant>
        <vt:i4>5</vt:i4>
      </vt:variant>
      <vt:variant>
        <vt:lpwstr>https://app.gen5.digital/tracker</vt:lpwstr>
      </vt:variant>
      <vt:variant>
        <vt:lpwstr/>
      </vt:variant>
      <vt:variant>
        <vt:i4>6291543</vt:i4>
      </vt:variant>
      <vt:variant>
        <vt:i4>39</vt:i4>
      </vt:variant>
      <vt:variant>
        <vt:i4>0</vt:i4>
      </vt:variant>
      <vt:variant>
        <vt:i4>5</vt:i4>
      </vt:variant>
      <vt:variant>
        <vt:lpwstr>https://www.itu.int/hub/publication/d-pref-bb-reg_out01-2023/</vt:lpwstr>
      </vt:variant>
      <vt:variant>
        <vt:lpwstr/>
      </vt:variant>
      <vt:variant>
        <vt:i4>5111901</vt:i4>
      </vt:variant>
      <vt:variant>
        <vt:i4>33</vt:i4>
      </vt:variant>
      <vt:variant>
        <vt:i4>0</vt:i4>
      </vt:variant>
      <vt:variant>
        <vt:i4>5</vt:i4>
      </vt:variant>
      <vt:variant>
        <vt:lpwstr>https://academy.itu.int/</vt:lpwstr>
      </vt:variant>
      <vt:variant>
        <vt:lpwstr/>
      </vt:variant>
      <vt:variant>
        <vt:i4>6946867</vt:i4>
      </vt:variant>
      <vt:variant>
        <vt:i4>30</vt:i4>
      </vt:variant>
      <vt:variant>
        <vt:i4>0</vt:i4>
      </vt:variant>
      <vt:variant>
        <vt:i4>5</vt:i4>
      </vt:variant>
      <vt:variant>
        <vt:lpwstr>https://academy.itu.int/itu-d/projects-activities/itu-academy-training-centres</vt:lpwstr>
      </vt:variant>
      <vt:variant>
        <vt:lpwstr/>
      </vt:variant>
      <vt:variant>
        <vt:i4>5111839</vt:i4>
      </vt:variant>
      <vt:variant>
        <vt:i4>27</vt:i4>
      </vt:variant>
      <vt:variant>
        <vt:i4>0</vt:i4>
      </vt:variant>
      <vt:variant>
        <vt:i4>5</vt:i4>
      </vt:variant>
      <vt:variant>
        <vt:lpwstr>https://academy.itu.int/itu-d/projects-activities/centres-excellence</vt:lpwstr>
      </vt:variant>
      <vt:variant>
        <vt:lpwstr/>
      </vt:variant>
      <vt:variant>
        <vt:i4>2490373</vt:i4>
      </vt:variant>
      <vt:variant>
        <vt:i4>24</vt:i4>
      </vt:variant>
      <vt:variant>
        <vt:i4>0</vt:i4>
      </vt:variant>
      <vt:variant>
        <vt:i4>5</vt:i4>
      </vt:variant>
      <vt:variant>
        <vt:lpwstr>https://www.itu.int/dms_pub/itu-d/opb/inno/D-INNO-PROFILE.OMAN-2023-PDF-E.pdf</vt:lpwstr>
      </vt:variant>
      <vt:variant>
        <vt:lpwstr/>
      </vt:variant>
      <vt:variant>
        <vt:i4>4522050</vt:i4>
      </vt:variant>
      <vt:variant>
        <vt:i4>21</vt:i4>
      </vt:variant>
      <vt:variant>
        <vt:i4>0</vt:i4>
      </vt:variant>
      <vt:variant>
        <vt:i4>5</vt:i4>
      </vt:variant>
      <vt:variant>
        <vt:lpwstr>https://www.itu.int/en/ITU-D/Regional-Presence/AsiaPacific/Pages/v2/RD%27s Corner/2023/ITU-South-Asia-Presence-for-Inclusive-Digital-Transformation-.aspx</vt:lpwstr>
      </vt:variant>
      <vt:variant>
        <vt:lpwstr/>
      </vt:variant>
      <vt:variant>
        <vt:i4>4259844</vt:i4>
      </vt:variant>
      <vt:variant>
        <vt:i4>18</vt:i4>
      </vt:variant>
      <vt:variant>
        <vt:i4>0</vt:i4>
      </vt:variant>
      <vt:variant>
        <vt:i4>5</vt:i4>
      </vt:variant>
      <vt:variant>
        <vt:lpwstr>https://www.itu.int/itu-d/sites/innovation-alliance/</vt:lpwstr>
      </vt:variant>
      <vt:variant>
        <vt:lpwstr/>
      </vt:variant>
      <vt:variant>
        <vt:i4>8192085</vt:i4>
      </vt:variant>
      <vt:variant>
        <vt:i4>15</vt:i4>
      </vt:variant>
      <vt:variant>
        <vt:i4>0</vt:i4>
      </vt:variant>
      <vt:variant>
        <vt:i4>5</vt:i4>
      </vt:variant>
      <vt:variant>
        <vt:lpwstr>https://www.itu.int/dms_pub/itu-d/opb/tnd/D-TND-09-2023-01-PDF-E.pdf</vt:lpwstr>
      </vt:variant>
      <vt:variant>
        <vt:lpwstr/>
      </vt:variant>
      <vt:variant>
        <vt:i4>7274552</vt:i4>
      </vt:variant>
      <vt:variant>
        <vt:i4>12</vt:i4>
      </vt:variant>
      <vt:variant>
        <vt:i4>0</vt:i4>
      </vt:variant>
      <vt:variant>
        <vt:i4>5</vt:i4>
      </vt:variant>
      <vt:variant>
        <vt:lpwstr>https://www.itu.int/en/ITU-D/Emergency-Telecommunications/Pages/ITU-SADC-Validation-Workshop-Mar23.aspx</vt:lpwstr>
      </vt:variant>
      <vt:variant>
        <vt:lpwstr/>
      </vt:variant>
      <vt:variant>
        <vt:i4>5373962</vt:i4>
      </vt:variant>
      <vt:variant>
        <vt:i4>9</vt:i4>
      </vt:variant>
      <vt:variant>
        <vt:i4>0</vt:i4>
      </vt:variant>
      <vt:variant>
        <vt:i4>5</vt:i4>
      </vt:variant>
      <vt:variant>
        <vt:lpwstr>https://www.itu.int/en/ITU-D/Emergency-Telecommunications/Pages/Response.aspx</vt:lpwstr>
      </vt:variant>
      <vt:variant>
        <vt:lpwstr/>
      </vt:variant>
      <vt:variant>
        <vt:i4>3670119</vt:i4>
      </vt:variant>
      <vt:variant>
        <vt:i4>3</vt:i4>
      </vt:variant>
      <vt:variant>
        <vt:i4>0</vt:i4>
      </vt:variant>
      <vt:variant>
        <vt:i4>5</vt:i4>
      </vt:variant>
      <vt:variant>
        <vt:lpwstr>https://www.itu.int/en/ITU-D/Emergency-Telecommunications/Pages/Early-Warnings-for-All-Initiative.aspx</vt:lpwstr>
      </vt:variant>
      <vt:variant>
        <vt:lpwstr/>
      </vt:variant>
      <vt:variant>
        <vt:i4>4915227</vt:i4>
      </vt:variant>
      <vt:variant>
        <vt:i4>0</vt:i4>
      </vt:variant>
      <vt:variant>
        <vt:i4>0</vt:i4>
      </vt:variant>
      <vt:variant>
        <vt:i4>5</vt:i4>
      </vt:variant>
      <vt:variant>
        <vt:lpwstr>https://www.itu.int/en/publications/ITU-D/Pages/publications.aspx?parent=D-TDC-WTDC-2022&amp;media=electronic</vt:lpwstr>
      </vt:variant>
      <vt:variant>
        <vt:lpwstr/>
      </vt:variant>
      <vt:variant>
        <vt:i4>2555982</vt:i4>
      </vt:variant>
      <vt:variant>
        <vt:i4>3</vt:i4>
      </vt:variant>
      <vt:variant>
        <vt:i4>0</vt:i4>
      </vt:variant>
      <vt:variant>
        <vt:i4>5</vt:i4>
      </vt:variant>
      <vt:variant>
        <vt:lpwstr>mailto:caroline.troein@itu.int</vt:lpwstr>
      </vt:variant>
      <vt:variant>
        <vt:lpwstr/>
      </vt:variant>
      <vt:variant>
        <vt:i4>1704045</vt:i4>
      </vt:variant>
      <vt:variant>
        <vt:i4>0</vt:i4>
      </vt:variant>
      <vt:variant>
        <vt:i4>0</vt:i4>
      </vt:variant>
      <vt:variant>
        <vt:i4>5</vt:i4>
      </vt:variant>
      <vt:variant>
        <vt:lpwstr>mailto:vanessa.gray@itu.int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FrenchVS</cp:lastModifiedBy>
  <cp:revision>22</cp:revision>
  <cp:lastPrinted>2014-11-05T03:22:00Z</cp:lastPrinted>
  <dcterms:created xsi:type="dcterms:W3CDTF">2023-06-01T05:35:00Z</dcterms:created>
  <dcterms:modified xsi:type="dcterms:W3CDTF">2023-06-08T05:51:00Z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GrammarlyDocumentId">
    <vt:lpwstr>ef3ce6809cea63dc5293ba02acaf9dca353c28c58cceff8ea1cda81649148b24</vt:lpwstr>
  </property>
  <property fmtid="{D5CDD505-2E9C-101B-9397-08002B2CF9AE}" pid="10" name="TranslatedWith">
    <vt:lpwstr>Mercury</vt:lpwstr>
  </property>
  <property fmtid="{D5CDD505-2E9C-101B-9397-08002B2CF9AE}" pid="11" name="GeneratedBy">
    <vt:lpwstr>valeria.dawonauth</vt:lpwstr>
  </property>
  <property fmtid="{D5CDD505-2E9C-101B-9397-08002B2CF9AE}" pid="12" name="GeneratedDate">
    <vt:lpwstr>05/30/2023 14:55:32</vt:lpwstr>
  </property>
  <property fmtid="{D5CDD505-2E9C-101B-9397-08002B2CF9AE}" pid="13" name="OriginalDocID">
    <vt:lpwstr>1a7b0075-aa2f-4b8d-b558-3417d08b51ae</vt:lpwstr>
  </property>
</Properties>
</file>