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508FE47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F24AF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6F24AF" w:rsidRPr="006F24AF">
              <w:rPr>
                <w:b/>
                <w:bCs/>
                <w:sz w:val="26"/>
                <w:szCs w:val="26"/>
              </w:rPr>
              <w:t>20</w:t>
            </w:r>
            <w:r w:rsidR="006F24AF">
              <w:rPr>
                <w:b/>
                <w:bCs/>
                <w:sz w:val="26"/>
                <w:szCs w:val="26"/>
              </w:rPr>
              <w:t>-</w:t>
            </w:r>
            <w:r w:rsidR="006F24AF" w:rsidRPr="006F24AF">
              <w:rPr>
                <w:b/>
                <w:bCs/>
                <w:sz w:val="26"/>
                <w:szCs w:val="26"/>
              </w:rPr>
              <w:t>2</w:t>
            </w:r>
            <w:r w:rsidR="00C81050">
              <w:rPr>
                <w:b/>
                <w:bCs/>
                <w:sz w:val="26"/>
                <w:szCs w:val="26"/>
              </w:rPr>
              <w:t>3</w:t>
            </w:r>
            <w:r w:rsidR="006F24AF"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E01B91D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6F24AF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C3201E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F57777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F57777" w:rsidRPr="007F1CC7" w:rsidRDefault="00F57777" w:rsidP="00F57777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59FC8D57" w:rsidR="00F57777" w:rsidRPr="007F1CC7" w:rsidRDefault="007168CA" w:rsidP="00F5777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16</w:t>
            </w:r>
            <w:r w:rsidR="00F57777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February 2024</w:t>
            </w:r>
          </w:p>
        </w:tc>
      </w:tr>
      <w:tr w:rsidR="00F57777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F57777" w:rsidRPr="007F1CC7" w:rsidRDefault="00F57777" w:rsidP="00F57777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3559FDA" w:rsidR="00F57777" w:rsidRPr="007F1CC7" w:rsidRDefault="00F57777" w:rsidP="00F57777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>
              <w:rPr>
                <w:b/>
              </w:rPr>
              <w:t xml:space="preserve"> English</w:t>
            </w:r>
          </w:p>
        </w:tc>
      </w:tr>
      <w:tr w:rsidR="00304413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210A856" w:rsidR="00304413" w:rsidRPr="0030353C" w:rsidRDefault="00304413" w:rsidP="00304413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304413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22452C9" w:rsidR="00304413" w:rsidRPr="00642C3C" w:rsidRDefault="00304413" w:rsidP="00304413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927A83">
              <w:t>D</w:t>
            </w:r>
            <w:r>
              <w:t>raft agenda</w:t>
            </w:r>
          </w:p>
        </w:tc>
      </w:tr>
    </w:tbl>
    <w:p w14:paraId="77CF718B" w14:textId="77777777" w:rsidR="00AC6F14" w:rsidRPr="00CB31F1" w:rsidRDefault="00AC6F14" w:rsidP="00EA0C51">
      <w:pPr>
        <w:spacing w:after="120"/>
        <w:rPr>
          <w:szCs w:val="24"/>
        </w:rPr>
      </w:pPr>
    </w:p>
    <w:p w14:paraId="6DD4344E" w14:textId="07E6ACFF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Fonts w:ascii="Segoe UI" w:hAnsi="Segoe UI" w:cs="Segoe UI"/>
        </w:rPr>
      </w:pPr>
      <w:bookmarkStart w:id="6" w:name="_GoBack"/>
      <w:r w:rsidRPr="00CB31F1">
        <w:rPr>
          <w:rStyle w:val="normaltextrun"/>
          <w:rFonts w:ascii="Calibri" w:hAnsi="Calibri" w:cs="Calibri"/>
          <w:lang w:val="en-US"/>
        </w:rPr>
        <w:t>Address by the Secretary-General</w:t>
      </w:r>
    </w:p>
    <w:p w14:paraId="00E7822F" w14:textId="732B7F0C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Address by other Elected Officials</w:t>
      </w:r>
    </w:p>
    <w:p w14:paraId="4C7A03A4" w14:textId="43B790A8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Address by the Director of the Telecommunication Development Bureau</w:t>
      </w:r>
    </w:p>
    <w:p w14:paraId="7FEA77C0" w14:textId="733C984C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Opening remarks by the Chair of TDAG</w:t>
      </w:r>
    </w:p>
    <w:p w14:paraId="61010FDD" w14:textId="537138CD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Adoption of the agenda and Time Management Plan</w:t>
      </w:r>
      <w:r w:rsidRPr="00CB31F1">
        <w:rPr>
          <w:rStyle w:val="normaltextrun"/>
          <w:lang w:val="en-US"/>
        </w:rPr>
        <w:t> </w:t>
      </w:r>
    </w:p>
    <w:p w14:paraId="00CA68BB" w14:textId="3E8B8D7E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Reporting on the implementation of the ITU-D Action Plan</w:t>
      </w:r>
    </w:p>
    <w:p w14:paraId="7020806F" w14:textId="0AF0D781" w:rsidR="00836122" w:rsidRPr="00CB31F1" w:rsidRDefault="00836122" w:rsidP="00CB31F1">
      <w:pPr>
        <w:pStyle w:val="paragraph"/>
        <w:numPr>
          <w:ilvl w:val="1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Implementation of the Kigali Action Plan (KAP)</w:t>
      </w:r>
    </w:p>
    <w:p w14:paraId="29EC0C80" w14:textId="38D26782" w:rsidR="00836122" w:rsidRPr="00CB31F1" w:rsidRDefault="00836122" w:rsidP="00CB31F1">
      <w:pPr>
        <w:pStyle w:val="paragraph"/>
        <w:numPr>
          <w:ilvl w:val="1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Preparation of the Operational Plan 2024 (OP-24)</w:t>
      </w:r>
    </w:p>
    <w:p w14:paraId="5FA85859" w14:textId="43D10176" w:rsidR="00836122" w:rsidRPr="00CB31F1" w:rsidRDefault="00836122" w:rsidP="00CB31F1">
      <w:pPr>
        <w:pStyle w:val="paragraph"/>
        <w:numPr>
          <w:ilvl w:val="1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Study Group activities</w:t>
      </w:r>
    </w:p>
    <w:p w14:paraId="585243F8" w14:textId="0FC1F948" w:rsidR="00836122" w:rsidRPr="00CB31F1" w:rsidRDefault="00836122" w:rsidP="00CB31F1">
      <w:pPr>
        <w:pStyle w:val="paragraph"/>
        <w:numPr>
          <w:ilvl w:val="1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ITU-D Projects and special initiatives</w:t>
      </w:r>
    </w:p>
    <w:p w14:paraId="670661AD" w14:textId="0B02A2B9" w:rsidR="00836122" w:rsidRPr="00CB31F1" w:rsidRDefault="00836122" w:rsidP="00CB31F1">
      <w:pPr>
        <w:pStyle w:val="paragraph"/>
        <w:numPr>
          <w:ilvl w:val="1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Membership, Partnerships, Private Sector-related matters</w:t>
      </w:r>
    </w:p>
    <w:p w14:paraId="7ADE08DA" w14:textId="419448AB" w:rsidR="00836122" w:rsidRPr="00CB31F1" w:rsidRDefault="00836122" w:rsidP="00CB31F1">
      <w:pPr>
        <w:pStyle w:val="paragraph"/>
        <w:numPr>
          <w:ilvl w:val="1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Report by the Chair of the Group on Capacity Building Initiatives (GCBI)</w:t>
      </w:r>
    </w:p>
    <w:p w14:paraId="33069FB0" w14:textId="01979F77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Preparations for WTDC-25</w:t>
      </w:r>
    </w:p>
    <w:p w14:paraId="2028EC98" w14:textId="58AD2958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Global Youth Summit</w:t>
      </w:r>
    </w:p>
    <w:p w14:paraId="5D094BE6" w14:textId="53CDAE54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Collaboration with the other Sectors</w:t>
      </w:r>
    </w:p>
    <w:p w14:paraId="48B197BD" w14:textId="074E79E4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lang w:val="en-US"/>
        </w:rPr>
        <w:t xml:space="preserve"> </w:t>
      </w:r>
      <w:r w:rsidRPr="00CB31F1">
        <w:rPr>
          <w:rStyle w:val="normaltextrun"/>
          <w:rFonts w:ascii="Calibri" w:hAnsi="Calibri" w:cs="Calibri"/>
          <w:lang w:val="en-US"/>
        </w:rPr>
        <w:t>Outcomes of RA-23 and WRC-23 relevant to the work of ITU-D</w:t>
      </w:r>
    </w:p>
    <w:p w14:paraId="6016F7B0" w14:textId="69F441A2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Preparations for WTSA-24</w:t>
      </w:r>
    </w:p>
    <w:p w14:paraId="6C290675" w14:textId="4E288B95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Contribution to the work of the Expert Group on the International Telecommunication Regulations (EG-ITR)</w:t>
      </w:r>
    </w:p>
    <w:p w14:paraId="7CE9A971" w14:textId="6E7F4E65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Calendar of ITU-D events</w:t>
      </w:r>
    </w:p>
    <w:p w14:paraId="2B164678" w14:textId="23BB51E6" w:rsidR="00836122" w:rsidRPr="00CB31F1" w:rsidRDefault="00836122" w:rsidP="00CB31F1">
      <w:pPr>
        <w:pStyle w:val="paragraph"/>
        <w:numPr>
          <w:ilvl w:val="0"/>
          <w:numId w:val="2"/>
        </w:numPr>
        <w:spacing w:beforeAutospacing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00CB31F1">
        <w:rPr>
          <w:rStyle w:val="normaltextrun"/>
          <w:rFonts w:ascii="Calibri" w:hAnsi="Calibri" w:cs="Calibri"/>
          <w:lang w:val="en-US"/>
        </w:rPr>
        <w:t>Any other business</w:t>
      </w:r>
    </w:p>
    <w:bookmarkEnd w:id="6"/>
    <w:p w14:paraId="7759C759" w14:textId="2B398B94" w:rsidR="00821996" w:rsidRDefault="00D27B4E" w:rsidP="00D27B4E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</w:pPr>
      <w:r>
        <w:t>_______________</w:t>
      </w:r>
      <w:bookmarkStart w:id="7" w:name="Proposal"/>
      <w:bookmarkEnd w:id="7"/>
    </w:p>
    <w:sectPr w:rsidR="00821996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749C3" w14:textId="77777777" w:rsidR="00430D8A" w:rsidRDefault="00430D8A">
      <w:r>
        <w:separator/>
      </w:r>
    </w:p>
  </w:endnote>
  <w:endnote w:type="continuationSeparator" w:id="0">
    <w:p w14:paraId="5574D273" w14:textId="77777777" w:rsidR="00430D8A" w:rsidRDefault="0043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90AB7" w:rsidRPr="004D495C" w14:paraId="3580057C" w14:textId="77777777" w:rsidTr="003129D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8072CBE" w14:textId="77777777" w:rsidR="00D90AB7" w:rsidRPr="004D495C" w:rsidRDefault="00D90AB7" w:rsidP="00D90AB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64C4951" w14:textId="77777777" w:rsidR="00D90AB7" w:rsidRPr="004D495C" w:rsidRDefault="00D90AB7" w:rsidP="00D90AB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7A58F87" w14:textId="77777777" w:rsidR="00D90AB7" w:rsidRPr="00AF7A97" w:rsidRDefault="00D90AB7" w:rsidP="00D90AB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D90AB7" w:rsidRPr="004D495C" w14:paraId="1A2BC067" w14:textId="77777777" w:rsidTr="003129D2">
      <w:tc>
        <w:tcPr>
          <w:tcW w:w="1526" w:type="dxa"/>
          <w:shd w:val="clear" w:color="auto" w:fill="auto"/>
        </w:tcPr>
        <w:p w14:paraId="0B5F3EEA" w14:textId="77777777" w:rsidR="00D90AB7" w:rsidRPr="004D495C" w:rsidRDefault="00D90AB7" w:rsidP="00D90AB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FFD5AD1" w14:textId="77777777" w:rsidR="00D90AB7" w:rsidRPr="004D495C" w:rsidRDefault="00D90AB7" w:rsidP="00D90AB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1591EC87" w14:textId="77777777" w:rsidR="00D90AB7" w:rsidRPr="00AF7A97" w:rsidRDefault="00D90AB7" w:rsidP="00D90AB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D90AB7" w:rsidRPr="004D495C" w14:paraId="2A2BB007" w14:textId="77777777" w:rsidTr="003129D2">
      <w:tc>
        <w:tcPr>
          <w:tcW w:w="1526" w:type="dxa"/>
          <w:shd w:val="clear" w:color="auto" w:fill="auto"/>
        </w:tcPr>
        <w:p w14:paraId="1B80DC3A" w14:textId="77777777" w:rsidR="00D90AB7" w:rsidRPr="004D495C" w:rsidRDefault="00D90AB7" w:rsidP="00D90AB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98D6860" w14:textId="77777777" w:rsidR="00D90AB7" w:rsidRPr="004D495C" w:rsidRDefault="00D90AB7" w:rsidP="00D90AB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0E9F369" w14:textId="77777777" w:rsidR="00D90AB7" w:rsidRPr="00AF7A97" w:rsidRDefault="00430D8A" w:rsidP="00D90AB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90AB7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D90AB7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14:paraId="40A321D0" w14:textId="1C276101" w:rsidR="00721657" w:rsidRPr="00D90AB7" w:rsidRDefault="00721657" w:rsidP="00D90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9C866" w14:textId="77777777" w:rsidR="00430D8A" w:rsidRDefault="00430D8A">
      <w:r>
        <w:t>____________________</w:t>
      </w:r>
    </w:p>
  </w:footnote>
  <w:footnote w:type="continuationSeparator" w:id="0">
    <w:p w14:paraId="0A84224C" w14:textId="77777777" w:rsidR="00430D8A" w:rsidRDefault="0043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5075C8B3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6F24AF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AD4677" w:rsidRPr="00E05AC1">
      <w:rPr>
        <w:sz w:val="22"/>
        <w:szCs w:val="22"/>
        <w:highlight w:val="yellow"/>
        <w:lang w:val="de-CH"/>
      </w:rPr>
      <w:t>x</w:t>
    </w:r>
    <w:r w:rsidRPr="00E05AC1">
      <w:rPr>
        <w:sz w:val="22"/>
        <w:szCs w:val="22"/>
        <w:highlight w:val="yellow"/>
        <w:lang w:val="de-CH"/>
      </w:rPr>
      <w:t>x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42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866022"/>
    <w:multiLevelType w:val="hybridMultilevel"/>
    <w:tmpl w:val="6A6C4B4A"/>
    <w:lvl w:ilvl="0" w:tplc="C340F06E">
      <w:start w:val="1"/>
      <w:numFmt w:val="decimal"/>
      <w:lvlText w:val="%1."/>
      <w:lvlJc w:val="left"/>
      <w:pPr>
        <w:ind w:left="359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413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30D8A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41FE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24AF"/>
    <w:rsid w:val="006F3D93"/>
    <w:rsid w:val="007019B1"/>
    <w:rsid w:val="007168CA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36122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201E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1050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1F1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B4E"/>
    <w:rsid w:val="00D35BDD"/>
    <w:rsid w:val="00D63006"/>
    <w:rsid w:val="00D72301"/>
    <w:rsid w:val="00D90AB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035B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7777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361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836122"/>
  </w:style>
  <w:style w:type="character" w:customStyle="1" w:styleId="tabchar">
    <w:name w:val="tabchar"/>
    <w:basedOn w:val="DefaultParagraphFont"/>
    <w:rsid w:val="00836122"/>
  </w:style>
  <w:style w:type="character" w:customStyle="1" w:styleId="eop">
    <w:name w:val="eop"/>
    <w:basedOn w:val="DefaultParagraphFont"/>
    <w:rsid w:val="0083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53BF-EB9E-40B1-ACA9-8EA064A38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53F3E-4695-483E-AF88-8156C421D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893AA-ACE4-4310-87BB-AC057E7A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24</cp:revision>
  <cp:lastPrinted>2014-11-04T09:22:00Z</cp:lastPrinted>
  <dcterms:created xsi:type="dcterms:W3CDTF">2020-08-10T08:59:00Z</dcterms:created>
  <dcterms:modified xsi:type="dcterms:W3CDTF">2024-02-16T15:23:00Z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