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sldx" ContentType="application/vnd.openxmlformats-officedocument.presentationml.slide"/>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horzAnchor="margin" w:tblpY="-492"/>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6379"/>
        <w:gridCol w:w="3509"/>
      </w:tblGrid>
      <w:tr w:rsidR="00307769" w:rsidRPr="000229AD" w14:paraId="3F0E9EC4" w14:textId="77777777" w:rsidTr="00952667">
        <w:trPr>
          <w:cantSplit/>
          <w:trHeight w:val="1134"/>
        </w:trPr>
        <w:tc>
          <w:tcPr>
            <w:tcW w:w="6379" w:type="dxa"/>
          </w:tcPr>
          <w:p w14:paraId="68FE8375" w14:textId="60D4E501" w:rsidR="00307769" w:rsidRPr="000229AD" w:rsidRDefault="001011EB" w:rsidP="00716C22">
            <w:pPr>
              <w:tabs>
                <w:tab w:val="clear" w:pos="1191"/>
                <w:tab w:val="clear" w:pos="1588"/>
                <w:tab w:val="clear" w:pos="1985"/>
              </w:tabs>
              <w:ind w:left="34"/>
              <w:rPr>
                <w:b/>
                <w:bCs/>
                <w:sz w:val="32"/>
                <w:szCs w:val="32"/>
                <w:lang w:val="fr-FR"/>
              </w:rPr>
            </w:pPr>
            <w:r w:rsidRPr="000229AD">
              <w:rPr>
                <w:b/>
                <w:bCs/>
                <w:sz w:val="32"/>
                <w:szCs w:val="32"/>
                <w:lang w:val="fr-FR"/>
              </w:rPr>
              <w:t xml:space="preserve">Groupe consultatif pour le développement </w:t>
            </w:r>
            <w:r w:rsidR="00307769" w:rsidRPr="000229AD">
              <w:rPr>
                <w:b/>
                <w:bCs/>
                <w:sz w:val="32"/>
                <w:szCs w:val="32"/>
                <w:lang w:val="fr-FR"/>
              </w:rPr>
              <w:br/>
            </w:r>
            <w:r w:rsidRPr="000229AD">
              <w:rPr>
                <w:b/>
                <w:bCs/>
                <w:sz w:val="32"/>
                <w:szCs w:val="32"/>
                <w:lang w:val="fr-FR"/>
              </w:rPr>
              <w:t>des télécommunications (GCDT</w:t>
            </w:r>
            <w:r w:rsidR="00307769" w:rsidRPr="000229AD">
              <w:rPr>
                <w:b/>
                <w:bCs/>
                <w:sz w:val="32"/>
                <w:szCs w:val="32"/>
                <w:lang w:val="fr-FR"/>
              </w:rPr>
              <w:t>)</w:t>
            </w:r>
          </w:p>
          <w:p w14:paraId="5F5F590A" w14:textId="114AEE46" w:rsidR="00307769" w:rsidRPr="000229AD" w:rsidRDefault="00307769" w:rsidP="00716C22">
            <w:pPr>
              <w:tabs>
                <w:tab w:val="clear" w:pos="1191"/>
                <w:tab w:val="clear" w:pos="1588"/>
                <w:tab w:val="clear" w:pos="1985"/>
              </w:tabs>
              <w:spacing w:after="120"/>
              <w:ind w:left="34"/>
              <w:rPr>
                <w:rFonts w:ascii="Verdana" w:hAnsi="Verdana"/>
                <w:sz w:val="28"/>
                <w:szCs w:val="28"/>
                <w:lang w:val="fr-FR"/>
              </w:rPr>
            </w:pPr>
            <w:r w:rsidRPr="000229AD">
              <w:rPr>
                <w:b/>
                <w:bCs/>
                <w:sz w:val="26"/>
                <w:szCs w:val="26"/>
                <w:lang w:val="fr-FR"/>
              </w:rPr>
              <w:t>3</w:t>
            </w:r>
            <w:r w:rsidR="00873313" w:rsidRPr="000229AD">
              <w:rPr>
                <w:b/>
                <w:bCs/>
                <w:sz w:val="26"/>
                <w:szCs w:val="26"/>
                <w:lang w:val="fr-FR"/>
              </w:rPr>
              <w:t>1</w:t>
            </w:r>
            <w:r w:rsidR="001011EB" w:rsidRPr="000229AD">
              <w:rPr>
                <w:b/>
                <w:bCs/>
                <w:sz w:val="26"/>
                <w:szCs w:val="26"/>
                <w:lang w:val="fr-FR"/>
              </w:rPr>
              <w:t>ème réunion</w:t>
            </w:r>
            <w:r w:rsidRPr="000229AD">
              <w:rPr>
                <w:b/>
                <w:bCs/>
                <w:sz w:val="26"/>
                <w:szCs w:val="26"/>
                <w:lang w:val="fr-FR"/>
              </w:rPr>
              <w:t xml:space="preserve">, </w:t>
            </w:r>
            <w:r w:rsidR="001011EB" w:rsidRPr="000229AD">
              <w:rPr>
                <w:b/>
                <w:bCs/>
                <w:sz w:val="26"/>
                <w:szCs w:val="26"/>
                <w:lang w:val="fr-FR"/>
              </w:rPr>
              <w:t>Genève</w:t>
            </w:r>
            <w:r w:rsidR="00D47E23" w:rsidRPr="000229AD">
              <w:rPr>
                <w:b/>
                <w:bCs/>
                <w:sz w:val="26"/>
                <w:szCs w:val="26"/>
                <w:lang w:val="fr-FR"/>
              </w:rPr>
              <w:t xml:space="preserve">, </w:t>
            </w:r>
            <w:r w:rsidR="001011EB" w:rsidRPr="000229AD">
              <w:rPr>
                <w:b/>
                <w:bCs/>
                <w:sz w:val="26"/>
                <w:szCs w:val="26"/>
                <w:lang w:val="fr-FR"/>
              </w:rPr>
              <w:t>Suisse</w:t>
            </w:r>
            <w:r w:rsidRPr="000229AD">
              <w:rPr>
                <w:b/>
                <w:bCs/>
                <w:sz w:val="26"/>
                <w:szCs w:val="26"/>
                <w:lang w:val="fr-FR"/>
              </w:rPr>
              <w:t xml:space="preserve">, </w:t>
            </w:r>
            <w:r w:rsidR="00873313" w:rsidRPr="000229AD">
              <w:rPr>
                <w:b/>
                <w:bCs/>
                <w:sz w:val="26"/>
                <w:szCs w:val="26"/>
                <w:lang w:val="fr-FR"/>
              </w:rPr>
              <w:t>20</w:t>
            </w:r>
            <w:r w:rsidRPr="000229AD">
              <w:rPr>
                <w:b/>
                <w:bCs/>
                <w:sz w:val="26"/>
                <w:szCs w:val="26"/>
                <w:lang w:val="fr-FR"/>
              </w:rPr>
              <w:t>-</w:t>
            </w:r>
            <w:r w:rsidR="00873313" w:rsidRPr="000229AD">
              <w:rPr>
                <w:b/>
                <w:bCs/>
                <w:sz w:val="26"/>
                <w:szCs w:val="26"/>
                <w:lang w:val="fr-FR"/>
              </w:rPr>
              <w:t>2</w:t>
            </w:r>
            <w:r w:rsidR="00930514" w:rsidRPr="000229AD">
              <w:rPr>
                <w:b/>
                <w:bCs/>
                <w:sz w:val="26"/>
                <w:szCs w:val="26"/>
                <w:lang w:val="fr-FR"/>
              </w:rPr>
              <w:t>3</w:t>
            </w:r>
            <w:r w:rsidR="00873313" w:rsidRPr="000229AD">
              <w:rPr>
                <w:b/>
                <w:bCs/>
                <w:sz w:val="26"/>
                <w:szCs w:val="26"/>
                <w:lang w:val="fr-FR"/>
              </w:rPr>
              <w:t xml:space="preserve"> mai</w:t>
            </w:r>
            <w:r w:rsidRPr="000229AD">
              <w:rPr>
                <w:b/>
                <w:bCs/>
                <w:sz w:val="26"/>
                <w:szCs w:val="26"/>
                <w:lang w:val="fr-FR"/>
              </w:rPr>
              <w:t xml:space="preserve"> 202</w:t>
            </w:r>
            <w:r w:rsidR="00873313" w:rsidRPr="000229AD">
              <w:rPr>
                <w:b/>
                <w:bCs/>
                <w:sz w:val="26"/>
                <w:szCs w:val="26"/>
                <w:lang w:val="fr-FR"/>
              </w:rPr>
              <w:t>4</w:t>
            </w:r>
          </w:p>
        </w:tc>
        <w:tc>
          <w:tcPr>
            <w:tcW w:w="3509" w:type="dxa"/>
          </w:tcPr>
          <w:p w14:paraId="67E7B4C4" w14:textId="0F52E4CC" w:rsidR="00307769" w:rsidRPr="000229AD" w:rsidRDefault="00307769" w:rsidP="00716C22">
            <w:pPr>
              <w:spacing w:after="120"/>
              <w:ind w:right="142"/>
              <w:jc w:val="right"/>
              <w:rPr>
                <w:lang w:val="fr-FR"/>
              </w:rPr>
            </w:pPr>
            <w:r w:rsidRPr="000229AD">
              <w:rPr>
                <w:lang w:val="fr-FR" w:eastAsia="en-GB"/>
              </w:rPr>
              <w:drawing>
                <wp:inline distT="0" distB="0" distL="0" distR="0" wp14:anchorId="7A20172F" wp14:editId="3C26654E">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683C32" w:rsidRPr="000229AD" w14:paraId="3C13197B" w14:textId="77777777" w:rsidTr="0009076F">
        <w:trPr>
          <w:cantSplit/>
        </w:trPr>
        <w:tc>
          <w:tcPr>
            <w:tcW w:w="6379" w:type="dxa"/>
            <w:tcBorders>
              <w:top w:val="single" w:sz="12" w:space="0" w:color="auto"/>
            </w:tcBorders>
          </w:tcPr>
          <w:p w14:paraId="2EED9DB2" w14:textId="77777777" w:rsidR="00683C32" w:rsidRPr="000229AD" w:rsidRDefault="00683C32" w:rsidP="00716C22">
            <w:pPr>
              <w:spacing w:before="0"/>
              <w:rPr>
                <w:rFonts w:cs="Arial"/>
                <w:b/>
                <w:bCs/>
                <w:sz w:val="20"/>
                <w:lang w:val="fr-FR"/>
              </w:rPr>
            </w:pPr>
          </w:p>
        </w:tc>
        <w:tc>
          <w:tcPr>
            <w:tcW w:w="3509" w:type="dxa"/>
            <w:tcBorders>
              <w:top w:val="single" w:sz="12" w:space="0" w:color="auto"/>
            </w:tcBorders>
          </w:tcPr>
          <w:p w14:paraId="6CC77CFE" w14:textId="77777777" w:rsidR="00683C32" w:rsidRPr="000229AD" w:rsidRDefault="00683C32" w:rsidP="00716C22">
            <w:pPr>
              <w:spacing w:before="0"/>
              <w:rPr>
                <w:b/>
                <w:bCs/>
                <w:sz w:val="20"/>
                <w:lang w:val="fr-FR"/>
              </w:rPr>
            </w:pPr>
          </w:p>
        </w:tc>
      </w:tr>
      <w:tr w:rsidR="00683C32" w:rsidRPr="000229AD" w14:paraId="0BB3FBC4" w14:textId="77777777" w:rsidTr="0009076F">
        <w:trPr>
          <w:cantSplit/>
        </w:trPr>
        <w:tc>
          <w:tcPr>
            <w:tcW w:w="6379" w:type="dxa"/>
          </w:tcPr>
          <w:p w14:paraId="43C54B3D" w14:textId="77777777" w:rsidR="00683C32" w:rsidRPr="000229AD" w:rsidRDefault="00683C32" w:rsidP="00716C22">
            <w:pPr>
              <w:pStyle w:val="Committee"/>
              <w:spacing w:before="0"/>
              <w:rPr>
                <w:b w:val="0"/>
                <w:szCs w:val="24"/>
                <w:lang w:val="fr-FR"/>
              </w:rPr>
            </w:pPr>
          </w:p>
        </w:tc>
        <w:tc>
          <w:tcPr>
            <w:tcW w:w="3509" w:type="dxa"/>
          </w:tcPr>
          <w:p w14:paraId="02E44EE9" w14:textId="30282EE0" w:rsidR="00683C32" w:rsidRPr="000229AD" w:rsidRDefault="0096201B" w:rsidP="00716C22">
            <w:pPr>
              <w:spacing w:before="0"/>
              <w:jc w:val="both"/>
              <w:rPr>
                <w:bCs/>
                <w:szCs w:val="24"/>
                <w:lang w:val="fr-FR"/>
              </w:rPr>
            </w:pPr>
            <w:r w:rsidRPr="000229AD">
              <w:rPr>
                <w:b/>
                <w:bCs/>
                <w:lang w:val="fr-FR"/>
              </w:rPr>
              <w:t xml:space="preserve">Document </w:t>
            </w:r>
            <w:bookmarkStart w:id="0" w:name="DocRef1"/>
            <w:bookmarkEnd w:id="0"/>
            <w:r w:rsidRPr="000229AD">
              <w:rPr>
                <w:b/>
                <w:bCs/>
                <w:lang w:val="fr-FR"/>
              </w:rPr>
              <w:t>TDAG</w:t>
            </w:r>
            <w:r w:rsidR="003242AB" w:rsidRPr="000229AD">
              <w:rPr>
                <w:b/>
                <w:bCs/>
                <w:lang w:val="fr-FR"/>
              </w:rPr>
              <w:t>-</w:t>
            </w:r>
            <w:r w:rsidR="00B648C7" w:rsidRPr="000229AD">
              <w:rPr>
                <w:b/>
                <w:bCs/>
                <w:lang w:val="fr-FR"/>
              </w:rPr>
              <w:t>2</w:t>
            </w:r>
            <w:bookmarkStart w:id="1" w:name="DocNo1"/>
            <w:bookmarkEnd w:id="1"/>
            <w:r w:rsidR="00873313" w:rsidRPr="000229AD">
              <w:rPr>
                <w:b/>
                <w:bCs/>
                <w:lang w:val="fr-FR"/>
              </w:rPr>
              <w:t>4</w:t>
            </w:r>
            <w:r w:rsidR="0009076F" w:rsidRPr="000229AD">
              <w:rPr>
                <w:b/>
                <w:bCs/>
                <w:lang w:val="fr-FR"/>
              </w:rPr>
              <w:t>/</w:t>
            </w:r>
            <w:r w:rsidR="008771B3" w:rsidRPr="000229AD">
              <w:rPr>
                <w:b/>
                <w:bCs/>
                <w:lang w:val="fr-FR"/>
              </w:rPr>
              <w:t>2</w:t>
            </w:r>
            <w:r w:rsidRPr="000229AD">
              <w:rPr>
                <w:b/>
                <w:bCs/>
                <w:lang w:val="fr-FR"/>
              </w:rPr>
              <w:t>-</w:t>
            </w:r>
            <w:r w:rsidR="00E25345" w:rsidRPr="000229AD">
              <w:rPr>
                <w:b/>
                <w:bCs/>
                <w:lang w:val="fr-FR"/>
              </w:rPr>
              <w:t>F</w:t>
            </w:r>
          </w:p>
        </w:tc>
      </w:tr>
      <w:tr w:rsidR="00683C32" w:rsidRPr="000229AD" w14:paraId="24D04936" w14:textId="77777777" w:rsidTr="0009076F">
        <w:trPr>
          <w:cantSplit/>
        </w:trPr>
        <w:tc>
          <w:tcPr>
            <w:tcW w:w="6379" w:type="dxa"/>
          </w:tcPr>
          <w:p w14:paraId="12CE4DBF" w14:textId="77777777" w:rsidR="00683C32" w:rsidRPr="000229AD" w:rsidRDefault="00683C32" w:rsidP="00716C22">
            <w:pPr>
              <w:spacing w:before="0"/>
              <w:rPr>
                <w:b/>
                <w:bCs/>
                <w:smallCaps/>
                <w:szCs w:val="24"/>
                <w:lang w:val="fr-FR"/>
              </w:rPr>
            </w:pPr>
          </w:p>
        </w:tc>
        <w:tc>
          <w:tcPr>
            <w:tcW w:w="3509" w:type="dxa"/>
          </w:tcPr>
          <w:p w14:paraId="0F89640F" w14:textId="7D490E4C" w:rsidR="00683C32" w:rsidRPr="000229AD" w:rsidRDefault="008771B3" w:rsidP="00716C22">
            <w:pPr>
              <w:spacing w:before="0"/>
              <w:rPr>
                <w:b/>
                <w:szCs w:val="24"/>
                <w:lang w:val="fr-FR"/>
              </w:rPr>
            </w:pPr>
            <w:bookmarkStart w:id="2" w:name="CreationDate"/>
            <w:bookmarkEnd w:id="2"/>
            <w:r w:rsidRPr="000229AD">
              <w:rPr>
                <w:b/>
                <w:bCs/>
                <w:szCs w:val="28"/>
                <w:lang w:val="fr-FR"/>
              </w:rPr>
              <w:t>7 mai 2024</w:t>
            </w:r>
          </w:p>
        </w:tc>
      </w:tr>
      <w:tr w:rsidR="00683C32" w:rsidRPr="000229AD" w14:paraId="7B96545F" w14:textId="77777777" w:rsidTr="0009076F">
        <w:trPr>
          <w:cantSplit/>
        </w:trPr>
        <w:tc>
          <w:tcPr>
            <w:tcW w:w="6379" w:type="dxa"/>
          </w:tcPr>
          <w:p w14:paraId="65956FD3" w14:textId="77777777" w:rsidR="00683C32" w:rsidRPr="000229AD" w:rsidRDefault="00683C32" w:rsidP="00716C22">
            <w:pPr>
              <w:spacing w:before="0"/>
              <w:rPr>
                <w:b/>
                <w:bCs/>
                <w:smallCaps/>
                <w:szCs w:val="24"/>
                <w:lang w:val="fr-FR"/>
              </w:rPr>
            </w:pPr>
          </w:p>
        </w:tc>
        <w:tc>
          <w:tcPr>
            <w:tcW w:w="3509" w:type="dxa"/>
          </w:tcPr>
          <w:p w14:paraId="30EFD39F" w14:textId="33ACFB79" w:rsidR="00514D2F" w:rsidRPr="000229AD" w:rsidRDefault="0096201B" w:rsidP="00716C22">
            <w:pPr>
              <w:spacing w:before="0"/>
              <w:rPr>
                <w:szCs w:val="24"/>
                <w:lang w:val="fr-FR"/>
              </w:rPr>
            </w:pPr>
            <w:r w:rsidRPr="000229AD">
              <w:rPr>
                <w:b/>
                <w:lang w:val="fr-FR"/>
              </w:rPr>
              <w:t>Original:</w:t>
            </w:r>
            <w:bookmarkStart w:id="3" w:name="Original"/>
            <w:bookmarkEnd w:id="3"/>
            <w:r w:rsidR="00CE0422" w:rsidRPr="000229AD">
              <w:rPr>
                <w:b/>
                <w:lang w:val="fr-FR"/>
              </w:rPr>
              <w:t xml:space="preserve"> </w:t>
            </w:r>
            <w:r w:rsidR="001011EB" w:rsidRPr="000229AD">
              <w:rPr>
                <w:b/>
                <w:lang w:val="fr-FR"/>
              </w:rPr>
              <w:t>anglais</w:t>
            </w:r>
          </w:p>
        </w:tc>
      </w:tr>
      <w:tr w:rsidR="00A13162" w:rsidRPr="000229AD" w14:paraId="31656E31" w14:textId="77777777" w:rsidTr="00107E85">
        <w:trPr>
          <w:cantSplit/>
          <w:trHeight w:val="852"/>
        </w:trPr>
        <w:tc>
          <w:tcPr>
            <w:tcW w:w="9888" w:type="dxa"/>
            <w:gridSpan w:val="2"/>
          </w:tcPr>
          <w:p w14:paraId="512FCA01" w14:textId="7494B706" w:rsidR="00A13162" w:rsidRPr="000229AD" w:rsidRDefault="008771B3" w:rsidP="00716C22">
            <w:pPr>
              <w:pStyle w:val="Source"/>
              <w:rPr>
                <w:lang w:val="fr-FR"/>
              </w:rPr>
            </w:pPr>
            <w:bookmarkStart w:id="4" w:name="Source"/>
            <w:bookmarkEnd w:id="4"/>
            <w:r w:rsidRPr="000229AD">
              <w:rPr>
                <w:lang w:val="fr-FR"/>
              </w:rPr>
              <w:t>Directeur du Bureau de développement des télécommunications</w:t>
            </w:r>
          </w:p>
        </w:tc>
      </w:tr>
      <w:tr w:rsidR="00AC6F14" w:rsidRPr="000229AD" w14:paraId="2CBD3A36" w14:textId="77777777" w:rsidTr="00107E85">
        <w:trPr>
          <w:cantSplit/>
        </w:trPr>
        <w:tc>
          <w:tcPr>
            <w:tcW w:w="9888" w:type="dxa"/>
            <w:gridSpan w:val="2"/>
          </w:tcPr>
          <w:p w14:paraId="1B4121DF" w14:textId="792D490D" w:rsidR="00AC6F14" w:rsidRPr="000229AD" w:rsidRDefault="008771B3" w:rsidP="00716C22">
            <w:pPr>
              <w:pStyle w:val="Title1"/>
              <w:rPr>
                <w:lang w:val="fr-FR"/>
              </w:rPr>
            </w:pPr>
            <w:bookmarkStart w:id="5" w:name="Title"/>
            <w:bookmarkEnd w:id="5"/>
            <w:r w:rsidRPr="000229AD">
              <w:rPr>
                <w:lang w:val="fr-FR"/>
              </w:rPr>
              <w:t>Rapport sur la mise en œuvre du Plan d</w:t>
            </w:r>
            <w:r w:rsidR="00125408" w:rsidRPr="000229AD">
              <w:rPr>
                <w:lang w:val="fr-FR"/>
              </w:rPr>
              <w:t>'</w:t>
            </w:r>
            <w:r w:rsidRPr="000229AD">
              <w:rPr>
                <w:lang w:val="fr-FR"/>
              </w:rPr>
              <w:t>action de Kigali</w:t>
            </w:r>
          </w:p>
        </w:tc>
      </w:tr>
      <w:tr w:rsidR="00A721F4" w:rsidRPr="000229AD" w14:paraId="23A30231" w14:textId="77777777" w:rsidTr="00A721F4">
        <w:trPr>
          <w:cantSplit/>
        </w:trPr>
        <w:tc>
          <w:tcPr>
            <w:tcW w:w="9888" w:type="dxa"/>
            <w:gridSpan w:val="2"/>
            <w:tcBorders>
              <w:bottom w:val="single" w:sz="4" w:space="0" w:color="auto"/>
            </w:tcBorders>
          </w:tcPr>
          <w:p w14:paraId="726EE70E" w14:textId="77777777" w:rsidR="00A721F4" w:rsidRPr="000229AD" w:rsidRDefault="00A721F4" w:rsidP="00716C22">
            <w:pPr>
              <w:rPr>
                <w:lang w:val="fr-FR"/>
              </w:rPr>
            </w:pPr>
          </w:p>
        </w:tc>
      </w:tr>
      <w:tr w:rsidR="00A721F4" w:rsidRPr="000229AD" w14:paraId="590033C8" w14:textId="77777777" w:rsidTr="00A721F4">
        <w:trPr>
          <w:cantSplit/>
        </w:trPr>
        <w:tc>
          <w:tcPr>
            <w:tcW w:w="9888" w:type="dxa"/>
            <w:gridSpan w:val="2"/>
            <w:tcBorders>
              <w:top w:val="single" w:sz="4" w:space="0" w:color="auto"/>
              <w:left w:val="single" w:sz="4" w:space="0" w:color="auto"/>
              <w:bottom w:val="single" w:sz="4" w:space="0" w:color="auto"/>
              <w:right w:val="single" w:sz="4" w:space="0" w:color="auto"/>
            </w:tcBorders>
          </w:tcPr>
          <w:p w14:paraId="3F97E040" w14:textId="31B66266" w:rsidR="00A721F4" w:rsidRPr="000229AD" w:rsidRDefault="001011EB" w:rsidP="00716C22">
            <w:pPr>
              <w:spacing w:after="120"/>
              <w:rPr>
                <w:b/>
                <w:bCs/>
                <w:szCs w:val="24"/>
                <w:lang w:val="fr-FR"/>
              </w:rPr>
            </w:pPr>
            <w:r w:rsidRPr="000229AD">
              <w:rPr>
                <w:b/>
                <w:bCs/>
                <w:szCs w:val="24"/>
                <w:lang w:val="fr-FR"/>
              </w:rPr>
              <w:t>Résumé</w:t>
            </w:r>
            <w:r w:rsidR="00A721F4" w:rsidRPr="000229AD">
              <w:rPr>
                <w:b/>
                <w:bCs/>
                <w:szCs w:val="24"/>
                <w:lang w:val="fr-FR"/>
              </w:rPr>
              <w:t>:</w:t>
            </w:r>
          </w:p>
          <w:p w14:paraId="4082D7E8" w14:textId="5B6B0BED" w:rsidR="00A721F4" w:rsidRPr="000229AD" w:rsidRDefault="008771B3" w:rsidP="00716C22">
            <w:pPr>
              <w:spacing w:after="120"/>
              <w:rPr>
                <w:szCs w:val="24"/>
                <w:lang w:val="fr-FR"/>
              </w:rPr>
            </w:pPr>
            <w:r w:rsidRPr="000229AD">
              <w:rPr>
                <w:lang w:val="fr-FR"/>
              </w:rPr>
              <w:t>Le présent document rend compte de la mise en œuvre du Plan d</w:t>
            </w:r>
            <w:r w:rsidR="00125408" w:rsidRPr="000229AD">
              <w:rPr>
                <w:lang w:val="fr-FR"/>
              </w:rPr>
              <w:t>'</w:t>
            </w:r>
            <w:r w:rsidRPr="000229AD">
              <w:rPr>
                <w:lang w:val="fr-FR"/>
              </w:rPr>
              <w:t xml:space="preserve">action de Kigali de </w:t>
            </w:r>
            <w:r w:rsidRPr="000229AD">
              <w:rPr>
                <w:b/>
                <w:bCs/>
                <w:lang w:val="fr-FR"/>
              </w:rPr>
              <w:t>juin 2023 à avril 2024</w:t>
            </w:r>
            <w:r w:rsidRPr="000229AD">
              <w:rPr>
                <w:lang w:val="fr-FR"/>
              </w:rPr>
              <w:t>, en mettant en avant les principales réalisations dans les régions conformément aux objectifs du Plan d</w:t>
            </w:r>
            <w:r w:rsidR="00125408" w:rsidRPr="000229AD">
              <w:rPr>
                <w:lang w:val="fr-FR"/>
              </w:rPr>
              <w:t>'</w:t>
            </w:r>
            <w:r w:rsidRPr="000229AD">
              <w:rPr>
                <w:lang w:val="fr-FR"/>
              </w:rPr>
              <w:t>action. Il présente en outre les résultats de l</w:t>
            </w:r>
            <w:r w:rsidR="00125408" w:rsidRPr="000229AD">
              <w:rPr>
                <w:lang w:val="fr-FR"/>
              </w:rPr>
              <w:t>'</w:t>
            </w:r>
            <w:r w:rsidRPr="000229AD">
              <w:rPr>
                <w:lang w:val="fr-FR"/>
              </w:rPr>
              <w:t>exercice entrepris par le BDT pour regrouper les indicateurs fondamentaux de performance comme l</w:t>
            </w:r>
            <w:r w:rsidR="00125408" w:rsidRPr="000229AD">
              <w:rPr>
                <w:lang w:val="fr-FR"/>
              </w:rPr>
              <w:t>'</w:t>
            </w:r>
            <w:r w:rsidRPr="000229AD">
              <w:rPr>
                <w:lang w:val="fr-FR"/>
              </w:rPr>
              <w:t>a demandé le GCDT à sa 23ème réunion.</w:t>
            </w:r>
          </w:p>
          <w:p w14:paraId="76A1C541" w14:textId="23209CDB" w:rsidR="00A721F4" w:rsidRPr="000229AD" w:rsidRDefault="001011EB" w:rsidP="00716C22">
            <w:pPr>
              <w:spacing w:after="120"/>
              <w:rPr>
                <w:b/>
                <w:bCs/>
                <w:szCs w:val="24"/>
                <w:lang w:val="fr-FR"/>
              </w:rPr>
            </w:pPr>
            <w:r w:rsidRPr="000229AD">
              <w:rPr>
                <w:b/>
                <w:bCs/>
                <w:lang w:val="fr-FR"/>
              </w:rPr>
              <w:t>Suite à donner</w:t>
            </w:r>
            <w:r w:rsidR="00A721F4" w:rsidRPr="000229AD">
              <w:rPr>
                <w:b/>
                <w:bCs/>
                <w:lang w:val="fr-FR"/>
              </w:rPr>
              <w:t>:</w:t>
            </w:r>
          </w:p>
          <w:p w14:paraId="371956FC" w14:textId="2ED1DCCE" w:rsidR="00A721F4" w:rsidRPr="000229AD" w:rsidRDefault="008771B3" w:rsidP="00716C22">
            <w:pPr>
              <w:spacing w:after="120"/>
              <w:rPr>
                <w:szCs w:val="24"/>
                <w:lang w:val="fr-FR"/>
              </w:rPr>
            </w:pPr>
            <w:r w:rsidRPr="000229AD">
              <w:rPr>
                <w:lang w:val="fr-FR"/>
              </w:rPr>
              <w:t>Le GCDT est invité à examiner le présent rapport et à donner les orientations qu</w:t>
            </w:r>
            <w:r w:rsidR="00125408" w:rsidRPr="000229AD">
              <w:rPr>
                <w:lang w:val="fr-FR"/>
              </w:rPr>
              <w:t>'</w:t>
            </w:r>
            <w:r w:rsidRPr="000229AD">
              <w:rPr>
                <w:lang w:val="fr-FR"/>
              </w:rPr>
              <w:t>il jugera nécessaires.</w:t>
            </w:r>
          </w:p>
          <w:p w14:paraId="622ACB80" w14:textId="39EE560D" w:rsidR="00A721F4" w:rsidRPr="000229AD" w:rsidRDefault="00A721F4" w:rsidP="00716C22">
            <w:pPr>
              <w:spacing w:after="120"/>
              <w:rPr>
                <w:b/>
                <w:bCs/>
                <w:szCs w:val="24"/>
                <w:lang w:val="fr-FR"/>
              </w:rPr>
            </w:pPr>
            <w:r w:rsidRPr="000229AD">
              <w:rPr>
                <w:b/>
                <w:bCs/>
                <w:szCs w:val="24"/>
                <w:lang w:val="fr-FR"/>
              </w:rPr>
              <w:t>R</w:t>
            </w:r>
            <w:r w:rsidR="001011EB" w:rsidRPr="000229AD">
              <w:rPr>
                <w:b/>
                <w:bCs/>
                <w:szCs w:val="24"/>
                <w:lang w:val="fr-FR"/>
              </w:rPr>
              <w:t>é</w:t>
            </w:r>
            <w:r w:rsidRPr="000229AD">
              <w:rPr>
                <w:b/>
                <w:bCs/>
                <w:szCs w:val="24"/>
                <w:lang w:val="fr-FR"/>
              </w:rPr>
              <w:t>f</w:t>
            </w:r>
            <w:r w:rsidR="001011EB" w:rsidRPr="000229AD">
              <w:rPr>
                <w:b/>
                <w:bCs/>
                <w:szCs w:val="24"/>
                <w:lang w:val="fr-FR"/>
              </w:rPr>
              <w:t>é</w:t>
            </w:r>
            <w:r w:rsidRPr="000229AD">
              <w:rPr>
                <w:b/>
                <w:bCs/>
                <w:szCs w:val="24"/>
                <w:lang w:val="fr-FR"/>
              </w:rPr>
              <w:t>rences:</w:t>
            </w:r>
          </w:p>
          <w:p w14:paraId="475F6E64" w14:textId="4D95D200" w:rsidR="008771B3" w:rsidRPr="000229AD" w:rsidRDefault="008771B3" w:rsidP="00716C22">
            <w:pPr>
              <w:spacing w:after="120"/>
              <w:rPr>
                <w:lang w:val="fr-FR"/>
              </w:rPr>
            </w:pPr>
            <w:r w:rsidRPr="000229AD">
              <w:rPr>
                <w:lang w:val="fr-FR"/>
              </w:rPr>
              <w:t>Plan d</w:t>
            </w:r>
            <w:r w:rsidR="00125408" w:rsidRPr="000229AD">
              <w:rPr>
                <w:lang w:val="fr-FR"/>
              </w:rPr>
              <w:t>'</w:t>
            </w:r>
            <w:r w:rsidRPr="000229AD">
              <w:rPr>
                <w:lang w:val="fr-FR"/>
              </w:rPr>
              <w:t>action de Kigali (CMDT-22)</w:t>
            </w:r>
          </w:p>
          <w:p w14:paraId="1ECDD20E" w14:textId="331ABF6E" w:rsidR="00A721F4" w:rsidRPr="000229AD" w:rsidRDefault="008771B3" w:rsidP="00716C22">
            <w:pPr>
              <w:spacing w:after="120"/>
              <w:rPr>
                <w:lang w:val="fr-FR"/>
              </w:rPr>
            </w:pPr>
            <w:r w:rsidRPr="000229AD">
              <w:rPr>
                <w:lang w:val="fr-FR"/>
              </w:rPr>
              <w:t>Document TDAG-23/DT/3</w:t>
            </w:r>
          </w:p>
        </w:tc>
      </w:tr>
    </w:tbl>
    <w:p w14:paraId="5B29B2A3" w14:textId="77777777" w:rsidR="00923CF1" w:rsidRPr="000229AD" w:rsidRDefault="00923CF1" w:rsidP="00716C22">
      <w:pPr>
        <w:tabs>
          <w:tab w:val="clear" w:pos="794"/>
          <w:tab w:val="clear" w:pos="1191"/>
          <w:tab w:val="clear" w:pos="1588"/>
          <w:tab w:val="clear" w:pos="1985"/>
        </w:tabs>
        <w:overflowPunct/>
        <w:autoSpaceDE/>
        <w:autoSpaceDN/>
        <w:adjustRightInd/>
        <w:spacing w:before="0"/>
        <w:textAlignment w:val="auto"/>
        <w:rPr>
          <w:lang w:val="fr-FR"/>
        </w:rPr>
      </w:pPr>
      <w:r w:rsidRPr="000229AD">
        <w:rPr>
          <w:lang w:val="fr-FR"/>
        </w:rPr>
        <w:br w:type="page"/>
      </w:r>
    </w:p>
    <w:p w14:paraId="39320488" w14:textId="77777777" w:rsidR="003A306E" w:rsidRPr="000229AD" w:rsidRDefault="003A306E" w:rsidP="00716C22">
      <w:pPr>
        <w:pStyle w:val="Headingb"/>
        <w:rPr>
          <w:lang w:val="fr-FR"/>
        </w:rPr>
      </w:pPr>
      <w:r w:rsidRPr="000229AD">
        <w:rPr>
          <w:lang w:val="fr-FR"/>
        </w:rPr>
        <w:lastRenderedPageBreak/>
        <w:t>Introduction</w:t>
      </w:r>
    </w:p>
    <w:p w14:paraId="4EE4B6AA" w14:textId="2C8496FB" w:rsidR="003A306E" w:rsidRPr="000229AD" w:rsidRDefault="003A306E" w:rsidP="00716C22">
      <w:pPr>
        <w:rPr>
          <w:lang w:val="fr-FR"/>
        </w:rPr>
      </w:pPr>
      <w:r w:rsidRPr="000229AD">
        <w:rPr>
          <w:lang w:val="fr-FR"/>
        </w:rPr>
        <w:t xml:space="preserve">La Conférence mondiale de développement des télécommunications tenue à Kigali (Rwanda) du 6 au 16 juin 2022 (CMDT-22) a adopté le </w:t>
      </w:r>
      <w:hyperlink r:id="rId11" w:history="1">
        <w:r w:rsidRPr="000229AD">
          <w:rPr>
            <w:rStyle w:val="Hyperlink"/>
            <w:lang w:val="fr-FR"/>
          </w:rPr>
          <w:t>Plan d</w:t>
        </w:r>
        <w:r w:rsidR="00125408" w:rsidRPr="000229AD">
          <w:rPr>
            <w:rStyle w:val="Hyperlink"/>
            <w:lang w:val="fr-FR"/>
          </w:rPr>
          <w:t>'</w:t>
        </w:r>
        <w:r w:rsidRPr="000229AD">
          <w:rPr>
            <w:rStyle w:val="Hyperlink"/>
            <w:lang w:val="fr-FR"/>
          </w:rPr>
          <w:t>action de Kigali</w:t>
        </w:r>
      </w:hyperlink>
      <w:r w:rsidRPr="000229AD">
        <w:rPr>
          <w:lang w:val="fr-FR"/>
        </w:rPr>
        <w:t>. Ce plan comprend les priorités et les catalyseurs du Secteur du développement des télécommunications (UIT-D), les résultats et produits attendus sous forme de produits et services de l</w:t>
      </w:r>
      <w:r w:rsidR="00125408" w:rsidRPr="000229AD">
        <w:rPr>
          <w:lang w:val="fr-FR"/>
        </w:rPr>
        <w:t>'</w:t>
      </w:r>
      <w:r w:rsidRPr="000229AD">
        <w:rPr>
          <w:lang w:val="fr-FR"/>
        </w:rPr>
        <w:t>UIT-D, un ensemble d</w:t>
      </w:r>
      <w:r w:rsidR="00125408" w:rsidRPr="000229AD">
        <w:rPr>
          <w:lang w:val="fr-FR"/>
        </w:rPr>
        <w:t>'</w:t>
      </w:r>
      <w:r w:rsidRPr="000229AD">
        <w:rPr>
          <w:lang w:val="fr-FR"/>
        </w:rPr>
        <w:t>initiatives régionales, des Résolutions nouvelles ou révisées, des Recommandations et des Questions confiées à l</w:t>
      </w:r>
      <w:r w:rsidR="00125408" w:rsidRPr="000229AD">
        <w:rPr>
          <w:lang w:val="fr-FR"/>
        </w:rPr>
        <w:t>'</w:t>
      </w:r>
      <w:r w:rsidRPr="000229AD">
        <w:rPr>
          <w:lang w:val="fr-FR"/>
        </w:rPr>
        <w:t>UIT-D. Il est conforme aux priorités thématiques de l</w:t>
      </w:r>
      <w:r w:rsidR="00125408" w:rsidRPr="000229AD">
        <w:rPr>
          <w:lang w:val="fr-FR"/>
        </w:rPr>
        <w:t>'</w:t>
      </w:r>
      <w:r w:rsidRPr="000229AD">
        <w:rPr>
          <w:lang w:val="fr-FR"/>
        </w:rPr>
        <w:t>Union internationale des télécommunications (UIT) ainsi qu</w:t>
      </w:r>
      <w:r w:rsidR="00125408" w:rsidRPr="000229AD">
        <w:rPr>
          <w:lang w:val="fr-FR"/>
        </w:rPr>
        <w:t>'</w:t>
      </w:r>
      <w:r w:rsidRPr="000229AD">
        <w:rPr>
          <w:lang w:val="fr-FR"/>
        </w:rPr>
        <w:t>aux objectifs de développement durable (ODD) et aux grandes orientations du Sommet mondial sur la société de l</w:t>
      </w:r>
      <w:r w:rsidR="00125408" w:rsidRPr="000229AD">
        <w:rPr>
          <w:lang w:val="fr-FR"/>
        </w:rPr>
        <w:t>'</w:t>
      </w:r>
      <w:r w:rsidRPr="000229AD">
        <w:rPr>
          <w:lang w:val="fr-FR"/>
        </w:rPr>
        <w:t>information (SMSI).</w:t>
      </w:r>
    </w:p>
    <w:p w14:paraId="374068C2" w14:textId="2635AE79" w:rsidR="003A306E" w:rsidRPr="000229AD" w:rsidRDefault="003A306E" w:rsidP="00716C22">
      <w:pPr>
        <w:rPr>
          <w:lang w:val="fr-FR"/>
        </w:rPr>
      </w:pPr>
      <w:r w:rsidRPr="000229AD">
        <w:rPr>
          <w:lang w:val="fr-FR"/>
        </w:rPr>
        <w:t>Le présent document rend compte de la mise en œuvre du Plan d</w:t>
      </w:r>
      <w:r w:rsidR="00125408" w:rsidRPr="000229AD">
        <w:rPr>
          <w:lang w:val="fr-FR"/>
        </w:rPr>
        <w:t>'</w:t>
      </w:r>
      <w:r w:rsidRPr="000229AD">
        <w:rPr>
          <w:lang w:val="fr-FR"/>
        </w:rPr>
        <w:t>action de Kigali de juin 2023 à avril 2024. Il présente les résultats obtenus dans chaque région, conformément aux priorités et aux catalyseurs de l</w:t>
      </w:r>
      <w:r w:rsidR="00125408" w:rsidRPr="000229AD">
        <w:rPr>
          <w:lang w:val="fr-FR"/>
        </w:rPr>
        <w:t>'</w:t>
      </w:r>
      <w:r w:rsidRPr="000229AD">
        <w:rPr>
          <w:lang w:val="fr-FR"/>
        </w:rPr>
        <w:t>UIT-D, selon les services essentiels de l</w:t>
      </w:r>
      <w:r w:rsidR="00125408" w:rsidRPr="000229AD">
        <w:rPr>
          <w:lang w:val="fr-FR"/>
        </w:rPr>
        <w:t>'</w:t>
      </w:r>
      <w:r w:rsidRPr="000229AD">
        <w:rPr>
          <w:lang w:val="fr-FR"/>
        </w:rPr>
        <w:t>UIT-D tels que définis dans le Plan d</w:t>
      </w:r>
      <w:r w:rsidR="00125408" w:rsidRPr="000229AD">
        <w:rPr>
          <w:lang w:val="fr-FR"/>
        </w:rPr>
        <w:t>'</w:t>
      </w:r>
      <w:r w:rsidRPr="000229AD">
        <w:rPr>
          <w:lang w:val="fr-FR"/>
        </w:rPr>
        <w:t>action de Kigali. Il rend également compte des résultats des mesures prises par le Bureau de développement des télécommunications (BDT) pour regrouper les indicateurs fondamentaux de performance, conformément à la demande formulée par le Groupe consultatif pour le développement des télécommunications en 2023 (GCDT-23).</w:t>
      </w:r>
    </w:p>
    <w:p w14:paraId="3CFF9B84" w14:textId="7D87679D" w:rsidR="003A306E" w:rsidRPr="000229AD" w:rsidRDefault="003A306E" w:rsidP="00716C22">
      <w:pPr>
        <w:rPr>
          <w:lang w:val="fr-FR"/>
        </w:rPr>
      </w:pPr>
      <w:r w:rsidRPr="000229AD">
        <w:rPr>
          <w:lang w:val="fr-FR"/>
        </w:rPr>
        <w:t>L</w:t>
      </w:r>
      <w:r w:rsidR="00125408" w:rsidRPr="000229AD">
        <w:rPr>
          <w:lang w:val="fr-FR"/>
        </w:rPr>
        <w:t>'</w:t>
      </w:r>
      <w:r w:rsidRPr="000229AD">
        <w:rPr>
          <w:lang w:val="fr-FR"/>
        </w:rPr>
        <w:t>Annexe 2 du présent document contient les tableaux récapitulatifs de la mise en œuvre du plan opérationnel pour 2023 selon un cadre de gestion axée sur les résultats.</w:t>
      </w:r>
    </w:p>
    <w:p w14:paraId="69B70EE0" w14:textId="36EBB288" w:rsidR="00EC6FED" w:rsidRPr="000229AD" w:rsidRDefault="003A306E" w:rsidP="00716C22">
      <w:pPr>
        <w:pStyle w:val="Figuretitle"/>
        <w:spacing w:before="240" w:after="240"/>
        <w:rPr>
          <w:lang w:val="fr-FR"/>
        </w:rPr>
      </w:pPr>
      <w:r w:rsidRPr="000229AD">
        <w:rPr>
          <w:lang w:val="fr-FR"/>
        </w:rPr>
        <w:t>Figure 1</w:t>
      </w:r>
      <w:r w:rsidR="00345996" w:rsidRPr="000229AD">
        <w:rPr>
          <w:lang w:val="fr-FR"/>
        </w:rPr>
        <w:t xml:space="preserve"> –</w:t>
      </w:r>
      <w:r w:rsidRPr="000229AD">
        <w:rPr>
          <w:lang w:val="fr-FR"/>
        </w:rPr>
        <w:t xml:space="preserve"> Planification opérationnelle pour 2023: réalisations, produits et activités</w:t>
      </w:r>
    </w:p>
    <w:p w14:paraId="166A0B57" w14:textId="3F850AD3" w:rsidR="003A306E" w:rsidRPr="000229AD" w:rsidRDefault="009216ED" w:rsidP="00716C22">
      <w:pPr>
        <w:pStyle w:val="Figure"/>
        <w:spacing w:after="240"/>
        <w:jc w:val="center"/>
      </w:pPr>
      <w:r w:rsidRPr="000229AD">
        <w:object w:dxaOrig="9624" w:dyaOrig="5410" w14:anchorId="6B23EF5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402.7pt;height:142.8pt" o:ole="">
            <v:imagedata r:id="rId12" o:title="" croptop="13098f" cropbottom="10870f"/>
          </v:shape>
          <o:OLEObject Type="Embed" ProgID="PowerPoint.Slide.12" ShapeID="_x0000_i1029" DrawAspect="Content" ObjectID="_1777283230" r:id="rId13"/>
        </w:object>
      </w:r>
    </w:p>
    <w:p w14:paraId="365997F3" w14:textId="40197E6E" w:rsidR="003A306E" w:rsidRPr="000229AD" w:rsidRDefault="003A306E" w:rsidP="00716C22">
      <w:pPr>
        <w:pStyle w:val="Headingb"/>
        <w:rPr>
          <w:lang w:val="fr-FR"/>
        </w:rPr>
      </w:pPr>
      <w:r w:rsidRPr="000229AD">
        <w:rPr>
          <w:lang w:val="fr-FR"/>
        </w:rPr>
        <w:t>Agrégation des indicateurs fondamentaux de performance du Plan d</w:t>
      </w:r>
      <w:r w:rsidR="00125408" w:rsidRPr="000229AD">
        <w:rPr>
          <w:lang w:val="fr-FR"/>
        </w:rPr>
        <w:t>'</w:t>
      </w:r>
      <w:r w:rsidRPr="000229AD">
        <w:rPr>
          <w:lang w:val="fr-FR"/>
        </w:rPr>
        <w:t>action de Kigali</w:t>
      </w:r>
    </w:p>
    <w:p w14:paraId="262709D7" w14:textId="26AA3A10" w:rsidR="003A306E" w:rsidRPr="000229AD" w:rsidRDefault="003A306E" w:rsidP="00716C22">
      <w:pPr>
        <w:rPr>
          <w:lang w:val="fr-FR"/>
        </w:rPr>
      </w:pPr>
      <w:r w:rsidRPr="000229AD">
        <w:rPr>
          <w:lang w:val="fr-FR"/>
        </w:rPr>
        <w:t>Lors de sa dernière session, tenue du 19 au 23 juin 2023, le GCDT a examiné et approuvé les indicateurs fondamentaux de performance pour le cadre de mise en œuvre du Plan d</w:t>
      </w:r>
      <w:r w:rsidR="00125408" w:rsidRPr="000229AD">
        <w:rPr>
          <w:lang w:val="fr-FR"/>
        </w:rPr>
        <w:t>'</w:t>
      </w:r>
      <w:r w:rsidRPr="000229AD">
        <w:rPr>
          <w:lang w:val="fr-FR"/>
        </w:rPr>
        <w:t>action de Kigali. Au total, 87 indicateurs ont été présentés au GCDT, dont 73 ont été approuvés. Le GCDT a proposé d</w:t>
      </w:r>
      <w:r w:rsidR="00125408" w:rsidRPr="000229AD">
        <w:rPr>
          <w:lang w:val="fr-FR"/>
        </w:rPr>
        <w:t>'</w:t>
      </w:r>
      <w:r w:rsidRPr="000229AD">
        <w:rPr>
          <w:lang w:val="fr-FR"/>
        </w:rPr>
        <w:t>affiner et de rationaliser davantage ces indicateurs afin qu</w:t>
      </w:r>
      <w:r w:rsidR="00125408" w:rsidRPr="000229AD">
        <w:rPr>
          <w:lang w:val="fr-FR"/>
        </w:rPr>
        <w:t>'</w:t>
      </w:r>
      <w:r w:rsidRPr="000229AD">
        <w:rPr>
          <w:lang w:val="fr-FR"/>
        </w:rPr>
        <w:t>ils puissent fournir une meilleure vue d</w:t>
      </w:r>
      <w:r w:rsidR="00125408" w:rsidRPr="000229AD">
        <w:rPr>
          <w:lang w:val="fr-FR"/>
        </w:rPr>
        <w:t>'</w:t>
      </w:r>
      <w:r w:rsidRPr="000229AD">
        <w:rPr>
          <w:lang w:val="fr-FR"/>
        </w:rPr>
        <w:t>ensemble des avancées obtenues.</w:t>
      </w:r>
    </w:p>
    <w:p w14:paraId="42B143C3" w14:textId="65863C31" w:rsidR="003A306E" w:rsidRPr="000229AD" w:rsidRDefault="003A306E" w:rsidP="00716C22">
      <w:pPr>
        <w:rPr>
          <w:lang w:val="fr-FR"/>
        </w:rPr>
      </w:pPr>
      <w:r w:rsidRPr="000229AD">
        <w:rPr>
          <w:lang w:val="fr-FR"/>
        </w:rPr>
        <w:t>Cet exercice a abouti à l</w:t>
      </w:r>
      <w:r w:rsidR="00125408" w:rsidRPr="000229AD">
        <w:rPr>
          <w:lang w:val="fr-FR"/>
        </w:rPr>
        <w:t>'</w:t>
      </w:r>
      <w:r w:rsidRPr="000229AD">
        <w:rPr>
          <w:lang w:val="fr-FR"/>
        </w:rPr>
        <w:t>adoption d</w:t>
      </w:r>
      <w:r w:rsidR="00125408" w:rsidRPr="000229AD">
        <w:rPr>
          <w:lang w:val="fr-FR"/>
        </w:rPr>
        <w:t>'</w:t>
      </w:r>
      <w:r w:rsidRPr="000229AD">
        <w:rPr>
          <w:lang w:val="fr-FR"/>
        </w:rPr>
        <w:t>un total de 18 indicateurs de réalisation et de 27 indicateurs de produits.</w:t>
      </w:r>
    </w:p>
    <w:p w14:paraId="0070BDA8" w14:textId="31A7DD7E" w:rsidR="003A306E" w:rsidRPr="000229AD" w:rsidRDefault="003A306E" w:rsidP="00716C22">
      <w:pPr>
        <w:rPr>
          <w:lang w:val="fr-FR"/>
        </w:rPr>
      </w:pPr>
      <w:r w:rsidRPr="000229AD">
        <w:rPr>
          <w:lang w:val="fr-FR"/>
        </w:rPr>
        <w:t>Les indicateurs de réalisation permettront de suivre la contribution du BDT aux réalisations définies dans le Plan d</w:t>
      </w:r>
      <w:r w:rsidR="00125408" w:rsidRPr="000229AD">
        <w:rPr>
          <w:lang w:val="fr-FR"/>
        </w:rPr>
        <w:t>'</w:t>
      </w:r>
      <w:r w:rsidRPr="000229AD">
        <w:rPr>
          <w:lang w:val="fr-FR"/>
        </w:rPr>
        <w:t>action de Kigali afin de répondre aux exigences de rapport de la prochaine CMDT en 2025, tandis que les indicateurs de produit permettront de suivre, sur une base annuelle, la fourniture des produits et services de l</w:t>
      </w:r>
      <w:r w:rsidR="00125408" w:rsidRPr="000229AD">
        <w:rPr>
          <w:lang w:val="fr-FR"/>
        </w:rPr>
        <w:t>'</w:t>
      </w:r>
      <w:r w:rsidRPr="000229AD">
        <w:rPr>
          <w:lang w:val="fr-FR"/>
        </w:rPr>
        <w:t>UIT-D conformément au Plan opérationnel de l</w:t>
      </w:r>
      <w:r w:rsidR="00125408" w:rsidRPr="000229AD">
        <w:rPr>
          <w:lang w:val="fr-FR"/>
        </w:rPr>
        <w:t>'</w:t>
      </w:r>
      <w:r w:rsidRPr="000229AD">
        <w:rPr>
          <w:lang w:val="fr-FR"/>
        </w:rPr>
        <w:t>UIT-D.</w:t>
      </w:r>
      <w:r w:rsidRPr="000229AD">
        <w:rPr>
          <w:lang w:val="fr-FR"/>
        </w:rPr>
        <w:br w:type="page"/>
      </w:r>
    </w:p>
    <w:tbl>
      <w:tblPr>
        <w:tblStyle w:val="GridTable4-Accent1"/>
        <w:tblW w:w="10349" w:type="dxa"/>
        <w:tblInd w:w="-289" w:type="dxa"/>
        <w:tblLayout w:type="fixed"/>
        <w:tblLook w:val="04A0" w:firstRow="1" w:lastRow="0" w:firstColumn="1" w:lastColumn="0" w:noHBand="0" w:noVBand="1"/>
      </w:tblPr>
      <w:tblGrid>
        <w:gridCol w:w="2160"/>
        <w:gridCol w:w="8189"/>
      </w:tblGrid>
      <w:tr w:rsidR="003A306E" w:rsidRPr="000229AD" w14:paraId="5B28DB32" w14:textId="77777777" w:rsidTr="00D8093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60" w:type="dxa"/>
          </w:tcPr>
          <w:p w14:paraId="53C3187D" w14:textId="75FEB3C3" w:rsidR="003A306E" w:rsidRPr="000229AD" w:rsidRDefault="003A306E" w:rsidP="00716C22">
            <w:pPr>
              <w:pStyle w:val="Tablehead"/>
              <w:jc w:val="left"/>
              <w:rPr>
                <w:rFonts w:cstheme="minorHAnsi"/>
                <w:b/>
                <w:bCs w:val="0"/>
                <w:szCs w:val="22"/>
                <w:lang w:val="fr-FR"/>
              </w:rPr>
            </w:pPr>
            <w:r w:rsidRPr="000229AD">
              <w:rPr>
                <w:b/>
                <w:bCs w:val="0"/>
                <w:lang w:val="fr-FR"/>
              </w:rPr>
              <w:lastRenderedPageBreak/>
              <w:t>Priorités de l</w:t>
            </w:r>
            <w:r w:rsidR="00125408" w:rsidRPr="000229AD">
              <w:rPr>
                <w:b/>
                <w:bCs w:val="0"/>
                <w:lang w:val="fr-FR"/>
              </w:rPr>
              <w:t>'</w:t>
            </w:r>
            <w:r w:rsidRPr="000229AD">
              <w:rPr>
                <w:b/>
                <w:bCs w:val="0"/>
                <w:lang w:val="fr-FR"/>
              </w:rPr>
              <w:t>UIT-D</w:t>
            </w:r>
          </w:p>
        </w:tc>
        <w:tc>
          <w:tcPr>
            <w:tcW w:w="8189" w:type="dxa"/>
          </w:tcPr>
          <w:p w14:paraId="7E8F5124" w14:textId="77777777" w:rsidR="003A306E" w:rsidRPr="000229AD" w:rsidRDefault="003A306E" w:rsidP="00716C22">
            <w:pPr>
              <w:pStyle w:val="Tablehead"/>
              <w:jc w:val="left"/>
              <w:cnfStyle w:val="100000000000" w:firstRow="1" w:lastRow="0" w:firstColumn="0" w:lastColumn="0" w:oddVBand="0" w:evenVBand="0" w:oddHBand="0" w:evenHBand="0" w:firstRowFirstColumn="0" w:firstRowLastColumn="0" w:lastRowFirstColumn="0" w:lastRowLastColumn="0"/>
              <w:rPr>
                <w:rFonts w:cstheme="minorHAnsi"/>
                <w:b/>
                <w:bCs w:val="0"/>
                <w:szCs w:val="22"/>
                <w:lang w:val="fr-FR"/>
              </w:rPr>
            </w:pPr>
            <w:r w:rsidRPr="000229AD">
              <w:rPr>
                <w:b/>
                <w:bCs w:val="0"/>
                <w:lang w:val="fr-FR"/>
              </w:rPr>
              <w:t>Indicateurs de réalisation</w:t>
            </w:r>
          </w:p>
        </w:tc>
      </w:tr>
      <w:tr w:rsidR="003A306E" w:rsidRPr="000229AD" w14:paraId="189FB2EB" w14:textId="77777777" w:rsidTr="00D80932">
        <w:trPr>
          <w:cnfStyle w:val="000000100000" w:firstRow="0" w:lastRow="0" w:firstColumn="0" w:lastColumn="0" w:oddVBand="0" w:evenVBand="0" w:oddHBand="1" w:evenHBand="0" w:firstRowFirstColumn="0" w:firstRowLastColumn="0" w:lastRowFirstColumn="0" w:lastRowLastColumn="0"/>
          <w:trHeight w:val="402"/>
        </w:trPr>
        <w:tc>
          <w:tcPr>
            <w:cnfStyle w:val="001000000000" w:firstRow="0" w:lastRow="0" w:firstColumn="1" w:lastColumn="0" w:oddVBand="0" w:evenVBand="0" w:oddHBand="0" w:evenHBand="0" w:firstRowFirstColumn="0" w:firstRowLastColumn="0" w:lastRowFirstColumn="0" w:lastRowLastColumn="0"/>
            <w:tcW w:w="2160" w:type="dxa"/>
            <w:vMerge w:val="restart"/>
          </w:tcPr>
          <w:p w14:paraId="496DF697" w14:textId="6288A4F2" w:rsidR="003A306E" w:rsidRPr="000229AD" w:rsidRDefault="003A306E" w:rsidP="00716C22">
            <w:pPr>
              <w:pStyle w:val="Tabletext"/>
              <w:rPr>
                <w:rFonts w:cstheme="minorHAnsi"/>
                <w:szCs w:val="22"/>
                <w:lang w:val="fr-FR"/>
              </w:rPr>
            </w:pPr>
            <w:r w:rsidRPr="000229AD">
              <w:rPr>
                <w:lang w:val="fr-FR"/>
              </w:rPr>
              <w:t>Connectivité financièrement abordable</w:t>
            </w:r>
          </w:p>
        </w:tc>
        <w:tc>
          <w:tcPr>
            <w:tcW w:w="8189" w:type="dxa"/>
          </w:tcPr>
          <w:p w14:paraId="1A99C823" w14:textId="3CD202A6" w:rsidR="003A306E" w:rsidRPr="000229AD" w:rsidRDefault="003A306E" w:rsidP="00716C22">
            <w:pPr>
              <w:pStyle w:val="Tabletext"/>
              <w:cnfStyle w:val="000000100000" w:firstRow="0" w:lastRow="0" w:firstColumn="0" w:lastColumn="0" w:oddVBand="0" w:evenVBand="0" w:oddHBand="1" w:evenHBand="0" w:firstRowFirstColumn="0" w:firstRowLastColumn="0" w:lastRowFirstColumn="0" w:lastRowLastColumn="0"/>
              <w:rPr>
                <w:rFonts w:cstheme="minorHAnsi"/>
                <w:szCs w:val="22"/>
                <w:lang w:val="fr-FR"/>
              </w:rPr>
            </w:pPr>
            <w:r w:rsidRPr="000229AD">
              <w:rPr>
                <w:lang w:val="fr-FR"/>
              </w:rPr>
              <w:t>Nombre de pays dotés d</w:t>
            </w:r>
            <w:r w:rsidR="00125408" w:rsidRPr="000229AD">
              <w:rPr>
                <w:lang w:val="fr-FR"/>
              </w:rPr>
              <w:t>'</w:t>
            </w:r>
            <w:r w:rsidRPr="000229AD">
              <w:rPr>
                <w:lang w:val="fr-FR"/>
              </w:rPr>
              <w:t>un plan national pour les télécommunications d</w:t>
            </w:r>
            <w:r w:rsidR="00125408" w:rsidRPr="000229AD">
              <w:rPr>
                <w:lang w:val="fr-FR"/>
              </w:rPr>
              <w:t>'</w:t>
            </w:r>
            <w:r w:rsidRPr="000229AD">
              <w:rPr>
                <w:lang w:val="fr-FR"/>
              </w:rPr>
              <w:t>urgence dans le cadre de leurs stratégies nationales et locales de réduction des risques de catastrophe.</w:t>
            </w:r>
          </w:p>
        </w:tc>
      </w:tr>
      <w:tr w:rsidR="003A306E" w:rsidRPr="000229AD" w14:paraId="2483E979" w14:textId="77777777" w:rsidTr="00D80932">
        <w:trPr>
          <w:trHeight w:val="326"/>
        </w:trPr>
        <w:tc>
          <w:tcPr>
            <w:cnfStyle w:val="001000000000" w:firstRow="0" w:lastRow="0" w:firstColumn="1" w:lastColumn="0" w:oddVBand="0" w:evenVBand="0" w:oddHBand="0" w:evenHBand="0" w:firstRowFirstColumn="0" w:firstRowLastColumn="0" w:lastRowFirstColumn="0" w:lastRowLastColumn="0"/>
            <w:tcW w:w="2160" w:type="dxa"/>
            <w:vMerge/>
          </w:tcPr>
          <w:p w14:paraId="419FB0CC" w14:textId="77777777" w:rsidR="003A306E" w:rsidRPr="000229AD" w:rsidRDefault="003A306E" w:rsidP="00716C22">
            <w:pPr>
              <w:pStyle w:val="Tabletext"/>
              <w:rPr>
                <w:rFonts w:cstheme="minorHAnsi"/>
                <w:szCs w:val="22"/>
                <w:lang w:val="fr-FR"/>
              </w:rPr>
            </w:pPr>
          </w:p>
        </w:tc>
        <w:tc>
          <w:tcPr>
            <w:tcW w:w="8189" w:type="dxa"/>
          </w:tcPr>
          <w:p w14:paraId="264E4A44" w14:textId="5AA9ADA8" w:rsidR="003A306E" w:rsidRPr="000229AD" w:rsidRDefault="003A306E" w:rsidP="00716C22">
            <w:pPr>
              <w:pStyle w:val="Tabletext"/>
              <w:cnfStyle w:val="000000000000" w:firstRow="0" w:lastRow="0" w:firstColumn="0" w:lastColumn="0" w:oddVBand="0" w:evenVBand="0" w:oddHBand="0" w:evenHBand="0" w:firstRowFirstColumn="0" w:firstRowLastColumn="0" w:lastRowFirstColumn="0" w:lastRowLastColumn="0"/>
              <w:rPr>
                <w:rFonts w:cstheme="minorHAnsi"/>
                <w:szCs w:val="22"/>
                <w:lang w:val="fr-FR"/>
              </w:rPr>
            </w:pPr>
            <w:r w:rsidRPr="000229AD">
              <w:rPr>
                <w:lang w:val="fr-FR"/>
              </w:rPr>
              <w:t>Nombre de pays les moins avancés, de pays en développement sans littoral et de petits États insulaires en développement disposant d</w:t>
            </w:r>
            <w:r w:rsidR="00125408" w:rsidRPr="000229AD">
              <w:rPr>
                <w:lang w:val="fr-FR"/>
              </w:rPr>
              <w:t>'</w:t>
            </w:r>
            <w:r w:rsidRPr="000229AD">
              <w:rPr>
                <w:lang w:val="fr-FR"/>
              </w:rPr>
              <w:t>un plan large bande.</w:t>
            </w:r>
          </w:p>
        </w:tc>
      </w:tr>
      <w:tr w:rsidR="003A306E" w:rsidRPr="000229AD" w14:paraId="10E59A01" w14:textId="77777777" w:rsidTr="00D80932">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160" w:type="dxa"/>
            <w:vMerge/>
          </w:tcPr>
          <w:p w14:paraId="73A08778" w14:textId="77777777" w:rsidR="003A306E" w:rsidRPr="000229AD" w:rsidRDefault="003A306E" w:rsidP="00716C22">
            <w:pPr>
              <w:pStyle w:val="Tabletext"/>
              <w:rPr>
                <w:rFonts w:cstheme="minorHAnsi"/>
                <w:szCs w:val="22"/>
                <w:lang w:val="fr-FR"/>
              </w:rPr>
            </w:pPr>
          </w:p>
        </w:tc>
        <w:tc>
          <w:tcPr>
            <w:tcW w:w="8189" w:type="dxa"/>
          </w:tcPr>
          <w:p w14:paraId="7079EF7E" w14:textId="77777777" w:rsidR="003A306E" w:rsidRPr="000229AD" w:rsidRDefault="003A306E" w:rsidP="00716C22">
            <w:pPr>
              <w:pStyle w:val="Tabletext"/>
              <w:cnfStyle w:val="000000100000" w:firstRow="0" w:lastRow="0" w:firstColumn="0" w:lastColumn="0" w:oddVBand="0" w:evenVBand="0" w:oddHBand="1" w:evenHBand="0" w:firstRowFirstColumn="0" w:firstRowLastColumn="0" w:lastRowFirstColumn="0" w:lastRowLastColumn="0"/>
              <w:rPr>
                <w:rFonts w:cstheme="minorHAnsi"/>
                <w:szCs w:val="22"/>
                <w:lang w:val="fr-FR"/>
              </w:rPr>
            </w:pPr>
            <w:r w:rsidRPr="000229AD">
              <w:rPr>
                <w:lang w:val="fr-FR"/>
              </w:rPr>
              <w:t>Pourcentage de pays, pour lesquels on dispose de données, dans lesquels au moins 90% de la population est desservie par un réseau 3G ou plus.</w:t>
            </w:r>
          </w:p>
        </w:tc>
      </w:tr>
      <w:tr w:rsidR="003A306E" w:rsidRPr="000229AD" w14:paraId="4D10B561" w14:textId="77777777" w:rsidTr="00D80932">
        <w:trPr>
          <w:trHeight w:val="201"/>
        </w:trPr>
        <w:tc>
          <w:tcPr>
            <w:cnfStyle w:val="001000000000" w:firstRow="0" w:lastRow="0" w:firstColumn="1" w:lastColumn="0" w:oddVBand="0" w:evenVBand="0" w:oddHBand="0" w:evenHBand="0" w:firstRowFirstColumn="0" w:firstRowLastColumn="0" w:lastRowFirstColumn="0" w:lastRowLastColumn="0"/>
            <w:tcW w:w="2160" w:type="dxa"/>
            <w:vMerge w:val="restart"/>
          </w:tcPr>
          <w:p w14:paraId="5351DB20" w14:textId="2F2CCC21" w:rsidR="003A306E" w:rsidRPr="000229AD" w:rsidRDefault="003A306E" w:rsidP="00716C22">
            <w:pPr>
              <w:pStyle w:val="Tabletext"/>
              <w:rPr>
                <w:rFonts w:cstheme="minorHAnsi"/>
                <w:szCs w:val="22"/>
                <w:lang w:val="fr-FR"/>
              </w:rPr>
            </w:pPr>
            <w:r w:rsidRPr="000229AD">
              <w:rPr>
                <w:lang w:val="fr-FR"/>
              </w:rPr>
              <w:t>Transformation numérique</w:t>
            </w:r>
          </w:p>
        </w:tc>
        <w:tc>
          <w:tcPr>
            <w:tcW w:w="8189" w:type="dxa"/>
          </w:tcPr>
          <w:p w14:paraId="06502E66" w14:textId="77777777" w:rsidR="003A306E" w:rsidRPr="000229AD" w:rsidRDefault="003A306E" w:rsidP="00716C22">
            <w:pPr>
              <w:pStyle w:val="Tabletext"/>
              <w:cnfStyle w:val="000000000000" w:firstRow="0" w:lastRow="0" w:firstColumn="0" w:lastColumn="0" w:oddVBand="0" w:evenVBand="0" w:oddHBand="0" w:evenHBand="0" w:firstRowFirstColumn="0" w:firstRowLastColumn="0" w:lastRowFirstColumn="0" w:lastRowLastColumn="0"/>
              <w:rPr>
                <w:rFonts w:cstheme="minorHAnsi"/>
                <w:szCs w:val="22"/>
                <w:lang w:val="fr-FR"/>
              </w:rPr>
            </w:pPr>
            <w:r w:rsidRPr="000229AD">
              <w:rPr>
                <w:lang w:val="fr-FR"/>
              </w:rPr>
              <w:t>Nombre de pays ayant adopté une stratégie sectorielle numérique au niveau national.</w:t>
            </w:r>
          </w:p>
        </w:tc>
      </w:tr>
      <w:tr w:rsidR="003A306E" w:rsidRPr="000229AD" w14:paraId="6666DFF6" w14:textId="77777777" w:rsidTr="00D80932">
        <w:trPr>
          <w:cnfStyle w:val="000000100000" w:firstRow="0" w:lastRow="0" w:firstColumn="0" w:lastColumn="0" w:oddVBand="0" w:evenVBand="0" w:oddHBand="1" w:evenHBand="0" w:firstRowFirstColumn="0" w:firstRowLastColumn="0" w:lastRowFirstColumn="0" w:lastRowLastColumn="0"/>
          <w:trHeight w:val="136"/>
        </w:trPr>
        <w:tc>
          <w:tcPr>
            <w:cnfStyle w:val="001000000000" w:firstRow="0" w:lastRow="0" w:firstColumn="1" w:lastColumn="0" w:oddVBand="0" w:evenVBand="0" w:oddHBand="0" w:evenHBand="0" w:firstRowFirstColumn="0" w:firstRowLastColumn="0" w:lastRowFirstColumn="0" w:lastRowLastColumn="0"/>
            <w:tcW w:w="2160" w:type="dxa"/>
            <w:vMerge/>
          </w:tcPr>
          <w:p w14:paraId="150B182B" w14:textId="77777777" w:rsidR="003A306E" w:rsidRPr="000229AD" w:rsidRDefault="003A306E" w:rsidP="00716C22">
            <w:pPr>
              <w:pStyle w:val="Tabletext"/>
              <w:rPr>
                <w:rFonts w:cstheme="minorHAnsi"/>
                <w:szCs w:val="22"/>
                <w:lang w:val="fr-FR"/>
              </w:rPr>
            </w:pPr>
          </w:p>
        </w:tc>
        <w:tc>
          <w:tcPr>
            <w:tcW w:w="8189" w:type="dxa"/>
          </w:tcPr>
          <w:p w14:paraId="65AAD980" w14:textId="262D04A8" w:rsidR="003A306E" w:rsidRPr="000229AD" w:rsidRDefault="003A306E" w:rsidP="00716C22">
            <w:pPr>
              <w:pStyle w:val="Tabletext"/>
              <w:cnfStyle w:val="000000100000" w:firstRow="0" w:lastRow="0" w:firstColumn="0" w:lastColumn="0" w:oddVBand="0" w:evenVBand="0" w:oddHBand="1" w:evenHBand="0" w:firstRowFirstColumn="0" w:firstRowLastColumn="0" w:lastRowFirstColumn="0" w:lastRowLastColumn="0"/>
              <w:rPr>
                <w:rFonts w:cstheme="minorHAnsi"/>
                <w:szCs w:val="22"/>
                <w:lang w:val="fr-FR"/>
              </w:rPr>
            </w:pPr>
            <w:r w:rsidRPr="000229AD">
              <w:rPr>
                <w:lang w:val="fr-FR"/>
              </w:rPr>
              <w:t>Nombre de pays ayant adopté des stratégies et des initiatives en faveur de l</w:t>
            </w:r>
            <w:r w:rsidR="00125408" w:rsidRPr="000229AD">
              <w:rPr>
                <w:lang w:val="fr-FR"/>
              </w:rPr>
              <w:t>'</w:t>
            </w:r>
            <w:r w:rsidRPr="000229AD">
              <w:rPr>
                <w:lang w:val="fr-FR"/>
              </w:rPr>
              <w:t>innovation.</w:t>
            </w:r>
          </w:p>
        </w:tc>
      </w:tr>
      <w:tr w:rsidR="003A306E" w:rsidRPr="000229AD" w14:paraId="293F7D66" w14:textId="77777777" w:rsidTr="00D80932">
        <w:trPr>
          <w:trHeight w:val="220"/>
        </w:trPr>
        <w:tc>
          <w:tcPr>
            <w:cnfStyle w:val="001000000000" w:firstRow="0" w:lastRow="0" w:firstColumn="1" w:lastColumn="0" w:oddVBand="0" w:evenVBand="0" w:oddHBand="0" w:evenHBand="0" w:firstRowFirstColumn="0" w:firstRowLastColumn="0" w:lastRowFirstColumn="0" w:lastRowLastColumn="0"/>
            <w:tcW w:w="2160" w:type="dxa"/>
            <w:vMerge w:val="restart"/>
            <w:shd w:val="clear" w:color="auto" w:fill="DBE5F1" w:themeFill="accent1" w:themeFillTint="33"/>
          </w:tcPr>
          <w:p w14:paraId="13AABFC1" w14:textId="649FDD43" w:rsidR="003A306E" w:rsidRPr="000229AD" w:rsidRDefault="003A306E" w:rsidP="00716C22">
            <w:pPr>
              <w:pStyle w:val="Tabletext"/>
              <w:rPr>
                <w:rFonts w:cstheme="minorHAnsi"/>
                <w:szCs w:val="22"/>
                <w:lang w:val="fr-FR"/>
              </w:rPr>
            </w:pPr>
            <w:r w:rsidRPr="000229AD">
              <w:rPr>
                <w:lang w:val="fr-FR"/>
              </w:rPr>
              <w:t>Environnement politique et réglementaire favorable</w:t>
            </w:r>
          </w:p>
        </w:tc>
        <w:tc>
          <w:tcPr>
            <w:tcW w:w="8189" w:type="dxa"/>
          </w:tcPr>
          <w:p w14:paraId="188B0B5C" w14:textId="77777777" w:rsidR="003A306E" w:rsidRPr="000229AD" w:rsidRDefault="003A306E" w:rsidP="00716C22">
            <w:pPr>
              <w:pStyle w:val="Tabletext"/>
              <w:cnfStyle w:val="000000000000" w:firstRow="0" w:lastRow="0" w:firstColumn="0" w:lastColumn="0" w:oddVBand="0" w:evenVBand="0" w:oddHBand="0" w:evenHBand="0" w:firstRowFirstColumn="0" w:firstRowLastColumn="0" w:lastRowFirstColumn="0" w:lastRowLastColumn="0"/>
              <w:rPr>
                <w:rFonts w:cstheme="minorHAnsi"/>
                <w:color w:val="000000" w:themeColor="text1"/>
                <w:szCs w:val="22"/>
                <w:lang w:val="fr-FR"/>
              </w:rPr>
            </w:pPr>
            <w:r w:rsidRPr="000229AD">
              <w:rPr>
                <w:lang w:val="fr-FR"/>
              </w:rPr>
              <w:t>Nombre de pays disposant de stratégies pour le développement des compétences numériques au niveau national.</w:t>
            </w:r>
          </w:p>
        </w:tc>
      </w:tr>
      <w:tr w:rsidR="003A306E" w:rsidRPr="000229AD" w14:paraId="65BE9B25" w14:textId="77777777" w:rsidTr="00D80932">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2160" w:type="dxa"/>
            <w:vMerge/>
          </w:tcPr>
          <w:p w14:paraId="03BA75A5" w14:textId="77777777" w:rsidR="003A306E" w:rsidRPr="000229AD" w:rsidRDefault="003A306E" w:rsidP="00716C22">
            <w:pPr>
              <w:pStyle w:val="Tabletext"/>
              <w:rPr>
                <w:rFonts w:cstheme="minorHAnsi"/>
                <w:szCs w:val="22"/>
                <w:lang w:val="fr-FR"/>
              </w:rPr>
            </w:pPr>
          </w:p>
        </w:tc>
        <w:tc>
          <w:tcPr>
            <w:tcW w:w="8189" w:type="dxa"/>
          </w:tcPr>
          <w:p w14:paraId="233FE846" w14:textId="77777777" w:rsidR="003A306E" w:rsidRPr="000229AD" w:rsidRDefault="003A306E" w:rsidP="00716C22">
            <w:pPr>
              <w:pStyle w:val="Tabletext"/>
              <w:cnfStyle w:val="000000100000" w:firstRow="0" w:lastRow="0" w:firstColumn="0" w:lastColumn="0" w:oddVBand="0" w:evenVBand="0" w:oddHBand="1" w:evenHBand="0" w:firstRowFirstColumn="0" w:firstRowLastColumn="0" w:lastRowFirstColumn="0" w:lastRowLastColumn="0"/>
              <w:rPr>
                <w:rFonts w:cstheme="minorHAnsi"/>
                <w:color w:val="000000"/>
                <w:szCs w:val="22"/>
                <w:lang w:val="fr-FR"/>
              </w:rPr>
            </w:pPr>
            <w:r w:rsidRPr="000229AD">
              <w:rPr>
                <w:lang w:val="fr-FR"/>
              </w:rPr>
              <w:t>Nombre de pays progressant vers la prochaine génération de réglementations (G1 à G4) ou vers un niveau supérieur de préparation à la transformation numérique (G5).</w:t>
            </w:r>
          </w:p>
        </w:tc>
      </w:tr>
      <w:tr w:rsidR="003A306E" w:rsidRPr="000229AD" w14:paraId="0BCE04CD" w14:textId="77777777" w:rsidTr="00D80932">
        <w:trPr>
          <w:trHeight w:val="655"/>
        </w:trPr>
        <w:tc>
          <w:tcPr>
            <w:cnfStyle w:val="001000000000" w:firstRow="0" w:lastRow="0" w:firstColumn="1" w:lastColumn="0" w:oddVBand="0" w:evenVBand="0" w:oddHBand="0" w:evenHBand="0" w:firstRowFirstColumn="0" w:firstRowLastColumn="0" w:lastRowFirstColumn="0" w:lastRowLastColumn="0"/>
            <w:tcW w:w="2160" w:type="dxa"/>
            <w:vMerge/>
            <w:shd w:val="clear" w:color="auto" w:fill="DBE5F1" w:themeFill="accent1" w:themeFillTint="33"/>
          </w:tcPr>
          <w:p w14:paraId="5C52D2DA" w14:textId="77777777" w:rsidR="003A306E" w:rsidRPr="000229AD" w:rsidRDefault="003A306E" w:rsidP="00716C22">
            <w:pPr>
              <w:pStyle w:val="Tabletext"/>
              <w:rPr>
                <w:rFonts w:cstheme="minorHAnsi"/>
                <w:szCs w:val="22"/>
                <w:lang w:val="fr-FR"/>
              </w:rPr>
            </w:pPr>
          </w:p>
        </w:tc>
        <w:tc>
          <w:tcPr>
            <w:tcW w:w="8189" w:type="dxa"/>
          </w:tcPr>
          <w:p w14:paraId="706FCB0F" w14:textId="6ACC99E6" w:rsidR="003A306E" w:rsidRPr="000229AD" w:rsidRDefault="003A306E" w:rsidP="00716C22">
            <w:pPr>
              <w:pStyle w:val="Tabletext"/>
              <w:cnfStyle w:val="000000000000" w:firstRow="0" w:lastRow="0" w:firstColumn="0" w:lastColumn="0" w:oddVBand="0" w:evenVBand="0" w:oddHBand="0" w:evenHBand="0" w:firstRowFirstColumn="0" w:firstRowLastColumn="0" w:lastRowFirstColumn="0" w:lastRowLastColumn="0"/>
              <w:rPr>
                <w:rFonts w:cstheme="minorHAnsi"/>
                <w:color w:val="000000"/>
                <w:szCs w:val="22"/>
                <w:lang w:val="fr-FR"/>
              </w:rPr>
            </w:pPr>
            <w:r w:rsidRPr="000229AD">
              <w:rPr>
                <w:lang w:val="fr-FR"/>
              </w:rPr>
              <w:t>Pourcentage d</w:t>
            </w:r>
            <w:r w:rsidR="00125408" w:rsidRPr="000229AD">
              <w:rPr>
                <w:lang w:val="fr-FR"/>
              </w:rPr>
              <w:t>'</w:t>
            </w:r>
            <w:r w:rsidRPr="000229AD">
              <w:rPr>
                <w:lang w:val="fr-FR"/>
              </w:rPr>
              <w:t>États Membres ayant communiqué des données valides datant de moins de deux ans pour au moins 80% des indicateurs du questionnaire abrégé de l</w:t>
            </w:r>
            <w:r w:rsidR="00125408" w:rsidRPr="000229AD">
              <w:rPr>
                <w:lang w:val="fr-FR"/>
              </w:rPr>
              <w:t>'</w:t>
            </w:r>
            <w:r w:rsidRPr="000229AD">
              <w:rPr>
                <w:lang w:val="fr-FR"/>
              </w:rPr>
              <w:t>UIT sur les indicateurs des télécommunications dans le monde.</w:t>
            </w:r>
          </w:p>
        </w:tc>
      </w:tr>
      <w:tr w:rsidR="003A306E" w:rsidRPr="000229AD" w14:paraId="3482C761" w14:textId="77777777" w:rsidTr="00D80932">
        <w:trPr>
          <w:cnfStyle w:val="000000100000" w:firstRow="0" w:lastRow="0" w:firstColumn="0" w:lastColumn="0" w:oddVBand="0" w:evenVBand="0" w:oddHBand="1" w:evenHBand="0" w:firstRowFirstColumn="0" w:firstRowLastColumn="0" w:lastRowFirstColumn="0" w:lastRowLastColumn="0"/>
          <w:trHeight w:val="229"/>
        </w:trPr>
        <w:tc>
          <w:tcPr>
            <w:cnfStyle w:val="001000000000" w:firstRow="0" w:lastRow="0" w:firstColumn="1" w:lastColumn="0" w:oddVBand="0" w:evenVBand="0" w:oddHBand="0" w:evenHBand="0" w:firstRowFirstColumn="0" w:firstRowLastColumn="0" w:lastRowFirstColumn="0" w:lastRowLastColumn="0"/>
            <w:tcW w:w="2160" w:type="dxa"/>
            <w:vMerge/>
          </w:tcPr>
          <w:p w14:paraId="799AD3CF" w14:textId="77777777" w:rsidR="003A306E" w:rsidRPr="000229AD" w:rsidRDefault="003A306E" w:rsidP="00716C22">
            <w:pPr>
              <w:pStyle w:val="Tabletext"/>
              <w:rPr>
                <w:rFonts w:cstheme="minorHAnsi"/>
                <w:szCs w:val="22"/>
                <w:lang w:val="fr-FR"/>
              </w:rPr>
            </w:pPr>
          </w:p>
        </w:tc>
        <w:tc>
          <w:tcPr>
            <w:tcW w:w="8189" w:type="dxa"/>
          </w:tcPr>
          <w:p w14:paraId="43BC93E6" w14:textId="3766CFB5" w:rsidR="003A306E" w:rsidRPr="000229AD" w:rsidRDefault="003A306E" w:rsidP="00716C22">
            <w:pPr>
              <w:pStyle w:val="Tabletext"/>
              <w:cnfStyle w:val="000000100000" w:firstRow="0" w:lastRow="0" w:firstColumn="0" w:lastColumn="0" w:oddVBand="0" w:evenVBand="0" w:oddHBand="1" w:evenHBand="0" w:firstRowFirstColumn="0" w:firstRowLastColumn="0" w:lastRowFirstColumn="0" w:lastRowLastColumn="0"/>
              <w:rPr>
                <w:rFonts w:cstheme="minorHAnsi"/>
                <w:color w:val="000000" w:themeColor="text1"/>
                <w:szCs w:val="22"/>
                <w:lang w:val="fr-FR"/>
              </w:rPr>
            </w:pPr>
            <w:r w:rsidRPr="000229AD">
              <w:rPr>
                <w:lang w:val="fr-FR"/>
              </w:rPr>
              <w:t>Pourcentage d</w:t>
            </w:r>
            <w:r w:rsidR="00125408" w:rsidRPr="000229AD">
              <w:rPr>
                <w:lang w:val="fr-FR"/>
              </w:rPr>
              <w:t>'</w:t>
            </w:r>
            <w:r w:rsidRPr="000229AD">
              <w:rPr>
                <w:lang w:val="fr-FR"/>
              </w:rPr>
              <w:t xml:space="preserve">États Membres ayant communiqué des données valides datant de moins de </w:t>
            </w:r>
            <w:r w:rsidR="00532528" w:rsidRPr="000229AD">
              <w:rPr>
                <w:lang w:val="fr-FR"/>
              </w:rPr>
              <w:t>trois</w:t>
            </w:r>
            <w:r w:rsidRPr="000229AD">
              <w:rPr>
                <w:lang w:val="fr-FR"/>
              </w:rPr>
              <w:t xml:space="preserve"> ans pour au moins 80% des indicateurs du </w:t>
            </w:r>
            <w:r w:rsidR="00D80932" w:rsidRPr="000229AD">
              <w:rPr>
                <w:lang w:val="fr-FR"/>
              </w:rPr>
              <w:t>questionnaire sur les TIC et les ménages de l</w:t>
            </w:r>
            <w:r w:rsidR="00125408" w:rsidRPr="000229AD">
              <w:rPr>
                <w:lang w:val="fr-FR"/>
              </w:rPr>
              <w:t>'</w:t>
            </w:r>
            <w:r w:rsidR="00D80932" w:rsidRPr="000229AD">
              <w:rPr>
                <w:lang w:val="fr-FR"/>
              </w:rPr>
              <w:t>UIT.</w:t>
            </w:r>
          </w:p>
        </w:tc>
      </w:tr>
      <w:tr w:rsidR="003A306E" w:rsidRPr="000229AD" w14:paraId="47A76620" w14:textId="77777777" w:rsidTr="00D80932">
        <w:trPr>
          <w:trHeight w:val="219"/>
        </w:trPr>
        <w:tc>
          <w:tcPr>
            <w:cnfStyle w:val="001000000000" w:firstRow="0" w:lastRow="0" w:firstColumn="1" w:lastColumn="0" w:oddVBand="0" w:evenVBand="0" w:oddHBand="0" w:evenHBand="0" w:firstRowFirstColumn="0" w:firstRowLastColumn="0" w:lastRowFirstColumn="0" w:lastRowLastColumn="0"/>
            <w:tcW w:w="2160" w:type="dxa"/>
            <w:vMerge/>
          </w:tcPr>
          <w:p w14:paraId="1827B280" w14:textId="77777777" w:rsidR="003A306E" w:rsidRPr="000229AD" w:rsidRDefault="003A306E" w:rsidP="00716C22">
            <w:pPr>
              <w:pStyle w:val="Tabletext"/>
              <w:rPr>
                <w:rFonts w:cstheme="minorHAnsi"/>
                <w:szCs w:val="22"/>
                <w:lang w:val="fr-FR"/>
              </w:rPr>
            </w:pPr>
          </w:p>
        </w:tc>
        <w:tc>
          <w:tcPr>
            <w:tcW w:w="8189" w:type="dxa"/>
            <w:tcBorders>
              <w:bottom w:val="single" w:sz="4" w:space="0" w:color="95B3D7" w:themeColor="accent1" w:themeTint="99"/>
            </w:tcBorders>
          </w:tcPr>
          <w:p w14:paraId="45F79F4F" w14:textId="03ABDA67" w:rsidR="003A306E" w:rsidRPr="000229AD" w:rsidRDefault="003A306E" w:rsidP="00716C22">
            <w:pPr>
              <w:pStyle w:val="Tabletext"/>
              <w:cnfStyle w:val="000000000000" w:firstRow="0" w:lastRow="0" w:firstColumn="0" w:lastColumn="0" w:oddVBand="0" w:evenVBand="0" w:oddHBand="0" w:evenHBand="0" w:firstRowFirstColumn="0" w:firstRowLastColumn="0" w:lastRowFirstColumn="0" w:lastRowLastColumn="0"/>
              <w:rPr>
                <w:rFonts w:cstheme="minorHAnsi"/>
                <w:color w:val="000000"/>
                <w:szCs w:val="22"/>
                <w:lang w:val="fr-FR"/>
              </w:rPr>
            </w:pPr>
            <w:r w:rsidRPr="000229AD">
              <w:rPr>
                <w:lang w:val="fr-FR"/>
              </w:rPr>
              <w:t>Pourcentage d</w:t>
            </w:r>
            <w:r w:rsidR="00125408" w:rsidRPr="000229AD">
              <w:rPr>
                <w:lang w:val="fr-FR"/>
              </w:rPr>
              <w:t>'</w:t>
            </w:r>
            <w:r w:rsidRPr="000229AD">
              <w:rPr>
                <w:lang w:val="fr-FR"/>
              </w:rPr>
              <w:t>États Membres ayant communiqué des données valides ventilées par sexe datant de moins de trois ans pour l</w:t>
            </w:r>
            <w:r w:rsidR="00125408" w:rsidRPr="000229AD">
              <w:rPr>
                <w:lang w:val="fr-FR"/>
              </w:rPr>
              <w:t>'</w:t>
            </w:r>
            <w:r w:rsidRPr="000229AD">
              <w:rPr>
                <w:lang w:val="fr-FR"/>
              </w:rPr>
              <w:t>indicateur "Part de personnes utilisant l</w:t>
            </w:r>
            <w:r w:rsidR="00125408" w:rsidRPr="000229AD">
              <w:rPr>
                <w:lang w:val="fr-FR"/>
              </w:rPr>
              <w:t>'</w:t>
            </w:r>
            <w:r w:rsidRPr="000229AD">
              <w:rPr>
                <w:lang w:val="fr-FR"/>
              </w:rPr>
              <w:t>Internet".</w:t>
            </w:r>
          </w:p>
        </w:tc>
      </w:tr>
      <w:tr w:rsidR="003A306E" w:rsidRPr="000229AD" w14:paraId="73183926" w14:textId="77777777" w:rsidTr="00D80932">
        <w:trPr>
          <w:cnfStyle w:val="000000100000" w:firstRow="0" w:lastRow="0" w:firstColumn="0" w:lastColumn="0" w:oddVBand="0" w:evenVBand="0" w:oddHBand="1" w:evenHBand="0" w:firstRowFirstColumn="0" w:firstRowLastColumn="0" w:lastRowFirstColumn="0" w:lastRowLastColumn="0"/>
          <w:trHeight w:val="748"/>
        </w:trPr>
        <w:tc>
          <w:tcPr>
            <w:cnfStyle w:val="001000000000" w:firstRow="0" w:lastRow="0" w:firstColumn="1" w:lastColumn="0" w:oddVBand="0" w:evenVBand="0" w:oddHBand="0" w:evenHBand="0" w:firstRowFirstColumn="0" w:firstRowLastColumn="0" w:lastRowFirstColumn="0" w:lastRowLastColumn="0"/>
            <w:tcW w:w="2160" w:type="dxa"/>
            <w:vMerge/>
          </w:tcPr>
          <w:p w14:paraId="7C05BDF3" w14:textId="77777777" w:rsidR="003A306E" w:rsidRPr="000229AD" w:rsidRDefault="003A306E" w:rsidP="00716C22">
            <w:pPr>
              <w:pStyle w:val="Tabletext"/>
              <w:rPr>
                <w:rFonts w:cstheme="minorHAnsi"/>
                <w:szCs w:val="22"/>
                <w:lang w:val="fr-FR"/>
              </w:rPr>
            </w:pPr>
          </w:p>
        </w:tc>
        <w:tc>
          <w:tcPr>
            <w:tcW w:w="8189" w:type="dxa"/>
          </w:tcPr>
          <w:p w14:paraId="03551BCD" w14:textId="6710AB42" w:rsidR="003A306E" w:rsidRPr="000229AD" w:rsidRDefault="003A306E" w:rsidP="00716C22">
            <w:pPr>
              <w:pStyle w:val="Tabletext"/>
              <w:cnfStyle w:val="000000100000" w:firstRow="0" w:lastRow="0" w:firstColumn="0" w:lastColumn="0" w:oddVBand="0" w:evenVBand="0" w:oddHBand="1" w:evenHBand="0" w:firstRowFirstColumn="0" w:firstRowLastColumn="0" w:lastRowFirstColumn="0" w:lastRowLastColumn="0"/>
              <w:rPr>
                <w:rFonts w:cstheme="minorHAnsi"/>
                <w:color w:val="000000"/>
                <w:szCs w:val="22"/>
                <w:lang w:val="fr-FR"/>
              </w:rPr>
            </w:pPr>
            <w:r w:rsidRPr="000229AD">
              <w:rPr>
                <w:lang w:val="fr-FR"/>
              </w:rPr>
              <w:t>Pourcentage d</w:t>
            </w:r>
            <w:r w:rsidR="00125408" w:rsidRPr="000229AD">
              <w:rPr>
                <w:lang w:val="fr-FR"/>
              </w:rPr>
              <w:t>'</w:t>
            </w:r>
            <w:r w:rsidRPr="000229AD">
              <w:rPr>
                <w:lang w:val="fr-FR"/>
              </w:rPr>
              <w:t>États Membres ayant communiqué des données valides ventilées par localisation (zones rurales/urbaines) datant de moins de trois ans pour l</w:t>
            </w:r>
            <w:r w:rsidR="00125408" w:rsidRPr="000229AD">
              <w:rPr>
                <w:lang w:val="fr-FR"/>
              </w:rPr>
              <w:t>'</w:t>
            </w:r>
            <w:r w:rsidRPr="000229AD">
              <w:rPr>
                <w:lang w:val="fr-FR"/>
              </w:rPr>
              <w:t>indicateur "Part de personnes utilisant l</w:t>
            </w:r>
            <w:r w:rsidR="00125408" w:rsidRPr="000229AD">
              <w:rPr>
                <w:lang w:val="fr-FR"/>
              </w:rPr>
              <w:t>'</w:t>
            </w:r>
            <w:r w:rsidRPr="000229AD">
              <w:rPr>
                <w:lang w:val="fr-FR"/>
              </w:rPr>
              <w:t>Internet".</w:t>
            </w:r>
          </w:p>
        </w:tc>
      </w:tr>
      <w:tr w:rsidR="003A306E" w:rsidRPr="000229AD" w14:paraId="324B0DA7" w14:textId="77777777" w:rsidTr="00D80932">
        <w:trPr>
          <w:trHeight w:val="219"/>
        </w:trPr>
        <w:tc>
          <w:tcPr>
            <w:cnfStyle w:val="001000000000" w:firstRow="0" w:lastRow="0" w:firstColumn="1" w:lastColumn="0" w:oddVBand="0" w:evenVBand="0" w:oddHBand="0" w:evenHBand="0" w:firstRowFirstColumn="0" w:firstRowLastColumn="0" w:lastRowFirstColumn="0" w:lastRowLastColumn="0"/>
            <w:tcW w:w="2160" w:type="dxa"/>
            <w:vMerge/>
          </w:tcPr>
          <w:p w14:paraId="0355510F" w14:textId="77777777" w:rsidR="003A306E" w:rsidRPr="000229AD" w:rsidRDefault="003A306E" w:rsidP="00716C22">
            <w:pPr>
              <w:pStyle w:val="Tabletext"/>
              <w:rPr>
                <w:rFonts w:cstheme="minorHAnsi"/>
                <w:szCs w:val="22"/>
                <w:lang w:val="fr-FR"/>
              </w:rPr>
            </w:pPr>
          </w:p>
        </w:tc>
        <w:tc>
          <w:tcPr>
            <w:tcW w:w="8189" w:type="dxa"/>
          </w:tcPr>
          <w:p w14:paraId="7B13665E" w14:textId="26445C63" w:rsidR="003A306E" w:rsidRPr="000229AD" w:rsidRDefault="003A306E" w:rsidP="00716C22">
            <w:pPr>
              <w:pStyle w:val="Tabletext"/>
              <w:cnfStyle w:val="000000000000" w:firstRow="0" w:lastRow="0" w:firstColumn="0" w:lastColumn="0" w:oddVBand="0" w:evenVBand="0" w:oddHBand="0" w:evenHBand="0" w:firstRowFirstColumn="0" w:firstRowLastColumn="0" w:lastRowFirstColumn="0" w:lastRowLastColumn="0"/>
              <w:rPr>
                <w:rFonts w:cstheme="minorHAnsi"/>
                <w:color w:val="000000"/>
                <w:szCs w:val="22"/>
                <w:lang w:val="fr-FR"/>
              </w:rPr>
            </w:pPr>
            <w:r w:rsidRPr="000229AD">
              <w:rPr>
                <w:lang w:val="fr-FR"/>
              </w:rPr>
              <w:t>Pourcentage d</w:t>
            </w:r>
            <w:r w:rsidR="00125408" w:rsidRPr="000229AD">
              <w:rPr>
                <w:lang w:val="fr-FR"/>
              </w:rPr>
              <w:t>'</w:t>
            </w:r>
            <w:r w:rsidRPr="000229AD">
              <w:rPr>
                <w:lang w:val="fr-FR"/>
              </w:rPr>
              <w:t>États Membres ayant communiqué des données valides datant de moins de</w:t>
            </w:r>
            <w:r w:rsidR="00532528" w:rsidRPr="000229AD">
              <w:rPr>
                <w:lang w:val="fr-FR"/>
              </w:rPr>
              <w:t> </w:t>
            </w:r>
            <w:r w:rsidRPr="000229AD">
              <w:rPr>
                <w:lang w:val="fr-FR"/>
              </w:rPr>
              <w:t>trois ans pour au moins cinq des compétences en matière de TIC énumérées dans le questionnaire.</w:t>
            </w:r>
          </w:p>
        </w:tc>
      </w:tr>
      <w:tr w:rsidR="003A306E" w:rsidRPr="000229AD" w14:paraId="799DBA3E" w14:textId="77777777" w:rsidTr="00D80932">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2160" w:type="dxa"/>
            <w:vMerge w:val="restart"/>
            <w:shd w:val="clear" w:color="auto" w:fill="FFFFFF" w:themeFill="background1"/>
          </w:tcPr>
          <w:p w14:paraId="045780A3" w14:textId="56E07E1D" w:rsidR="003A306E" w:rsidRPr="000229AD" w:rsidRDefault="003A306E" w:rsidP="00716C22">
            <w:pPr>
              <w:pStyle w:val="Tabletext"/>
              <w:tabs>
                <w:tab w:val="clear" w:pos="1701"/>
              </w:tabs>
              <w:ind w:right="-273"/>
              <w:rPr>
                <w:rFonts w:cstheme="minorHAnsi"/>
                <w:szCs w:val="22"/>
                <w:lang w:val="fr-FR"/>
              </w:rPr>
            </w:pPr>
            <w:r w:rsidRPr="000229AD">
              <w:rPr>
                <w:lang w:val="fr-FR"/>
              </w:rPr>
              <w:t>Télécommunications/</w:t>
            </w:r>
            <w:r w:rsidR="00532528" w:rsidRPr="000229AD">
              <w:rPr>
                <w:lang w:val="fr-FR"/>
              </w:rPr>
              <w:br/>
              <w:t>T</w:t>
            </w:r>
            <w:r w:rsidRPr="000229AD">
              <w:rPr>
                <w:lang w:val="fr-FR"/>
              </w:rPr>
              <w:t>IC inclusives et sûres</w:t>
            </w:r>
            <w:r w:rsidR="00A55187" w:rsidRPr="000229AD">
              <w:rPr>
                <w:lang w:val="fr-FR"/>
              </w:rPr>
              <w:t> </w:t>
            </w:r>
            <w:r w:rsidRPr="000229AD">
              <w:rPr>
                <w:lang w:val="fr-FR"/>
              </w:rPr>
              <w:t>au service du développement</w:t>
            </w:r>
            <w:r w:rsidR="00A55187" w:rsidRPr="000229AD">
              <w:rPr>
                <w:lang w:val="fr-FR"/>
              </w:rPr>
              <w:br/>
            </w:r>
            <w:r w:rsidRPr="000229AD">
              <w:rPr>
                <w:lang w:val="fr-FR"/>
              </w:rPr>
              <w:t>durable</w:t>
            </w:r>
          </w:p>
        </w:tc>
        <w:tc>
          <w:tcPr>
            <w:tcW w:w="8189" w:type="dxa"/>
          </w:tcPr>
          <w:p w14:paraId="2BEE8CD6" w14:textId="7396D7EA" w:rsidR="003A306E" w:rsidRPr="000229AD" w:rsidRDefault="003A306E" w:rsidP="00716C22">
            <w:pPr>
              <w:pStyle w:val="Tabletext"/>
              <w:cnfStyle w:val="000000100000" w:firstRow="0" w:lastRow="0" w:firstColumn="0" w:lastColumn="0" w:oddVBand="0" w:evenVBand="0" w:oddHBand="1" w:evenHBand="0" w:firstRowFirstColumn="0" w:firstRowLastColumn="0" w:lastRowFirstColumn="0" w:lastRowLastColumn="0"/>
              <w:rPr>
                <w:rFonts w:cstheme="minorHAnsi"/>
                <w:szCs w:val="22"/>
                <w:lang w:val="fr-FR"/>
              </w:rPr>
            </w:pPr>
            <w:r w:rsidRPr="000229AD">
              <w:rPr>
                <w:lang w:val="fr-FR"/>
              </w:rPr>
              <w:t>Nombre de pays ayant adopté des stratégies de cybersécurité dans le cadre de leur programme de développement national.</w:t>
            </w:r>
          </w:p>
        </w:tc>
      </w:tr>
      <w:tr w:rsidR="003A306E" w:rsidRPr="000229AD" w14:paraId="2AEDC56B" w14:textId="77777777" w:rsidTr="00D80932">
        <w:trPr>
          <w:trHeight w:val="310"/>
        </w:trPr>
        <w:tc>
          <w:tcPr>
            <w:cnfStyle w:val="001000000000" w:firstRow="0" w:lastRow="0" w:firstColumn="1" w:lastColumn="0" w:oddVBand="0" w:evenVBand="0" w:oddHBand="0" w:evenHBand="0" w:firstRowFirstColumn="0" w:firstRowLastColumn="0" w:lastRowFirstColumn="0" w:lastRowLastColumn="0"/>
            <w:tcW w:w="2160" w:type="dxa"/>
            <w:vMerge/>
            <w:shd w:val="clear" w:color="auto" w:fill="FFFFFF" w:themeFill="background1"/>
          </w:tcPr>
          <w:p w14:paraId="32FEC7D2" w14:textId="77777777" w:rsidR="003A306E" w:rsidRPr="000229AD" w:rsidRDefault="003A306E" w:rsidP="00716C22">
            <w:pPr>
              <w:pStyle w:val="Tabletext"/>
              <w:rPr>
                <w:rFonts w:cstheme="minorHAnsi"/>
                <w:szCs w:val="22"/>
                <w:lang w:val="fr-FR"/>
              </w:rPr>
            </w:pPr>
          </w:p>
        </w:tc>
        <w:tc>
          <w:tcPr>
            <w:tcW w:w="8189" w:type="dxa"/>
          </w:tcPr>
          <w:p w14:paraId="7344A152" w14:textId="34A1E3FB" w:rsidR="003A306E" w:rsidRPr="000229AD" w:rsidRDefault="003A306E" w:rsidP="00716C22">
            <w:pPr>
              <w:pStyle w:val="Tabletext"/>
              <w:cnfStyle w:val="000000000000" w:firstRow="0" w:lastRow="0" w:firstColumn="0" w:lastColumn="0" w:oddVBand="0" w:evenVBand="0" w:oddHBand="0" w:evenHBand="0" w:firstRowFirstColumn="0" w:firstRowLastColumn="0" w:lastRowFirstColumn="0" w:lastRowLastColumn="0"/>
              <w:rPr>
                <w:rFonts w:cstheme="minorHAnsi"/>
                <w:szCs w:val="22"/>
                <w:lang w:val="fr-FR"/>
              </w:rPr>
            </w:pPr>
            <w:r w:rsidRPr="000229AD">
              <w:rPr>
                <w:lang w:val="fr-FR"/>
              </w:rPr>
              <w:t>Nombre de pays disposant d</w:t>
            </w:r>
            <w:r w:rsidR="00125408" w:rsidRPr="000229AD">
              <w:rPr>
                <w:lang w:val="fr-FR"/>
              </w:rPr>
              <w:t>'</w:t>
            </w:r>
            <w:r w:rsidRPr="000229AD">
              <w:rPr>
                <w:lang w:val="fr-FR"/>
              </w:rPr>
              <w:t>une équipe de réponse aux incidents informatiques (CIRT).</w:t>
            </w:r>
          </w:p>
        </w:tc>
      </w:tr>
      <w:tr w:rsidR="003A306E" w:rsidRPr="000229AD" w14:paraId="72ECCE3B" w14:textId="77777777" w:rsidTr="00D80932">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2160" w:type="dxa"/>
            <w:vMerge/>
            <w:shd w:val="clear" w:color="auto" w:fill="FFFFFF" w:themeFill="background1"/>
          </w:tcPr>
          <w:p w14:paraId="7EBB72CF" w14:textId="77777777" w:rsidR="003A306E" w:rsidRPr="000229AD" w:rsidRDefault="003A306E" w:rsidP="00716C22">
            <w:pPr>
              <w:pStyle w:val="Tabletext"/>
              <w:rPr>
                <w:rFonts w:cstheme="minorHAnsi"/>
                <w:szCs w:val="22"/>
                <w:lang w:val="fr-FR"/>
              </w:rPr>
            </w:pPr>
          </w:p>
        </w:tc>
        <w:tc>
          <w:tcPr>
            <w:tcW w:w="8189" w:type="dxa"/>
          </w:tcPr>
          <w:p w14:paraId="78306056" w14:textId="69E44719" w:rsidR="003A306E" w:rsidRPr="000229AD" w:rsidRDefault="003A306E" w:rsidP="00716C22">
            <w:pPr>
              <w:pStyle w:val="Tabletext"/>
              <w:cnfStyle w:val="000000100000" w:firstRow="0" w:lastRow="0" w:firstColumn="0" w:lastColumn="0" w:oddVBand="0" w:evenVBand="0" w:oddHBand="1" w:evenHBand="0" w:firstRowFirstColumn="0" w:firstRowLastColumn="0" w:lastRowFirstColumn="0" w:lastRowLastColumn="0"/>
              <w:rPr>
                <w:rFonts w:cstheme="minorHAnsi"/>
                <w:szCs w:val="22"/>
                <w:lang w:val="fr-FR"/>
              </w:rPr>
            </w:pPr>
            <w:r w:rsidRPr="000229AD">
              <w:rPr>
                <w:lang w:val="fr-FR"/>
              </w:rPr>
              <w:t>Nombre d</w:t>
            </w:r>
            <w:r w:rsidR="00125408" w:rsidRPr="000229AD">
              <w:rPr>
                <w:lang w:val="fr-FR"/>
              </w:rPr>
              <w:t>'</w:t>
            </w:r>
            <w:r w:rsidRPr="000229AD">
              <w:rPr>
                <w:lang w:val="fr-FR"/>
              </w:rPr>
              <w:t>États Membres ayant renforcé leur engagement en faveur de la cybersécurité, selon l</w:t>
            </w:r>
            <w:r w:rsidR="00125408" w:rsidRPr="000229AD">
              <w:rPr>
                <w:lang w:val="fr-FR"/>
              </w:rPr>
              <w:t>'</w:t>
            </w:r>
            <w:r w:rsidRPr="000229AD">
              <w:rPr>
                <w:lang w:val="fr-FR"/>
              </w:rPr>
              <w:t>Indice mondial de cybersécurité (GCI).</w:t>
            </w:r>
          </w:p>
        </w:tc>
      </w:tr>
      <w:tr w:rsidR="003A306E" w:rsidRPr="000229AD" w14:paraId="45AA83CA" w14:textId="77777777" w:rsidTr="00D80932">
        <w:trPr>
          <w:trHeight w:val="310"/>
        </w:trPr>
        <w:tc>
          <w:tcPr>
            <w:cnfStyle w:val="001000000000" w:firstRow="0" w:lastRow="0" w:firstColumn="1" w:lastColumn="0" w:oddVBand="0" w:evenVBand="0" w:oddHBand="0" w:evenHBand="0" w:firstRowFirstColumn="0" w:firstRowLastColumn="0" w:lastRowFirstColumn="0" w:lastRowLastColumn="0"/>
            <w:tcW w:w="2160" w:type="dxa"/>
            <w:vMerge/>
            <w:shd w:val="clear" w:color="auto" w:fill="FFFFFF" w:themeFill="background1"/>
          </w:tcPr>
          <w:p w14:paraId="01B0AB8B" w14:textId="77777777" w:rsidR="003A306E" w:rsidRPr="000229AD" w:rsidRDefault="003A306E" w:rsidP="00716C22">
            <w:pPr>
              <w:pStyle w:val="Tabletext"/>
              <w:rPr>
                <w:rFonts w:cstheme="minorHAnsi"/>
                <w:szCs w:val="22"/>
                <w:lang w:val="fr-FR"/>
              </w:rPr>
            </w:pPr>
          </w:p>
        </w:tc>
        <w:tc>
          <w:tcPr>
            <w:tcW w:w="8189" w:type="dxa"/>
          </w:tcPr>
          <w:p w14:paraId="71B19B94" w14:textId="56A3B9F0" w:rsidR="003A306E" w:rsidRPr="000229AD" w:rsidRDefault="003A306E" w:rsidP="00716C22">
            <w:pPr>
              <w:pStyle w:val="Tabletext"/>
              <w:cnfStyle w:val="000000000000" w:firstRow="0" w:lastRow="0" w:firstColumn="0" w:lastColumn="0" w:oddVBand="0" w:evenVBand="0" w:oddHBand="0" w:evenHBand="0" w:firstRowFirstColumn="0" w:firstRowLastColumn="0" w:lastRowFirstColumn="0" w:lastRowLastColumn="0"/>
              <w:rPr>
                <w:rFonts w:cstheme="minorHAnsi"/>
                <w:szCs w:val="22"/>
                <w:lang w:val="fr-FR"/>
              </w:rPr>
            </w:pPr>
            <w:r w:rsidRPr="000229AD">
              <w:rPr>
                <w:lang w:val="fr-FR"/>
              </w:rPr>
              <w:t>Nombre de pays disposant de systèmes de soutien en ligne pour les enfants (par exemple, lignes d</w:t>
            </w:r>
            <w:r w:rsidR="00125408" w:rsidRPr="000229AD">
              <w:rPr>
                <w:lang w:val="fr-FR"/>
              </w:rPr>
              <w:t>'</w:t>
            </w:r>
            <w:r w:rsidRPr="000229AD">
              <w:rPr>
                <w:lang w:val="fr-FR"/>
              </w:rPr>
              <w:t>assistance, mécanismes d</w:t>
            </w:r>
            <w:r w:rsidR="00125408" w:rsidRPr="000229AD">
              <w:rPr>
                <w:lang w:val="fr-FR"/>
              </w:rPr>
              <w:t>'</w:t>
            </w:r>
            <w:r w:rsidRPr="000229AD">
              <w:rPr>
                <w:lang w:val="fr-FR"/>
              </w:rPr>
              <w:t>orientation).</w:t>
            </w:r>
          </w:p>
        </w:tc>
      </w:tr>
      <w:tr w:rsidR="003A306E" w:rsidRPr="000229AD" w14:paraId="5D635538" w14:textId="77777777" w:rsidTr="00D80932">
        <w:trPr>
          <w:cnfStyle w:val="000000100000" w:firstRow="0" w:lastRow="0" w:firstColumn="0" w:lastColumn="0" w:oddVBand="0" w:evenVBand="0" w:oddHBand="1" w:evenHBand="0" w:firstRowFirstColumn="0" w:firstRowLastColumn="0" w:lastRowFirstColumn="0" w:lastRowLastColumn="0"/>
          <w:trHeight w:val="906"/>
        </w:trPr>
        <w:tc>
          <w:tcPr>
            <w:cnfStyle w:val="001000000000" w:firstRow="0" w:lastRow="0" w:firstColumn="1" w:lastColumn="0" w:oddVBand="0" w:evenVBand="0" w:oddHBand="0" w:evenHBand="0" w:firstRowFirstColumn="0" w:firstRowLastColumn="0" w:lastRowFirstColumn="0" w:lastRowLastColumn="0"/>
            <w:tcW w:w="2160" w:type="dxa"/>
          </w:tcPr>
          <w:p w14:paraId="398EB313" w14:textId="77777777" w:rsidR="003A306E" w:rsidRPr="000229AD" w:rsidRDefault="003A306E" w:rsidP="00716C22">
            <w:pPr>
              <w:pStyle w:val="Tabletext"/>
              <w:rPr>
                <w:rFonts w:cstheme="minorHAnsi"/>
                <w:szCs w:val="22"/>
                <w:lang w:val="fr-FR"/>
              </w:rPr>
            </w:pPr>
            <w:r w:rsidRPr="000229AD">
              <w:rPr>
                <w:lang w:val="fr-FR"/>
              </w:rPr>
              <w:t>Mobilisation de ressources, partenariats et coopération internationale</w:t>
            </w:r>
            <w:r w:rsidRPr="000229AD">
              <w:rPr>
                <w:rStyle w:val="FootnoteReference"/>
                <w:rFonts w:cstheme="minorHAnsi"/>
                <w:sz w:val="22"/>
                <w:szCs w:val="22"/>
                <w:lang w:val="fr-FR"/>
              </w:rPr>
              <w:footnoteReference w:id="1"/>
            </w:r>
          </w:p>
        </w:tc>
        <w:tc>
          <w:tcPr>
            <w:tcW w:w="8189" w:type="dxa"/>
          </w:tcPr>
          <w:p w14:paraId="3278BFD0" w14:textId="4D419914" w:rsidR="003A306E" w:rsidRPr="000229AD" w:rsidRDefault="003A306E" w:rsidP="00716C22">
            <w:pPr>
              <w:pStyle w:val="Tabletext"/>
              <w:cnfStyle w:val="000000100000" w:firstRow="0" w:lastRow="0" w:firstColumn="0" w:lastColumn="0" w:oddVBand="0" w:evenVBand="0" w:oddHBand="1" w:evenHBand="0" w:firstRowFirstColumn="0" w:firstRowLastColumn="0" w:lastRowFirstColumn="0" w:lastRowLastColumn="0"/>
              <w:rPr>
                <w:rFonts w:cstheme="minorHAnsi"/>
                <w:i/>
                <w:iCs/>
                <w:szCs w:val="22"/>
                <w:lang w:val="fr-FR"/>
              </w:rPr>
            </w:pPr>
            <w:r w:rsidRPr="000229AD">
              <w:rPr>
                <w:lang w:val="fr-FR"/>
              </w:rPr>
              <w:t>Nombre d</w:t>
            </w:r>
            <w:r w:rsidR="00125408" w:rsidRPr="000229AD">
              <w:rPr>
                <w:lang w:val="fr-FR"/>
              </w:rPr>
              <w:t>'</w:t>
            </w:r>
            <w:r w:rsidRPr="000229AD">
              <w:rPr>
                <w:lang w:val="fr-FR"/>
              </w:rPr>
              <w:t>accords de développement sur les TIC signés entre l</w:t>
            </w:r>
            <w:r w:rsidR="00125408" w:rsidRPr="000229AD">
              <w:rPr>
                <w:lang w:val="fr-FR"/>
              </w:rPr>
              <w:t>'</w:t>
            </w:r>
            <w:r w:rsidRPr="000229AD">
              <w:rPr>
                <w:lang w:val="fr-FR"/>
              </w:rPr>
              <w:t>UIT et ses partenaires afin d</w:t>
            </w:r>
            <w:r w:rsidR="00125408" w:rsidRPr="000229AD">
              <w:rPr>
                <w:lang w:val="fr-FR"/>
              </w:rPr>
              <w:t>'</w:t>
            </w:r>
            <w:r w:rsidRPr="000229AD">
              <w:rPr>
                <w:lang w:val="fr-FR"/>
              </w:rPr>
              <w:t>appuyer la mise en œuvre du Plan d</w:t>
            </w:r>
            <w:r w:rsidR="00125408" w:rsidRPr="000229AD">
              <w:rPr>
                <w:lang w:val="fr-FR"/>
              </w:rPr>
              <w:t>'</w:t>
            </w:r>
            <w:r w:rsidRPr="000229AD">
              <w:rPr>
                <w:lang w:val="fr-FR"/>
              </w:rPr>
              <w:t>action de Kigali.</w:t>
            </w:r>
          </w:p>
        </w:tc>
      </w:tr>
    </w:tbl>
    <w:p w14:paraId="7A8AF8B9" w14:textId="77777777" w:rsidR="003A306E" w:rsidRPr="000229AD" w:rsidRDefault="003A306E" w:rsidP="00716C22">
      <w:pPr>
        <w:spacing w:before="0"/>
        <w:rPr>
          <w:sz w:val="14"/>
          <w:szCs w:val="10"/>
          <w:lang w:val="fr-FR"/>
        </w:rPr>
      </w:pPr>
    </w:p>
    <w:tbl>
      <w:tblPr>
        <w:tblStyle w:val="GridTable4-Accent1"/>
        <w:tblW w:w="10490" w:type="dxa"/>
        <w:tblInd w:w="-289" w:type="dxa"/>
        <w:tblLayout w:type="fixed"/>
        <w:tblLook w:val="04A0" w:firstRow="1" w:lastRow="0" w:firstColumn="1" w:lastColumn="0" w:noHBand="0" w:noVBand="1"/>
      </w:tblPr>
      <w:tblGrid>
        <w:gridCol w:w="2269"/>
        <w:gridCol w:w="8221"/>
      </w:tblGrid>
      <w:tr w:rsidR="00532528" w:rsidRPr="000229AD" w14:paraId="3320D538" w14:textId="77777777" w:rsidTr="007E3A1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9" w:type="dxa"/>
          </w:tcPr>
          <w:p w14:paraId="0FE7926F" w14:textId="06486174" w:rsidR="00532528" w:rsidRPr="000229AD" w:rsidRDefault="00532528" w:rsidP="00716C22">
            <w:pPr>
              <w:pStyle w:val="Tablehead"/>
              <w:jc w:val="left"/>
              <w:rPr>
                <w:b/>
                <w:bCs w:val="0"/>
                <w:szCs w:val="22"/>
                <w:lang w:val="fr-FR"/>
              </w:rPr>
            </w:pPr>
            <w:r w:rsidRPr="000229AD">
              <w:rPr>
                <w:b/>
                <w:bCs w:val="0"/>
                <w:lang w:val="fr-FR"/>
              </w:rPr>
              <w:lastRenderedPageBreak/>
              <w:t>Catalyseurs de l</w:t>
            </w:r>
            <w:r w:rsidR="00125408" w:rsidRPr="000229AD">
              <w:rPr>
                <w:b/>
                <w:bCs w:val="0"/>
                <w:lang w:val="fr-FR"/>
              </w:rPr>
              <w:t>'</w:t>
            </w:r>
            <w:r w:rsidRPr="000229AD">
              <w:rPr>
                <w:b/>
                <w:bCs w:val="0"/>
                <w:lang w:val="fr-FR"/>
              </w:rPr>
              <w:t>UIT-D</w:t>
            </w:r>
          </w:p>
        </w:tc>
        <w:tc>
          <w:tcPr>
            <w:tcW w:w="8221" w:type="dxa"/>
          </w:tcPr>
          <w:p w14:paraId="41E96DA9" w14:textId="3BCCFDB2" w:rsidR="00532528" w:rsidRPr="000229AD" w:rsidRDefault="00532528" w:rsidP="00716C22">
            <w:pPr>
              <w:pStyle w:val="Tablehead"/>
              <w:jc w:val="left"/>
              <w:cnfStyle w:val="100000000000" w:firstRow="1" w:lastRow="0" w:firstColumn="0" w:lastColumn="0" w:oddVBand="0" w:evenVBand="0" w:oddHBand="0" w:evenHBand="0" w:firstRowFirstColumn="0" w:firstRowLastColumn="0" w:lastRowFirstColumn="0" w:lastRowLastColumn="0"/>
              <w:rPr>
                <w:b/>
                <w:bCs w:val="0"/>
                <w:szCs w:val="22"/>
                <w:lang w:val="fr-FR"/>
              </w:rPr>
            </w:pPr>
            <w:r w:rsidRPr="000229AD">
              <w:rPr>
                <w:b/>
                <w:bCs w:val="0"/>
                <w:lang w:val="fr-FR"/>
              </w:rPr>
              <w:t>Indicateurs (essentiellement des produits)</w:t>
            </w:r>
          </w:p>
        </w:tc>
      </w:tr>
      <w:tr w:rsidR="00532528" w:rsidRPr="000229AD" w14:paraId="37C2A353" w14:textId="77777777" w:rsidTr="007E3A17">
        <w:trPr>
          <w:cnfStyle w:val="000000100000" w:firstRow="0" w:lastRow="0" w:firstColumn="0" w:lastColumn="0" w:oddVBand="0" w:evenVBand="0" w:oddHBand="1" w:evenHBand="0" w:firstRowFirstColumn="0" w:firstRowLastColumn="0" w:lastRowFirstColumn="0" w:lastRowLastColumn="0"/>
          <w:trHeight w:val="118"/>
        </w:trPr>
        <w:tc>
          <w:tcPr>
            <w:cnfStyle w:val="001000000000" w:firstRow="0" w:lastRow="0" w:firstColumn="1" w:lastColumn="0" w:oddVBand="0" w:evenVBand="0" w:oddHBand="0" w:evenHBand="0" w:firstRowFirstColumn="0" w:firstRowLastColumn="0" w:lastRowFirstColumn="0" w:lastRowLastColumn="0"/>
            <w:tcW w:w="2269" w:type="dxa"/>
          </w:tcPr>
          <w:p w14:paraId="0DA0A39B" w14:textId="77777777" w:rsidR="00532528" w:rsidRPr="000229AD" w:rsidRDefault="00532528" w:rsidP="00716C22">
            <w:pPr>
              <w:pStyle w:val="Tabletext"/>
              <w:rPr>
                <w:szCs w:val="22"/>
                <w:lang w:val="fr-FR"/>
              </w:rPr>
            </w:pPr>
            <w:r w:rsidRPr="000229AD">
              <w:rPr>
                <w:lang w:val="fr-FR"/>
              </w:rPr>
              <w:t>Diversité et inclusion</w:t>
            </w:r>
          </w:p>
        </w:tc>
        <w:tc>
          <w:tcPr>
            <w:tcW w:w="8221" w:type="dxa"/>
          </w:tcPr>
          <w:p w14:paraId="66B1381D" w14:textId="2745A43B" w:rsidR="00532528" w:rsidRPr="000229AD" w:rsidRDefault="00532528" w:rsidP="00716C22">
            <w:pPr>
              <w:pStyle w:val="Tabletext"/>
              <w:cnfStyle w:val="000000100000" w:firstRow="0" w:lastRow="0" w:firstColumn="0" w:lastColumn="0" w:oddVBand="0" w:evenVBand="0" w:oddHBand="1" w:evenHBand="0" w:firstRowFirstColumn="0" w:firstRowLastColumn="0" w:lastRowFirstColumn="0" w:lastRowLastColumn="0"/>
              <w:rPr>
                <w:szCs w:val="22"/>
                <w:lang w:val="fr-FR"/>
              </w:rPr>
            </w:pPr>
            <w:r w:rsidRPr="000229AD">
              <w:rPr>
                <w:lang w:val="fr-FR"/>
              </w:rPr>
              <w:t>Nombre de pays ayant élaboré une politique et une stratégie en faveur de l</w:t>
            </w:r>
            <w:r w:rsidR="00125408" w:rsidRPr="000229AD">
              <w:rPr>
                <w:lang w:val="fr-FR"/>
              </w:rPr>
              <w:t>'</w:t>
            </w:r>
            <w:r w:rsidRPr="000229AD">
              <w:rPr>
                <w:lang w:val="fr-FR"/>
              </w:rPr>
              <w:t>inclusion numérique au niveau national.</w:t>
            </w:r>
          </w:p>
        </w:tc>
      </w:tr>
      <w:tr w:rsidR="00532528" w:rsidRPr="000229AD" w14:paraId="407942FF" w14:textId="77777777" w:rsidTr="007E3A17">
        <w:trPr>
          <w:trHeight w:val="340"/>
        </w:trPr>
        <w:tc>
          <w:tcPr>
            <w:cnfStyle w:val="001000000000" w:firstRow="0" w:lastRow="0" w:firstColumn="1" w:lastColumn="0" w:oddVBand="0" w:evenVBand="0" w:oddHBand="0" w:evenHBand="0" w:firstRowFirstColumn="0" w:firstRowLastColumn="0" w:lastRowFirstColumn="0" w:lastRowLastColumn="0"/>
            <w:tcW w:w="2269" w:type="dxa"/>
          </w:tcPr>
          <w:p w14:paraId="41008B7B" w14:textId="77777777" w:rsidR="00532528" w:rsidRPr="000229AD" w:rsidRDefault="00532528" w:rsidP="00716C22">
            <w:pPr>
              <w:pStyle w:val="Tabletext"/>
              <w:rPr>
                <w:szCs w:val="22"/>
                <w:lang w:val="fr-FR"/>
              </w:rPr>
            </w:pPr>
            <w:r w:rsidRPr="000229AD">
              <w:rPr>
                <w:lang w:val="fr-FR"/>
              </w:rPr>
              <w:t>Engagement en faveur de la durabilité environnementale</w:t>
            </w:r>
          </w:p>
        </w:tc>
        <w:tc>
          <w:tcPr>
            <w:tcW w:w="8221" w:type="dxa"/>
          </w:tcPr>
          <w:p w14:paraId="4CF3CFD7" w14:textId="43657E1B" w:rsidR="00532528" w:rsidRPr="000229AD" w:rsidRDefault="00532528" w:rsidP="00716C22">
            <w:pPr>
              <w:pStyle w:val="Tabletext"/>
              <w:cnfStyle w:val="000000000000" w:firstRow="0" w:lastRow="0" w:firstColumn="0" w:lastColumn="0" w:oddVBand="0" w:evenVBand="0" w:oddHBand="0" w:evenHBand="0" w:firstRowFirstColumn="0" w:firstRowLastColumn="0" w:lastRowFirstColumn="0" w:lastRowLastColumn="0"/>
              <w:rPr>
                <w:szCs w:val="22"/>
                <w:lang w:val="fr-FR"/>
              </w:rPr>
            </w:pPr>
            <w:r w:rsidRPr="000229AD">
              <w:rPr>
                <w:lang w:val="fr-FR"/>
              </w:rPr>
              <w:t>Nombre de pays ayant adopté une politique ou un cadre législatif ou réglementaire pour la gestion des déchets d</w:t>
            </w:r>
            <w:r w:rsidR="00125408" w:rsidRPr="000229AD">
              <w:rPr>
                <w:lang w:val="fr-FR"/>
              </w:rPr>
              <w:t>'</w:t>
            </w:r>
            <w:r w:rsidRPr="000229AD">
              <w:rPr>
                <w:lang w:val="fr-FR"/>
              </w:rPr>
              <w:t>équipements électriques et électroniques au niveau national.</w:t>
            </w:r>
          </w:p>
        </w:tc>
      </w:tr>
      <w:tr w:rsidR="00532528" w:rsidRPr="000229AD" w14:paraId="2C1E7F0E" w14:textId="77777777" w:rsidTr="007E3A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9" w:type="dxa"/>
          </w:tcPr>
          <w:p w14:paraId="070C0CF4" w14:textId="77777777" w:rsidR="00532528" w:rsidRPr="000229AD" w:rsidRDefault="00532528" w:rsidP="00716C22">
            <w:pPr>
              <w:pStyle w:val="Tabletext"/>
              <w:rPr>
                <w:szCs w:val="22"/>
                <w:lang w:val="fr-FR"/>
              </w:rPr>
            </w:pPr>
            <w:r w:rsidRPr="000229AD">
              <w:rPr>
                <w:lang w:val="fr-FR"/>
              </w:rPr>
              <w:t>Une organisation reposant sur les contributions de ses membres</w:t>
            </w:r>
          </w:p>
        </w:tc>
        <w:tc>
          <w:tcPr>
            <w:tcW w:w="8221" w:type="dxa"/>
          </w:tcPr>
          <w:p w14:paraId="745997B9" w14:textId="4C7896ED" w:rsidR="00532528" w:rsidRPr="000229AD" w:rsidRDefault="00532528" w:rsidP="00716C22">
            <w:pPr>
              <w:pStyle w:val="Tabletext"/>
              <w:cnfStyle w:val="000000100000" w:firstRow="0" w:lastRow="0" w:firstColumn="0" w:lastColumn="0" w:oddVBand="0" w:evenVBand="0" w:oddHBand="1" w:evenHBand="0" w:firstRowFirstColumn="0" w:firstRowLastColumn="0" w:lastRowFirstColumn="0" w:lastRowLastColumn="0"/>
              <w:rPr>
                <w:rStyle w:val="FootnoteReference"/>
                <w:sz w:val="22"/>
                <w:szCs w:val="22"/>
                <w:lang w:val="fr-FR"/>
              </w:rPr>
            </w:pPr>
            <w:r w:rsidRPr="000229AD">
              <w:rPr>
                <w:lang w:val="fr-FR"/>
              </w:rPr>
              <w:t>Nombre de nouveaux membres de l</w:t>
            </w:r>
            <w:r w:rsidR="00125408" w:rsidRPr="000229AD">
              <w:rPr>
                <w:lang w:val="fr-FR"/>
              </w:rPr>
              <w:t>'</w:t>
            </w:r>
            <w:r w:rsidRPr="000229AD">
              <w:rPr>
                <w:lang w:val="fr-FR"/>
              </w:rPr>
              <w:t>UIT-D.</w:t>
            </w:r>
          </w:p>
        </w:tc>
      </w:tr>
      <w:tr w:rsidR="00532528" w:rsidRPr="000229AD" w14:paraId="05DAB3A6" w14:textId="77777777" w:rsidTr="007E3A17">
        <w:trPr>
          <w:trHeight w:val="131"/>
        </w:trPr>
        <w:tc>
          <w:tcPr>
            <w:cnfStyle w:val="001000000000" w:firstRow="0" w:lastRow="0" w:firstColumn="1" w:lastColumn="0" w:oddVBand="0" w:evenVBand="0" w:oddHBand="0" w:evenHBand="0" w:firstRowFirstColumn="0" w:firstRowLastColumn="0" w:lastRowFirstColumn="0" w:lastRowLastColumn="0"/>
            <w:tcW w:w="2269" w:type="dxa"/>
            <w:vMerge w:val="restart"/>
            <w:shd w:val="clear" w:color="auto" w:fill="auto"/>
          </w:tcPr>
          <w:p w14:paraId="28FD16D3" w14:textId="77777777" w:rsidR="00532528" w:rsidRPr="000229AD" w:rsidRDefault="00532528" w:rsidP="00716C22">
            <w:pPr>
              <w:pStyle w:val="Tabletext"/>
              <w:rPr>
                <w:rFonts w:cstheme="minorBidi"/>
                <w:szCs w:val="22"/>
                <w:lang w:val="fr-FR"/>
              </w:rPr>
            </w:pPr>
            <w:r w:rsidRPr="000229AD">
              <w:rPr>
                <w:lang w:val="fr-FR"/>
              </w:rPr>
              <w:t>Excellence en matière de ressources humaines et innovation organisationnelle</w:t>
            </w:r>
          </w:p>
        </w:tc>
        <w:tc>
          <w:tcPr>
            <w:tcW w:w="8221" w:type="dxa"/>
            <w:shd w:val="clear" w:color="auto" w:fill="auto"/>
          </w:tcPr>
          <w:p w14:paraId="10617539" w14:textId="2494DC84" w:rsidR="00532528" w:rsidRPr="000229AD" w:rsidRDefault="00532528" w:rsidP="00716C22">
            <w:pPr>
              <w:pStyle w:val="Tabletext"/>
              <w:cnfStyle w:val="000000000000" w:firstRow="0" w:lastRow="0" w:firstColumn="0" w:lastColumn="0" w:oddVBand="0" w:evenVBand="0" w:oddHBand="0" w:evenHBand="0" w:firstRowFirstColumn="0" w:firstRowLastColumn="0" w:lastRowFirstColumn="0" w:lastRowLastColumn="0"/>
              <w:rPr>
                <w:rFonts w:cstheme="minorBidi"/>
                <w:szCs w:val="22"/>
                <w:lang w:val="fr-FR"/>
              </w:rPr>
            </w:pPr>
            <w:r w:rsidRPr="000229AD">
              <w:rPr>
                <w:lang w:val="fr-FR"/>
              </w:rPr>
              <w:t>Nombre d</w:t>
            </w:r>
            <w:r w:rsidR="00125408" w:rsidRPr="000229AD">
              <w:rPr>
                <w:lang w:val="fr-FR"/>
              </w:rPr>
              <w:t>'</w:t>
            </w:r>
            <w:r w:rsidRPr="000229AD">
              <w:rPr>
                <w:lang w:val="fr-FR"/>
              </w:rPr>
              <w:t>initiatives de formation et de perfectionnement du personnel menées par le personnel du BDT.</w:t>
            </w:r>
          </w:p>
        </w:tc>
      </w:tr>
      <w:tr w:rsidR="00532528" w:rsidRPr="000229AD" w14:paraId="24A4704B" w14:textId="77777777" w:rsidTr="007E3A17">
        <w:trPr>
          <w:cnfStyle w:val="000000100000" w:firstRow="0" w:lastRow="0" w:firstColumn="0" w:lastColumn="0" w:oddVBand="0" w:evenVBand="0" w:oddHBand="1" w:evenHBand="0" w:firstRowFirstColumn="0" w:firstRowLastColumn="0" w:lastRowFirstColumn="0" w:lastRowLastColumn="0"/>
          <w:trHeight w:val="83"/>
        </w:trPr>
        <w:tc>
          <w:tcPr>
            <w:cnfStyle w:val="001000000000" w:firstRow="0" w:lastRow="0" w:firstColumn="1" w:lastColumn="0" w:oddVBand="0" w:evenVBand="0" w:oddHBand="0" w:evenHBand="0" w:firstRowFirstColumn="0" w:firstRowLastColumn="0" w:lastRowFirstColumn="0" w:lastRowLastColumn="0"/>
            <w:tcW w:w="2269" w:type="dxa"/>
            <w:vMerge/>
            <w:shd w:val="clear" w:color="auto" w:fill="auto"/>
          </w:tcPr>
          <w:p w14:paraId="322A93AA" w14:textId="77777777" w:rsidR="00532528" w:rsidRPr="000229AD" w:rsidRDefault="00532528" w:rsidP="00716C22">
            <w:pPr>
              <w:pStyle w:val="Tabletext"/>
              <w:rPr>
                <w:szCs w:val="22"/>
                <w:lang w:val="fr-FR"/>
              </w:rPr>
            </w:pPr>
          </w:p>
        </w:tc>
        <w:tc>
          <w:tcPr>
            <w:tcW w:w="8221" w:type="dxa"/>
          </w:tcPr>
          <w:p w14:paraId="266FA89E" w14:textId="77777777" w:rsidR="00532528" w:rsidRPr="000229AD" w:rsidRDefault="00532528" w:rsidP="00716C22">
            <w:pPr>
              <w:pStyle w:val="Tabletext"/>
              <w:cnfStyle w:val="000000100000" w:firstRow="0" w:lastRow="0" w:firstColumn="0" w:lastColumn="0" w:oddVBand="0" w:evenVBand="0" w:oddHBand="1" w:evenHBand="0" w:firstRowFirstColumn="0" w:firstRowLastColumn="0" w:lastRowFirstColumn="0" w:lastRowLastColumn="0"/>
              <w:rPr>
                <w:rFonts w:cstheme="minorBidi"/>
                <w:szCs w:val="22"/>
                <w:lang w:val="fr-FR"/>
              </w:rPr>
            </w:pPr>
            <w:r w:rsidRPr="000229AD">
              <w:rPr>
                <w:lang w:val="fr-FR"/>
              </w:rPr>
              <w:t>Niveau moyen de performance du personnel.</w:t>
            </w:r>
          </w:p>
        </w:tc>
      </w:tr>
      <w:tr w:rsidR="00532528" w:rsidRPr="000229AD" w14:paraId="36754C0D" w14:textId="77777777" w:rsidTr="007E3A17">
        <w:trPr>
          <w:trHeight w:val="195"/>
        </w:trPr>
        <w:tc>
          <w:tcPr>
            <w:cnfStyle w:val="001000000000" w:firstRow="0" w:lastRow="0" w:firstColumn="1" w:lastColumn="0" w:oddVBand="0" w:evenVBand="0" w:oddHBand="0" w:evenHBand="0" w:firstRowFirstColumn="0" w:firstRowLastColumn="0" w:lastRowFirstColumn="0" w:lastRowLastColumn="0"/>
            <w:tcW w:w="2269" w:type="dxa"/>
            <w:vMerge/>
            <w:shd w:val="clear" w:color="auto" w:fill="auto"/>
          </w:tcPr>
          <w:p w14:paraId="5374BE3E" w14:textId="77777777" w:rsidR="00532528" w:rsidRPr="000229AD" w:rsidRDefault="00532528" w:rsidP="00716C22">
            <w:pPr>
              <w:pStyle w:val="Tabletext"/>
              <w:rPr>
                <w:szCs w:val="22"/>
                <w:lang w:val="fr-FR"/>
              </w:rPr>
            </w:pPr>
          </w:p>
        </w:tc>
        <w:tc>
          <w:tcPr>
            <w:tcW w:w="8221" w:type="dxa"/>
            <w:shd w:val="clear" w:color="auto" w:fill="auto"/>
          </w:tcPr>
          <w:p w14:paraId="40B337ED" w14:textId="1063BFFE" w:rsidR="00532528" w:rsidRPr="000229AD" w:rsidRDefault="00532528" w:rsidP="00716C22">
            <w:pPr>
              <w:pStyle w:val="Tabletext"/>
              <w:cnfStyle w:val="000000000000" w:firstRow="0" w:lastRow="0" w:firstColumn="0" w:lastColumn="0" w:oddVBand="0" w:evenVBand="0" w:oddHBand="0" w:evenHBand="0" w:firstRowFirstColumn="0" w:firstRowLastColumn="0" w:lastRowFirstColumn="0" w:lastRowLastColumn="0"/>
              <w:rPr>
                <w:rFonts w:cstheme="minorBidi"/>
                <w:color w:val="000000" w:themeColor="text1"/>
                <w:szCs w:val="22"/>
                <w:lang w:val="fr-FR"/>
              </w:rPr>
            </w:pPr>
            <w:r w:rsidRPr="000229AD">
              <w:rPr>
                <w:lang w:val="fr-FR"/>
              </w:rPr>
              <w:t>Pourcentage d</w:t>
            </w:r>
            <w:r w:rsidR="00125408" w:rsidRPr="000229AD">
              <w:rPr>
                <w:lang w:val="fr-FR"/>
              </w:rPr>
              <w:t>'</w:t>
            </w:r>
            <w:r w:rsidRPr="000229AD">
              <w:rPr>
                <w:lang w:val="fr-FR"/>
              </w:rPr>
              <w:t>exécution du budget du Plan opérationnel.</w:t>
            </w:r>
          </w:p>
        </w:tc>
      </w:tr>
      <w:tr w:rsidR="00532528" w:rsidRPr="000229AD" w14:paraId="6A7D9569" w14:textId="77777777" w:rsidTr="007E3A17">
        <w:trPr>
          <w:cnfStyle w:val="000000100000" w:firstRow="0" w:lastRow="0" w:firstColumn="0" w:lastColumn="0" w:oddVBand="0" w:evenVBand="0" w:oddHBand="1" w:evenHBand="0" w:firstRowFirstColumn="0" w:firstRowLastColumn="0" w:lastRowFirstColumn="0" w:lastRowLastColumn="0"/>
          <w:trHeight w:val="195"/>
        </w:trPr>
        <w:tc>
          <w:tcPr>
            <w:cnfStyle w:val="001000000000" w:firstRow="0" w:lastRow="0" w:firstColumn="1" w:lastColumn="0" w:oddVBand="0" w:evenVBand="0" w:oddHBand="0" w:evenHBand="0" w:firstRowFirstColumn="0" w:firstRowLastColumn="0" w:lastRowFirstColumn="0" w:lastRowLastColumn="0"/>
            <w:tcW w:w="2269" w:type="dxa"/>
            <w:vMerge/>
            <w:shd w:val="clear" w:color="auto" w:fill="auto"/>
          </w:tcPr>
          <w:p w14:paraId="4CF3571A" w14:textId="77777777" w:rsidR="00532528" w:rsidRPr="000229AD" w:rsidRDefault="00532528" w:rsidP="00716C22">
            <w:pPr>
              <w:pStyle w:val="Tabletext"/>
              <w:rPr>
                <w:szCs w:val="22"/>
                <w:lang w:val="fr-FR"/>
              </w:rPr>
            </w:pPr>
          </w:p>
        </w:tc>
        <w:tc>
          <w:tcPr>
            <w:tcW w:w="8221" w:type="dxa"/>
          </w:tcPr>
          <w:p w14:paraId="2E616C1E" w14:textId="08846990" w:rsidR="00532528" w:rsidRPr="000229AD" w:rsidRDefault="00532528" w:rsidP="00716C22">
            <w:pPr>
              <w:pStyle w:val="Tabletext"/>
              <w:cnfStyle w:val="000000100000" w:firstRow="0" w:lastRow="0" w:firstColumn="0" w:lastColumn="0" w:oddVBand="0" w:evenVBand="0" w:oddHBand="1" w:evenHBand="0" w:firstRowFirstColumn="0" w:firstRowLastColumn="0" w:lastRowFirstColumn="0" w:lastRowLastColumn="0"/>
              <w:rPr>
                <w:rFonts w:cstheme="minorBidi"/>
                <w:color w:val="000000"/>
                <w:szCs w:val="22"/>
                <w:lang w:val="fr-FR"/>
              </w:rPr>
            </w:pPr>
            <w:r w:rsidRPr="000229AD">
              <w:rPr>
                <w:lang w:val="fr-FR"/>
              </w:rPr>
              <w:t>Nombre d</w:t>
            </w:r>
            <w:r w:rsidR="00125408" w:rsidRPr="000229AD">
              <w:rPr>
                <w:lang w:val="fr-FR"/>
              </w:rPr>
              <w:t>'</w:t>
            </w:r>
            <w:r w:rsidRPr="000229AD">
              <w:rPr>
                <w:lang w:val="fr-FR"/>
              </w:rPr>
              <w:t>accords de projet signés chaque année.</w:t>
            </w:r>
          </w:p>
        </w:tc>
      </w:tr>
      <w:tr w:rsidR="00532528" w:rsidRPr="000229AD" w14:paraId="184A9D45" w14:textId="77777777" w:rsidTr="007E3A17">
        <w:trPr>
          <w:trHeight w:val="195"/>
        </w:trPr>
        <w:tc>
          <w:tcPr>
            <w:cnfStyle w:val="001000000000" w:firstRow="0" w:lastRow="0" w:firstColumn="1" w:lastColumn="0" w:oddVBand="0" w:evenVBand="0" w:oddHBand="0" w:evenHBand="0" w:firstRowFirstColumn="0" w:firstRowLastColumn="0" w:lastRowFirstColumn="0" w:lastRowLastColumn="0"/>
            <w:tcW w:w="2269" w:type="dxa"/>
            <w:vMerge/>
            <w:shd w:val="clear" w:color="auto" w:fill="auto"/>
          </w:tcPr>
          <w:p w14:paraId="6ED9C72A" w14:textId="77777777" w:rsidR="00532528" w:rsidRPr="000229AD" w:rsidRDefault="00532528" w:rsidP="00716C22">
            <w:pPr>
              <w:pStyle w:val="Tabletext"/>
              <w:rPr>
                <w:szCs w:val="22"/>
                <w:lang w:val="fr-FR"/>
              </w:rPr>
            </w:pPr>
          </w:p>
        </w:tc>
        <w:tc>
          <w:tcPr>
            <w:tcW w:w="8221" w:type="dxa"/>
            <w:shd w:val="clear" w:color="auto" w:fill="auto"/>
          </w:tcPr>
          <w:p w14:paraId="33BA9749" w14:textId="77777777" w:rsidR="00532528" w:rsidRPr="000229AD" w:rsidRDefault="00532528" w:rsidP="00716C22">
            <w:pPr>
              <w:pStyle w:val="Tabletext"/>
              <w:cnfStyle w:val="000000000000" w:firstRow="0" w:lastRow="0" w:firstColumn="0" w:lastColumn="0" w:oddVBand="0" w:evenVBand="0" w:oddHBand="0" w:evenHBand="0" w:firstRowFirstColumn="0" w:firstRowLastColumn="0" w:lastRowFirstColumn="0" w:lastRowLastColumn="0"/>
              <w:rPr>
                <w:szCs w:val="22"/>
                <w:lang w:val="fr-FR"/>
              </w:rPr>
            </w:pPr>
            <w:r w:rsidRPr="000229AD">
              <w:rPr>
                <w:lang w:val="fr-FR"/>
              </w:rPr>
              <w:t>Pourcentage de projets en bonne voie.</w:t>
            </w:r>
          </w:p>
        </w:tc>
      </w:tr>
      <w:tr w:rsidR="00532528" w:rsidRPr="000229AD" w14:paraId="57748080" w14:textId="77777777" w:rsidTr="007E3A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9" w:type="dxa"/>
          </w:tcPr>
          <w:p w14:paraId="01801A11" w14:textId="77777777" w:rsidR="00532528" w:rsidRPr="000229AD" w:rsidRDefault="00532528" w:rsidP="00716C22">
            <w:pPr>
              <w:pStyle w:val="Tabletext"/>
              <w:rPr>
                <w:rFonts w:cstheme="minorBidi"/>
                <w:szCs w:val="22"/>
                <w:lang w:val="fr-FR"/>
              </w:rPr>
            </w:pPr>
            <w:r w:rsidRPr="000229AD">
              <w:rPr>
                <w:lang w:val="fr-FR"/>
              </w:rPr>
              <w:t>Présence régionale</w:t>
            </w:r>
          </w:p>
        </w:tc>
        <w:tc>
          <w:tcPr>
            <w:tcW w:w="8221" w:type="dxa"/>
          </w:tcPr>
          <w:p w14:paraId="2A74A1EB" w14:textId="72C177BF" w:rsidR="00532528" w:rsidRPr="000229AD" w:rsidRDefault="00532528" w:rsidP="00716C22">
            <w:pPr>
              <w:pStyle w:val="Tabletext"/>
              <w:cnfStyle w:val="000000100000" w:firstRow="0" w:lastRow="0" w:firstColumn="0" w:lastColumn="0" w:oddVBand="0" w:evenVBand="0" w:oddHBand="1" w:evenHBand="0" w:firstRowFirstColumn="0" w:firstRowLastColumn="0" w:lastRowFirstColumn="0" w:lastRowLastColumn="0"/>
              <w:rPr>
                <w:szCs w:val="22"/>
                <w:lang w:val="fr-FR"/>
              </w:rPr>
            </w:pPr>
            <w:r w:rsidRPr="000229AD">
              <w:rPr>
                <w:lang w:val="fr-FR"/>
              </w:rPr>
              <w:t>Nombre d</w:t>
            </w:r>
            <w:r w:rsidR="00125408" w:rsidRPr="000229AD">
              <w:rPr>
                <w:lang w:val="fr-FR"/>
              </w:rPr>
              <w:t>'</w:t>
            </w:r>
            <w:r w:rsidRPr="000229AD">
              <w:rPr>
                <w:lang w:val="fr-FR"/>
              </w:rPr>
              <w:t>accords sur le développement des TIC mis en œuvre en collaboration avec des entités des Nations Unies et d</w:t>
            </w:r>
            <w:r w:rsidR="00125408" w:rsidRPr="000229AD">
              <w:rPr>
                <w:lang w:val="fr-FR"/>
              </w:rPr>
              <w:t>'</w:t>
            </w:r>
            <w:r w:rsidRPr="000229AD">
              <w:rPr>
                <w:lang w:val="fr-FR"/>
              </w:rPr>
              <w:t>autres partenaires.</w:t>
            </w:r>
          </w:p>
        </w:tc>
      </w:tr>
    </w:tbl>
    <w:p w14:paraId="2B83F0AE" w14:textId="7FB51776" w:rsidR="003A306E" w:rsidRPr="000229AD" w:rsidRDefault="003A306E" w:rsidP="00716C22">
      <w:pPr>
        <w:rPr>
          <w:lang w:val="fr-FR"/>
        </w:rPr>
      </w:pPr>
    </w:p>
    <w:tbl>
      <w:tblPr>
        <w:tblStyle w:val="GridTable4-Accent1"/>
        <w:tblW w:w="10490" w:type="dxa"/>
        <w:tblInd w:w="-289" w:type="dxa"/>
        <w:tblLayout w:type="fixed"/>
        <w:tblLook w:val="04A0" w:firstRow="1" w:lastRow="0" w:firstColumn="1" w:lastColumn="0" w:noHBand="0" w:noVBand="1"/>
      </w:tblPr>
      <w:tblGrid>
        <w:gridCol w:w="2269"/>
        <w:gridCol w:w="8221"/>
      </w:tblGrid>
      <w:tr w:rsidR="00D80932" w:rsidRPr="000229AD" w14:paraId="59EF91BB" w14:textId="77777777" w:rsidTr="00036D3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0490" w:type="dxa"/>
            <w:gridSpan w:val="2"/>
          </w:tcPr>
          <w:p w14:paraId="70391BE2" w14:textId="5C6FFDB1" w:rsidR="00D80932" w:rsidRPr="000229AD" w:rsidRDefault="00D80932" w:rsidP="00716C22">
            <w:pPr>
              <w:pStyle w:val="Tablehead"/>
              <w:rPr>
                <w:rFonts w:cstheme="minorHAnsi"/>
                <w:b/>
                <w:bCs w:val="0"/>
                <w:szCs w:val="22"/>
                <w:lang w:val="fr-FR"/>
              </w:rPr>
            </w:pPr>
            <w:r w:rsidRPr="000229AD">
              <w:rPr>
                <w:b/>
                <w:bCs w:val="0"/>
                <w:lang w:val="fr-FR"/>
              </w:rPr>
              <w:t>Indicateurs de produit (produits et services de l</w:t>
            </w:r>
            <w:r w:rsidR="00125408" w:rsidRPr="000229AD">
              <w:rPr>
                <w:b/>
                <w:bCs w:val="0"/>
                <w:lang w:val="fr-FR"/>
              </w:rPr>
              <w:t>'</w:t>
            </w:r>
            <w:r w:rsidRPr="000229AD">
              <w:rPr>
                <w:b/>
                <w:bCs w:val="0"/>
                <w:lang w:val="fr-FR"/>
              </w:rPr>
              <w:t>UIT-D)</w:t>
            </w:r>
          </w:p>
        </w:tc>
      </w:tr>
      <w:tr w:rsidR="00D80932" w:rsidRPr="000229AD" w14:paraId="071DAD66" w14:textId="77777777" w:rsidTr="007E3A17">
        <w:trPr>
          <w:cnfStyle w:val="000000100000" w:firstRow="0" w:lastRow="0" w:firstColumn="0" w:lastColumn="0" w:oddVBand="0" w:evenVBand="0" w:oddHBand="1" w:evenHBand="0" w:firstRowFirstColumn="0" w:firstRowLastColumn="0" w:lastRowFirstColumn="0" w:lastRowLastColumn="0"/>
          <w:trHeight w:val="90"/>
        </w:trPr>
        <w:tc>
          <w:tcPr>
            <w:cnfStyle w:val="001000000000" w:firstRow="0" w:lastRow="0" w:firstColumn="1" w:lastColumn="0" w:oddVBand="0" w:evenVBand="0" w:oddHBand="0" w:evenHBand="0" w:firstRowFirstColumn="0" w:firstRowLastColumn="0" w:lastRowFirstColumn="0" w:lastRowLastColumn="0"/>
            <w:tcW w:w="2269" w:type="dxa"/>
            <w:vMerge w:val="restart"/>
          </w:tcPr>
          <w:p w14:paraId="56B68AAC" w14:textId="5565321B" w:rsidR="00D80932" w:rsidRPr="000229AD" w:rsidRDefault="00D80932" w:rsidP="00716C22">
            <w:pPr>
              <w:pStyle w:val="Tabletext"/>
              <w:rPr>
                <w:lang w:val="fr-FR"/>
              </w:rPr>
            </w:pPr>
            <w:r w:rsidRPr="000229AD">
              <w:rPr>
                <w:lang w:val="fr-FR"/>
              </w:rPr>
              <w:t>Élaboration de cadres politiques et de supports d</w:t>
            </w:r>
            <w:r w:rsidR="00125408" w:rsidRPr="000229AD">
              <w:rPr>
                <w:lang w:val="fr-FR"/>
              </w:rPr>
              <w:t>'</w:t>
            </w:r>
            <w:r w:rsidRPr="000229AD">
              <w:rPr>
                <w:lang w:val="fr-FR"/>
              </w:rPr>
              <w:t>information</w:t>
            </w:r>
          </w:p>
        </w:tc>
        <w:tc>
          <w:tcPr>
            <w:tcW w:w="8221" w:type="dxa"/>
          </w:tcPr>
          <w:p w14:paraId="33F2DD39" w14:textId="77777777" w:rsidR="00D80932" w:rsidRPr="000229AD" w:rsidRDefault="00D80932" w:rsidP="00716C22">
            <w:pPr>
              <w:pStyle w:val="Tabletext"/>
              <w:cnfStyle w:val="000000100000" w:firstRow="0" w:lastRow="0" w:firstColumn="0" w:lastColumn="0" w:oddVBand="0" w:evenVBand="0" w:oddHBand="1" w:evenHBand="0" w:firstRowFirstColumn="0" w:firstRowLastColumn="0" w:lastRowFirstColumn="0" w:lastRowLastColumn="0"/>
              <w:rPr>
                <w:lang w:val="fr-FR"/>
              </w:rPr>
            </w:pPr>
            <w:r w:rsidRPr="000229AD">
              <w:rPr>
                <w:lang w:val="fr-FR"/>
              </w:rPr>
              <w:t>Nombre de manuels, de rapports techniques et de documents élaborés</w:t>
            </w:r>
            <w:r w:rsidRPr="000229AD">
              <w:rPr>
                <w:rStyle w:val="FootnoteReference"/>
                <w:lang w:val="fr-FR"/>
              </w:rPr>
              <w:footnoteReference w:id="2"/>
            </w:r>
            <w:r w:rsidRPr="000229AD">
              <w:rPr>
                <w:lang w:val="fr-FR"/>
              </w:rPr>
              <w:t>.</w:t>
            </w:r>
          </w:p>
        </w:tc>
      </w:tr>
      <w:tr w:rsidR="00D80932" w:rsidRPr="000229AD" w14:paraId="3D225EEE" w14:textId="77777777" w:rsidTr="007E3A17">
        <w:trPr>
          <w:trHeight w:val="315"/>
        </w:trPr>
        <w:tc>
          <w:tcPr>
            <w:cnfStyle w:val="001000000000" w:firstRow="0" w:lastRow="0" w:firstColumn="1" w:lastColumn="0" w:oddVBand="0" w:evenVBand="0" w:oddHBand="0" w:evenHBand="0" w:firstRowFirstColumn="0" w:firstRowLastColumn="0" w:lastRowFirstColumn="0" w:lastRowLastColumn="0"/>
            <w:tcW w:w="2269" w:type="dxa"/>
            <w:vMerge/>
          </w:tcPr>
          <w:p w14:paraId="1891E5CB" w14:textId="77777777" w:rsidR="00D80932" w:rsidRPr="000229AD" w:rsidRDefault="00D80932" w:rsidP="00716C22">
            <w:pPr>
              <w:pStyle w:val="Tabletext"/>
              <w:rPr>
                <w:lang w:val="fr-FR"/>
              </w:rPr>
            </w:pPr>
          </w:p>
        </w:tc>
        <w:tc>
          <w:tcPr>
            <w:tcW w:w="8221" w:type="dxa"/>
          </w:tcPr>
          <w:p w14:paraId="30295804" w14:textId="36F2D923" w:rsidR="00D80932" w:rsidRPr="000229AD" w:rsidRDefault="00D80932" w:rsidP="00716C22">
            <w:pPr>
              <w:pStyle w:val="Tabletext"/>
              <w:cnfStyle w:val="000000000000" w:firstRow="0" w:lastRow="0" w:firstColumn="0" w:lastColumn="0" w:oddVBand="0" w:evenVBand="0" w:oddHBand="0" w:evenHBand="0" w:firstRowFirstColumn="0" w:firstRowLastColumn="0" w:lastRowFirstColumn="0" w:lastRowLastColumn="0"/>
              <w:rPr>
                <w:lang w:val="fr-FR"/>
              </w:rPr>
            </w:pPr>
            <w:r w:rsidRPr="000229AD">
              <w:rPr>
                <w:lang w:val="fr-FR"/>
              </w:rPr>
              <w:t>Nombre d</w:t>
            </w:r>
            <w:r w:rsidR="00125408" w:rsidRPr="000229AD">
              <w:rPr>
                <w:lang w:val="fr-FR"/>
              </w:rPr>
              <w:t>'</w:t>
            </w:r>
            <w:r w:rsidRPr="000229AD">
              <w:rPr>
                <w:lang w:val="fr-FR"/>
              </w:rPr>
              <w:t>États Membres ayant bénéficié d</w:t>
            </w:r>
            <w:r w:rsidR="00125408" w:rsidRPr="000229AD">
              <w:rPr>
                <w:lang w:val="fr-FR"/>
              </w:rPr>
              <w:t>'</w:t>
            </w:r>
            <w:r w:rsidRPr="000229AD">
              <w:rPr>
                <w:lang w:val="fr-FR"/>
              </w:rPr>
              <w:t>une assistance pour l</w:t>
            </w:r>
            <w:r w:rsidR="00125408" w:rsidRPr="000229AD">
              <w:rPr>
                <w:lang w:val="fr-FR"/>
              </w:rPr>
              <w:t>'</w:t>
            </w:r>
            <w:r w:rsidRPr="000229AD">
              <w:rPr>
                <w:lang w:val="fr-FR"/>
              </w:rPr>
              <w:t>élaboration de cadres stratégiques.</w:t>
            </w:r>
          </w:p>
        </w:tc>
      </w:tr>
      <w:tr w:rsidR="00D80932" w:rsidRPr="000229AD" w14:paraId="3E4D3A9C" w14:textId="77777777" w:rsidTr="007E3A17">
        <w:trPr>
          <w:cnfStyle w:val="000000100000" w:firstRow="0" w:lastRow="0" w:firstColumn="0" w:lastColumn="0" w:oddVBand="0" w:evenVBand="0" w:oddHBand="1" w:evenHBand="0" w:firstRowFirstColumn="0" w:firstRowLastColumn="0" w:lastRowFirstColumn="0" w:lastRowLastColumn="0"/>
          <w:trHeight w:val="90"/>
        </w:trPr>
        <w:tc>
          <w:tcPr>
            <w:cnfStyle w:val="001000000000" w:firstRow="0" w:lastRow="0" w:firstColumn="1" w:lastColumn="0" w:oddVBand="0" w:evenVBand="0" w:oddHBand="0" w:evenHBand="0" w:firstRowFirstColumn="0" w:firstRowLastColumn="0" w:lastRowFirstColumn="0" w:lastRowLastColumn="0"/>
            <w:tcW w:w="2269" w:type="dxa"/>
            <w:vMerge/>
          </w:tcPr>
          <w:p w14:paraId="6AA0A341" w14:textId="77777777" w:rsidR="00D80932" w:rsidRPr="000229AD" w:rsidRDefault="00D80932" w:rsidP="00716C22">
            <w:pPr>
              <w:pStyle w:val="Tabletext"/>
              <w:rPr>
                <w:lang w:val="fr-FR"/>
              </w:rPr>
            </w:pPr>
          </w:p>
        </w:tc>
        <w:tc>
          <w:tcPr>
            <w:tcW w:w="8221" w:type="dxa"/>
          </w:tcPr>
          <w:p w14:paraId="2FA3E9CD" w14:textId="725A9DF8" w:rsidR="00D80932" w:rsidRPr="000229AD" w:rsidRDefault="00D80932" w:rsidP="00716C22">
            <w:pPr>
              <w:pStyle w:val="Tabletext"/>
              <w:cnfStyle w:val="000000100000" w:firstRow="0" w:lastRow="0" w:firstColumn="0" w:lastColumn="0" w:oddVBand="0" w:evenVBand="0" w:oddHBand="1" w:evenHBand="0" w:firstRowFirstColumn="0" w:firstRowLastColumn="0" w:lastRowFirstColumn="0" w:lastRowLastColumn="0"/>
              <w:rPr>
                <w:lang w:val="fr-FR"/>
              </w:rPr>
            </w:pPr>
            <w:r w:rsidRPr="000229AD">
              <w:rPr>
                <w:lang w:val="fr-FR"/>
              </w:rPr>
              <w:t>Nombre d</w:t>
            </w:r>
            <w:r w:rsidR="00125408" w:rsidRPr="000229AD">
              <w:rPr>
                <w:lang w:val="fr-FR"/>
              </w:rPr>
              <w:t>'</w:t>
            </w:r>
            <w:r w:rsidRPr="000229AD">
              <w:rPr>
                <w:lang w:val="fr-FR"/>
              </w:rPr>
              <w:t>outils/cadres/ressources élaborés.</w:t>
            </w:r>
          </w:p>
        </w:tc>
      </w:tr>
      <w:tr w:rsidR="00D80932" w:rsidRPr="000229AD" w14:paraId="48F39916" w14:textId="77777777" w:rsidTr="007E3A17">
        <w:trPr>
          <w:trHeight w:val="90"/>
        </w:trPr>
        <w:tc>
          <w:tcPr>
            <w:cnfStyle w:val="001000000000" w:firstRow="0" w:lastRow="0" w:firstColumn="1" w:lastColumn="0" w:oddVBand="0" w:evenVBand="0" w:oddHBand="0" w:evenHBand="0" w:firstRowFirstColumn="0" w:firstRowLastColumn="0" w:lastRowFirstColumn="0" w:lastRowLastColumn="0"/>
            <w:tcW w:w="2269" w:type="dxa"/>
            <w:vMerge/>
          </w:tcPr>
          <w:p w14:paraId="33CE440C" w14:textId="77777777" w:rsidR="00D80932" w:rsidRPr="000229AD" w:rsidRDefault="00D80932" w:rsidP="00716C22">
            <w:pPr>
              <w:pStyle w:val="Tabletext"/>
              <w:rPr>
                <w:lang w:val="fr-FR"/>
              </w:rPr>
            </w:pPr>
          </w:p>
        </w:tc>
        <w:tc>
          <w:tcPr>
            <w:tcW w:w="8221" w:type="dxa"/>
          </w:tcPr>
          <w:p w14:paraId="0B153DE1" w14:textId="77777777" w:rsidR="00D80932" w:rsidRPr="000229AD" w:rsidRDefault="00D80932" w:rsidP="00716C22">
            <w:pPr>
              <w:pStyle w:val="Tabletext"/>
              <w:cnfStyle w:val="000000000000" w:firstRow="0" w:lastRow="0" w:firstColumn="0" w:lastColumn="0" w:oddVBand="0" w:evenVBand="0" w:oddHBand="0" w:evenHBand="0" w:firstRowFirstColumn="0" w:firstRowLastColumn="0" w:lastRowFirstColumn="0" w:lastRowLastColumn="0"/>
              <w:rPr>
                <w:lang w:val="fr-FR"/>
              </w:rPr>
            </w:pPr>
            <w:r w:rsidRPr="000229AD">
              <w:rPr>
                <w:lang w:val="fr-FR"/>
              </w:rPr>
              <w:t>Nombre de lignes directrices relatives aux bonnes pratiques élaborées.</w:t>
            </w:r>
          </w:p>
        </w:tc>
      </w:tr>
      <w:tr w:rsidR="00D80932" w:rsidRPr="000229AD" w14:paraId="226F75DB" w14:textId="77777777" w:rsidTr="007E3A17">
        <w:trPr>
          <w:cnfStyle w:val="000000100000" w:firstRow="0" w:lastRow="0" w:firstColumn="0" w:lastColumn="0" w:oddVBand="0" w:evenVBand="0" w:oddHBand="1" w:evenHBand="0" w:firstRowFirstColumn="0" w:firstRowLastColumn="0" w:lastRowFirstColumn="0" w:lastRowLastColumn="0"/>
          <w:trHeight w:val="45"/>
        </w:trPr>
        <w:tc>
          <w:tcPr>
            <w:cnfStyle w:val="001000000000" w:firstRow="0" w:lastRow="0" w:firstColumn="1" w:lastColumn="0" w:oddVBand="0" w:evenVBand="0" w:oddHBand="0" w:evenHBand="0" w:firstRowFirstColumn="0" w:firstRowLastColumn="0" w:lastRowFirstColumn="0" w:lastRowLastColumn="0"/>
            <w:tcW w:w="2269" w:type="dxa"/>
            <w:vMerge w:val="restart"/>
            <w:shd w:val="clear" w:color="auto" w:fill="FFFFFF" w:themeFill="background1"/>
          </w:tcPr>
          <w:p w14:paraId="4444AB3F" w14:textId="77777777" w:rsidR="00D80932" w:rsidRPr="000229AD" w:rsidRDefault="00D80932" w:rsidP="00716C22">
            <w:pPr>
              <w:pStyle w:val="Tabletext"/>
              <w:rPr>
                <w:lang w:val="fr-FR"/>
              </w:rPr>
            </w:pPr>
            <w:r w:rsidRPr="000229AD">
              <w:rPr>
                <w:lang w:val="fr-FR"/>
              </w:rPr>
              <w:t>Renforcement des capacités</w:t>
            </w:r>
          </w:p>
        </w:tc>
        <w:tc>
          <w:tcPr>
            <w:tcW w:w="8221" w:type="dxa"/>
          </w:tcPr>
          <w:p w14:paraId="196A69F4" w14:textId="77777777" w:rsidR="00D80932" w:rsidRPr="000229AD" w:rsidRDefault="00D80932" w:rsidP="00716C22">
            <w:pPr>
              <w:pStyle w:val="Tabletext"/>
              <w:cnfStyle w:val="000000100000" w:firstRow="0" w:lastRow="0" w:firstColumn="0" w:lastColumn="0" w:oddVBand="0" w:evenVBand="0" w:oddHBand="1" w:evenHBand="0" w:firstRowFirstColumn="0" w:firstRowLastColumn="0" w:lastRowFirstColumn="0" w:lastRowLastColumn="0"/>
              <w:rPr>
                <w:lang w:val="fr-FR"/>
              </w:rPr>
            </w:pPr>
            <w:r w:rsidRPr="000229AD">
              <w:rPr>
                <w:lang w:val="fr-FR"/>
              </w:rPr>
              <w:t>Nombre de professionnels formés et certifiés dans le domaine des télécommunications/TIC.</w:t>
            </w:r>
          </w:p>
        </w:tc>
      </w:tr>
      <w:tr w:rsidR="00D80932" w:rsidRPr="000229AD" w14:paraId="48E0FBA8" w14:textId="77777777" w:rsidTr="007E3A17">
        <w:trPr>
          <w:trHeight w:val="45"/>
        </w:trPr>
        <w:tc>
          <w:tcPr>
            <w:cnfStyle w:val="001000000000" w:firstRow="0" w:lastRow="0" w:firstColumn="1" w:lastColumn="0" w:oddVBand="0" w:evenVBand="0" w:oddHBand="0" w:evenHBand="0" w:firstRowFirstColumn="0" w:firstRowLastColumn="0" w:lastRowFirstColumn="0" w:lastRowLastColumn="0"/>
            <w:tcW w:w="2269" w:type="dxa"/>
            <w:vMerge/>
            <w:shd w:val="clear" w:color="auto" w:fill="FFFFFF" w:themeFill="background1"/>
          </w:tcPr>
          <w:p w14:paraId="29091F96" w14:textId="77777777" w:rsidR="00D80932" w:rsidRPr="000229AD" w:rsidRDefault="00D80932" w:rsidP="00716C22">
            <w:pPr>
              <w:pStyle w:val="Tabletext"/>
              <w:rPr>
                <w:lang w:val="fr-FR"/>
              </w:rPr>
            </w:pPr>
          </w:p>
        </w:tc>
        <w:tc>
          <w:tcPr>
            <w:tcW w:w="8221" w:type="dxa"/>
          </w:tcPr>
          <w:p w14:paraId="5E0D8CD7" w14:textId="77777777" w:rsidR="00D80932" w:rsidRPr="000229AD" w:rsidRDefault="00D80932" w:rsidP="00716C22">
            <w:pPr>
              <w:pStyle w:val="Tabletext"/>
              <w:cnfStyle w:val="000000000000" w:firstRow="0" w:lastRow="0" w:firstColumn="0" w:lastColumn="0" w:oddVBand="0" w:evenVBand="0" w:oddHBand="0" w:evenHBand="0" w:firstRowFirstColumn="0" w:firstRowLastColumn="0" w:lastRowFirstColumn="0" w:lastRowLastColumn="0"/>
              <w:rPr>
                <w:lang w:val="fr-FR"/>
              </w:rPr>
            </w:pPr>
            <w:r w:rsidRPr="000229AD">
              <w:rPr>
                <w:lang w:val="fr-FR"/>
              </w:rPr>
              <w:t>Nombre de personnes formées aux compétences numériques de base et intermédiaires.</w:t>
            </w:r>
          </w:p>
        </w:tc>
      </w:tr>
      <w:tr w:rsidR="00D80932" w:rsidRPr="000229AD" w14:paraId="4E7A466F" w14:textId="77777777" w:rsidTr="007E3A17">
        <w:trPr>
          <w:cnfStyle w:val="000000100000" w:firstRow="0" w:lastRow="0" w:firstColumn="0" w:lastColumn="0" w:oddVBand="0" w:evenVBand="0" w:oddHBand="1" w:evenHBand="0" w:firstRowFirstColumn="0" w:firstRowLastColumn="0" w:lastRowFirstColumn="0" w:lastRowLastColumn="0"/>
          <w:trHeight w:val="45"/>
        </w:trPr>
        <w:tc>
          <w:tcPr>
            <w:cnfStyle w:val="001000000000" w:firstRow="0" w:lastRow="0" w:firstColumn="1" w:lastColumn="0" w:oddVBand="0" w:evenVBand="0" w:oddHBand="0" w:evenHBand="0" w:firstRowFirstColumn="0" w:firstRowLastColumn="0" w:lastRowFirstColumn="0" w:lastRowLastColumn="0"/>
            <w:tcW w:w="2269" w:type="dxa"/>
            <w:vMerge/>
            <w:shd w:val="clear" w:color="auto" w:fill="FFFFFF" w:themeFill="background1"/>
          </w:tcPr>
          <w:p w14:paraId="7A2336EB" w14:textId="77777777" w:rsidR="00D80932" w:rsidRPr="000229AD" w:rsidRDefault="00D80932" w:rsidP="00716C22">
            <w:pPr>
              <w:pStyle w:val="Tabletext"/>
              <w:rPr>
                <w:lang w:val="fr-FR"/>
              </w:rPr>
            </w:pPr>
          </w:p>
        </w:tc>
        <w:tc>
          <w:tcPr>
            <w:tcW w:w="8221" w:type="dxa"/>
          </w:tcPr>
          <w:p w14:paraId="33FEBBE0" w14:textId="7FC10369" w:rsidR="00D80932" w:rsidRPr="000229AD" w:rsidRDefault="00D80932" w:rsidP="00716C22">
            <w:pPr>
              <w:pStyle w:val="Tabletext"/>
              <w:cnfStyle w:val="000000100000" w:firstRow="0" w:lastRow="0" w:firstColumn="0" w:lastColumn="0" w:oddVBand="0" w:evenVBand="0" w:oddHBand="1" w:evenHBand="0" w:firstRowFirstColumn="0" w:firstRowLastColumn="0" w:lastRowFirstColumn="0" w:lastRowLastColumn="0"/>
              <w:rPr>
                <w:lang w:val="fr-FR"/>
              </w:rPr>
            </w:pPr>
            <w:r w:rsidRPr="000229AD">
              <w:rPr>
                <w:lang w:val="fr-FR"/>
              </w:rPr>
              <w:t>Nombre d</w:t>
            </w:r>
            <w:r w:rsidR="00125408" w:rsidRPr="000229AD">
              <w:rPr>
                <w:lang w:val="fr-FR"/>
              </w:rPr>
              <w:t>'</w:t>
            </w:r>
            <w:r w:rsidRPr="000229AD">
              <w:rPr>
                <w:lang w:val="fr-FR"/>
              </w:rPr>
              <w:t>utilisateurs de l</w:t>
            </w:r>
            <w:r w:rsidR="00125408" w:rsidRPr="000229AD">
              <w:rPr>
                <w:lang w:val="fr-FR"/>
              </w:rPr>
              <w:t>'</w:t>
            </w:r>
            <w:r w:rsidRPr="000229AD">
              <w:rPr>
                <w:lang w:val="fr-FR"/>
              </w:rPr>
              <w:t>Académie de l</w:t>
            </w:r>
            <w:r w:rsidR="00125408" w:rsidRPr="000229AD">
              <w:rPr>
                <w:lang w:val="fr-FR"/>
              </w:rPr>
              <w:t>'</w:t>
            </w:r>
            <w:r w:rsidRPr="000229AD">
              <w:rPr>
                <w:lang w:val="fr-FR"/>
              </w:rPr>
              <w:t>UIT.</w:t>
            </w:r>
          </w:p>
        </w:tc>
      </w:tr>
      <w:tr w:rsidR="00D80932" w:rsidRPr="000229AD" w14:paraId="7DAE4124" w14:textId="77777777" w:rsidTr="007E3A17">
        <w:trPr>
          <w:trHeight w:val="45"/>
        </w:trPr>
        <w:tc>
          <w:tcPr>
            <w:cnfStyle w:val="001000000000" w:firstRow="0" w:lastRow="0" w:firstColumn="1" w:lastColumn="0" w:oddVBand="0" w:evenVBand="0" w:oddHBand="0" w:evenHBand="0" w:firstRowFirstColumn="0" w:firstRowLastColumn="0" w:lastRowFirstColumn="0" w:lastRowLastColumn="0"/>
            <w:tcW w:w="2269" w:type="dxa"/>
            <w:vMerge/>
            <w:shd w:val="clear" w:color="auto" w:fill="FFFFFF" w:themeFill="background1"/>
          </w:tcPr>
          <w:p w14:paraId="43ECE3CB" w14:textId="77777777" w:rsidR="00D80932" w:rsidRPr="000229AD" w:rsidRDefault="00D80932" w:rsidP="00716C22">
            <w:pPr>
              <w:pStyle w:val="Tabletext"/>
              <w:rPr>
                <w:lang w:val="fr-FR"/>
              </w:rPr>
            </w:pPr>
          </w:p>
        </w:tc>
        <w:tc>
          <w:tcPr>
            <w:tcW w:w="8221" w:type="dxa"/>
          </w:tcPr>
          <w:p w14:paraId="71EBC9EB" w14:textId="77777777" w:rsidR="00D80932" w:rsidRPr="000229AD" w:rsidRDefault="00D80932" w:rsidP="00716C22">
            <w:pPr>
              <w:pStyle w:val="Tabletext"/>
              <w:cnfStyle w:val="000000000000" w:firstRow="0" w:lastRow="0" w:firstColumn="0" w:lastColumn="0" w:oddVBand="0" w:evenVBand="0" w:oddHBand="0" w:evenHBand="0" w:firstRowFirstColumn="0" w:firstRowLastColumn="0" w:lastRowFirstColumn="0" w:lastRowLastColumn="0"/>
              <w:rPr>
                <w:lang w:val="fr-FR"/>
              </w:rPr>
            </w:pPr>
            <w:r w:rsidRPr="000229AD">
              <w:rPr>
                <w:lang w:val="fr-FR"/>
              </w:rPr>
              <w:t>Nombre de personnes participant aux activités de renforcement des capacités menées par le BDT.</w:t>
            </w:r>
          </w:p>
        </w:tc>
      </w:tr>
      <w:tr w:rsidR="00D80932" w:rsidRPr="000229AD" w14:paraId="04423EB7" w14:textId="77777777" w:rsidTr="007E3A17">
        <w:trPr>
          <w:cnfStyle w:val="000000100000" w:firstRow="0" w:lastRow="0" w:firstColumn="0" w:lastColumn="0" w:oddVBand="0" w:evenVBand="0" w:oddHBand="1" w:evenHBand="0" w:firstRowFirstColumn="0" w:firstRowLastColumn="0" w:lastRowFirstColumn="0" w:lastRowLastColumn="0"/>
          <w:trHeight w:val="45"/>
        </w:trPr>
        <w:tc>
          <w:tcPr>
            <w:cnfStyle w:val="001000000000" w:firstRow="0" w:lastRow="0" w:firstColumn="1" w:lastColumn="0" w:oddVBand="0" w:evenVBand="0" w:oddHBand="0" w:evenHBand="0" w:firstRowFirstColumn="0" w:firstRowLastColumn="0" w:lastRowFirstColumn="0" w:lastRowLastColumn="0"/>
            <w:tcW w:w="2269" w:type="dxa"/>
            <w:vMerge w:val="restart"/>
          </w:tcPr>
          <w:p w14:paraId="2105FD30" w14:textId="77777777" w:rsidR="00D80932" w:rsidRPr="000229AD" w:rsidRDefault="00D80932" w:rsidP="00716C22">
            <w:pPr>
              <w:pStyle w:val="Tabletext"/>
              <w:rPr>
                <w:lang w:val="fr-FR"/>
              </w:rPr>
            </w:pPr>
            <w:r w:rsidRPr="000229AD">
              <w:rPr>
                <w:lang w:val="fr-FR"/>
              </w:rPr>
              <w:t>Fourniture de données et de statistiques</w:t>
            </w:r>
          </w:p>
        </w:tc>
        <w:tc>
          <w:tcPr>
            <w:tcW w:w="8221" w:type="dxa"/>
          </w:tcPr>
          <w:p w14:paraId="7DCEDEB2" w14:textId="4BD64C8D" w:rsidR="00D80932" w:rsidRPr="000229AD" w:rsidRDefault="00D80932" w:rsidP="00716C22">
            <w:pPr>
              <w:pStyle w:val="Tabletext"/>
              <w:cnfStyle w:val="000000100000" w:firstRow="0" w:lastRow="0" w:firstColumn="0" w:lastColumn="0" w:oddVBand="0" w:evenVBand="0" w:oddHBand="1" w:evenHBand="0" w:firstRowFirstColumn="0" w:firstRowLastColumn="0" w:lastRowFirstColumn="0" w:lastRowLastColumn="0"/>
              <w:rPr>
                <w:lang w:val="fr-FR"/>
              </w:rPr>
            </w:pPr>
            <w:r w:rsidRPr="000229AD">
              <w:rPr>
                <w:lang w:val="fr-FR"/>
              </w:rPr>
              <w:t>Nombre de points de données disponibles dans les ensembles de données publiés.</w:t>
            </w:r>
          </w:p>
        </w:tc>
      </w:tr>
      <w:tr w:rsidR="00D80932" w:rsidRPr="000229AD" w14:paraId="568CD752" w14:textId="77777777" w:rsidTr="007E3A17">
        <w:trPr>
          <w:trHeight w:val="45"/>
        </w:trPr>
        <w:tc>
          <w:tcPr>
            <w:cnfStyle w:val="001000000000" w:firstRow="0" w:lastRow="0" w:firstColumn="1" w:lastColumn="0" w:oddVBand="0" w:evenVBand="0" w:oddHBand="0" w:evenHBand="0" w:firstRowFirstColumn="0" w:firstRowLastColumn="0" w:lastRowFirstColumn="0" w:lastRowLastColumn="0"/>
            <w:tcW w:w="2269" w:type="dxa"/>
            <w:vMerge/>
            <w:shd w:val="clear" w:color="auto" w:fill="DBE5F1" w:themeFill="accent1" w:themeFillTint="33"/>
          </w:tcPr>
          <w:p w14:paraId="7C6CA341" w14:textId="77777777" w:rsidR="00D80932" w:rsidRPr="000229AD" w:rsidRDefault="00D80932" w:rsidP="00716C22">
            <w:pPr>
              <w:pStyle w:val="Tabletext"/>
              <w:rPr>
                <w:lang w:val="fr-FR"/>
              </w:rPr>
            </w:pPr>
          </w:p>
        </w:tc>
        <w:tc>
          <w:tcPr>
            <w:tcW w:w="8221" w:type="dxa"/>
          </w:tcPr>
          <w:p w14:paraId="6EBFFE54" w14:textId="5F01AF37" w:rsidR="00D80932" w:rsidRPr="000229AD" w:rsidRDefault="00D80932" w:rsidP="00716C22">
            <w:pPr>
              <w:pStyle w:val="Tabletext"/>
              <w:cnfStyle w:val="000000000000" w:firstRow="0" w:lastRow="0" w:firstColumn="0" w:lastColumn="0" w:oddVBand="0" w:evenVBand="0" w:oddHBand="0" w:evenHBand="0" w:firstRowFirstColumn="0" w:firstRowLastColumn="0" w:lastRowFirstColumn="0" w:lastRowLastColumn="0"/>
              <w:rPr>
                <w:lang w:val="fr-FR"/>
              </w:rPr>
            </w:pPr>
            <w:r w:rsidRPr="000229AD">
              <w:rPr>
                <w:lang w:val="fr-FR"/>
              </w:rPr>
              <w:t>Nombre d</w:t>
            </w:r>
            <w:r w:rsidR="00125408" w:rsidRPr="000229AD">
              <w:rPr>
                <w:lang w:val="fr-FR"/>
              </w:rPr>
              <w:t>'</w:t>
            </w:r>
            <w:r w:rsidRPr="000229AD">
              <w:rPr>
                <w:lang w:val="fr-FR"/>
              </w:rPr>
              <w:t>utilisateurs hebdomadaires du Centre de données de l</w:t>
            </w:r>
            <w:r w:rsidR="00125408" w:rsidRPr="000229AD">
              <w:rPr>
                <w:lang w:val="fr-FR"/>
              </w:rPr>
              <w:t>'</w:t>
            </w:r>
            <w:r w:rsidRPr="000229AD">
              <w:rPr>
                <w:lang w:val="fr-FR"/>
              </w:rPr>
              <w:t>UIT.</w:t>
            </w:r>
          </w:p>
        </w:tc>
      </w:tr>
      <w:tr w:rsidR="00D80932" w:rsidRPr="000229AD" w14:paraId="1FD526A3" w14:textId="77777777" w:rsidTr="007E3A17">
        <w:trPr>
          <w:cnfStyle w:val="000000100000" w:firstRow="0" w:lastRow="0" w:firstColumn="0" w:lastColumn="0" w:oddVBand="0" w:evenVBand="0" w:oddHBand="1" w:evenHBand="0" w:firstRowFirstColumn="0" w:firstRowLastColumn="0" w:lastRowFirstColumn="0" w:lastRowLastColumn="0"/>
          <w:trHeight w:val="45"/>
        </w:trPr>
        <w:tc>
          <w:tcPr>
            <w:cnfStyle w:val="001000000000" w:firstRow="0" w:lastRow="0" w:firstColumn="1" w:lastColumn="0" w:oddVBand="0" w:evenVBand="0" w:oddHBand="0" w:evenHBand="0" w:firstRowFirstColumn="0" w:firstRowLastColumn="0" w:lastRowFirstColumn="0" w:lastRowLastColumn="0"/>
            <w:tcW w:w="2269" w:type="dxa"/>
            <w:vMerge/>
          </w:tcPr>
          <w:p w14:paraId="742D59E6" w14:textId="77777777" w:rsidR="00D80932" w:rsidRPr="000229AD" w:rsidRDefault="00D80932" w:rsidP="00716C22">
            <w:pPr>
              <w:pStyle w:val="Tabletext"/>
              <w:rPr>
                <w:lang w:val="fr-FR"/>
              </w:rPr>
            </w:pPr>
          </w:p>
        </w:tc>
        <w:tc>
          <w:tcPr>
            <w:tcW w:w="8221" w:type="dxa"/>
          </w:tcPr>
          <w:p w14:paraId="0ADEC917" w14:textId="59706F9A" w:rsidR="00D80932" w:rsidRPr="000229AD" w:rsidRDefault="00D80932" w:rsidP="00716C22">
            <w:pPr>
              <w:pStyle w:val="Tabletext"/>
              <w:cnfStyle w:val="000000100000" w:firstRow="0" w:lastRow="0" w:firstColumn="0" w:lastColumn="0" w:oddVBand="0" w:evenVBand="0" w:oddHBand="1" w:evenHBand="0" w:firstRowFirstColumn="0" w:firstRowLastColumn="0" w:lastRowFirstColumn="0" w:lastRowLastColumn="0"/>
              <w:rPr>
                <w:lang w:val="fr-FR"/>
              </w:rPr>
            </w:pPr>
            <w:r w:rsidRPr="000229AD">
              <w:rPr>
                <w:lang w:val="fr-FR"/>
              </w:rPr>
              <w:t>Pourcentage d</w:t>
            </w:r>
            <w:r w:rsidR="00125408" w:rsidRPr="000229AD">
              <w:rPr>
                <w:lang w:val="fr-FR"/>
              </w:rPr>
              <w:t>'</w:t>
            </w:r>
            <w:r w:rsidRPr="000229AD">
              <w:rPr>
                <w:lang w:val="fr-FR"/>
              </w:rPr>
              <w:t>États Membres favorables à la nouvelle méthode de calcul de l</w:t>
            </w:r>
            <w:r w:rsidR="00125408" w:rsidRPr="000229AD">
              <w:rPr>
                <w:lang w:val="fr-FR"/>
              </w:rPr>
              <w:t>'</w:t>
            </w:r>
            <w:r w:rsidRPr="000229AD">
              <w:rPr>
                <w:lang w:val="fr-FR"/>
              </w:rPr>
              <w:t>Indice de développement des TIC (IDI).</w:t>
            </w:r>
          </w:p>
        </w:tc>
      </w:tr>
      <w:tr w:rsidR="00D80932" w:rsidRPr="000229AD" w14:paraId="0FAAEE69" w14:textId="77777777" w:rsidTr="007E3A17">
        <w:trPr>
          <w:trHeight w:val="45"/>
        </w:trPr>
        <w:tc>
          <w:tcPr>
            <w:cnfStyle w:val="001000000000" w:firstRow="0" w:lastRow="0" w:firstColumn="1" w:lastColumn="0" w:oddVBand="0" w:evenVBand="0" w:oddHBand="0" w:evenHBand="0" w:firstRowFirstColumn="0" w:firstRowLastColumn="0" w:lastRowFirstColumn="0" w:lastRowLastColumn="0"/>
            <w:tcW w:w="2269" w:type="dxa"/>
            <w:vMerge/>
            <w:shd w:val="clear" w:color="auto" w:fill="DBE5F1" w:themeFill="accent1" w:themeFillTint="33"/>
          </w:tcPr>
          <w:p w14:paraId="4F38064B" w14:textId="77777777" w:rsidR="00D80932" w:rsidRPr="000229AD" w:rsidRDefault="00D80932" w:rsidP="00716C22">
            <w:pPr>
              <w:pStyle w:val="Tabletext"/>
              <w:rPr>
                <w:lang w:val="fr-FR"/>
              </w:rPr>
            </w:pPr>
          </w:p>
        </w:tc>
        <w:tc>
          <w:tcPr>
            <w:tcW w:w="8221" w:type="dxa"/>
          </w:tcPr>
          <w:p w14:paraId="3356453C" w14:textId="554B9319" w:rsidR="00D80932" w:rsidRPr="000229AD" w:rsidRDefault="00D80932" w:rsidP="00716C22">
            <w:pPr>
              <w:pStyle w:val="Tabletext"/>
              <w:cnfStyle w:val="000000000000" w:firstRow="0" w:lastRow="0" w:firstColumn="0" w:lastColumn="0" w:oddVBand="0" w:evenVBand="0" w:oddHBand="0" w:evenHBand="0" w:firstRowFirstColumn="0" w:firstRowLastColumn="0" w:lastRowFirstColumn="0" w:lastRowLastColumn="0"/>
              <w:rPr>
                <w:lang w:val="fr-FR"/>
              </w:rPr>
            </w:pPr>
            <w:r w:rsidRPr="000229AD">
              <w:rPr>
                <w:lang w:val="fr-FR"/>
              </w:rPr>
              <w:t>Nombre d</w:t>
            </w:r>
            <w:r w:rsidR="00125408" w:rsidRPr="000229AD">
              <w:rPr>
                <w:lang w:val="fr-FR"/>
              </w:rPr>
              <w:t>'</w:t>
            </w:r>
            <w:r w:rsidRPr="000229AD">
              <w:rPr>
                <w:lang w:val="fr-FR"/>
              </w:rPr>
              <w:t>entreprises numériques dont l</w:t>
            </w:r>
            <w:r w:rsidR="00125408" w:rsidRPr="000229AD">
              <w:rPr>
                <w:lang w:val="fr-FR"/>
              </w:rPr>
              <w:t>'</w:t>
            </w:r>
            <w:r w:rsidR="00716C22">
              <w:rPr>
                <w:lang w:val="fr-FR"/>
              </w:rPr>
              <w:t>UI</w:t>
            </w:r>
            <w:r w:rsidRPr="000229AD">
              <w:rPr>
                <w:lang w:val="fr-FR"/>
              </w:rPr>
              <w:t>T suit les émissions, la consommation d</w:t>
            </w:r>
            <w:r w:rsidR="00125408" w:rsidRPr="000229AD">
              <w:rPr>
                <w:lang w:val="fr-FR"/>
              </w:rPr>
              <w:t>'</w:t>
            </w:r>
            <w:r w:rsidRPr="000229AD">
              <w:rPr>
                <w:lang w:val="fr-FR"/>
              </w:rPr>
              <w:t>énergie et les engagements en matière de climat.</w:t>
            </w:r>
          </w:p>
        </w:tc>
      </w:tr>
      <w:tr w:rsidR="00D80932" w:rsidRPr="000229AD" w14:paraId="0A903E66" w14:textId="77777777" w:rsidTr="007E3A17">
        <w:trPr>
          <w:cnfStyle w:val="000000100000" w:firstRow="0" w:lastRow="0" w:firstColumn="0" w:lastColumn="0" w:oddVBand="0" w:evenVBand="0" w:oddHBand="1" w:evenHBand="0" w:firstRowFirstColumn="0" w:firstRowLastColumn="0" w:lastRowFirstColumn="0" w:lastRowLastColumn="0"/>
          <w:trHeight w:val="45"/>
        </w:trPr>
        <w:tc>
          <w:tcPr>
            <w:cnfStyle w:val="001000000000" w:firstRow="0" w:lastRow="0" w:firstColumn="1" w:lastColumn="0" w:oddVBand="0" w:evenVBand="0" w:oddHBand="0" w:evenHBand="0" w:firstRowFirstColumn="0" w:firstRowLastColumn="0" w:lastRowFirstColumn="0" w:lastRowLastColumn="0"/>
            <w:tcW w:w="2269" w:type="dxa"/>
            <w:vMerge w:val="restart"/>
            <w:shd w:val="clear" w:color="auto" w:fill="FFFFFF" w:themeFill="background1"/>
          </w:tcPr>
          <w:p w14:paraId="2B88DCEE" w14:textId="13D5DCDC" w:rsidR="00D80932" w:rsidRPr="000229AD" w:rsidRDefault="00D80932" w:rsidP="00716C22">
            <w:pPr>
              <w:pStyle w:val="Tabletext"/>
              <w:keepNext/>
              <w:keepLines/>
              <w:rPr>
                <w:lang w:val="fr-FR"/>
              </w:rPr>
            </w:pPr>
            <w:r w:rsidRPr="000229AD">
              <w:rPr>
                <w:lang w:val="fr-FR"/>
              </w:rPr>
              <w:lastRenderedPageBreak/>
              <w:t>Fourniture d</w:t>
            </w:r>
            <w:r w:rsidR="00125408" w:rsidRPr="000229AD">
              <w:rPr>
                <w:lang w:val="fr-FR"/>
              </w:rPr>
              <w:t>'</w:t>
            </w:r>
            <w:r w:rsidRPr="000229AD">
              <w:rPr>
                <w:lang w:val="fr-FR"/>
              </w:rPr>
              <w:t>une assistance technique</w:t>
            </w:r>
          </w:p>
        </w:tc>
        <w:tc>
          <w:tcPr>
            <w:tcW w:w="8221" w:type="dxa"/>
          </w:tcPr>
          <w:p w14:paraId="3C906570" w14:textId="12F12CB9" w:rsidR="00D80932" w:rsidRPr="000229AD" w:rsidRDefault="00D80932" w:rsidP="00716C22">
            <w:pPr>
              <w:pStyle w:val="Tabletext"/>
              <w:keepNext/>
              <w:keepLines/>
              <w:cnfStyle w:val="000000100000" w:firstRow="0" w:lastRow="0" w:firstColumn="0" w:lastColumn="0" w:oddVBand="0" w:evenVBand="0" w:oddHBand="1" w:evenHBand="0" w:firstRowFirstColumn="0" w:firstRowLastColumn="0" w:lastRowFirstColumn="0" w:lastRowLastColumn="0"/>
              <w:rPr>
                <w:lang w:val="fr-FR"/>
              </w:rPr>
            </w:pPr>
            <w:r w:rsidRPr="000229AD">
              <w:rPr>
                <w:lang w:val="fr-FR"/>
              </w:rPr>
              <w:t>Nombre d</w:t>
            </w:r>
            <w:r w:rsidR="00125408" w:rsidRPr="000229AD">
              <w:rPr>
                <w:lang w:val="fr-FR"/>
              </w:rPr>
              <w:t>'</w:t>
            </w:r>
            <w:r w:rsidRPr="000229AD">
              <w:rPr>
                <w:lang w:val="fr-FR"/>
              </w:rPr>
              <w:t>États Membres ayant bénéficié d</w:t>
            </w:r>
            <w:r w:rsidR="00125408" w:rsidRPr="000229AD">
              <w:rPr>
                <w:lang w:val="fr-FR"/>
              </w:rPr>
              <w:t>'</w:t>
            </w:r>
            <w:r w:rsidRPr="000229AD">
              <w:rPr>
                <w:lang w:val="fr-FR"/>
              </w:rPr>
              <w:t>une assistance technique.</w:t>
            </w:r>
          </w:p>
        </w:tc>
      </w:tr>
      <w:tr w:rsidR="00D80932" w:rsidRPr="000229AD" w14:paraId="5674FC0E" w14:textId="77777777" w:rsidTr="007E3A17">
        <w:trPr>
          <w:trHeight w:val="45"/>
        </w:trPr>
        <w:tc>
          <w:tcPr>
            <w:cnfStyle w:val="001000000000" w:firstRow="0" w:lastRow="0" w:firstColumn="1" w:lastColumn="0" w:oddVBand="0" w:evenVBand="0" w:oddHBand="0" w:evenHBand="0" w:firstRowFirstColumn="0" w:firstRowLastColumn="0" w:lastRowFirstColumn="0" w:lastRowLastColumn="0"/>
            <w:tcW w:w="2269" w:type="dxa"/>
            <w:vMerge/>
            <w:shd w:val="clear" w:color="auto" w:fill="FFFFFF" w:themeFill="background1"/>
          </w:tcPr>
          <w:p w14:paraId="5AB6982F" w14:textId="77777777" w:rsidR="00D80932" w:rsidRPr="000229AD" w:rsidRDefault="00D80932" w:rsidP="00716C22">
            <w:pPr>
              <w:pStyle w:val="Tabletext"/>
              <w:keepNext/>
              <w:keepLines/>
              <w:rPr>
                <w:lang w:val="fr-FR"/>
              </w:rPr>
            </w:pPr>
          </w:p>
        </w:tc>
        <w:tc>
          <w:tcPr>
            <w:tcW w:w="8221" w:type="dxa"/>
          </w:tcPr>
          <w:p w14:paraId="29F927B4" w14:textId="77777777" w:rsidR="00D80932" w:rsidRPr="000229AD" w:rsidRDefault="00D80932" w:rsidP="00716C22">
            <w:pPr>
              <w:pStyle w:val="Tabletext"/>
              <w:keepNext/>
              <w:keepLines/>
              <w:cnfStyle w:val="000000000000" w:firstRow="0" w:lastRow="0" w:firstColumn="0" w:lastColumn="0" w:oddVBand="0" w:evenVBand="0" w:oddHBand="0" w:evenHBand="0" w:firstRowFirstColumn="0" w:firstRowLastColumn="0" w:lastRowFirstColumn="0" w:lastRowLastColumn="0"/>
              <w:rPr>
                <w:lang w:val="fr-FR"/>
              </w:rPr>
            </w:pPr>
            <w:r w:rsidRPr="000229AD">
              <w:rPr>
                <w:lang w:val="fr-FR"/>
              </w:rPr>
              <w:t>Nombre de Résolutions de la CMDT mises en œuvre.</w:t>
            </w:r>
          </w:p>
        </w:tc>
      </w:tr>
      <w:tr w:rsidR="00D80932" w:rsidRPr="000229AD" w14:paraId="5C1034DF" w14:textId="77777777" w:rsidTr="007E3A17">
        <w:trPr>
          <w:cnfStyle w:val="000000100000" w:firstRow="0" w:lastRow="0" w:firstColumn="0" w:lastColumn="0" w:oddVBand="0" w:evenVBand="0" w:oddHBand="1" w:evenHBand="0" w:firstRowFirstColumn="0" w:firstRowLastColumn="0" w:lastRowFirstColumn="0" w:lastRowLastColumn="0"/>
          <w:trHeight w:val="45"/>
        </w:trPr>
        <w:tc>
          <w:tcPr>
            <w:cnfStyle w:val="001000000000" w:firstRow="0" w:lastRow="0" w:firstColumn="1" w:lastColumn="0" w:oddVBand="0" w:evenVBand="0" w:oddHBand="0" w:evenHBand="0" w:firstRowFirstColumn="0" w:firstRowLastColumn="0" w:lastRowFirstColumn="0" w:lastRowLastColumn="0"/>
            <w:tcW w:w="2269" w:type="dxa"/>
            <w:vMerge/>
            <w:shd w:val="clear" w:color="auto" w:fill="FFFFFF" w:themeFill="background1"/>
          </w:tcPr>
          <w:p w14:paraId="60F692DB" w14:textId="77777777" w:rsidR="00D80932" w:rsidRPr="000229AD" w:rsidRDefault="00D80932" w:rsidP="00716C22">
            <w:pPr>
              <w:pStyle w:val="Tabletext"/>
              <w:keepNext/>
              <w:keepLines/>
              <w:rPr>
                <w:lang w:val="fr-FR"/>
              </w:rPr>
            </w:pPr>
          </w:p>
        </w:tc>
        <w:tc>
          <w:tcPr>
            <w:tcW w:w="8221" w:type="dxa"/>
          </w:tcPr>
          <w:p w14:paraId="6E6CB95E" w14:textId="3D53699B" w:rsidR="00D80932" w:rsidRPr="000229AD" w:rsidRDefault="00D80932" w:rsidP="00716C22">
            <w:pPr>
              <w:pStyle w:val="Tabletext"/>
              <w:keepNext/>
              <w:keepLines/>
              <w:cnfStyle w:val="000000100000" w:firstRow="0" w:lastRow="0" w:firstColumn="0" w:lastColumn="0" w:oddVBand="0" w:evenVBand="0" w:oddHBand="1" w:evenHBand="0" w:firstRowFirstColumn="0" w:firstRowLastColumn="0" w:lastRowFirstColumn="0" w:lastRowLastColumn="0"/>
              <w:rPr>
                <w:lang w:val="fr-FR"/>
              </w:rPr>
            </w:pPr>
            <w:r w:rsidRPr="000229AD">
              <w:rPr>
                <w:lang w:val="fr-FR"/>
              </w:rPr>
              <w:t>Nombre d</w:t>
            </w:r>
            <w:r w:rsidR="00125408" w:rsidRPr="000229AD">
              <w:rPr>
                <w:lang w:val="fr-FR"/>
              </w:rPr>
              <w:t>'</w:t>
            </w:r>
            <w:r w:rsidRPr="000229AD">
              <w:rPr>
                <w:lang w:val="fr-FR"/>
              </w:rPr>
              <w:t>accords de projet signés chaque année.</w:t>
            </w:r>
          </w:p>
        </w:tc>
      </w:tr>
      <w:tr w:rsidR="00D80932" w:rsidRPr="000229AD" w14:paraId="41637192" w14:textId="77777777" w:rsidTr="007E3A17">
        <w:trPr>
          <w:trHeight w:val="45"/>
        </w:trPr>
        <w:tc>
          <w:tcPr>
            <w:cnfStyle w:val="001000000000" w:firstRow="0" w:lastRow="0" w:firstColumn="1" w:lastColumn="0" w:oddVBand="0" w:evenVBand="0" w:oddHBand="0" w:evenHBand="0" w:firstRowFirstColumn="0" w:firstRowLastColumn="0" w:lastRowFirstColumn="0" w:lastRowLastColumn="0"/>
            <w:tcW w:w="2269" w:type="dxa"/>
            <w:vMerge w:val="restart"/>
          </w:tcPr>
          <w:p w14:paraId="74C9343D" w14:textId="77777777" w:rsidR="00D80932" w:rsidRPr="000229AD" w:rsidRDefault="00D80932" w:rsidP="00716C22">
            <w:pPr>
              <w:pStyle w:val="Tabletext"/>
              <w:rPr>
                <w:lang w:val="fr-FR"/>
              </w:rPr>
            </w:pPr>
            <w:r w:rsidRPr="000229AD">
              <w:rPr>
                <w:lang w:val="fr-FR"/>
              </w:rPr>
              <w:t>Plates-formes fédératrices</w:t>
            </w:r>
          </w:p>
        </w:tc>
        <w:tc>
          <w:tcPr>
            <w:tcW w:w="8221" w:type="dxa"/>
          </w:tcPr>
          <w:p w14:paraId="65E5F135" w14:textId="77777777" w:rsidR="00D80932" w:rsidRPr="000229AD" w:rsidRDefault="00D80932" w:rsidP="00716C22">
            <w:pPr>
              <w:pStyle w:val="Tabletext"/>
              <w:cnfStyle w:val="000000000000" w:firstRow="0" w:lastRow="0" w:firstColumn="0" w:lastColumn="0" w:oddVBand="0" w:evenVBand="0" w:oddHBand="0" w:evenHBand="0" w:firstRowFirstColumn="0" w:firstRowLastColumn="0" w:lastRowFirstColumn="0" w:lastRowLastColumn="0"/>
              <w:rPr>
                <w:lang w:val="fr-FR"/>
              </w:rPr>
            </w:pPr>
            <w:r w:rsidRPr="000229AD">
              <w:rPr>
                <w:lang w:val="fr-FR"/>
              </w:rPr>
              <w:t>Nombre de partenariats signés.</w:t>
            </w:r>
          </w:p>
        </w:tc>
      </w:tr>
      <w:tr w:rsidR="00D80932" w:rsidRPr="000229AD" w14:paraId="57133902" w14:textId="77777777" w:rsidTr="007E3A17">
        <w:trPr>
          <w:cnfStyle w:val="000000100000" w:firstRow="0" w:lastRow="0" w:firstColumn="0" w:lastColumn="0" w:oddVBand="0" w:evenVBand="0" w:oddHBand="1" w:evenHBand="0" w:firstRowFirstColumn="0" w:firstRowLastColumn="0" w:lastRowFirstColumn="0" w:lastRowLastColumn="0"/>
          <w:trHeight w:val="45"/>
        </w:trPr>
        <w:tc>
          <w:tcPr>
            <w:cnfStyle w:val="001000000000" w:firstRow="0" w:lastRow="0" w:firstColumn="1" w:lastColumn="0" w:oddVBand="0" w:evenVBand="0" w:oddHBand="0" w:evenHBand="0" w:firstRowFirstColumn="0" w:firstRowLastColumn="0" w:lastRowFirstColumn="0" w:lastRowLastColumn="0"/>
            <w:tcW w:w="2269" w:type="dxa"/>
            <w:vMerge/>
          </w:tcPr>
          <w:p w14:paraId="1F08B66C" w14:textId="77777777" w:rsidR="00D80932" w:rsidRPr="000229AD" w:rsidRDefault="00D80932" w:rsidP="00716C22">
            <w:pPr>
              <w:pStyle w:val="Tabletext"/>
              <w:rPr>
                <w:lang w:val="fr-FR"/>
              </w:rPr>
            </w:pPr>
          </w:p>
        </w:tc>
        <w:tc>
          <w:tcPr>
            <w:tcW w:w="8221" w:type="dxa"/>
          </w:tcPr>
          <w:p w14:paraId="2C4B128B" w14:textId="60B2E04F" w:rsidR="00D80932" w:rsidRPr="000229AD" w:rsidDel="00017E6A" w:rsidRDefault="00D80932" w:rsidP="00716C22">
            <w:pPr>
              <w:pStyle w:val="Tabletext"/>
              <w:cnfStyle w:val="000000100000" w:firstRow="0" w:lastRow="0" w:firstColumn="0" w:lastColumn="0" w:oddVBand="0" w:evenVBand="0" w:oddHBand="1" w:evenHBand="0" w:firstRowFirstColumn="0" w:firstRowLastColumn="0" w:lastRowFirstColumn="0" w:lastRowLastColumn="0"/>
              <w:rPr>
                <w:lang w:val="fr-FR"/>
              </w:rPr>
            </w:pPr>
            <w:r w:rsidRPr="000229AD">
              <w:rPr>
                <w:lang w:val="fr-FR"/>
              </w:rPr>
              <w:t>Pourcentage de partenariats signés avec des entités des Nations Unies en vue d</w:t>
            </w:r>
            <w:r w:rsidR="00125408" w:rsidRPr="000229AD">
              <w:rPr>
                <w:lang w:val="fr-FR"/>
              </w:rPr>
              <w:t>'</w:t>
            </w:r>
            <w:r w:rsidRPr="000229AD">
              <w:rPr>
                <w:lang w:val="fr-FR"/>
              </w:rPr>
              <w:t>atteindre les objectifs de développement durable (ODD) liés au développement des télécommunications/TIC.</w:t>
            </w:r>
          </w:p>
        </w:tc>
      </w:tr>
      <w:tr w:rsidR="00D80932" w:rsidRPr="000229AD" w14:paraId="2221571B" w14:textId="77777777" w:rsidTr="007E3A17">
        <w:trPr>
          <w:trHeight w:val="45"/>
        </w:trPr>
        <w:tc>
          <w:tcPr>
            <w:cnfStyle w:val="001000000000" w:firstRow="0" w:lastRow="0" w:firstColumn="1" w:lastColumn="0" w:oddVBand="0" w:evenVBand="0" w:oddHBand="0" w:evenHBand="0" w:firstRowFirstColumn="0" w:firstRowLastColumn="0" w:lastRowFirstColumn="0" w:lastRowLastColumn="0"/>
            <w:tcW w:w="2269" w:type="dxa"/>
            <w:vMerge/>
          </w:tcPr>
          <w:p w14:paraId="177EEBC1" w14:textId="77777777" w:rsidR="00D80932" w:rsidRPr="000229AD" w:rsidRDefault="00D80932" w:rsidP="00716C22">
            <w:pPr>
              <w:pStyle w:val="Tabletext"/>
              <w:rPr>
                <w:lang w:val="fr-FR"/>
              </w:rPr>
            </w:pPr>
          </w:p>
        </w:tc>
        <w:tc>
          <w:tcPr>
            <w:tcW w:w="8221" w:type="dxa"/>
          </w:tcPr>
          <w:p w14:paraId="7B26FF69" w14:textId="39788AE4" w:rsidR="00D80932" w:rsidRPr="000229AD" w:rsidRDefault="00D80932" w:rsidP="00716C22">
            <w:pPr>
              <w:pStyle w:val="Tabletext"/>
              <w:cnfStyle w:val="000000000000" w:firstRow="0" w:lastRow="0" w:firstColumn="0" w:lastColumn="0" w:oddVBand="0" w:evenVBand="0" w:oddHBand="0" w:evenHBand="0" w:firstRowFirstColumn="0" w:firstRowLastColumn="0" w:lastRowFirstColumn="0" w:lastRowLastColumn="0"/>
              <w:rPr>
                <w:lang w:val="fr-FR"/>
              </w:rPr>
            </w:pPr>
            <w:r w:rsidRPr="000229AD">
              <w:rPr>
                <w:lang w:val="fr-FR"/>
              </w:rPr>
              <w:t>Nombre de participants aux forums régionaux sur le développement (RDF), aux dialogues régionaux et aux manifestations organisées sous l</w:t>
            </w:r>
            <w:r w:rsidR="00125408" w:rsidRPr="000229AD">
              <w:rPr>
                <w:lang w:val="fr-FR"/>
              </w:rPr>
              <w:t>'</w:t>
            </w:r>
            <w:r w:rsidRPr="000229AD">
              <w:rPr>
                <w:lang w:val="fr-FR"/>
              </w:rPr>
              <w:t>égide du BDT.</w:t>
            </w:r>
          </w:p>
        </w:tc>
      </w:tr>
    </w:tbl>
    <w:p w14:paraId="0965CC12" w14:textId="77777777" w:rsidR="00E0710F" w:rsidRPr="000229AD" w:rsidRDefault="00E0710F" w:rsidP="00716C22">
      <w:pPr>
        <w:rPr>
          <w:lang w:val="fr-FR"/>
        </w:rPr>
        <w:sectPr w:rsidR="00E0710F" w:rsidRPr="000229AD" w:rsidSect="00473791">
          <w:headerReference w:type="default" r:id="rId14"/>
          <w:footerReference w:type="first" r:id="rId15"/>
          <w:pgSz w:w="11907" w:h="16834" w:code="9"/>
          <w:pgMar w:top="1418" w:right="1134" w:bottom="1418" w:left="1134" w:header="720" w:footer="720" w:gutter="0"/>
          <w:paperSrc w:first="7" w:other="7"/>
          <w:cols w:space="720"/>
          <w:titlePg/>
          <w:docGrid w:linePitch="326"/>
        </w:sectPr>
      </w:pPr>
    </w:p>
    <w:p w14:paraId="615212E9" w14:textId="08CF4601" w:rsidR="003A306E" w:rsidRPr="000229AD" w:rsidRDefault="00EB663F" w:rsidP="00716C22">
      <w:pPr>
        <w:pStyle w:val="Annextitle"/>
        <w:rPr>
          <w:lang w:val="fr-FR"/>
        </w:rPr>
      </w:pPr>
      <w:r w:rsidRPr="000229AD">
        <w:rPr>
          <w:lang w:val="fr-FR"/>
        </w:rPr>
        <w:lastRenderedPageBreak/>
        <w:t>Rapport d</w:t>
      </w:r>
      <w:r w:rsidR="00125408" w:rsidRPr="000229AD">
        <w:rPr>
          <w:lang w:val="fr-FR"/>
        </w:rPr>
        <w:t>'</w:t>
      </w:r>
      <w:r w:rsidRPr="000229AD">
        <w:rPr>
          <w:lang w:val="fr-FR"/>
        </w:rPr>
        <w:t>activité pour la période allant de juin 2023 à avril 2024</w:t>
      </w:r>
    </w:p>
    <w:tbl>
      <w:tblPr>
        <w:tblStyle w:val="TableGrid2"/>
        <w:tblW w:w="14868" w:type="dxa"/>
        <w:tblBorders>
          <w:top w:val="dotted" w:sz="4" w:space="0" w:color="0070C0"/>
          <w:left w:val="dotted" w:sz="4" w:space="0" w:color="0070C0"/>
          <w:bottom w:val="dotted" w:sz="4" w:space="0" w:color="0070C0"/>
          <w:right w:val="dotted" w:sz="4" w:space="0" w:color="0070C0"/>
          <w:insideH w:val="dotted" w:sz="4" w:space="0" w:color="0070C0"/>
          <w:insideV w:val="dotted" w:sz="4" w:space="0" w:color="0070C0"/>
        </w:tblBorders>
        <w:tblLayout w:type="fixed"/>
        <w:tblLook w:val="04A0" w:firstRow="1" w:lastRow="0" w:firstColumn="1" w:lastColumn="0" w:noHBand="0" w:noVBand="1"/>
      </w:tblPr>
      <w:tblGrid>
        <w:gridCol w:w="3114"/>
        <w:gridCol w:w="8761"/>
        <w:gridCol w:w="2993"/>
      </w:tblGrid>
      <w:tr w:rsidR="00EB663F" w:rsidRPr="000229AD" w14:paraId="2FF9A1A9" w14:textId="77777777" w:rsidTr="00565E7A">
        <w:trPr>
          <w:trHeight w:val="300"/>
        </w:trPr>
        <w:tc>
          <w:tcPr>
            <w:tcW w:w="14868" w:type="dxa"/>
            <w:gridSpan w:val="3"/>
            <w:shd w:val="clear" w:color="auto" w:fill="2F5496"/>
          </w:tcPr>
          <w:p w14:paraId="59E1E617" w14:textId="034E8B36" w:rsidR="00EB663F" w:rsidRPr="000229AD" w:rsidRDefault="00EB663F" w:rsidP="00716C22">
            <w:pPr>
              <w:pStyle w:val="Tablehead"/>
              <w:rPr>
                <w:color w:val="FFFFFF" w:themeColor="background1"/>
                <w:lang w:val="fr-FR"/>
              </w:rPr>
            </w:pPr>
            <w:r w:rsidRPr="000229AD">
              <w:rPr>
                <w:color w:val="FFFFFF" w:themeColor="background1"/>
                <w:lang w:val="fr-FR"/>
              </w:rPr>
              <w:t>Priorité 1 de l</w:t>
            </w:r>
            <w:r w:rsidR="00125408" w:rsidRPr="000229AD">
              <w:rPr>
                <w:color w:val="FFFFFF" w:themeColor="background1"/>
                <w:lang w:val="fr-FR"/>
              </w:rPr>
              <w:t>'</w:t>
            </w:r>
            <w:r w:rsidRPr="000229AD">
              <w:rPr>
                <w:color w:val="FFFFFF" w:themeColor="background1"/>
                <w:lang w:val="fr-FR"/>
              </w:rPr>
              <w:t>UIT-D: Connectivité financièrement abordable</w:t>
            </w:r>
          </w:p>
          <w:p w14:paraId="51C93B6D" w14:textId="5243C9CE" w:rsidR="00EB663F" w:rsidRPr="000229AD" w:rsidRDefault="00EB663F" w:rsidP="00716C22">
            <w:pPr>
              <w:pStyle w:val="Tablehead"/>
              <w:rPr>
                <w:i/>
                <w:iCs/>
                <w:lang w:val="fr-FR"/>
              </w:rPr>
            </w:pPr>
            <w:r w:rsidRPr="000229AD">
              <w:rPr>
                <w:i/>
                <w:iCs/>
                <w:color w:val="FFFFFF" w:themeColor="background1"/>
                <w:lang w:val="fr-FR"/>
              </w:rPr>
              <w:t>Encourager le développement d</w:t>
            </w:r>
            <w:r w:rsidR="00125408" w:rsidRPr="000229AD">
              <w:rPr>
                <w:i/>
                <w:iCs/>
                <w:color w:val="FFFFFF" w:themeColor="background1"/>
                <w:lang w:val="fr-FR"/>
              </w:rPr>
              <w:t>'</w:t>
            </w:r>
            <w:r w:rsidRPr="000229AD">
              <w:rPr>
                <w:i/>
                <w:iCs/>
                <w:color w:val="FFFFFF" w:themeColor="background1"/>
                <w:lang w:val="fr-FR"/>
              </w:rPr>
              <w:t>infrastructures et de services sûrs, modernes et financièrement abordables grâce aux télécommunications/TIC</w:t>
            </w:r>
          </w:p>
        </w:tc>
      </w:tr>
      <w:tr w:rsidR="00EB663F" w:rsidRPr="000229AD" w14:paraId="5CE1E500" w14:textId="77777777" w:rsidTr="00565E7A">
        <w:trPr>
          <w:trHeight w:val="300"/>
        </w:trPr>
        <w:tc>
          <w:tcPr>
            <w:tcW w:w="14868" w:type="dxa"/>
            <w:gridSpan w:val="3"/>
            <w:shd w:val="clear" w:color="auto" w:fill="E5DFEC" w:themeFill="accent4" w:themeFillTint="33"/>
          </w:tcPr>
          <w:p w14:paraId="362E6C1C" w14:textId="13800A4B" w:rsidR="00EB663F" w:rsidRPr="000229AD" w:rsidRDefault="00EB663F" w:rsidP="00716C22">
            <w:pPr>
              <w:pStyle w:val="Tabletext"/>
              <w:spacing w:before="120"/>
              <w:rPr>
                <w:b/>
                <w:bCs/>
                <w:lang w:val="fr-FR"/>
              </w:rPr>
            </w:pPr>
            <w:r w:rsidRPr="000229AD">
              <w:rPr>
                <w:b/>
                <w:bCs/>
                <w:lang w:val="fr-FR"/>
              </w:rPr>
              <w:t>Télécommunications d</w:t>
            </w:r>
            <w:r w:rsidR="00125408" w:rsidRPr="000229AD">
              <w:rPr>
                <w:b/>
                <w:bCs/>
                <w:lang w:val="fr-FR"/>
              </w:rPr>
              <w:t>'</w:t>
            </w:r>
            <w:r w:rsidRPr="000229AD">
              <w:rPr>
                <w:b/>
                <w:bCs/>
                <w:lang w:val="fr-FR"/>
              </w:rPr>
              <w:t>urgence</w:t>
            </w:r>
          </w:p>
          <w:p w14:paraId="2DF64C82" w14:textId="0640AB06" w:rsidR="00EB663F" w:rsidRPr="000229AD" w:rsidRDefault="00EB663F" w:rsidP="00716C22">
            <w:pPr>
              <w:pStyle w:val="Tabletext"/>
              <w:spacing w:before="120"/>
              <w:rPr>
                <w:i/>
                <w:iCs/>
                <w:color w:val="FFFFFF"/>
                <w:lang w:val="fr-FR"/>
              </w:rPr>
            </w:pPr>
            <w:r w:rsidRPr="000229AD">
              <w:rPr>
                <w:b/>
                <w:bCs/>
                <w:i/>
                <w:iCs/>
                <w:lang w:val="fr-FR"/>
              </w:rPr>
              <w:t>Réalisation</w:t>
            </w:r>
            <w:r w:rsidRPr="000229AD">
              <w:rPr>
                <w:i/>
                <w:iCs/>
                <w:lang w:val="fr-FR"/>
              </w:rPr>
              <w:t xml:space="preserve">: </w:t>
            </w:r>
            <w:r w:rsidR="002F3729" w:rsidRPr="000229AD">
              <w:rPr>
                <w:i/>
                <w:iCs/>
                <w:lang w:val="fr-FR"/>
              </w:rPr>
              <w:t>r</w:t>
            </w:r>
            <w:r w:rsidRPr="000229AD">
              <w:rPr>
                <w:i/>
                <w:iCs/>
                <w:lang w:val="fr-FR"/>
              </w:rPr>
              <w:t>enforcement de la capacité des États Membres à utiliser les télécommunications/TIC pour l</w:t>
            </w:r>
            <w:r w:rsidR="00125408" w:rsidRPr="000229AD">
              <w:rPr>
                <w:i/>
                <w:iCs/>
                <w:lang w:val="fr-FR"/>
              </w:rPr>
              <w:t>'</w:t>
            </w:r>
            <w:r w:rsidRPr="000229AD">
              <w:rPr>
                <w:i/>
                <w:iCs/>
                <w:lang w:val="fr-FR"/>
              </w:rPr>
              <w:t>atténuation et la gestion des risques de catastrophes, pour garantir la disponibilité des télécommunications d</w:t>
            </w:r>
            <w:r w:rsidR="00125408" w:rsidRPr="000229AD">
              <w:rPr>
                <w:i/>
                <w:iCs/>
                <w:lang w:val="fr-FR"/>
              </w:rPr>
              <w:t>'</w:t>
            </w:r>
            <w:r w:rsidRPr="000229AD">
              <w:rPr>
                <w:i/>
                <w:iCs/>
                <w:lang w:val="fr-FR"/>
              </w:rPr>
              <w:t>urgence et appuyer la coopération dans ce domaine</w:t>
            </w:r>
            <w:r w:rsidR="00E42752" w:rsidRPr="000229AD">
              <w:rPr>
                <w:i/>
                <w:iCs/>
                <w:lang w:val="fr-FR"/>
              </w:rPr>
              <w:t>.</w:t>
            </w:r>
          </w:p>
        </w:tc>
      </w:tr>
      <w:tr w:rsidR="00EB663F" w:rsidRPr="000229AD" w14:paraId="14F0C84A" w14:textId="77777777" w:rsidTr="00565E7A">
        <w:trPr>
          <w:trHeight w:val="300"/>
        </w:trPr>
        <w:tc>
          <w:tcPr>
            <w:tcW w:w="11875" w:type="dxa"/>
            <w:gridSpan w:val="2"/>
          </w:tcPr>
          <w:p w14:paraId="611B1FAB" w14:textId="77777777" w:rsidR="00EB663F" w:rsidRPr="000229AD" w:rsidRDefault="00EB663F" w:rsidP="00716C22">
            <w:pPr>
              <w:pStyle w:val="Tablehead"/>
              <w:rPr>
                <w:color w:val="0070C0"/>
                <w:lang w:val="fr-FR"/>
              </w:rPr>
            </w:pPr>
            <w:r w:rsidRPr="000229AD">
              <w:rPr>
                <w:lang w:val="fr-FR"/>
              </w:rPr>
              <w:t>Produits</w:t>
            </w:r>
          </w:p>
        </w:tc>
        <w:tc>
          <w:tcPr>
            <w:tcW w:w="2993" w:type="dxa"/>
          </w:tcPr>
          <w:p w14:paraId="689AC7D3" w14:textId="1A4F12E2" w:rsidR="00EB663F" w:rsidRPr="000229AD" w:rsidRDefault="00EB663F" w:rsidP="00716C22">
            <w:pPr>
              <w:pStyle w:val="Tablehead"/>
              <w:rPr>
                <w:color w:val="0070C0"/>
                <w:lang w:val="fr-FR"/>
              </w:rPr>
            </w:pPr>
            <w:r w:rsidRPr="000229AD">
              <w:rPr>
                <w:lang w:val="fr-FR"/>
              </w:rPr>
              <w:t>Points clés</w:t>
            </w:r>
          </w:p>
        </w:tc>
      </w:tr>
      <w:tr w:rsidR="00EB663F" w:rsidRPr="000229AD" w14:paraId="2D2C981D" w14:textId="77777777" w:rsidTr="00565E7A">
        <w:trPr>
          <w:trHeight w:val="1336"/>
        </w:trPr>
        <w:tc>
          <w:tcPr>
            <w:tcW w:w="11875" w:type="dxa"/>
            <w:gridSpan w:val="2"/>
          </w:tcPr>
          <w:p w14:paraId="69CE89CE" w14:textId="485AC247" w:rsidR="00EB663F" w:rsidRPr="000229AD" w:rsidRDefault="00EB663F" w:rsidP="00716C22">
            <w:pPr>
              <w:pStyle w:val="Tabletext"/>
              <w:spacing w:before="120" w:after="120"/>
              <w:rPr>
                <w:lang w:val="fr-FR"/>
              </w:rPr>
            </w:pPr>
            <w:r w:rsidRPr="000229AD">
              <w:rPr>
                <w:lang w:val="fr-FR"/>
              </w:rPr>
              <w:t>À partir du mois de juin 2023, le BDT a poursuivi le déploiement de toute une gamme de produits et de services, en aidant les États Membres à accroître la confiance et la sécurité dans l</w:t>
            </w:r>
            <w:r w:rsidR="00125408" w:rsidRPr="000229AD">
              <w:rPr>
                <w:lang w:val="fr-FR"/>
              </w:rPr>
              <w:t>'</w:t>
            </w:r>
            <w:r w:rsidRPr="000229AD">
              <w:rPr>
                <w:lang w:val="fr-FR"/>
              </w:rPr>
              <w:t>utilisation des télécommunications/technologies de l</w:t>
            </w:r>
            <w:r w:rsidR="00125408" w:rsidRPr="000229AD">
              <w:rPr>
                <w:lang w:val="fr-FR"/>
              </w:rPr>
              <w:t>'</w:t>
            </w:r>
            <w:r w:rsidRPr="000229AD">
              <w:rPr>
                <w:lang w:val="fr-FR"/>
              </w:rPr>
              <w:t>information et des communications (TIC). Le Bureau a ainsi élaboré des cadres stratégiques et des produits d</w:t>
            </w:r>
            <w:r w:rsidR="00125408" w:rsidRPr="000229AD">
              <w:rPr>
                <w:lang w:val="fr-FR"/>
              </w:rPr>
              <w:t>'</w:t>
            </w:r>
            <w:r w:rsidRPr="000229AD">
              <w:rPr>
                <w:lang w:val="fr-FR"/>
              </w:rPr>
              <w:t xml:space="preserve">information, mené des activités de renforcement des capacités et fourni une assistance technique, ce qui a permis de </w:t>
            </w:r>
            <w:r w:rsidRPr="000229AD">
              <w:rPr>
                <w:b/>
                <w:bCs/>
                <w:lang w:val="fr-FR"/>
              </w:rPr>
              <w:t>renforcer la capacité des États Membres à utiliser les TIC pour réduire et gérer les risques de catastrophe et garantir la disponibilité des télécommunications d</w:t>
            </w:r>
            <w:r w:rsidR="00125408" w:rsidRPr="000229AD">
              <w:rPr>
                <w:b/>
                <w:bCs/>
                <w:lang w:val="fr-FR"/>
              </w:rPr>
              <w:t>'</w:t>
            </w:r>
            <w:r w:rsidRPr="000229AD">
              <w:rPr>
                <w:b/>
                <w:bCs/>
                <w:lang w:val="fr-FR"/>
              </w:rPr>
              <w:t>urgence</w:t>
            </w:r>
            <w:r w:rsidRPr="000229AD">
              <w:rPr>
                <w:lang w:val="fr-FR"/>
              </w:rPr>
              <w:t>.</w:t>
            </w:r>
          </w:p>
          <w:p w14:paraId="3E84520D" w14:textId="6BFADD64" w:rsidR="00EB663F" w:rsidRPr="000229AD" w:rsidRDefault="00EB663F" w:rsidP="00716C22">
            <w:pPr>
              <w:pStyle w:val="Tabletext"/>
              <w:spacing w:after="120"/>
              <w:rPr>
                <w:lang w:val="fr-FR"/>
              </w:rPr>
            </w:pPr>
            <w:r w:rsidRPr="000229AD">
              <w:rPr>
                <w:lang w:val="fr-FR"/>
              </w:rPr>
              <w:t xml:space="preserve">Le BDT a également appuyé les États Membres dans leurs actions visant à </w:t>
            </w:r>
            <w:r w:rsidRPr="000229AD">
              <w:rPr>
                <w:b/>
                <w:bCs/>
                <w:lang w:val="fr-FR"/>
              </w:rPr>
              <w:t>renforcer l</w:t>
            </w:r>
            <w:r w:rsidR="00125408" w:rsidRPr="000229AD">
              <w:rPr>
                <w:b/>
                <w:bCs/>
                <w:lang w:val="fr-FR"/>
              </w:rPr>
              <w:t>'</w:t>
            </w:r>
            <w:r w:rsidRPr="000229AD">
              <w:rPr>
                <w:b/>
                <w:bCs/>
                <w:lang w:val="fr-FR"/>
              </w:rPr>
              <w:t>utilisation des TIC pour mettre en place des systèmes d</w:t>
            </w:r>
            <w:r w:rsidR="00125408" w:rsidRPr="000229AD">
              <w:rPr>
                <w:b/>
                <w:bCs/>
                <w:lang w:val="fr-FR"/>
              </w:rPr>
              <w:t>'</w:t>
            </w:r>
            <w:r w:rsidRPr="000229AD">
              <w:rPr>
                <w:b/>
                <w:bCs/>
                <w:lang w:val="fr-FR"/>
              </w:rPr>
              <w:t>alerte avancée efficaces et sauver des vies dans le cadre de l</w:t>
            </w:r>
            <w:r w:rsidR="00125408" w:rsidRPr="000229AD">
              <w:rPr>
                <w:b/>
                <w:bCs/>
                <w:lang w:val="fr-FR"/>
              </w:rPr>
              <w:t>'</w:t>
            </w:r>
            <w:r w:rsidRPr="000229AD">
              <w:rPr>
                <w:b/>
                <w:bCs/>
                <w:lang w:val="fr-FR"/>
              </w:rPr>
              <w:t>initiative "Alertes précoces pour tous"</w:t>
            </w:r>
            <w:r w:rsidRPr="000229AD">
              <w:rPr>
                <w:lang w:val="fr-FR"/>
              </w:rPr>
              <w:t>.</w:t>
            </w:r>
          </w:p>
          <w:p w14:paraId="171ED9A4" w14:textId="62967561" w:rsidR="00EB663F" w:rsidRPr="000229AD" w:rsidRDefault="00EB663F" w:rsidP="00716C22">
            <w:pPr>
              <w:pStyle w:val="Tabletext"/>
              <w:spacing w:after="120"/>
              <w:rPr>
                <w:lang w:val="fr-FR"/>
              </w:rPr>
            </w:pPr>
            <w:r w:rsidRPr="000229AD">
              <w:rPr>
                <w:lang w:val="fr-FR"/>
              </w:rPr>
              <w:t xml:space="preserve">Le BDT a en outre contribué à </w:t>
            </w:r>
            <w:r w:rsidRPr="000229AD">
              <w:rPr>
                <w:b/>
                <w:bCs/>
                <w:lang w:val="fr-FR"/>
              </w:rPr>
              <w:t>renforcer la capacité des États Membres à déployer rapidement des terminaux de communication par satellite, à coordonner les interventions nationales après une catastrophe et à déterminer la position préalable des équipements de télécommunication d</w:t>
            </w:r>
            <w:r w:rsidR="00125408" w:rsidRPr="000229AD">
              <w:rPr>
                <w:b/>
                <w:bCs/>
                <w:lang w:val="fr-FR"/>
              </w:rPr>
              <w:t>'</w:t>
            </w:r>
            <w:r w:rsidRPr="000229AD">
              <w:rPr>
                <w:b/>
                <w:bCs/>
                <w:lang w:val="fr-FR"/>
              </w:rPr>
              <w:t>urgence par satellite</w:t>
            </w:r>
            <w:r w:rsidRPr="000229AD">
              <w:rPr>
                <w:lang w:val="fr-FR"/>
              </w:rPr>
              <w:t xml:space="preserve"> afin de réduire les délais d</w:t>
            </w:r>
            <w:r w:rsidR="00125408" w:rsidRPr="000229AD">
              <w:rPr>
                <w:lang w:val="fr-FR"/>
              </w:rPr>
              <w:t>'</w:t>
            </w:r>
            <w:r w:rsidRPr="000229AD">
              <w:rPr>
                <w:lang w:val="fr-FR"/>
              </w:rPr>
              <w:t>intervention en cas de catastrophe. Les équipements sont actuellement positionnés dans l</w:t>
            </w:r>
            <w:r w:rsidR="00125408" w:rsidRPr="000229AD">
              <w:rPr>
                <w:lang w:val="fr-FR"/>
              </w:rPr>
              <w:t>'</w:t>
            </w:r>
            <w:r w:rsidRPr="000229AD">
              <w:rPr>
                <w:lang w:val="fr-FR"/>
              </w:rPr>
              <w:t>entrepôt du Réseau des télécommunications d</w:t>
            </w:r>
            <w:r w:rsidR="00125408" w:rsidRPr="000229AD">
              <w:rPr>
                <w:lang w:val="fr-FR"/>
              </w:rPr>
              <w:t>'</w:t>
            </w:r>
            <w:r w:rsidRPr="000229AD">
              <w:rPr>
                <w:lang w:val="fr-FR"/>
              </w:rPr>
              <w:t>urgence du Programme alimentaire mondial (PAM) à Dubaï pour aider l</w:t>
            </w:r>
            <w:r w:rsidR="006110F6" w:rsidRPr="000229AD">
              <w:rPr>
                <w:lang w:val="fr-FR"/>
              </w:rPr>
              <w:t>a</w:t>
            </w:r>
            <w:r w:rsidRPr="000229AD">
              <w:rPr>
                <w:lang w:val="fr-FR"/>
              </w:rPr>
              <w:t xml:space="preserve"> région </w:t>
            </w:r>
            <w:r w:rsidR="00AE29C5" w:rsidRPr="000229AD">
              <w:rPr>
                <w:lang w:val="fr-FR"/>
              </w:rPr>
              <w:t xml:space="preserve">des </w:t>
            </w:r>
            <w:r w:rsidRPr="000229AD">
              <w:rPr>
                <w:lang w:val="fr-FR"/>
              </w:rPr>
              <w:t>États arabes</w:t>
            </w:r>
            <w:r w:rsidR="006110F6" w:rsidRPr="000229AD">
              <w:rPr>
                <w:lang w:val="fr-FR"/>
              </w:rPr>
              <w:t xml:space="preserve"> et</w:t>
            </w:r>
            <w:r w:rsidRPr="000229AD">
              <w:rPr>
                <w:lang w:val="fr-FR"/>
              </w:rPr>
              <w:t xml:space="preserve"> </w:t>
            </w:r>
            <w:r w:rsidR="006110F6" w:rsidRPr="000229AD">
              <w:rPr>
                <w:lang w:val="fr-FR"/>
              </w:rPr>
              <w:t xml:space="preserve">les régions </w:t>
            </w:r>
            <w:r w:rsidRPr="000229AD">
              <w:rPr>
                <w:lang w:val="fr-FR"/>
              </w:rPr>
              <w:t>Afrique et Asie-Pacifique. Le Zimbabwe a été sélectionné pour servir de plate-forme desservant les pays de la Communauté de développement de l</w:t>
            </w:r>
            <w:r w:rsidR="00125408" w:rsidRPr="000229AD">
              <w:rPr>
                <w:lang w:val="fr-FR"/>
              </w:rPr>
              <w:t>'</w:t>
            </w:r>
            <w:r w:rsidRPr="000229AD">
              <w:rPr>
                <w:lang w:val="fr-FR"/>
              </w:rPr>
              <w:t>Afrique australe (SADC), tandis que la Barbade jouera un rôle similaire pour la région Amériques, en cas de catastrophe. Le siège de l</w:t>
            </w:r>
            <w:r w:rsidR="00125408" w:rsidRPr="000229AD">
              <w:rPr>
                <w:lang w:val="fr-FR"/>
              </w:rPr>
              <w:t>'</w:t>
            </w:r>
            <w:r w:rsidRPr="000229AD">
              <w:rPr>
                <w:lang w:val="fr-FR"/>
              </w:rPr>
              <w:t>UIT continuera de superviser et de gérer le déploiement des équipements dans ces régions.</w:t>
            </w:r>
          </w:p>
          <w:p w14:paraId="56DB7C60" w14:textId="319797B3" w:rsidR="00EB663F" w:rsidRPr="000229AD" w:rsidRDefault="00EB663F" w:rsidP="00716C22">
            <w:pPr>
              <w:pStyle w:val="Tabletext"/>
              <w:spacing w:after="120"/>
              <w:rPr>
                <w:lang w:val="fr-FR"/>
              </w:rPr>
            </w:pPr>
            <w:r w:rsidRPr="000229AD">
              <w:rPr>
                <w:lang w:val="fr-FR"/>
              </w:rPr>
              <w:t>En outre, dans le cadre de l</w:t>
            </w:r>
            <w:r w:rsidR="00125408" w:rsidRPr="000229AD">
              <w:rPr>
                <w:lang w:val="fr-FR"/>
              </w:rPr>
              <w:t>'</w:t>
            </w:r>
            <w:r w:rsidRPr="000229AD">
              <w:rPr>
                <w:b/>
                <w:bCs/>
                <w:lang w:val="fr-FR"/>
              </w:rPr>
              <w:t>initiative "Alertes précoces pour tous"</w:t>
            </w:r>
            <w:r w:rsidRPr="000229AD">
              <w:rPr>
                <w:lang w:val="fr-FR"/>
              </w:rPr>
              <w:t>, en collaboration avec le Bureau des Nations Unies pour la prévention des catastrophes (UNDRR), l</w:t>
            </w:r>
            <w:r w:rsidR="00125408" w:rsidRPr="000229AD">
              <w:rPr>
                <w:lang w:val="fr-FR"/>
              </w:rPr>
              <w:t>'</w:t>
            </w:r>
            <w:r w:rsidRPr="000229AD">
              <w:rPr>
                <w:lang w:val="fr-FR"/>
              </w:rPr>
              <w:t>Organisation météorologique mondiale (OMM), la Fédération internationale des Sociétés de la Croix-Rouge et du Croissant-Rouge et le Programme des Nations Unies pour le développement (PNUD), l</w:t>
            </w:r>
            <w:r w:rsidR="00125408" w:rsidRPr="000229AD">
              <w:rPr>
                <w:lang w:val="fr-FR"/>
              </w:rPr>
              <w:t>'</w:t>
            </w:r>
            <w:r w:rsidRPr="000229AD">
              <w:rPr>
                <w:lang w:val="fr-FR"/>
              </w:rPr>
              <w:t>UIT a organisé une série d</w:t>
            </w:r>
            <w:r w:rsidR="00125408" w:rsidRPr="000229AD">
              <w:rPr>
                <w:lang w:val="fr-FR"/>
              </w:rPr>
              <w:t>'</w:t>
            </w:r>
            <w:r w:rsidRPr="000229AD">
              <w:rPr>
                <w:lang w:val="fr-FR"/>
              </w:rPr>
              <w:t>ateliers dans plusieurs régions, et notamment dans les pays suivants: Antigua-et-Barbuda, Bangladesh, Barbade, Cambodge, Éthiopie, Guatemala, Népal, Ouganda, République démocratique populaire lao, Somalie et Tadjikistan. Ces ateliers ont permis aux pays de collaborer et d</w:t>
            </w:r>
            <w:r w:rsidR="00125408" w:rsidRPr="000229AD">
              <w:rPr>
                <w:lang w:val="fr-FR"/>
              </w:rPr>
              <w:t>'</w:t>
            </w:r>
            <w:r w:rsidRPr="000229AD">
              <w:rPr>
                <w:lang w:val="fr-FR"/>
              </w:rPr>
              <w:t>échanger des idées et les meilleures pratiques sur les systèmes d</w:t>
            </w:r>
            <w:r w:rsidR="00125408" w:rsidRPr="000229AD">
              <w:rPr>
                <w:lang w:val="fr-FR"/>
              </w:rPr>
              <w:t>'</w:t>
            </w:r>
            <w:r w:rsidRPr="000229AD">
              <w:rPr>
                <w:lang w:val="fr-FR"/>
              </w:rPr>
              <w:t xml:space="preserve">alerte avancée. En outre, lors de manifestation tenue en marge de la Conférence des Parties à la Convention-cadre des Nations Unies sur les changements </w:t>
            </w:r>
            <w:r w:rsidRPr="000229AD">
              <w:rPr>
                <w:lang w:val="fr-FR"/>
              </w:rPr>
              <w:lastRenderedPageBreak/>
              <w:t>climatiques 2023 (COP28) et intitulée "</w:t>
            </w:r>
            <w:hyperlink r:id="rId16" w:history="1">
              <w:r w:rsidRPr="000229AD">
                <w:rPr>
                  <w:rStyle w:val="Hyperlink"/>
                  <w:lang w:val="fr-FR"/>
                </w:rPr>
                <w:t>Alertes précoces pour tous: L</w:t>
              </w:r>
              <w:r w:rsidR="00125408" w:rsidRPr="000229AD">
                <w:rPr>
                  <w:rStyle w:val="Hyperlink"/>
                  <w:lang w:val="fr-FR"/>
                </w:rPr>
                <w:t>'</w:t>
              </w:r>
              <w:r w:rsidRPr="000229AD">
                <w:rPr>
                  <w:rStyle w:val="Hyperlink"/>
                  <w:lang w:val="fr-FR"/>
                </w:rPr>
                <w:t>intelligence artificielle pour libérer le potentiel des systèmes d</w:t>
              </w:r>
              <w:r w:rsidR="00125408" w:rsidRPr="000229AD">
                <w:rPr>
                  <w:rStyle w:val="Hyperlink"/>
                  <w:lang w:val="fr-FR"/>
                </w:rPr>
                <w:t>'</w:t>
              </w:r>
              <w:r w:rsidRPr="000229AD">
                <w:rPr>
                  <w:rStyle w:val="Hyperlink"/>
                  <w:lang w:val="fr-FR"/>
                </w:rPr>
                <w:t>alerte avancée</w:t>
              </w:r>
            </w:hyperlink>
            <w:r w:rsidRPr="000229AD">
              <w:rPr>
                <w:lang w:val="fr-FR"/>
              </w:rPr>
              <w:t>", l</w:t>
            </w:r>
            <w:r w:rsidR="00125408" w:rsidRPr="000229AD">
              <w:rPr>
                <w:lang w:val="fr-FR"/>
              </w:rPr>
              <w:t>'</w:t>
            </w:r>
            <w:r w:rsidRPr="000229AD">
              <w:rPr>
                <w:lang w:val="fr-FR"/>
              </w:rPr>
              <w:t>UIT, l</w:t>
            </w:r>
            <w:r w:rsidR="00125408" w:rsidRPr="000229AD">
              <w:rPr>
                <w:lang w:val="fr-FR"/>
              </w:rPr>
              <w:t>'</w:t>
            </w:r>
            <w:r w:rsidRPr="000229AD">
              <w:rPr>
                <w:lang w:val="fr-FR"/>
              </w:rPr>
              <w:t>UNDRR et la Fédération internationale des Sociétés de la Croix-Rouge et du Croissant-Rouge ont lancé des initiatives phares axées sur l</w:t>
            </w:r>
            <w:r w:rsidR="00125408" w:rsidRPr="000229AD">
              <w:rPr>
                <w:lang w:val="fr-FR"/>
              </w:rPr>
              <w:t>'</w:t>
            </w:r>
            <w:r w:rsidRPr="000229AD">
              <w:rPr>
                <w:lang w:val="fr-FR"/>
              </w:rPr>
              <w:t>utilisation de l</w:t>
            </w:r>
            <w:r w:rsidR="00125408" w:rsidRPr="000229AD">
              <w:rPr>
                <w:lang w:val="fr-FR"/>
              </w:rPr>
              <w:t>'</w:t>
            </w:r>
            <w:r w:rsidRPr="000229AD">
              <w:rPr>
                <w:lang w:val="fr-FR"/>
              </w:rPr>
              <w:t>intelligence artificielle pour améliorer ces systèmes, l</w:t>
            </w:r>
            <w:r w:rsidR="00125408" w:rsidRPr="000229AD">
              <w:rPr>
                <w:lang w:val="fr-FR"/>
              </w:rPr>
              <w:t>'</w:t>
            </w:r>
            <w:r w:rsidRPr="000229AD">
              <w:rPr>
                <w:lang w:val="fr-FR"/>
              </w:rPr>
              <w:t>accélération des actions entreprises et le comblement des lacunes pour atteindre les objectifs de l</w:t>
            </w:r>
            <w:r w:rsidR="00125408" w:rsidRPr="000229AD">
              <w:rPr>
                <w:lang w:val="fr-FR"/>
              </w:rPr>
              <w:t>'</w:t>
            </w:r>
            <w:r w:rsidRPr="000229AD">
              <w:rPr>
                <w:lang w:val="fr-FR"/>
              </w:rPr>
              <w:t>initiative. Ces actions collectives ont été très bien accueillies de la part des partenaires mondiaux, notamment les organismes des Nations Unies et les institutions financières internationales telles que le PNUD, l</w:t>
            </w:r>
            <w:r w:rsidR="00125408" w:rsidRPr="000229AD">
              <w:rPr>
                <w:lang w:val="fr-FR"/>
              </w:rPr>
              <w:t>'</w:t>
            </w:r>
            <w:r w:rsidRPr="000229AD">
              <w:rPr>
                <w:lang w:val="fr-FR"/>
              </w:rPr>
              <w:t>UNDRR, l</w:t>
            </w:r>
            <w:r w:rsidR="00125408" w:rsidRPr="000229AD">
              <w:rPr>
                <w:lang w:val="fr-FR"/>
              </w:rPr>
              <w:t>'</w:t>
            </w:r>
            <w:r w:rsidRPr="000229AD">
              <w:rPr>
                <w:lang w:val="fr-FR"/>
              </w:rPr>
              <w:t>Organisation météorologique mondiale (OMM) et la Banque mondiale, et ont suscité des annonces de contribution et des engagements d</w:t>
            </w:r>
            <w:r w:rsidR="00125408" w:rsidRPr="000229AD">
              <w:rPr>
                <w:lang w:val="fr-FR"/>
              </w:rPr>
              <w:t>'</w:t>
            </w:r>
            <w:r w:rsidRPr="000229AD">
              <w:rPr>
                <w:lang w:val="fr-FR"/>
              </w:rPr>
              <w:t xml:space="preserve">un montant de </w:t>
            </w:r>
            <w:r w:rsidRPr="000229AD">
              <w:rPr>
                <w:b/>
                <w:bCs/>
                <w:lang w:val="fr-FR"/>
              </w:rPr>
              <w:t>15 millions USD</w:t>
            </w:r>
            <w:r w:rsidRPr="000229AD">
              <w:rPr>
                <w:lang w:val="fr-FR"/>
              </w:rPr>
              <w:t xml:space="preserve">, témoignant du </w:t>
            </w:r>
            <w:r w:rsidRPr="000229AD">
              <w:rPr>
                <w:b/>
                <w:bCs/>
                <w:lang w:val="fr-FR"/>
              </w:rPr>
              <w:t>renforcement des partenariats et de la reconnaissance du potentiel de transformation de l</w:t>
            </w:r>
            <w:r w:rsidR="00125408" w:rsidRPr="000229AD">
              <w:rPr>
                <w:b/>
                <w:bCs/>
                <w:lang w:val="fr-FR"/>
              </w:rPr>
              <w:t>'</w:t>
            </w:r>
            <w:r w:rsidRPr="000229AD">
              <w:rPr>
                <w:b/>
                <w:bCs/>
                <w:lang w:val="fr-FR"/>
              </w:rPr>
              <w:t>initiative</w:t>
            </w:r>
            <w:r w:rsidRPr="000229AD">
              <w:rPr>
                <w:lang w:val="fr-FR"/>
              </w:rPr>
              <w:t>.</w:t>
            </w:r>
          </w:p>
          <w:p w14:paraId="4042A13D" w14:textId="4B2C4FBB" w:rsidR="00EB663F" w:rsidRPr="000229AD" w:rsidRDefault="00DE6CAD" w:rsidP="00716C22">
            <w:pPr>
              <w:pStyle w:val="Tabletext"/>
              <w:tabs>
                <w:tab w:val="clear" w:pos="284"/>
              </w:tabs>
              <w:spacing w:before="80" w:after="0"/>
              <w:ind w:left="311" w:hanging="311"/>
              <w:rPr>
                <w:lang w:val="fr-FR"/>
              </w:rPr>
            </w:pPr>
            <w:r w:rsidRPr="000229AD">
              <w:rPr>
                <w:lang w:val="fr-FR"/>
              </w:rPr>
              <w:t>•</w:t>
            </w:r>
            <w:r w:rsidRPr="000229AD">
              <w:rPr>
                <w:lang w:val="fr-FR"/>
              </w:rPr>
              <w:tab/>
            </w:r>
            <w:r w:rsidR="00EB663F" w:rsidRPr="000229AD">
              <w:rPr>
                <w:b/>
                <w:bCs/>
                <w:lang w:val="fr-FR"/>
              </w:rPr>
              <w:t>Dans la région Afrique</w:t>
            </w:r>
            <w:r w:rsidR="00EB663F" w:rsidRPr="000229AD">
              <w:rPr>
                <w:lang w:val="fr-FR"/>
              </w:rPr>
              <w:t>, le BDT a aidé 16 États membres de la Communauté de développement de l</w:t>
            </w:r>
            <w:r w:rsidR="00125408" w:rsidRPr="000229AD">
              <w:rPr>
                <w:lang w:val="fr-FR"/>
              </w:rPr>
              <w:t>'</w:t>
            </w:r>
            <w:r w:rsidR="00EB663F" w:rsidRPr="000229AD">
              <w:rPr>
                <w:lang w:val="fr-FR"/>
              </w:rPr>
              <w:t>Afrique australe (SADC) à définir leurs priorités en matière d</w:t>
            </w:r>
            <w:r w:rsidR="00125408" w:rsidRPr="000229AD">
              <w:rPr>
                <w:lang w:val="fr-FR"/>
              </w:rPr>
              <w:t>'</w:t>
            </w:r>
            <w:r w:rsidR="00EB663F" w:rsidRPr="000229AD">
              <w:rPr>
                <w:lang w:val="fr-FR"/>
              </w:rPr>
              <w:t xml:space="preserve">utilisation des TIC pour la gestion des catastrophes, et notamment à élaborer des </w:t>
            </w:r>
            <w:r w:rsidR="00EB663F" w:rsidRPr="000229AD">
              <w:rPr>
                <w:b/>
                <w:bCs/>
                <w:lang w:val="fr-FR"/>
              </w:rPr>
              <w:t>programmes nationaux de télécommunications d</w:t>
            </w:r>
            <w:r w:rsidR="00125408" w:rsidRPr="000229AD">
              <w:rPr>
                <w:b/>
                <w:bCs/>
                <w:lang w:val="fr-FR"/>
              </w:rPr>
              <w:t>'</w:t>
            </w:r>
            <w:r w:rsidR="00EB663F" w:rsidRPr="000229AD">
              <w:rPr>
                <w:b/>
                <w:bCs/>
                <w:lang w:val="fr-FR"/>
              </w:rPr>
              <w:t>urgence</w:t>
            </w:r>
            <w:r w:rsidR="00EB663F" w:rsidRPr="000229AD">
              <w:rPr>
                <w:lang w:val="fr-FR"/>
              </w:rPr>
              <w:t>. En outre, le BDT a soutenu l</w:t>
            </w:r>
            <w:r w:rsidR="00125408" w:rsidRPr="000229AD">
              <w:rPr>
                <w:lang w:val="fr-FR"/>
              </w:rPr>
              <w:t>'</w:t>
            </w:r>
            <w:r w:rsidR="00EB663F" w:rsidRPr="000229AD">
              <w:rPr>
                <w:lang w:val="fr-FR"/>
              </w:rPr>
              <w:t>Éthiopie, Madagascar et le Mozambique dans leurs efforts visant à renforcer l</w:t>
            </w:r>
            <w:r w:rsidR="00125408" w:rsidRPr="000229AD">
              <w:rPr>
                <w:lang w:val="fr-FR"/>
              </w:rPr>
              <w:t>'</w:t>
            </w:r>
            <w:r w:rsidR="00EB663F" w:rsidRPr="000229AD">
              <w:rPr>
                <w:lang w:val="fr-FR"/>
              </w:rPr>
              <w:t>utilisation des TIC afin de pouvoir mettre en place des systèmes d</w:t>
            </w:r>
            <w:r w:rsidR="00125408" w:rsidRPr="000229AD">
              <w:rPr>
                <w:lang w:val="fr-FR"/>
              </w:rPr>
              <w:t>'</w:t>
            </w:r>
            <w:r w:rsidR="00EB663F" w:rsidRPr="000229AD">
              <w:rPr>
                <w:lang w:val="fr-FR"/>
              </w:rPr>
              <w:t xml:space="preserve">alerte avancée efficaces en élaborant des </w:t>
            </w:r>
            <w:r w:rsidR="00EB663F" w:rsidRPr="000229AD">
              <w:rPr>
                <w:b/>
                <w:bCs/>
                <w:lang w:val="fr-FR"/>
              </w:rPr>
              <w:t>feuilles de route dans le cadre de l</w:t>
            </w:r>
            <w:r w:rsidR="00125408" w:rsidRPr="000229AD">
              <w:rPr>
                <w:b/>
                <w:bCs/>
                <w:lang w:val="fr-FR"/>
              </w:rPr>
              <w:t>'</w:t>
            </w:r>
            <w:r w:rsidR="00EB663F" w:rsidRPr="000229AD">
              <w:rPr>
                <w:b/>
                <w:bCs/>
                <w:lang w:val="fr-FR"/>
              </w:rPr>
              <w:t>initiative "Alertes précoces pour tous"</w:t>
            </w:r>
            <w:r w:rsidR="00EB663F" w:rsidRPr="000229AD">
              <w:rPr>
                <w:lang w:val="fr-FR"/>
              </w:rPr>
              <w:t>. Avec l</w:t>
            </w:r>
            <w:r w:rsidR="00125408" w:rsidRPr="000229AD">
              <w:rPr>
                <w:lang w:val="fr-FR"/>
              </w:rPr>
              <w:t>'</w:t>
            </w:r>
            <w:r w:rsidR="00EB663F" w:rsidRPr="000229AD">
              <w:rPr>
                <w:lang w:val="fr-FR"/>
              </w:rPr>
              <w:t>appui de l</w:t>
            </w:r>
            <w:r w:rsidR="00125408" w:rsidRPr="000229AD">
              <w:rPr>
                <w:lang w:val="fr-FR"/>
              </w:rPr>
              <w:t>'</w:t>
            </w:r>
            <w:r w:rsidR="00EB663F" w:rsidRPr="000229AD">
              <w:rPr>
                <w:lang w:val="fr-FR"/>
              </w:rPr>
              <w:t>initiative </w:t>
            </w:r>
            <w:r w:rsidR="00EB663F" w:rsidRPr="000229AD">
              <w:rPr>
                <w:b/>
                <w:bCs/>
                <w:lang w:val="fr-FR"/>
              </w:rPr>
              <w:t>Connect2Recover</w:t>
            </w:r>
            <w:r w:rsidR="00EB663F" w:rsidRPr="000229AD">
              <w:rPr>
                <w:lang w:val="fr-FR"/>
              </w:rPr>
              <w:t>, le BDT a aidé le Rwanda à élaborer un programme national pour les télécommunications d</w:t>
            </w:r>
            <w:r w:rsidR="00125408" w:rsidRPr="000229AD">
              <w:rPr>
                <w:lang w:val="fr-FR"/>
              </w:rPr>
              <w:t>'</w:t>
            </w:r>
            <w:r w:rsidR="00EB663F" w:rsidRPr="000229AD">
              <w:rPr>
                <w:lang w:val="fr-FR"/>
              </w:rPr>
              <w:t>urgence et à se préparer à la mise en place d</w:t>
            </w:r>
            <w:r w:rsidR="00125408" w:rsidRPr="000229AD">
              <w:rPr>
                <w:lang w:val="fr-FR"/>
              </w:rPr>
              <w:t>'</w:t>
            </w:r>
            <w:r w:rsidR="00EB663F" w:rsidRPr="000229AD">
              <w:rPr>
                <w:lang w:val="fr-FR"/>
              </w:rPr>
              <w:t>un système d</w:t>
            </w:r>
            <w:r w:rsidR="00125408" w:rsidRPr="000229AD">
              <w:rPr>
                <w:lang w:val="fr-FR"/>
              </w:rPr>
              <w:t>'</w:t>
            </w:r>
            <w:r w:rsidR="00EB663F" w:rsidRPr="000229AD">
              <w:rPr>
                <w:lang w:val="fr-FR"/>
              </w:rPr>
              <w:t>alerte avancée.</w:t>
            </w:r>
          </w:p>
          <w:p w14:paraId="796186E0" w14:textId="36AACE12" w:rsidR="00EB663F" w:rsidRPr="000229AD" w:rsidRDefault="00DE6CAD" w:rsidP="00716C22">
            <w:pPr>
              <w:pStyle w:val="Tabletext"/>
              <w:tabs>
                <w:tab w:val="clear" w:pos="284"/>
              </w:tabs>
              <w:spacing w:before="80" w:after="0"/>
              <w:ind w:left="311" w:hanging="311"/>
              <w:rPr>
                <w:rFonts w:ascii="Calibri" w:eastAsia="Times New Roman" w:hAnsi="Calibri"/>
                <w:lang w:val="fr-FR"/>
              </w:rPr>
            </w:pPr>
            <w:r w:rsidRPr="000229AD">
              <w:rPr>
                <w:lang w:val="fr-FR"/>
              </w:rPr>
              <w:t>•</w:t>
            </w:r>
            <w:r w:rsidRPr="000229AD">
              <w:rPr>
                <w:lang w:val="fr-FR"/>
              </w:rPr>
              <w:tab/>
            </w:r>
            <w:r w:rsidR="00EB663F" w:rsidRPr="000229AD">
              <w:rPr>
                <w:b/>
                <w:bCs/>
                <w:lang w:val="fr-FR"/>
              </w:rPr>
              <w:t>Dans la région Amériques</w:t>
            </w:r>
            <w:r w:rsidR="00EB663F" w:rsidRPr="000229AD">
              <w:rPr>
                <w:lang w:val="fr-FR"/>
              </w:rPr>
              <w:t>, le BDT a amélioré les capacités de préparation aux catastrophes et de gestion des catastrophes à la</w:t>
            </w:r>
            <w:r w:rsidRPr="000229AD">
              <w:rPr>
                <w:lang w:val="fr-FR"/>
              </w:rPr>
              <w:t> </w:t>
            </w:r>
            <w:r w:rsidR="00EB663F" w:rsidRPr="000229AD">
              <w:rPr>
                <w:lang w:val="fr-FR"/>
              </w:rPr>
              <w:t>Barbade, à la Grenade, au Guyana, à Haïti, à la Jamaïque, à Saint-Kitts-et-Nevis, à Sainte-Lucie, à Saint-Vincent-et-les Grenadines et à Trinité-et-Tobago, en collaboration avec GSMA et le Réseau des télécommunications d</w:t>
            </w:r>
            <w:r w:rsidR="00125408" w:rsidRPr="000229AD">
              <w:rPr>
                <w:lang w:val="fr-FR"/>
              </w:rPr>
              <w:t>'</w:t>
            </w:r>
            <w:r w:rsidR="00EB663F" w:rsidRPr="000229AD">
              <w:rPr>
                <w:lang w:val="fr-FR"/>
              </w:rPr>
              <w:t>urgence du PAM. Les ateliers destinés à ces pays ont attiré, entre autres, différentes parties prenantes de pays des Caraïbes, des organismes des Nations Unies de la région, des organisations non gouvernementales (ONG) et des organisations spécialisées dans la gestion des catastrophes.</w:t>
            </w:r>
          </w:p>
          <w:p w14:paraId="2CE898F2" w14:textId="3014F563" w:rsidR="00EB663F" w:rsidRPr="000229AD" w:rsidRDefault="00DE6CAD" w:rsidP="00716C22">
            <w:pPr>
              <w:pStyle w:val="Tabletext"/>
              <w:tabs>
                <w:tab w:val="clear" w:pos="284"/>
              </w:tabs>
              <w:spacing w:before="80" w:after="0"/>
              <w:ind w:left="311" w:hanging="311"/>
              <w:rPr>
                <w:lang w:val="fr-FR"/>
              </w:rPr>
            </w:pPr>
            <w:r w:rsidRPr="000229AD">
              <w:rPr>
                <w:lang w:val="fr-FR"/>
              </w:rPr>
              <w:t>•</w:t>
            </w:r>
            <w:r w:rsidRPr="000229AD">
              <w:rPr>
                <w:lang w:val="fr-FR"/>
              </w:rPr>
              <w:tab/>
            </w:r>
            <w:r w:rsidR="00EB663F" w:rsidRPr="000229AD">
              <w:rPr>
                <w:b/>
                <w:bCs/>
                <w:lang w:val="fr-FR"/>
              </w:rPr>
              <w:t>Dans la région Asie-Pacifique</w:t>
            </w:r>
            <w:r w:rsidR="00EB663F" w:rsidRPr="000229AD">
              <w:rPr>
                <w:lang w:val="fr-FR"/>
              </w:rPr>
              <w:t>, des évaluations nationales ont été entreprises au Bhoutan, au Népal, aux Philippines et en République démocratique populaire lao afin de déterminer les lacunes concernant la résilience des infrastructures numériques nationales, la préparation des politiques et des règlements pour faire face aux perturbations, l</w:t>
            </w:r>
            <w:r w:rsidR="00125408" w:rsidRPr="000229AD">
              <w:rPr>
                <w:lang w:val="fr-FR"/>
              </w:rPr>
              <w:t>'</w:t>
            </w:r>
            <w:r w:rsidR="00EB663F" w:rsidRPr="000229AD">
              <w:rPr>
                <w:lang w:val="fr-FR"/>
              </w:rPr>
              <w:t>accessibilité financière des services de TIC et la situation en ce qui concerne l</w:t>
            </w:r>
            <w:r w:rsidR="00125408" w:rsidRPr="000229AD">
              <w:rPr>
                <w:lang w:val="fr-FR"/>
              </w:rPr>
              <w:t>'</w:t>
            </w:r>
            <w:r w:rsidR="00EB663F" w:rsidRPr="000229AD">
              <w:rPr>
                <w:lang w:val="fr-FR"/>
              </w:rPr>
              <w:t>initiative "Alertes précoces pour tous". Une enquête récente a révélé que</w:t>
            </w:r>
            <w:r w:rsidRPr="000229AD">
              <w:rPr>
                <w:lang w:val="fr-FR"/>
              </w:rPr>
              <w:t> </w:t>
            </w:r>
            <w:r w:rsidR="00EB663F" w:rsidRPr="000229AD">
              <w:rPr>
                <w:lang w:val="fr-FR"/>
              </w:rPr>
              <w:t>10 autres pays de la région ont manifesté leur intérêt pour une collaboration avec l</w:t>
            </w:r>
            <w:r w:rsidR="00125408" w:rsidRPr="000229AD">
              <w:rPr>
                <w:lang w:val="fr-FR"/>
              </w:rPr>
              <w:t>'</w:t>
            </w:r>
            <w:r w:rsidR="00EB663F" w:rsidRPr="000229AD">
              <w:rPr>
                <w:lang w:val="fr-FR"/>
              </w:rPr>
              <w:t>UIT sur ces évaluations.</w:t>
            </w:r>
          </w:p>
          <w:p w14:paraId="24ABB263" w14:textId="7109BA42" w:rsidR="00EB663F" w:rsidRPr="000229AD" w:rsidRDefault="00DE6CAD" w:rsidP="00716C22">
            <w:pPr>
              <w:pStyle w:val="Tabletext"/>
              <w:tabs>
                <w:tab w:val="clear" w:pos="284"/>
              </w:tabs>
              <w:spacing w:before="80"/>
              <w:ind w:left="311" w:hanging="311"/>
              <w:rPr>
                <w:lang w:val="fr-FR"/>
              </w:rPr>
            </w:pPr>
            <w:r w:rsidRPr="000229AD">
              <w:rPr>
                <w:lang w:val="fr-FR"/>
              </w:rPr>
              <w:t>•</w:t>
            </w:r>
            <w:r w:rsidRPr="000229AD">
              <w:rPr>
                <w:lang w:val="fr-FR"/>
              </w:rPr>
              <w:tab/>
            </w:r>
            <w:r w:rsidR="00EB663F" w:rsidRPr="000229AD">
              <w:rPr>
                <w:b/>
                <w:bCs/>
                <w:lang w:val="fr-FR"/>
              </w:rPr>
              <w:t>Dans l</w:t>
            </w:r>
            <w:r w:rsidR="006110F6" w:rsidRPr="000229AD">
              <w:rPr>
                <w:b/>
                <w:bCs/>
                <w:lang w:val="fr-FR"/>
              </w:rPr>
              <w:t>a</w:t>
            </w:r>
            <w:r w:rsidR="00EB663F" w:rsidRPr="000229AD">
              <w:rPr>
                <w:b/>
                <w:bCs/>
                <w:lang w:val="fr-FR"/>
              </w:rPr>
              <w:t xml:space="preserve"> région </w:t>
            </w:r>
            <w:r w:rsidR="00792196" w:rsidRPr="000229AD">
              <w:rPr>
                <w:b/>
                <w:bCs/>
                <w:lang w:val="fr-FR"/>
              </w:rPr>
              <w:t xml:space="preserve">des </w:t>
            </w:r>
            <w:r w:rsidR="00EB663F" w:rsidRPr="000229AD">
              <w:rPr>
                <w:b/>
                <w:bCs/>
                <w:lang w:val="fr-FR"/>
              </w:rPr>
              <w:t>États arabes</w:t>
            </w:r>
            <w:r w:rsidR="006110F6" w:rsidRPr="000229AD">
              <w:rPr>
                <w:b/>
                <w:bCs/>
                <w:lang w:val="fr-FR"/>
              </w:rPr>
              <w:t xml:space="preserve"> et les régions </w:t>
            </w:r>
            <w:r w:rsidR="00EB663F" w:rsidRPr="000229AD">
              <w:rPr>
                <w:b/>
                <w:bCs/>
                <w:lang w:val="fr-FR"/>
              </w:rPr>
              <w:t>Amériques et Europe</w:t>
            </w:r>
            <w:r w:rsidR="00EB663F" w:rsidRPr="000229AD">
              <w:rPr>
                <w:lang w:val="fr-FR"/>
              </w:rPr>
              <w:t xml:space="preserve">, le BDT a aidé les États Membres à élaborer des </w:t>
            </w:r>
            <w:r w:rsidR="00EB663F" w:rsidRPr="000229AD">
              <w:rPr>
                <w:b/>
                <w:bCs/>
                <w:lang w:val="fr-FR"/>
              </w:rPr>
              <w:t>programmes nationaux de télécommunications d</w:t>
            </w:r>
            <w:r w:rsidR="00125408" w:rsidRPr="000229AD">
              <w:rPr>
                <w:b/>
                <w:bCs/>
                <w:lang w:val="fr-FR"/>
              </w:rPr>
              <w:t>'</w:t>
            </w:r>
            <w:r w:rsidR="00EB663F" w:rsidRPr="000229AD">
              <w:rPr>
                <w:b/>
                <w:bCs/>
                <w:lang w:val="fr-FR"/>
              </w:rPr>
              <w:t>urgence</w:t>
            </w:r>
            <w:r w:rsidR="00EB663F" w:rsidRPr="000229AD">
              <w:rPr>
                <w:lang w:val="fr-FR"/>
              </w:rPr>
              <w:t>. Les programmes nationaux ont été validés par les parties prenantes au niveau national en Iraq, en Somalie et dans l</w:t>
            </w:r>
            <w:r w:rsidR="00125408" w:rsidRPr="000229AD">
              <w:rPr>
                <w:lang w:val="fr-FR"/>
              </w:rPr>
              <w:t>'</w:t>
            </w:r>
            <w:r w:rsidR="00EB663F" w:rsidRPr="000229AD">
              <w:rPr>
                <w:lang w:val="fr-FR"/>
              </w:rPr>
              <w:t xml:space="preserve">État de Palestine. Les parties prenantes se sont également réunies pour mettre en œuvre le </w:t>
            </w:r>
            <w:hyperlink r:id="rId17" w:history="1">
              <w:r w:rsidR="00EB663F" w:rsidRPr="000229AD">
                <w:rPr>
                  <w:rStyle w:val="Hyperlink"/>
                  <w:lang w:val="fr-FR"/>
                </w:rPr>
                <w:t>Common Alerting Protocol</w:t>
              </w:r>
            </w:hyperlink>
            <w:r w:rsidR="00EB663F" w:rsidRPr="000229AD">
              <w:rPr>
                <w:lang w:val="fr-FR"/>
              </w:rPr>
              <w:t xml:space="preserve"> en Somalie, ce qui a permis de mieux faire connaître les enjeux et de renforcer la coopération des organismes publics, ONG et entités des Nations Unies de la région, en vue de la mise en place de stratégies de gestion des catastrophes plus efficaces.</w:t>
            </w:r>
          </w:p>
          <w:p w14:paraId="6A928F56" w14:textId="704F328F" w:rsidR="00EB663F" w:rsidRPr="000229AD" w:rsidRDefault="00DE6CAD" w:rsidP="00716C22">
            <w:pPr>
              <w:pStyle w:val="Tabletext"/>
              <w:keepNext/>
              <w:keepLines/>
              <w:tabs>
                <w:tab w:val="clear" w:pos="284"/>
              </w:tabs>
              <w:spacing w:before="80" w:after="0"/>
              <w:ind w:left="312" w:hanging="312"/>
              <w:rPr>
                <w:lang w:val="fr-FR"/>
              </w:rPr>
            </w:pPr>
            <w:r w:rsidRPr="000229AD">
              <w:rPr>
                <w:lang w:val="fr-FR"/>
              </w:rPr>
              <w:lastRenderedPageBreak/>
              <w:t>•</w:t>
            </w:r>
            <w:r w:rsidRPr="000229AD">
              <w:rPr>
                <w:lang w:val="fr-FR"/>
              </w:rPr>
              <w:tab/>
            </w:r>
            <w:r w:rsidR="00EB663F" w:rsidRPr="000229AD">
              <w:rPr>
                <w:b/>
                <w:bCs/>
                <w:lang w:val="fr-FR"/>
              </w:rPr>
              <w:t>Dans la région Asie-Pacifique</w:t>
            </w:r>
            <w:r w:rsidR="00EB663F" w:rsidRPr="000229AD">
              <w:rPr>
                <w:lang w:val="fr-FR"/>
              </w:rPr>
              <w:t xml:space="preserve">, des cadres pour la </w:t>
            </w:r>
            <w:r w:rsidR="00EB663F" w:rsidRPr="000229AD">
              <w:rPr>
                <w:b/>
                <w:bCs/>
                <w:lang w:val="fr-FR"/>
              </w:rPr>
              <w:t>diffusion et la communication des alertes avancées</w:t>
            </w:r>
            <w:r w:rsidR="00EB663F" w:rsidRPr="000229AD">
              <w:rPr>
                <w:lang w:val="fr-FR"/>
              </w:rPr>
              <w:t xml:space="preserve"> ont été mis en place au Bangladesh, au Cambodge, aux Maldives et en République démocratique populaire lao. En outre, l</w:t>
            </w:r>
            <w:r w:rsidR="00125408" w:rsidRPr="000229AD">
              <w:rPr>
                <w:lang w:val="fr-FR"/>
              </w:rPr>
              <w:t>'</w:t>
            </w:r>
            <w:r w:rsidR="00EB663F" w:rsidRPr="000229AD">
              <w:rPr>
                <w:lang w:val="fr-FR"/>
              </w:rPr>
              <w:t>UIT s</w:t>
            </w:r>
            <w:r w:rsidR="00125408" w:rsidRPr="000229AD">
              <w:rPr>
                <w:lang w:val="fr-FR"/>
              </w:rPr>
              <w:t>'</w:t>
            </w:r>
            <w:r w:rsidR="00EB663F" w:rsidRPr="000229AD">
              <w:rPr>
                <w:lang w:val="fr-FR"/>
              </w:rPr>
              <w:t>est entretenue avec le Centre d</w:t>
            </w:r>
            <w:r w:rsidR="00125408" w:rsidRPr="000229AD">
              <w:rPr>
                <w:lang w:val="fr-FR"/>
              </w:rPr>
              <w:t>'</w:t>
            </w:r>
            <w:r w:rsidR="00EB663F" w:rsidRPr="000229AD">
              <w:rPr>
                <w:lang w:val="fr-FR"/>
              </w:rPr>
              <w:t>aide humanitaire de l</w:t>
            </w:r>
            <w:r w:rsidR="00125408" w:rsidRPr="000229AD">
              <w:rPr>
                <w:lang w:val="fr-FR"/>
              </w:rPr>
              <w:t>'</w:t>
            </w:r>
            <w:r w:rsidR="00EB663F" w:rsidRPr="000229AD">
              <w:rPr>
                <w:lang w:val="fr-FR"/>
              </w:rPr>
              <w:t>Association des nations de l</w:t>
            </w:r>
            <w:r w:rsidR="00125408" w:rsidRPr="000229AD">
              <w:rPr>
                <w:lang w:val="fr-FR"/>
              </w:rPr>
              <w:t>'</w:t>
            </w:r>
            <w:r w:rsidR="00EB663F" w:rsidRPr="000229AD">
              <w:rPr>
                <w:lang w:val="fr-FR"/>
              </w:rPr>
              <w:t>Asie du Sud-Est (ASEAN) pour le déploiement d</w:t>
            </w:r>
            <w:r w:rsidR="00125408" w:rsidRPr="000229AD">
              <w:rPr>
                <w:lang w:val="fr-FR"/>
              </w:rPr>
              <w:t>'</w:t>
            </w:r>
            <w:r w:rsidR="00EB663F" w:rsidRPr="000229AD">
              <w:rPr>
                <w:lang w:val="fr-FR"/>
              </w:rPr>
              <w:t>un réseau de télécommunications d</w:t>
            </w:r>
            <w:r w:rsidR="00125408" w:rsidRPr="000229AD">
              <w:rPr>
                <w:lang w:val="fr-FR"/>
              </w:rPr>
              <w:t>'</w:t>
            </w:r>
            <w:r w:rsidR="00EB663F" w:rsidRPr="000229AD">
              <w:rPr>
                <w:lang w:val="fr-FR"/>
              </w:rPr>
              <w:t>urgence, renforçant ainsi la collaboration dans la région. En partenariat avec l</w:t>
            </w:r>
            <w:r w:rsidR="00125408" w:rsidRPr="000229AD">
              <w:rPr>
                <w:lang w:val="fr-FR"/>
              </w:rPr>
              <w:t>'</w:t>
            </w:r>
            <w:r w:rsidR="00EB663F" w:rsidRPr="000229AD">
              <w:rPr>
                <w:lang w:val="fr-FR"/>
              </w:rPr>
              <w:t>Association des télécommunications des îles du Pacifique, l</w:t>
            </w:r>
            <w:r w:rsidR="00125408" w:rsidRPr="000229AD">
              <w:rPr>
                <w:lang w:val="fr-FR"/>
              </w:rPr>
              <w:t>'</w:t>
            </w:r>
            <w:r w:rsidR="00EB663F" w:rsidRPr="000229AD">
              <w:rPr>
                <w:lang w:val="fr-FR"/>
              </w:rPr>
              <w:t xml:space="preserve">UIT a </w:t>
            </w:r>
            <w:hyperlink r:id="rId18" w:history="1">
              <w:r w:rsidR="00EB663F" w:rsidRPr="000229AD">
                <w:rPr>
                  <w:rStyle w:val="Hyperlink"/>
                  <w:b/>
                  <w:bCs/>
                  <w:lang w:val="fr-FR"/>
                </w:rPr>
                <w:t>continué de mener des tests de préparation aux télécommunications d</w:t>
              </w:r>
              <w:r w:rsidR="00125408" w:rsidRPr="000229AD">
                <w:rPr>
                  <w:rStyle w:val="Hyperlink"/>
                  <w:b/>
                  <w:bCs/>
                  <w:lang w:val="fr-FR"/>
                </w:rPr>
                <w:t>'</w:t>
              </w:r>
              <w:r w:rsidR="00EB663F" w:rsidRPr="000229AD">
                <w:rPr>
                  <w:rStyle w:val="Hyperlink"/>
                  <w:b/>
                  <w:bCs/>
                  <w:lang w:val="fr-FR"/>
                </w:rPr>
                <w:t>urgence et de résilience des infrastructures des TIC</w:t>
              </w:r>
            </w:hyperlink>
            <w:r w:rsidR="00EB663F" w:rsidRPr="000229AD">
              <w:rPr>
                <w:lang w:val="fr-FR"/>
              </w:rPr>
              <w:t xml:space="preserve"> pour le Pacifique. Les premiers tests ont été effectués au début de l</w:t>
            </w:r>
            <w:r w:rsidR="00125408" w:rsidRPr="000229AD">
              <w:rPr>
                <w:lang w:val="fr-FR"/>
              </w:rPr>
              <w:t>'</w:t>
            </w:r>
            <w:r w:rsidR="00EB663F" w:rsidRPr="000229AD">
              <w:rPr>
                <w:lang w:val="fr-FR"/>
              </w:rPr>
              <w:t>année 2024 lors de l</w:t>
            </w:r>
            <w:r w:rsidR="00125408" w:rsidRPr="000229AD">
              <w:rPr>
                <w:lang w:val="fr-FR"/>
              </w:rPr>
              <w:t>'</w:t>
            </w:r>
            <w:r w:rsidR="00EB663F" w:rsidRPr="000229AD">
              <w:rPr>
                <w:lang w:val="fr-FR"/>
              </w:rPr>
              <w:t>assemblée générale annuelle de l</w:t>
            </w:r>
            <w:r w:rsidR="00125408" w:rsidRPr="000229AD">
              <w:rPr>
                <w:lang w:val="fr-FR"/>
              </w:rPr>
              <w:t>'</w:t>
            </w:r>
            <w:r w:rsidR="00EB663F" w:rsidRPr="000229AD">
              <w:rPr>
                <w:lang w:val="fr-FR"/>
              </w:rPr>
              <w:t>Association en Papouasie-Nouvelle-Guinée.</w:t>
            </w:r>
          </w:p>
          <w:p w14:paraId="57FD1D36" w14:textId="718DD37F" w:rsidR="00EB663F" w:rsidRPr="000229AD" w:rsidRDefault="00DE6CAD" w:rsidP="00716C22">
            <w:pPr>
              <w:pStyle w:val="Tabletext"/>
              <w:tabs>
                <w:tab w:val="clear" w:pos="284"/>
              </w:tabs>
              <w:spacing w:before="80"/>
              <w:ind w:left="311" w:hanging="311"/>
              <w:rPr>
                <w:lang w:val="fr-FR"/>
              </w:rPr>
            </w:pPr>
            <w:r w:rsidRPr="000229AD">
              <w:rPr>
                <w:lang w:val="fr-FR"/>
              </w:rPr>
              <w:t>•</w:t>
            </w:r>
            <w:r w:rsidRPr="000229AD">
              <w:rPr>
                <w:lang w:val="fr-FR"/>
              </w:rPr>
              <w:tab/>
            </w:r>
            <w:r w:rsidR="00EB663F" w:rsidRPr="000229AD">
              <w:rPr>
                <w:b/>
                <w:bCs/>
                <w:lang w:val="fr-FR"/>
              </w:rPr>
              <w:t>Dans la région Europe</w:t>
            </w:r>
            <w:r w:rsidR="00EB663F" w:rsidRPr="000229AD">
              <w:rPr>
                <w:lang w:val="fr-FR"/>
              </w:rPr>
              <w:t xml:space="preserve">, une étude de faisabilité comprenant des analyses techniques, économiques et réglementaires visant à mettre en place un </w:t>
            </w:r>
            <w:r w:rsidR="00EB663F" w:rsidRPr="000229AD">
              <w:rPr>
                <w:b/>
                <w:bCs/>
                <w:lang w:val="fr-FR"/>
              </w:rPr>
              <w:t>système d</w:t>
            </w:r>
            <w:r w:rsidR="00125408" w:rsidRPr="000229AD">
              <w:rPr>
                <w:b/>
                <w:bCs/>
                <w:lang w:val="fr-FR"/>
              </w:rPr>
              <w:t>'</w:t>
            </w:r>
            <w:r w:rsidR="00EB663F" w:rsidRPr="000229AD">
              <w:rPr>
                <w:b/>
                <w:bCs/>
                <w:lang w:val="fr-FR"/>
              </w:rPr>
              <w:t>alerte avancée basé sur la technologie de diffusion cellulaire</w:t>
            </w:r>
            <w:r w:rsidR="00EB663F" w:rsidRPr="000229AD">
              <w:rPr>
                <w:lang w:val="fr-FR"/>
              </w:rPr>
              <w:t xml:space="preserve"> a été réalisée à Moldova. En outre, des concertations ont été engagées en Géorgie sur l</w:t>
            </w:r>
            <w:r w:rsidR="00125408" w:rsidRPr="000229AD">
              <w:rPr>
                <w:lang w:val="fr-FR"/>
              </w:rPr>
              <w:t>'</w:t>
            </w:r>
            <w:r w:rsidR="00EB663F" w:rsidRPr="000229AD">
              <w:rPr>
                <w:lang w:val="fr-FR"/>
              </w:rPr>
              <w:t>élaboration d</w:t>
            </w:r>
            <w:r w:rsidR="00125408" w:rsidRPr="000229AD">
              <w:rPr>
                <w:lang w:val="fr-FR"/>
              </w:rPr>
              <w:t>'</w:t>
            </w:r>
            <w:r w:rsidR="00EB663F" w:rsidRPr="000229AD">
              <w:rPr>
                <w:lang w:val="fr-FR"/>
              </w:rPr>
              <w:t>un plan national pour les télécommunications d</w:t>
            </w:r>
            <w:r w:rsidR="00125408" w:rsidRPr="000229AD">
              <w:rPr>
                <w:lang w:val="fr-FR"/>
              </w:rPr>
              <w:t>'</w:t>
            </w:r>
            <w:r w:rsidR="00EB663F" w:rsidRPr="000229AD">
              <w:rPr>
                <w:lang w:val="fr-FR"/>
              </w:rPr>
              <w:t>urgence et d</w:t>
            </w:r>
            <w:r w:rsidR="00125408" w:rsidRPr="000229AD">
              <w:rPr>
                <w:lang w:val="fr-FR"/>
              </w:rPr>
              <w:t>'</w:t>
            </w:r>
            <w:r w:rsidR="00EB663F" w:rsidRPr="000229AD">
              <w:rPr>
                <w:lang w:val="fr-FR"/>
              </w:rPr>
              <w:t>un système d</w:t>
            </w:r>
            <w:r w:rsidR="00125408" w:rsidRPr="000229AD">
              <w:rPr>
                <w:lang w:val="fr-FR"/>
              </w:rPr>
              <w:t>'</w:t>
            </w:r>
            <w:r w:rsidR="00EB663F" w:rsidRPr="000229AD">
              <w:rPr>
                <w:lang w:val="fr-FR"/>
              </w:rPr>
              <w:t>alerte avancée. Les deux études ont été appuyées par les partenaires de Connect2Recover.</w:t>
            </w:r>
          </w:p>
        </w:tc>
        <w:tc>
          <w:tcPr>
            <w:tcW w:w="2993" w:type="dxa"/>
            <w:shd w:val="clear" w:color="auto" w:fill="auto"/>
          </w:tcPr>
          <w:p w14:paraId="245691D6" w14:textId="7FAFBE20" w:rsidR="00EB663F" w:rsidRPr="000229AD" w:rsidRDefault="00EB663F" w:rsidP="00716C22">
            <w:pPr>
              <w:pStyle w:val="Tabletext"/>
              <w:spacing w:before="120" w:after="120"/>
              <w:rPr>
                <w:b/>
                <w:bCs/>
                <w:lang w:val="fr-FR"/>
              </w:rPr>
            </w:pPr>
            <w:r w:rsidRPr="000229AD">
              <w:rPr>
                <w:b/>
                <w:bCs/>
                <w:lang w:val="fr-FR"/>
              </w:rPr>
              <w:lastRenderedPageBreak/>
              <w:t>Plans nationaux pour les télécommunications d</w:t>
            </w:r>
            <w:r w:rsidR="00125408" w:rsidRPr="000229AD">
              <w:rPr>
                <w:b/>
                <w:bCs/>
                <w:lang w:val="fr-FR"/>
              </w:rPr>
              <w:t>'</w:t>
            </w:r>
            <w:r w:rsidRPr="000229AD">
              <w:rPr>
                <w:b/>
                <w:bCs/>
                <w:lang w:val="fr-FR"/>
              </w:rPr>
              <w:t>urgence</w:t>
            </w:r>
          </w:p>
          <w:p w14:paraId="282583D4" w14:textId="2A720F42" w:rsidR="00EB663F" w:rsidRPr="000229AD" w:rsidRDefault="002F3729" w:rsidP="00716C22">
            <w:pPr>
              <w:pStyle w:val="Tabletext"/>
              <w:tabs>
                <w:tab w:val="clear" w:pos="284"/>
              </w:tabs>
              <w:spacing w:before="80" w:after="0"/>
              <w:ind w:left="312" w:hanging="312"/>
              <w:rPr>
                <w:lang w:val="fr-FR"/>
              </w:rPr>
            </w:pPr>
            <w:r w:rsidRPr="000229AD">
              <w:rPr>
                <w:lang w:val="fr-FR"/>
              </w:rPr>
              <w:t>–</w:t>
            </w:r>
            <w:r w:rsidRPr="000229AD">
              <w:rPr>
                <w:lang w:val="fr-FR"/>
              </w:rPr>
              <w:tab/>
            </w:r>
            <w:r w:rsidR="00EB663F" w:rsidRPr="000229AD">
              <w:rPr>
                <w:b/>
                <w:bCs/>
                <w:lang w:val="fr-FR"/>
              </w:rPr>
              <w:t>Afrique</w:t>
            </w:r>
            <w:r w:rsidR="00EB663F" w:rsidRPr="000229AD">
              <w:rPr>
                <w:lang w:val="fr-FR"/>
              </w:rPr>
              <w:t>: Afrique du Sud, Angola, Botswana, Comores, Eswatini, Lesotho, Madagascar, Malawi, Maurice, Mozambique, Namibie, République démocratique du Congo, Rwanda, Seychelles, Tanzanie, Zambie, Zimbabwe.</w:t>
            </w:r>
          </w:p>
          <w:p w14:paraId="0AF9C727" w14:textId="22BABAD9" w:rsidR="00EB663F" w:rsidRPr="000229AD" w:rsidRDefault="002F3729" w:rsidP="00716C22">
            <w:pPr>
              <w:pStyle w:val="Tabletext"/>
              <w:tabs>
                <w:tab w:val="clear" w:pos="284"/>
              </w:tabs>
              <w:spacing w:before="80" w:after="0"/>
              <w:ind w:left="312" w:hanging="312"/>
              <w:rPr>
                <w:lang w:val="fr-FR"/>
              </w:rPr>
            </w:pPr>
            <w:r w:rsidRPr="000229AD">
              <w:rPr>
                <w:lang w:val="fr-FR"/>
              </w:rPr>
              <w:t>–</w:t>
            </w:r>
            <w:r w:rsidRPr="000229AD">
              <w:rPr>
                <w:lang w:val="fr-FR"/>
              </w:rPr>
              <w:tab/>
            </w:r>
            <w:r w:rsidR="00EB663F" w:rsidRPr="000229AD">
              <w:rPr>
                <w:b/>
                <w:bCs/>
                <w:lang w:val="fr-FR"/>
              </w:rPr>
              <w:t>Amériques</w:t>
            </w:r>
            <w:r w:rsidR="00EB663F" w:rsidRPr="000229AD">
              <w:rPr>
                <w:lang w:val="fr-FR"/>
              </w:rPr>
              <w:t>: Équateur, Pérou, Saint-Kitts-et-Nevis, Saint-Vincent-et-les Grenadines.</w:t>
            </w:r>
          </w:p>
          <w:p w14:paraId="3080CA22" w14:textId="709EC9C8" w:rsidR="00EB663F" w:rsidRPr="000229AD" w:rsidRDefault="002F3729" w:rsidP="00716C22">
            <w:pPr>
              <w:pStyle w:val="Tabletext"/>
              <w:tabs>
                <w:tab w:val="clear" w:pos="284"/>
              </w:tabs>
              <w:spacing w:before="80" w:after="0"/>
              <w:ind w:left="312" w:hanging="312"/>
              <w:rPr>
                <w:lang w:val="fr-FR"/>
              </w:rPr>
            </w:pPr>
            <w:r w:rsidRPr="000229AD">
              <w:rPr>
                <w:lang w:val="fr-FR"/>
              </w:rPr>
              <w:t>–</w:t>
            </w:r>
            <w:r w:rsidRPr="000229AD">
              <w:rPr>
                <w:lang w:val="fr-FR"/>
              </w:rPr>
              <w:tab/>
            </w:r>
            <w:r w:rsidR="00EB663F" w:rsidRPr="000229AD">
              <w:rPr>
                <w:b/>
                <w:bCs/>
                <w:lang w:val="fr-FR"/>
              </w:rPr>
              <w:t>États arabes</w:t>
            </w:r>
            <w:r w:rsidR="00EB663F" w:rsidRPr="000229AD">
              <w:rPr>
                <w:lang w:val="fr-FR"/>
              </w:rPr>
              <w:t>: État de Palestine, Iraq, Somalie.</w:t>
            </w:r>
          </w:p>
          <w:p w14:paraId="776D1402" w14:textId="16AFEB47" w:rsidR="00EB663F" w:rsidRPr="000229AD" w:rsidRDefault="002F3729" w:rsidP="00716C22">
            <w:pPr>
              <w:pStyle w:val="Tabletext"/>
              <w:tabs>
                <w:tab w:val="clear" w:pos="284"/>
              </w:tabs>
              <w:spacing w:before="80" w:after="0"/>
              <w:ind w:left="312" w:hanging="312"/>
              <w:rPr>
                <w:lang w:val="fr-FR"/>
              </w:rPr>
            </w:pPr>
            <w:r w:rsidRPr="000229AD">
              <w:rPr>
                <w:lang w:val="fr-FR"/>
              </w:rPr>
              <w:t>–</w:t>
            </w:r>
            <w:r w:rsidRPr="000229AD">
              <w:rPr>
                <w:lang w:val="fr-FR"/>
              </w:rPr>
              <w:tab/>
            </w:r>
            <w:r w:rsidR="00EB663F" w:rsidRPr="000229AD">
              <w:rPr>
                <w:b/>
                <w:bCs/>
                <w:lang w:val="fr-FR"/>
              </w:rPr>
              <w:t>Asie-Pacifique</w:t>
            </w:r>
            <w:r w:rsidR="00EB663F" w:rsidRPr="000229AD">
              <w:rPr>
                <w:lang w:val="fr-FR"/>
              </w:rPr>
              <w:t>: Kiribati, Tonga.</w:t>
            </w:r>
          </w:p>
          <w:p w14:paraId="20B5CC36" w14:textId="75E1D2BD" w:rsidR="00EB663F" w:rsidRPr="000229AD" w:rsidRDefault="002F3729" w:rsidP="00716C22">
            <w:pPr>
              <w:pStyle w:val="Tabletext"/>
              <w:tabs>
                <w:tab w:val="clear" w:pos="284"/>
              </w:tabs>
              <w:spacing w:before="0" w:after="120"/>
              <w:ind w:left="312" w:hanging="312"/>
              <w:rPr>
                <w:lang w:val="fr-FR"/>
              </w:rPr>
            </w:pPr>
            <w:r w:rsidRPr="000229AD">
              <w:rPr>
                <w:lang w:val="fr-FR"/>
              </w:rPr>
              <w:lastRenderedPageBreak/>
              <w:t>–</w:t>
            </w:r>
            <w:r w:rsidRPr="000229AD">
              <w:rPr>
                <w:lang w:val="fr-FR"/>
              </w:rPr>
              <w:tab/>
            </w:r>
            <w:r w:rsidR="00EB663F" w:rsidRPr="000229AD">
              <w:rPr>
                <w:b/>
                <w:bCs/>
                <w:lang w:val="fr-FR"/>
              </w:rPr>
              <w:t>Europe</w:t>
            </w:r>
            <w:r w:rsidR="00EB663F" w:rsidRPr="000229AD">
              <w:rPr>
                <w:lang w:val="fr-FR"/>
              </w:rPr>
              <w:t>: Géorgie, Moldova.</w:t>
            </w:r>
          </w:p>
          <w:p w14:paraId="23136A24" w14:textId="16AB5A22" w:rsidR="00EB663F" w:rsidRPr="000229AD" w:rsidRDefault="00EB663F" w:rsidP="00716C22">
            <w:pPr>
              <w:pStyle w:val="Tabletext"/>
              <w:spacing w:before="120"/>
              <w:rPr>
                <w:b/>
                <w:bCs/>
                <w:lang w:val="fr-FR"/>
              </w:rPr>
            </w:pPr>
            <w:r w:rsidRPr="000229AD">
              <w:rPr>
                <w:b/>
                <w:bCs/>
                <w:lang w:val="fr-FR"/>
              </w:rPr>
              <w:t>Alertes précoces pour tous:</w:t>
            </w:r>
          </w:p>
          <w:p w14:paraId="1979A095" w14:textId="14FB4303" w:rsidR="00EB663F" w:rsidRPr="000229AD" w:rsidRDefault="00571206" w:rsidP="00716C22">
            <w:pPr>
              <w:pStyle w:val="Tabletext"/>
              <w:tabs>
                <w:tab w:val="clear" w:pos="284"/>
              </w:tabs>
              <w:spacing w:before="80" w:after="0"/>
              <w:ind w:left="312" w:hanging="312"/>
              <w:rPr>
                <w:lang w:val="fr-FR"/>
              </w:rPr>
            </w:pPr>
            <w:r w:rsidRPr="000229AD">
              <w:rPr>
                <w:lang w:val="fr-FR"/>
              </w:rPr>
              <w:t>–</w:t>
            </w:r>
            <w:r w:rsidRPr="000229AD">
              <w:rPr>
                <w:lang w:val="fr-FR"/>
              </w:rPr>
              <w:tab/>
            </w:r>
            <w:r w:rsidR="00EB663F" w:rsidRPr="000229AD">
              <w:rPr>
                <w:b/>
                <w:bCs/>
                <w:lang w:val="fr-FR"/>
              </w:rPr>
              <w:t>Afrique</w:t>
            </w:r>
            <w:r w:rsidR="00EB663F" w:rsidRPr="000229AD">
              <w:rPr>
                <w:lang w:val="fr-FR"/>
              </w:rPr>
              <w:t>: Éthiopie, Madagascar, Mozambique.</w:t>
            </w:r>
          </w:p>
          <w:p w14:paraId="589F9349" w14:textId="4D9E2BC3" w:rsidR="00EB663F" w:rsidRPr="000229AD" w:rsidRDefault="00571206" w:rsidP="00716C22">
            <w:pPr>
              <w:pStyle w:val="Tabletext"/>
              <w:tabs>
                <w:tab w:val="clear" w:pos="284"/>
              </w:tabs>
              <w:spacing w:before="80" w:after="0"/>
              <w:ind w:left="312" w:hanging="312"/>
              <w:rPr>
                <w:lang w:val="fr-FR"/>
              </w:rPr>
            </w:pPr>
            <w:r w:rsidRPr="000229AD">
              <w:rPr>
                <w:lang w:val="fr-FR"/>
              </w:rPr>
              <w:t>–</w:t>
            </w:r>
            <w:r w:rsidRPr="000229AD">
              <w:rPr>
                <w:lang w:val="fr-FR"/>
              </w:rPr>
              <w:tab/>
            </w:r>
            <w:r w:rsidR="00EB663F" w:rsidRPr="000229AD">
              <w:rPr>
                <w:b/>
                <w:bCs/>
                <w:lang w:val="fr-FR"/>
              </w:rPr>
              <w:t>Amériques</w:t>
            </w:r>
            <w:r w:rsidR="00EB663F" w:rsidRPr="000229AD">
              <w:rPr>
                <w:lang w:val="fr-FR"/>
              </w:rPr>
              <w:t>: Antigua</w:t>
            </w:r>
            <w:r w:rsidRPr="000229AD">
              <w:rPr>
                <w:lang w:val="fr-FR"/>
              </w:rPr>
              <w:noBreakHyphen/>
            </w:r>
            <w:r w:rsidR="00EB663F" w:rsidRPr="000229AD">
              <w:rPr>
                <w:lang w:val="fr-FR"/>
              </w:rPr>
              <w:t>et</w:t>
            </w:r>
            <w:r w:rsidRPr="000229AD">
              <w:rPr>
                <w:lang w:val="fr-FR"/>
              </w:rPr>
              <w:noBreakHyphen/>
            </w:r>
            <w:r w:rsidR="00EB663F" w:rsidRPr="000229AD">
              <w:rPr>
                <w:lang w:val="fr-FR"/>
              </w:rPr>
              <w:t>Barbuda, Barbade, Équateur, Guatemala, Guyana, Haïti (pays retenus pour la 1</w:t>
            </w:r>
            <w:r w:rsidRPr="000229AD">
              <w:rPr>
                <w:lang w:val="fr-FR"/>
              </w:rPr>
              <w:t>ère</w:t>
            </w:r>
            <w:r w:rsidR="00EB663F" w:rsidRPr="000229AD">
              <w:rPr>
                <w:lang w:val="fr-FR"/>
              </w:rPr>
              <w:t> phase).</w:t>
            </w:r>
          </w:p>
          <w:p w14:paraId="0E809198" w14:textId="59FB4D75" w:rsidR="00EB663F" w:rsidRPr="000229AD" w:rsidRDefault="00571206" w:rsidP="00716C22">
            <w:pPr>
              <w:pStyle w:val="Tabletext"/>
              <w:tabs>
                <w:tab w:val="clear" w:pos="284"/>
              </w:tabs>
              <w:spacing w:before="80" w:after="0"/>
              <w:ind w:left="312" w:hanging="312"/>
              <w:rPr>
                <w:lang w:val="fr-FR"/>
              </w:rPr>
            </w:pPr>
            <w:r w:rsidRPr="000229AD">
              <w:rPr>
                <w:lang w:val="fr-FR"/>
              </w:rPr>
              <w:t>–</w:t>
            </w:r>
            <w:r w:rsidRPr="000229AD">
              <w:rPr>
                <w:lang w:val="fr-FR"/>
              </w:rPr>
              <w:tab/>
            </w:r>
            <w:r w:rsidR="00EB663F" w:rsidRPr="000229AD">
              <w:rPr>
                <w:b/>
                <w:bCs/>
                <w:lang w:val="fr-FR"/>
              </w:rPr>
              <w:t>Asie-Pacifique</w:t>
            </w:r>
            <w:r w:rsidR="00EB663F" w:rsidRPr="000229AD">
              <w:rPr>
                <w:lang w:val="fr-FR"/>
              </w:rPr>
              <w:t>: Bangladesh, Cambodge, Fidji, Maldives, Népal, République démocratique populaire lao.</w:t>
            </w:r>
          </w:p>
          <w:p w14:paraId="39DA95AE" w14:textId="4801BC2B" w:rsidR="00EB663F" w:rsidRPr="000229AD" w:rsidRDefault="00571206" w:rsidP="00716C22">
            <w:pPr>
              <w:pStyle w:val="Tabletext"/>
              <w:tabs>
                <w:tab w:val="clear" w:pos="284"/>
              </w:tabs>
              <w:spacing w:before="80" w:after="0"/>
              <w:ind w:left="312" w:hanging="312"/>
              <w:rPr>
                <w:lang w:val="fr-FR"/>
              </w:rPr>
            </w:pPr>
            <w:r w:rsidRPr="000229AD">
              <w:rPr>
                <w:lang w:val="fr-FR"/>
              </w:rPr>
              <w:t>–</w:t>
            </w:r>
            <w:r w:rsidRPr="000229AD">
              <w:rPr>
                <w:lang w:val="fr-FR"/>
              </w:rPr>
              <w:tab/>
            </w:r>
            <w:r w:rsidR="00EB663F" w:rsidRPr="000229AD">
              <w:rPr>
                <w:b/>
                <w:bCs/>
                <w:lang w:val="fr-FR"/>
              </w:rPr>
              <w:t>États arabes</w:t>
            </w:r>
            <w:r w:rsidR="00EB663F" w:rsidRPr="000229AD">
              <w:rPr>
                <w:lang w:val="fr-FR"/>
              </w:rPr>
              <w:t>: Somalie.</w:t>
            </w:r>
          </w:p>
          <w:p w14:paraId="351270A4" w14:textId="1B5913CE" w:rsidR="00EB663F" w:rsidRPr="000229AD" w:rsidRDefault="00571206" w:rsidP="00716C22">
            <w:pPr>
              <w:pStyle w:val="Tabletext"/>
              <w:tabs>
                <w:tab w:val="clear" w:pos="284"/>
              </w:tabs>
              <w:spacing w:before="80" w:after="0"/>
              <w:ind w:left="312" w:hanging="312"/>
              <w:rPr>
                <w:lang w:val="fr-FR"/>
              </w:rPr>
            </w:pPr>
            <w:r w:rsidRPr="000229AD">
              <w:rPr>
                <w:lang w:val="fr-FR"/>
              </w:rPr>
              <w:t>–</w:t>
            </w:r>
            <w:r w:rsidRPr="000229AD">
              <w:rPr>
                <w:lang w:val="fr-FR"/>
              </w:rPr>
              <w:tab/>
            </w:r>
            <w:r w:rsidR="00EB663F" w:rsidRPr="000229AD">
              <w:rPr>
                <w:b/>
                <w:bCs/>
                <w:lang w:val="fr-FR"/>
              </w:rPr>
              <w:t>CEI</w:t>
            </w:r>
            <w:r w:rsidR="00EB663F" w:rsidRPr="000229AD">
              <w:rPr>
                <w:lang w:val="fr-FR"/>
              </w:rPr>
              <w:t>: Tadjikistan.</w:t>
            </w:r>
          </w:p>
          <w:p w14:paraId="5AF9C6FA" w14:textId="589CD174" w:rsidR="00EB663F" w:rsidRPr="000229AD" w:rsidRDefault="00EB663F" w:rsidP="00716C22">
            <w:pPr>
              <w:pStyle w:val="Tabletext"/>
              <w:spacing w:before="120"/>
              <w:rPr>
                <w:b/>
                <w:bCs/>
                <w:lang w:val="fr-FR"/>
              </w:rPr>
            </w:pPr>
            <w:r w:rsidRPr="000229AD">
              <w:rPr>
                <w:b/>
                <w:bCs/>
                <w:lang w:val="fr-FR"/>
              </w:rPr>
              <w:t>Déploiement d</w:t>
            </w:r>
            <w:r w:rsidR="00125408" w:rsidRPr="000229AD">
              <w:rPr>
                <w:b/>
                <w:bCs/>
                <w:lang w:val="fr-FR"/>
              </w:rPr>
              <w:t>'</w:t>
            </w:r>
            <w:r w:rsidRPr="000229AD">
              <w:rPr>
                <w:b/>
                <w:bCs/>
                <w:lang w:val="fr-FR"/>
              </w:rPr>
              <w:t>équipements:</w:t>
            </w:r>
          </w:p>
          <w:p w14:paraId="06048F23" w14:textId="64AA6D2F" w:rsidR="00EB663F" w:rsidRPr="000229AD" w:rsidRDefault="00571206" w:rsidP="00716C22">
            <w:pPr>
              <w:pStyle w:val="Tabletext"/>
              <w:tabs>
                <w:tab w:val="clear" w:pos="284"/>
              </w:tabs>
              <w:spacing w:before="80" w:after="0"/>
              <w:ind w:left="312" w:hanging="312"/>
              <w:rPr>
                <w:lang w:val="fr-FR"/>
              </w:rPr>
            </w:pPr>
            <w:r w:rsidRPr="000229AD">
              <w:rPr>
                <w:lang w:val="fr-FR"/>
              </w:rPr>
              <w:t>–</w:t>
            </w:r>
            <w:r w:rsidRPr="000229AD">
              <w:rPr>
                <w:lang w:val="fr-FR"/>
              </w:rPr>
              <w:tab/>
            </w:r>
            <w:r w:rsidR="00EB663F" w:rsidRPr="000229AD">
              <w:rPr>
                <w:b/>
                <w:bCs/>
                <w:lang w:val="fr-FR"/>
              </w:rPr>
              <w:t>Afrique</w:t>
            </w:r>
            <w:r w:rsidR="00EB663F" w:rsidRPr="000229AD">
              <w:rPr>
                <w:lang w:val="fr-FR"/>
              </w:rPr>
              <w:t>: Zimbabwe (plate</w:t>
            </w:r>
            <w:r w:rsidRPr="000229AD">
              <w:rPr>
                <w:lang w:val="fr-FR"/>
              </w:rPr>
              <w:noBreakHyphen/>
            </w:r>
            <w:r w:rsidR="00EB663F" w:rsidRPr="000229AD">
              <w:rPr>
                <w:lang w:val="fr-FR"/>
              </w:rPr>
              <w:t>forme pour les pays de la SADC).</w:t>
            </w:r>
          </w:p>
          <w:p w14:paraId="617028B2" w14:textId="6CAC64E5" w:rsidR="00EB663F" w:rsidRPr="000229AD" w:rsidRDefault="00571206" w:rsidP="00716C22">
            <w:pPr>
              <w:pStyle w:val="Tabletext"/>
              <w:tabs>
                <w:tab w:val="clear" w:pos="284"/>
              </w:tabs>
              <w:spacing w:before="80" w:after="0"/>
              <w:ind w:left="312" w:hanging="312"/>
              <w:rPr>
                <w:lang w:val="fr-FR"/>
              </w:rPr>
            </w:pPr>
            <w:r w:rsidRPr="000229AD">
              <w:rPr>
                <w:lang w:val="fr-FR"/>
              </w:rPr>
              <w:t>–</w:t>
            </w:r>
            <w:r w:rsidRPr="000229AD">
              <w:rPr>
                <w:lang w:val="fr-FR"/>
              </w:rPr>
              <w:tab/>
            </w:r>
            <w:r w:rsidR="00EB663F" w:rsidRPr="000229AD">
              <w:rPr>
                <w:b/>
                <w:bCs/>
                <w:lang w:val="fr-FR"/>
              </w:rPr>
              <w:t>Amériques</w:t>
            </w:r>
            <w:r w:rsidR="00EB663F" w:rsidRPr="000229AD">
              <w:rPr>
                <w:lang w:val="fr-FR"/>
              </w:rPr>
              <w:t>: Barbade (en appui à la région Caraïbes).</w:t>
            </w:r>
          </w:p>
          <w:p w14:paraId="01978742" w14:textId="36E5B71E" w:rsidR="00EB663F" w:rsidRPr="000229AD" w:rsidRDefault="00571206" w:rsidP="00716C22">
            <w:pPr>
              <w:pStyle w:val="Tabletext"/>
              <w:tabs>
                <w:tab w:val="clear" w:pos="284"/>
              </w:tabs>
              <w:spacing w:before="80" w:after="0"/>
              <w:ind w:left="312" w:hanging="312"/>
              <w:rPr>
                <w:lang w:val="fr-FR"/>
              </w:rPr>
            </w:pPr>
            <w:r w:rsidRPr="000229AD">
              <w:rPr>
                <w:lang w:val="fr-FR"/>
              </w:rPr>
              <w:t>–</w:t>
            </w:r>
            <w:r w:rsidRPr="000229AD">
              <w:rPr>
                <w:lang w:val="fr-FR"/>
              </w:rPr>
              <w:tab/>
            </w:r>
            <w:r w:rsidR="00EB663F" w:rsidRPr="000229AD">
              <w:rPr>
                <w:b/>
                <w:bCs/>
                <w:lang w:val="fr-FR"/>
              </w:rPr>
              <w:t>États arabes</w:t>
            </w:r>
            <w:r w:rsidR="00EB663F" w:rsidRPr="000229AD">
              <w:rPr>
                <w:lang w:val="fr-FR"/>
              </w:rPr>
              <w:t xml:space="preserve">: Dubaï (en appui </w:t>
            </w:r>
            <w:r w:rsidR="006110F6" w:rsidRPr="000229AD">
              <w:rPr>
                <w:lang w:val="fr-FR"/>
              </w:rPr>
              <w:t>à la</w:t>
            </w:r>
            <w:r w:rsidR="00EB663F" w:rsidRPr="000229AD">
              <w:rPr>
                <w:lang w:val="fr-FR"/>
              </w:rPr>
              <w:t xml:space="preserve"> région </w:t>
            </w:r>
            <w:r w:rsidR="00792196" w:rsidRPr="000229AD">
              <w:rPr>
                <w:lang w:val="fr-FR"/>
              </w:rPr>
              <w:t xml:space="preserve">des </w:t>
            </w:r>
            <w:r w:rsidR="00EB663F" w:rsidRPr="000229AD">
              <w:rPr>
                <w:lang w:val="fr-FR"/>
              </w:rPr>
              <w:t>États</w:t>
            </w:r>
            <w:r w:rsidRPr="000229AD">
              <w:rPr>
                <w:lang w:val="fr-FR"/>
              </w:rPr>
              <w:t> </w:t>
            </w:r>
            <w:r w:rsidR="00EB663F" w:rsidRPr="000229AD">
              <w:rPr>
                <w:lang w:val="fr-FR"/>
              </w:rPr>
              <w:t>arabes</w:t>
            </w:r>
            <w:r w:rsidR="006110F6" w:rsidRPr="000229AD">
              <w:rPr>
                <w:lang w:val="fr-FR"/>
              </w:rPr>
              <w:t xml:space="preserve"> et</w:t>
            </w:r>
            <w:r w:rsidR="00EB663F" w:rsidRPr="000229AD">
              <w:rPr>
                <w:lang w:val="fr-FR"/>
              </w:rPr>
              <w:t xml:space="preserve"> </w:t>
            </w:r>
            <w:r w:rsidR="006110F6" w:rsidRPr="000229AD">
              <w:rPr>
                <w:lang w:val="fr-FR"/>
              </w:rPr>
              <w:t xml:space="preserve">aux régions </w:t>
            </w:r>
            <w:r w:rsidR="00EB663F" w:rsidRPr="000229AD">
              <w:rPr>
                <w:lang w:val="fr-FR"/>
              </w:rPr>
              <w:t>Afrique</w:t>
            </w:r>
            <w:r w:rsidR="006110F6" w:rsidRPr="000229AD">
              <w:rPr>
                <w:lang w:val="fr-FR"/>
              </w:rPr>
              <w:t xml:space="preserve"> et </w:t>
            </w:r>
            <w:r w:rsidR="00EB663F" w:rsidRPr="000229AD">
              <w:rPr>
                <w:lang w:val="fr-FR"/>
              </w:rPr>
              <w:t>Asie</w:t>
            </w:r>
            <w:r w:rsidRPr="000229AD">
              <w:rPr>
                <w:lang w:val="fr-FR"/>
              </w:rPr>
              <w:noBreakHyphen/>
            </w:r>
            <w:r w:rsidR="00EB663F" w:rsidRPr="000229AD">
              <w:rPr>
                <w:lang w:val="fr-FR"/>
              </w:rPr>
              <w:t>Pacifique).</w:t>
            </w:r>
          </w:p>
        </w:tc>
      </w:tr>
      <w:tr w:rsidR="00EB663F" w:rsidRPr="000229AD" w14:paraId="27290809" w14:textId="77777777" w:rsidTr="00565E7A">
        <w:trPr>
          <w:trHeight w:val="300"/>
        </w:trPr>
        <w:tc>
          <w:tcPr>
            <w:tcW w:w="14868" w:type="dxa"/>
            <w:gridSpan w:val="3"/>
            <w:shd w:val="clear" w:color="auto" w:fill="E5DFEC" w:themeFill="accent4" w:themeFillTint="33"/>
          </w:tcPr>
          <w:p w14:paraId="22D45FAA" w14:textId="5247FB74" w:rsidR="00EB663F" w:rsidRPr="000229AD" w:rsidRDefault="00EB663F" w:rsidP="00716C22">
            <w:pPr>
              <w:pStyle w:val="Tabletext"/>
              <w:spacing w:before="120"/>
              <w:rPr>
                <w:b/>
                <w:bCs/>
                <w:lang w:val="fr-FR"/>
              </w:rPr>
            </w:pPr>
            <w:bookmarkStart w:id="8" w:name="_Hlk162438207"/>
            <w:r w:rsidRPr="000229AD">
              <w:rPr>
                <w:b/>
                <w:bCs/>
                <w:lang w:val="fr-FR"/>
              </w:rPr>
              <w:lastRenderedPageBreak/>
              <w:t>Réseau et infrastructure numérique</w:t>
            </w:r>
          </w:p>
          <w:p w14:paraId="4866B48B" w14:textId="39742155" w:rsidR="00EB663F" w:rsidRPr="000229AD" w:rsidRDefault="00EB663F" w:rsidP="00716C22">
            <w:pPr>
              <w:pStyle w:val="Tabletext"/>
              <w:spacing w:before="120"/>
              <w:rPr>
                <w:i/>
                <w:iCs/>
                <w:color w:val="1F497D" w:themeColor="text2"/>
                <w:lang w:val="fr-FR"/>
              </w:rPr>
            </w:pPr>
            <w:r w:rsidRPr="000229AD">
              <w:rPr>
                <w:b/>
                <w:bCs/>
                <w:i/>
                <w:iCs/>
                <w:lang w:val="fr-FR"/>
              </w:rPr>
              <w:t>Réalisation</w:t>
            </w:r>
            <w:r w:rsidRPr="000229AD">
              <w:rPr>
                <w:i/>
                <w:iCs/>
                <w:lang w:val="fr-FR"/>
              </w:rPr>
              <w:t xml:space="preserve">: </w:t>
            </w:r>
            <w:r w:rsidR="00E42752" w:rsidRPr="000229AD">
              <w:rPr>
                <w:i/>
                <w:iCs/>
                <w:lang w:val="fr-FR"/>
              </w:rPr>
              <w:t>a</w:t>
            </w:r>
            <w:r w:rsidRPr="000229AD">
              <w:rPr>
                <w:i/>
                <w:iCs/>
                <w:lang w:val="fr-FR"/>
              </w:rPr>
              <w:t>mélioration de l</w:t>
            </w:r>
            <w:r w:rsidR="00125408" w:rsidRPr="000229AD">
              <w:rPr>
                <w:i/>
                <w:iCs/>
                <w:lang w:val="fr-FR"/>
              </w:rPr>
              <w:t>'</w:t>
            </w:r>
            <w:r w:rsidRPr="000229AD">
              <w:rPr>
                <w:i/>
                <w:iCs/>
                <w:lang w:val="fr-FR"/>
              </w:rPr>
              <w:t>infrastructure et des services de télécommunication/TIC, en particulier la couverture large bande</w:t>
            </w:r>
            <w:r w:rsidR="00E42752" w:rsidRPr="000229AD">
              <w:rPr>
                <w:i/>
                <w:iCs/>
                <w:lang w:val="fr-FR"/>
              </w:rPr>
              <w:t>.</w:t>
            </w:r>
          </w:p>
        </w:tc>
      </w:tr>
      <w:bookmarkEnd w:id="8"/>
      <w:tr w:rsidR="00EB663F" w:rsidRPr="000229AD" w14:paraId="188F7E88" w14:textId="77777777" w:rsidTr="00565E7A">
        <w:trPr>
          <w:trHeight w:val="300"/>
        </w:trPr>
        <w:tc>
          <w:tcPr>
            <w:tcW w:w="11875" w:type="dxa"/>
            <w:gridSpan w:val="2"/>
          </w:tcPr>
          <w:p w14:paraId="6C2600A8" w14:textId="77777777" w:rsidR="00EB663F" w:rsidRPr="000229AD" w:rsidDel="00CC7F87" w:rsidRDefault="00EB663F" w:rsidP="00716C22">
            <w:pPr>
              <w:pStyle w:val="Tablehead"/>
              <w:rPr>
                <w:lang w:val="fr-FR"/>
              </w:rPr>
            </w:pPr>
            <w:r w:rsidRPr="000229AD">
              <w:rPr>
                <w:lang w:val="fr-FR"/>
              </w:rPr>
              <w:t>Produits</w:t>
            </w:r>
          </w:p>
        </w:tc>
        <w:tc>
          <w:tcPr>
            <w:tcW w:w="2993" w:type="dxa"/>
            <w:shd w:val="clear" w:color="auto" w:fill="auto"/>
          </w:tcPr>
          <w:p w14:paraId="08F42080" w14:textId="77777777" w:rsidR="00EB663F" w:rsidRPr="000229AD" w:rsidRDefault="00EB663F" w:rsidP="00716C22">
            <w:pPr>
              <w:pStyle w:val="Tablehead"/>
              <w:rPr>
                <w:lang w:val="fr-FR"/>
              </w:rPr>
            </w:pPr>
            <w:r w:rsidRPr="000229AD">
              <w:rPr>
                <w:lang w:val="fr-FR"/>
              </w:rPr>
              <w:t>Points clés</w:t>
            </w:r>
          </w:p>
        </w:tc>
      </w:tr>
      <w:tr w:rsidR="00EB663F" w:rsidRPr="000229AD" w14:paraId="0957B90F" w14:textId="77777777" w:rsidTr="00565E7A">
        <w:trPr>
          <w:trHeight w:val="300"/>
        </w:trPr>
        <w:tc>
          <w:tcPr>
            <w:tcW w:w="11875" w:type="dxa"/>
            <w:gridSpan w:val="2"/>
          </w:tcPr>
          <w:p w14:paraId="1C562532" w14:textId="3572B5EE" w:rsidR="00EB663F" w:rsidRPr="000229AD" w:rsidRDefault="00EB663F" w:rsidP="00716C22">
            <w:pPr>
              <w:pStyle w:val="Tabletext"/>
              <w:spacing w:before="120" w:after="120"/>
              <w:rPr>
                <w:rFonts w:cs="Calibri"/>
                <w:lang w:val="fr-FR"/>
              </w:rPr>
            </w:pPr>
            <w:r w:rsidRPr="000229AD">
              <w:rPr>
                <w:lang w:val="fr-FR"/>
              </w:rPr>
              <w:t>À la fin de l</w:t>
            </w:r>
            <w:r w:rsidR="00125408" w:rsidRPr="000229AD">
              <w:rPr>
                <w:lang w:val="fr-FR"/>
              </w:rPr>
              <w:t>'</w:t>
            </w:r>
            <w:r w:rsidRPr="000229AD">
              <w:rPr>
                <w:lang w:val="fr-FR"/>
              </w:rPr>
              <w:t xml:space="preserve">année 2023, le BDT a apporté des contributions importantes dans diverses régions en cartographiant et en analysant les infrastructures, ce qui a permis de </w:t>
            </w:r>
            <w:r w:rsidRPr="000229AD">
              <w:rPr>
                <w:b/>
                <w:bCs/>
                <w:lang w:val="fr-FR"/>
              </w:rPr>
              <w:t>mieux faire connaître les lacunes en matière d</w:t>
            </w:r>
            <w:r w:rsidR="00125408" w:rsidRPr="000229AD">
              <w:rPr>
                <w:b/>
                <w:bCs/>
                <w:lang w:val="fr-FR"/>
              </w:rPr>
              <w:t>'</w:t>
            </w:r>
            <w:r w:rsidRPr="000229AD">
              <w:rPr>
                <w:b/>
                <w:bCs/>
                <w:lang w:val="fr-FR"/>
              </w:rPr>
              <w:t>infrastructures des TIC dans 21 pays et d</w:t>
            </w:r>
            <w:r w:rsidR="00125408" w:rsidRPr="000229AD">
              <w:rPr>
                <w:b/>
                <w:bCs/>
                <w:lang w:val="fr-FR"/>
              </w:rPr>
              <w:t>'</w:t>
            </w:r>
            <w:r w:rsidRPr="000229AD">
              <w:rPr>
                <w:b/>
                <w:bCs/>
                <w:lang w:val="fr-FR"/>
              </w:rPr>
              <w:t>améliorer la prise de décisions concernant la couverture large bande et la résilience</w:t>
            </w:r>
            <w:r w:rsidRPr="000229AD">
              <w:rPr>
                <w:lang w:val="fr-FR"/>
              </w:rPr>
              <w:t>. Des recherches, des collectes et des traitements de données sur l</w:t>
            </w:r>
            <w:r w:rsidR="00125408" w:rsidRPr="000229AD">
              <w:rPr>
                <w:lang w:val="fr-FR"/>
              </w:rPr>
              <w:t>'</w:t>
            </w:r>
            <w:r w:rsidRPr="000229AD">
              <w:rPr>
                <w:lang w:val="fr-FR"/>
              </w:rPr>
              <w:t xml:space="preserve">infrastructure des TIC ont été menés dans les </w:t>
            </w:r>
            <w:r w:rsidRPr="000229AD">
              <w:rPr>
                <w:b/>
                <w:bCs/>
                <w:lang w:val="fr-FR"/>
              </w:rPr>
              <w:t>régions Afrique, Amériques,</w:t>
            </w:r>
            <w:r w:rsidR="006110F6" w:rsidRPr="000229AD">
              <w:rPr>
                <w:b/>
                <w:bCs/>
                <w:lang w:val="fr-FR"/>
              </w:rPr>
              <w:t xml:space="preserve"> la région</w:t>
            </w:r>
            <w:r w:rsidRPr="000229AD">
              <w:rPr>
                <w:b/>
                <w:bCs/>
                <w:lang w:val="fr-FR"/>
              </w:rPr>
              <w:t xml:space="preserve"> </w:t>
            </w:r>
            <w:r w:rsidR="00792196" w:rsidRPr="000229AD">
              <w:rPr>
                <w:b/>
                <w:bCs/>
                <w:lang w:val="fr-FR"/>
              </w:rPr>
              <w:t xml:space="preserve">des </w:t>
            </w:r>
            <w:r w:rsidRPr="000229AD">
              <w:rPr>
                <w:b/>
                <w:bCs/>
                <w:lang w:val="fr-FR"/>
              </w:rPr>
              <w:t xml:space="preserve">États arabes, </w:t>
            </w:r>
            <w:r w:rsidR="006110F6" w:rsidRPr="000229AD">
              <w:rPr>
                <w:b/>
                <w:bCs/>
                <w:lang w:val="fr-FR"/>
              </w:rPr>
              <w:t xml:space="preserve">la région </w:t>
            </w:r>
            <w:r w:rsidRPr="000229AD">
              <w:rPr>
                <w:b/>
                <w:bCs/>
                <w:lang w:val="fr-FR"/>
              </w:rPr>
              <w:t>Asie</w:t>
            </w:r>
            <w:r w:rsidR="00473BE4" w:rsidRPr="000229AD">
              <w:rPr>
                <w:b/>
                <w:bCs/>
                <w:lang w:val="fr-FR"/>
              </w:rPr>
              <w:noBreakHyphen/>
            </w:r>
            <w:r w:rsidRPr="000229AD">
              <w:rPr>
                <w:b/>
                <w:bCs/>
                <w:lang w:val="fr-FR"/>
              </w:rPr>
              <w:t xml:space="preserve">Pacifique et </w:t>
            </w:r>
            <w:r w:rsidR="006110F6" w:rsidRPr="000229AD">
              <w:rPr>
                <w:b/>
                <w:bCs/>
                <w:lang w:val="fr-FR"/>
              </w:rPr>
              <w:t xml:space="preserve">la région </w:t>
            </w:r>
            <w:r w:rsidR="00792196" w:rsidRPr="000229AD">
              <w:rPr>
                <w:b/>
                <w:bCs/>
                <w:lang w:val="fr-FR"/>
              </w:rPr>
              <w:t xml:space="preserve">de la </w:t>
            </w:r>
            <w:r w:rsidRPr="000229AD">
              <w:rPr>
                <w:b/>
                <w:bCs/>
                <w:lang w:val="fr-FR"/>
              </w:rPr>
              <w:t>CEI</w:t>
            </w:r>
            <w:r w:rsidRPr="000229AD">
              <w:rPr>
                <w:lang w:val="fr-FR"/>
              </w:rPr>
              <w:t>. Une analyse de la connectivité et des infrastructures a été présentée aux États Membres et une carte des infrastructures a été réalisée pour chacun des 21 pays, renforçant ainsi les efforts déployés pour cartographier le large bande à l</w:t>
            </w:r>
            <w:r w:rsidR="00125408" w:rsidRPr="000229AD">
              <w:rPr>
                <w:lang w:val="fr-FR"/>
              </w:rPr>
              <w:t>'</w:t>
            </w:r>
            <w:r w:rsidRPr="000229AD">
              <w:rPr>
                <w:lang w:val="fr-FR"/>
              </w:rPr>
              <w:t>échelle mondiale.</w:t>
            </w:r>
          </w:p>
          <w:p w14:paraId="66224ED3" w14:textId="1ADCCF40" w:rsidR="00EB663F" w:rsidRPr="000229AD" w:rsidRDefault="00EB663F" w:rsidP="00716C22">
            <w:pPr>
              <w:pStyle w:val="Tabletext"/>
              <w:spacing w:after="120"/>
              <w:rPr>
                <w:rFonts w:cs="Calibri"/>
                <w:lang w:val="fr-FR"/>
              </w:rPr>
            </w:pPr>
            <w:r w:rsidRPr="000229AD">
              <w:rPr>
                <w:lang w:val="fr-FR"/>
              </w:rPr>
              <w:t xml:space="preserve">Le BDT a organisé des interventions de renforcement des capacités, notamment des ateliers de cartographie des TIC </w:t>
            </w:r>
            <w:r w:rsidRPr="000229AD">
              <w:rPr>
                <w:b/>
                <w:bCs/>
                <w:lang w:val="fr-FR"/>
              </w:rPr>
              <w:t>au Brésil, au</w:t>
            </w:r>
            <w:r w:rsidR="00473BE4" w:rsidRPr="000229AD">
              <w:rPr>
                <w:b/>
                <w:bCs/>
                <w:lang w:val="fr-FR"/>
              </w:rPr>
              <w:t> </w:t>
            </w:r>
            <w:hyperlink r:id="rId19" w:history="1">
              <w:r w:rsidRPr="000229AD">
                <w:rPr>
                  <w:rStyle w:val="Hyperlink"/>
                  <w:b/>
                  <w:bCs/>
                  <w:lang w:val="fr-FR"/>
                </w:rPr>
                <w:t>Kazakhstan</w:t>
              </w:r>
            </w:hyperlink>
            <w:r w:rsidRPr="000229AD">
              <w:rPr>
                <w:b/>
                <w:bCs/>
                <w:lang w:val="fr-FR"/>
              </w:rPr>
              <w:t xml:space="preserve">, en </w:t>
            </w:r>
            <w:hyperlink r:id="rId20" w:history="1">
              <w:r w:rsidRPr="000229AD">
                <w:rPr>
                  <w:rStyle w:val="Hyperlink"/>
                  <w:b/>
                  <w:bCs/>
                  <w:lang w:val="fr-FR"/>
                </w:rPr>
                <w:t>Ouzbékistan</w:t>
              </w:r>
            </w:hyperlink>
            <w:r w:rsidRPr="000229AD">
              <w:rPr>
                <w:b/>
                <w:bCs/>
                <w:lang w:val="fr-FR"/>
              </w:rPr>
              <w:t xml:space="preserve"> et en </w:t>
            </w:r>
            <w:hyperlink r:id="rId21" w:history="1">
              <w:r w:rsidRPr="000229AD">
                <w:rPr>
                  <w:rStyle w:val="Hyperlink"/>
                  <w:b/>
                  <w:bCs/>
                  <w:lang w:val="fr-FR"/>
                </w:rPr>
                <w:t>Sierra Leone</w:t>
              </w:r>
            </w:hyperlink>
            <w:r w:rsidRPr="000229AD">
              <w:rPr>
                <w:lang w:val="fr-FR"/>
              </w:rPr>
              <w:t xml:space="preserve"> dans le cadre du projet conjoint entre l</w:t>
            </w:r>
            <w:r w:rsidR="00125408" w:rsidRPr="000229AD">
              <w:rPr>
                <w:lang w:val="fr-FR"/>
              </w:rPr>
              <w:t>'</w:t>
            </w:r>
            <w:r w:rsidRPr="000229AD">
              <w:rPr>
                <w:lang w:val="fr-FR"/>
              </w:rPr>
              <w:t xml:space="preserve">UIT et le Ministère des affaires étrangères, du Commonwealth et du développement du Royaume-Uni, ce qui a permis de développer la capacité de ces pays à </w:t>
            </w:r>
            <w:r w:rsidRPr="000229AD">
              <w:rPr>
                <w:b/>
                <w:bCs/>
                <w:lang w:val="fr-FR"/>
              </w:rPr>
              <w:t>renforcer la connectivité des zones rurales et mal desservies</w:t>
            </w:r>
            <w:r w:rsidRPr="000229AD">
              <w:rPr>
                <w:lang w:val="fr-FR"/>
              </w:rPr>
              <w:t xml:space="preserve">. En outre, dans le cadre de ce projet, une formation à suivre à son rythme sur </w:t>
            </w:r>
            <w:hyperlink r:id="rId22" w:history="1">
              <w:r w:rsidRPr="000229AD">
                <w:rPr>
                  <w:rStyle w:val="Hyperlink"/>
                  <w:lang w:val="fr-FR"/>
                </w:rPr>
                <w:t>la cartographie et la planification des infrastructures</w:t>
              </w:r>
            </w:hyperlink>
            <w:r w:rsidRPr="000229AD">
              <w:rPr>
                <w:lang w:val="fr-FR"/>
              </w:rPr>
              <w:t xml:space="preserve"> a été lancée sur le portail de l</w:t>
            </w:r>
            <w:r w:rsidR="00125408" w:rsidRPr="000229AD">
              <w:rPr>
                <w:lang w:val="fr-FR"/>
              </w:rPr>
              <w:t>'</w:t>
            </w:r>
            <w:r w:rsidRPr="000229AD">
              <w:rPr>
                <w:lang w:val="fr-FR"/>
              </w:rPr>
              <w:t>Académie de l</w:t>
            </w:r>
            <w:r w:rsidR="00125408" w:rsidRPr="000229AD">
              <w:rPr>
                <w:lang w:val="fr-FR"/>
              </w:rPr>
              <w:t>'</w:t>
            </w:r>
            <w:r w:rsidRPr="000229AD">
              <w:rPr>
                <w:lang w:val="fr-FR"/>
              </w:rPr>
              <w:t>UIT et a attiré</w:t>
            </w:r>
            <w:r w:rsidR="00473BE4" w:rsidRPr="000229AD">
              <w:rPr>
                <w:lang w:val="fr-FR"/>
              </w:rPr>
              <w:t> </w:t>
            </w:r>
            <w:r w:rsidRPr="000229AD">
              <w:rPr>
                <w:lang w:val="fr-FR"/>
              </w:rPr>
              <w:t>440 professionnels des TIC.</w:t>
            </w:r>
          </w:p>
          <w:p w14:paraId="4C99528E" w14:textId="43077590" w:rsidR="00EB663F" w:rsidRPr="000229AD" w:rsidRDefault="00473BE4" w:rsidP="00716C22">
            <w:pPr>
              <w:pStyle w:val="Tabletext"/>
              <w:keepNext/>
              <w:keepLines/>
              <w:tabs>
                <w:tab w:val="clear" w:pos="284"/>
              </w:tabs>
              <w:spacing w:before="80" w:after="0"/>
              <w:ind w:left="312" w:hanging="312"/>
              <w:rPr>
                <w:lang w:val="fr-FR"/>
              </w:rPr>
            </w:pPr>
            <w:r w:rsidRPr="000229AD">
              <w:rPr>
                <w:lang w:val="fr-FR"/>
              </w:rPr>
              <w:lastRenderedPageBreak/>
              <w:t>•</w:t>
            </w:r>
            <w:r w:rsidRPr="000229AD">
              <w:rPr>
                <w:lang w:val="fr-FR"/>
              </w:rPr>
              <w:tab/>
            </w:r>
            <w:r w:rsidR="00EB663F" w:rsidRPr="000229AD">
              <w:rPr>
                <w:b/>
                <w:bCs/>
                <w:lang w:val="fr-FR"/>
              </w:rPr>
              <w:t>Dans la région Afrique</w:t>
            </w:r>
            <w:r w:rsidR="00EB663F" w:rsidRPr="000229AD">
              <w:rPr>
                <w:lang w:val="fr-FR"/>
              </w:rPr>
              <w:t>, dans le cadre de l</w:t>
            </w:r>
            <w:r w:rsidR="00125408" w:rsidRPr="000229AD">
              <w:rPr>
                <w:lang w:val="fr-FR"/>
              </w:rPr>
              <w:t>'</w:t>
            </w:r>
            <w:r w:rsidR="00EB663F" w:rsidRPr="000229AD">
              <w:rPr>
                <w:lang w:val="fr-FR"/>
              </w:rPr>
              <w:t>initiative Connect2Recover, une évaluation de la résilience a été réalisée au Zimbabwe afin de renforcer l</w:t>
            </w:r>
            <w:r w:rsidR="00125408" w:rsidRPr="000229AD">
              <w:rPr>
                <w:lang w:val="fr-FR"/>
              </w:rPr>
              <w:t>'</w:t>
            </w:r>
            <w:r w:rsidR="00EB663F" w:rsidRPr="000229AD">
              <w:rPr>
                <w:lang w:val="fr-FR"/>
              </w:rPr>
              <w:t>infrastructure des télécommunications/TIC du pays en vue d</w:t>
            </w:r>
            <w:r w:rsidR="00125408" w:rsidRPr="000229AD">
              <w:rPr>
                <w:lang w:val="fr-FR"/>
              </w:rPr>
              <w:t>'</w:t>
            </w:r>
            <w:r w:rsidR="00EB663F" w:rsidRPr="000229AD">
              <w:rPr>
                <w:lang w:val="fr-FR"/>
              </w:rPr>
              <w:t>une reprise économique après une pandémie. Avec l</w:t>
            </w:r>
            <w:r w:rsidR="00125408" w:rsidRPr="000229AD">
              <w:rPr>
                <w:lang w:val="fr-FR"/>
              </w:rPr>
              <w:t>'</w:t>
            </w:r>
            <w:r w:rsidR="00EB663F" w:rsidRPr="000229AD">
              <w:rPr>
                <w:lang w:val="fr-FR"/>
              </w:rPr>
              <w:t>appui du Ministère des affaires étrangères, du Commonwealth et du développement du Royaume-Uni, une étude a été menée au Nigéria sur les coûts d</w:t>
            </w:r>
            <w:r w:rsidR="00125408" w:rsidRPr="000229AD">
              <w:rPr>
                <w:lang w:val="fr-FR"/>
              </w:rPr>
              <w:t>'</w:t>
            </w:r>
            <w:r w:rsidR="00EB663F" w:rsidRPr="000229AD">
              <w:rPr>
                <w:lang w:val="fr-FR"/>
              </w:rPr>
              <w:t>exploitation de l</w:t>
            </w:r>
            <w:r w:rsidR="00125408" w:rsidRPr="000229AD">
              <w:rPr>
                <w:lang w:val="fr-FR"/>
              </w:rPr>
              <w:t>'</w:t>
            </w:r>
            <w:r w:rsidR="00EB663F" w:rsidRPr="000229AD">
              <w:rPr>
                <w:lang w:val="fr-FR"/>
              </w:rPr>
              <w:t>infrastructure des télécommunications et de la connectivité. Au</w:t>
            </w:r>
            <w:r w:rsidRPr="000229AD">
              <w:rPr>
                <w:lang w:val="fr-FR"/>
              </w:rPr>
              <w:t> </w:t>
            </w:r>
            <w:r w:rsidR="00EB663F" w:rsidRPr="000229AD">
              <w:rPr>
                <w:lang w:val="fr-FR"/>
              </w:rPr>
              <w:t>Kenya, une étude sur les modèles d</w:t>
            </w:r>
            <w:r w:rsidR="00125408" w:rsidRPr="000229AD">
              <w:rPr>
                <w:lang w:val="fr-FR"/>
              </w:rPr>
              <w:t>'</w:t>
            </w:r>
            <w:r w:rsidR="00EB663F" w:rsidRPr="000229AD">
              <w:rPr>
                <w:lang w:val="fr-FR"/>
              </w:rPr>
              <w:t>exploitation d</w:t>
            </w:r>
            <w:r w:rsidR="00125408" w:rsidRPr="000229AD">
              <w:rPr>
                <w:lang w:val="fr-FR"/>
              </w:rPr>
              <w:t>'</w:t>
            </w:r>
            <w:r w:rsidR="00EB663F" w:rsidRPr="000229AD">
              <w:rPr>
                <w:lang w:val="fr-FR"/>
              </w:rPr>
              <w:t>une connectivité Internet durable ainsi qu</w:t>
            </w:r>
            <w:r w:rsidR="00125408" w:rsidRPr="000229AD">
              <w:rPr>
                <w:lang w:val="fr-FR"/>
              </w:rPr>
              <w:t>'</w:t>
            </w:r>
            <w:r w:rsidR="00EB663F" w:rsidRPr="000229AD">
              <w:rPr>
                <w:lang w:val="fr-FR"/>
              </w:rPr>
              <w:t>une étude sur les projets de connectivité du dernier kilomètre ont été menées. En Afrique du Sud, des recherches ont été menées sur les modèles de connectivité durable et de compétences numériques pour les jeunes sans emploi et ne suivant ni études ni formation.</w:t>
            </w:r>
          </w:p>
          <w:p w14:paraId="0B2F27F4" w14:textId="5F5E2B55" w:rsidR="00EB663F" w:rsidRPr="000229AD" w:rsidRDefault="00473BE4" w:rsidP="00716C22">
            <w:pPr>
              <w:pStyle w:val="Tabletext"/>
              <w:tabs>
                <w:tab w:val="clear" w:pos="284"/>
              </w:tabs>
              <w:spacing w:before="80" w:after="0"/>
              <w:ind w:left="311" w:hanging="311"/>
              <w:rPr>
                <w:lang w:val="fr-FR"/>
              </w:rPr>
            </w:pPr>
            <w:r w:rsidRPr="000229AD">
              <w:rPr>
                <w:lang w:val="fr-FR"/>
              </w:rPr>
              <w:t>•</w:t>
            </w:r>
            <w:r w:rsidRPr="000229AD">
              <w:rPr>
                <w:lang w:val="fr-FR"/>
              </w:rPr>
              <w:tab/>
            </w:r>
            <w:r w:rsidR="00EB663F" w:rsidRPr="000229AD">
              <w:rPr>
                <w:b/>
                <w:bCs/>
                <w:lang w:val="fr-FR"/>
              </w:rPr>
              <w:t>Dans l</w:t>
            </w:r>
            <w:r w:rsidR="006110F6" w:rsidRPr="000229AD">
              <w:rPr>
                <w:b/>
                <w:bCs/>
                <w:lang w:val="fr-FR"/>
              </w:rPr>
              <w:t>a</w:t>
            </w:r>
            <w:r w:rsidR="00EB663F" w:rsidRPr="000229AD">
              <w:rPr>
                <w:b/>
                <w:bCs/>
                <w:lang w:val="fr-FR"/>
              </w:rPr>
              <w:t xml:space="preserve"> région Amériques et </w:t>
            </w:r>
            <w:r w:rsidR="006110F6" w:rsidRPr="000229AD">
              <w:rPr>
                <w:b/>
                <w:bCs/>
                <w:lang w:val="fr-FR"/>
              </w:rPr>
              <w:t xml:space="preserve">la région </w:t>
            </w:r>
            <w:r w:rsidR="00792196" w:rsidRPr="000229AD">
              <w:rPr>
                <w:b/>
                <w:bCs/>
                <w:lang w:val="fr-FR"/>
              </w:rPr>
              <w:t xml:space="preserve">des </w:t>
            </w:r>
            <w:r w:rsidR="00EB663F" w:rsidRPr="000229AD">
              <w:rPr>
                <w:b/>
                <w:bCs/>
                <w:lang w:val="fr-FR"/>
              </w:rPr>
              <w:t>États arabes</w:t>
            </w:r>
            <w:r w:rsidR="00EB663F" w:rsidRPr="000229AD">
              <w:rPr>
                <w:lang w:val="fr-FR"/>
              </w:rPr>
              <w:t xml:space="preserve">, la publication du </w:t>
            </w:r>
            <w:hyperlink r:id="rId23" w:anchor="/fr" w:history="1">
              <w:r w:rsidR="00EB663F" w:rsidRPr="000229AD">
                <w:rPr>
                  <w:rStyle w:val="Hyperlink"/>
                  <w:lang w:val="fr-FR"/>
                </w:rPr>
                <w:t>Kit pratique de l</w:t>
              </w:r>
              <w:r w:rsidR="00125408" w:rsidRPr="000229AD">
                <w:rPr>
                  <w:rStyle w:val="Hyperlink"/>
                  <w:lang w:val="fr-FR"/>
                </w:rPr>
                <w:t>'</w:t>
              </w:r>
              <w:r w:rsidR="00EB663F" w:rsidRPr="000229AD">
                <w:rPr>
                  <w:rStyle w:val="Hyperlink"/>
                  <w:lang w:val="fr-FR"/>
                </w:rPr>
                <w:t>UIT pour la planification des activités dans le domaine des infrastructures TIC – Réseaux 5G</w:t>
              </w:r>
            </w:hyperlink>
            <w:r w:rsidR="00EB663F" w:rsidRPr="000229AD">
              <w:rPr>
                <w:lang w:val="fr-FR"/>
              </w:rPr>
              <w:t xml:space="preserve"> a permis d</w:t>
            </w:r>
            <w:r w:rsidR="00125408" w:rsidRPr="000229AD">
              <w:rPr>
                <w:lang w:val="fr-FR"/>
              </w:rPr>
              <w:t>'</w:t>
            </w:r>
            <w:r w:rsidR="00EB663F" w:rsidRPr="000229AD">
              <w:rPr>
                <w:b/>
                <w:bCs/>
                <w:lang w:val="fr-FR"/>
              </w:rPr>
              <w:t>améliorer les capacités des États Membres à élaborer des plans d</w:t>
            </w:r>
            <w:r w:rsidR="00125408" w:rsidRPr="000229AD">
              <w:rPr>
                <w:b/>
                <w:bCs/>
                <w:lang w:val="fr-FR"/>
              </w:rPr>
              <w:t>'</w:t>
            </w:r>
            <w:r w:rsidR="00EB663F" w:rsidRPr="000229AD">
              <w:rPr>
                <w:b/>
                <w:bCs/>
                <w:lang w:val="fr-FR"/>
              </w:rPr>
              <w:t>affaires relatifs à l</w:t>
            </w:r>
            <w:r w:rsidR="00125408" w:rsidRPr="000229AD">
              <w:rPr>
                <w:b/>
                <w:bCs/>
                <w:lang w:val="fr-FR"/>
              </w:rPr>
              <w:t>'</w:t>
            </w:r>
            <w:r w:rsidR="00EB663F" w:rsidRPr="000229AD">
              <w:rPr>
                <w:b/>
                <w:bCs/>
                <w:lang w:val="fr-FR"/>
              </w:rPr>
              <w:t>infrastructure des TIC en vue d</w:t>
            </w:r>
            <w:r w:rsidR="00125408" w:rsidRPr="000229AD">
              <w:rPr>
                <w:b/>
                <w:bCs/>
                <w:lang w:val="fr-FR"/>
              </w:rPr>
              <w:t>'</w:t>
            </w:r>
            <w:r w:rsidR="00EB663F" w:rsidRPr="000229AD">
              <w:rPr>
                <w:b/>
                <w:bCs/>
                <w:lang w:val="fr-FR"/>
              </w:rPr>
              <w:t>un écosystème durable</w:t>
            </w:r>
            <w:r w:rsidR="00EB663F" w:rsidRPr="000229AD">
              <w:rPr>
                <w:lang w:val="fr-FR"/>
              </w:rPr>
              <w:t>. Plusieurs ateliers de planification des activités dans le domaine des TIC ont en outre été organisés et plus de 60 pays y ont participé. Dans la région Amériques, dans le cadre de l</w:t>
            </w:r>
            <w:r w:rsidR="00125408" w:rsidRPr="000229AD">
              <w:rPr>
                <w:lang w:val="fr-FR"/>
              </w:rPr>
              <w:t>'</w:t>
            </w:r>
            <w:r w:rsidR="00EB663F" w:rsidRPr="000229AD">
              <w:rPr>
                <w:lang w:val="fr-FR"/>
              </w:rPr>
              <w:t>initiative Connect2Recover, une évaluation de la résilience a été réalisée à la Grenade afin de renforcer l</w:t>
            </w:r>
            <w:r w:rsidR="00125408" w:rsidRPr="000229AD">
              <w:rPr>
                <w:lang w:val="fr-FR"/>
              </w:rPr>
              <w:t>'</w:t>
            </w:r>
            <w:r w:rsidR="00EB663F" w:rsidRPr="000229AD">
              <w:rPr>
                <w:lang w:val="fr-FR"/>
              </w:rPr>
              <w:t>infrastructure des télécommunications/TIC en vue d</w:t>
            </w:r>
            <w:r w:rsidR="00125408" w:rsidRPr="000229AD">
              <w:rPr>
                <w:lang w:val="fr-FR"/>
              </w:rPr>
              <w:t>'</w:t>
            </w:r>
            <w:r w:rsidR="00EB663F" w:rsidRPr="000229AD">
              <w:rPr>
                <w:lang w:val="fr-FR"/>
              </w:rPr>
              <w:t>une reprise économique après une pandémie et les aléas naturels. Au Brésil, dans le cadre du projet conjoint entre l</w:t>
            </w:r>
            <w:r w:rsidR="00125408" w:rsidRPr="000229AD">
              <w:rPr>
                <w:lang w:val="fr-FR"/>
              </w:rPr>
              <w:t>'</w:t>
            </w:r>
            <w:r w:rsidR="00EB663F" w:rsidRPr="000229AD">
              <w:rPr>
                <w:lang w:val="fr-FR"/>
              </w:rPr>
              <w:t>UIT et le Ministère des affaires étrangères, du Commonwealth et du développement du Royaume</w:t>
            </w:r>
            <w:r w:rsidRPr="000229AD">
              <w:rPr>
                <w:lang w:val="fr-FR"/>
              </w:rPr>
              <w:noBreakHyphen/>
            </w:r>
            <w:r w:rsidR="00EB663F" w:rsidRPr="000229AD">
              <w:rPr>
                <w:lang w:val="fr-FR"/>
              </w:rPr>
              <w:t>Uni, un groupe de travail composé de membres d</w:t>
            </w:r>
            <w:r w:rsidR="00125408" w:rsidRPr="000229AD">
              <w:rPr>
                <w:lang w:val="fr-FR"/>
              </w:rPr>
              <w:t>'</w:t>
            </w:r>
            <w:r w:rsidR="00EB663F" w:rsidRPr="000229AD">
              <w:rPr>
                <w:lang w:val="fr-FR"/>
              </w:rPr>
              <w:t>Anatel, de Nic.br, du Ministère ainsi que d</w:t>
            </w:r>
            <w:r w:rsidR="00125408" w:rsidRPr="000229AD">
              <w:rPr>
                <w:lang w:val="fr-FR"/>
              </w:rPr>
              <w:t>'</w:t>
            </w:r>
            <w:r w:rsidR="00EB663F" w:rsidRPr="000229AD">
              <w:rPr>
                <w:lang w:val="fr-FR"/>
              </w:rPr>
              <w:t>autres entités a été créé en vue de proposer des améliorations relatives à l</w:t>
            </w:r>
            <w:r w:rsidR="00125408" w:rsidRPr="000229AD">
              <w:rPr>
                <w:lang w:val="fr-FR"/>
              </w:rPr>
              <w:t>'</w:t>
            </w:r>
            <w:r w:rsidR="00EB663F" w:rsidRPr="000229AD">
              <w:rPr>
                <w:lang w:val="fr-FR"/>
              </w:rPr>
              <w:t>interface de cartographie mise au point dans le cadre du projet.</w:t>
            </w:r>
          </w:p>
          <w:p w14:paraId="7F15EA17" w14:textId="7B5149AC" w:rsidR="00EB663F" w:rsidRPr="000229AD" w:rsidRDefault="00473BE4" w:rsidP="00716C22">
            <w:pPr>
              <w:pStyle w:val="Tabletext"/>
              <w:tabs>
                <w:tab w:val="clear" w:pos="284"/>
              </w:tabs>
              <w:spacing w:before="80" w:after="0"/>
              <w:ind w:left="311" w:hanging="311"/>
              <w:rPr>
                <w:lang w:val="fr-FR"/>
              </w:rPr>
            </w:pPr>
            <w:r w:rsidRPr="000229AD">
              <w:rPr>
                <w:lang w:val="fr-FR"/>
              </w:rPr>
              <w:t>•</w:t>
            </w:r>
            <w:r w:rsidRPr="000229AD">
              <w:rPr>
                <w:lang w:val="fr-FR"/>
              </w:rPr>
              <w:tab/>
            </w:r>
            <w:r w:rsidR="00EB663F" w:rsidRPr="000229AD">
              <w:rPr>
                <w:b/>
                <w:bCs/>
                <w:lang w:val="fr-FR"/>
              </w:rPr>
              <w:t>Dans la région Asie-Pacifique</w:t>
            </w:r>
            <w:r w:rsidR="00EB663F" w:rsidRPr="000229AD">
              <w:rPr>
                <w:lang w:val="fr-FR"/>
              </w:rPr>
              <w:t xml:space="preserve">, le BDT a fourni une assistance technique à Sri Lanka pour </w:t>
            </w:r>
            <w:r w:rsidR="00EB663F" w:rsidRPr="000229AD">
              <w:rPr>
                <w:b/>
                <w:bCs/>
                <w:lang w:val="fr-FR"/>
              </w:rPr>
              <w:t>améliorer l</w:t>
            </w:r>
            <w:r w:rsidR="00125408" w:rsidRPr="000229AD">
              <w:rPr>
                <w:b/>
                <w:bCs/>
                <w:lang w:val="fr-FR"/>
              </w:rPr>
              <w:t>'</w:t>
            </w:r>
            <w:r w:rsidR="00EB663F" w:rsidRPr="000229AD">
              <w:rPr>
                <w:b/>
                <w:bCs/>
                <w:lang w:val="fr-FR"/>
              </w:rPr>
              <w:t>accessibilité financière des services de TIC</w:t>
            </w:r>
            <w:r w:rsidR="00EB663F" w:rsidRPr="000229AD">
              <w:rPr>
                <w:lang w:val="fr-FR"/>
              </w:rPr>
              <w:t>, en élaborant les lignes directrices nationales pour l</w:t>
            </w:r>
            <w:r w:rsidR="00125408" w:rsidRPr="000229AD">
              <w:rPr>
                <w:lang w:val="fr-FR"/>
              </w:rPr>
              <w:t>'</w:t>
            </w:r>
            <w:r w:rsidR="00EB663F" w:rsidRPr="000229AD">
              <w:rPr>
                <w:lang w:val="fr-FR"/>
              </w:rPr>
              <w:t>utilisation en partage des infrastructures actives et passives. Une assistance directe a été fournie à la Mongolie pour la réalisation d</w:t>
            </w:r>
            <w:r w:rsidR="00125408" w:rsidRPr="000229AD">
              <w:rPr>
                <w:lang w:val="fr-FR"/>
              </w:rPr>
              <w:t>'</w:t>
            </w:r>
            <w:r w:rsidR="00EB663F" w:rsidRPr="000229AD">
              <w:rPr>
                <w:lang w:val="fr-FR"/>
              </w:rPr>
              <w:t xml:space="preserve">une </w:t>
            </w:r>
            <w:r w:rsidR="00EB663F" w:rsidRPr="000229AD">
              <w:rPr>
                <w:b/>
                <w:bCs/>
                <w:lang w:val="fr-FR"/>
              </w:rPr>
              <w:t>évaluation de l</w:t>
            </w:r>
            <w:r w:rsidR="00125408" w:rsidRPr="000229AD">
              <w:rPr>
                <w:b/>
                <w:bCs/>
                <w:lang w:val="fr-FR"/>
              </w:rPr>
              <w:t>'</w:t>
            </w:r>
            <w:r w:rsidR="00EB663F" w:rsidRPr="000229AD">
              <w:rPr>
                <w:b/>
                <w:bCs/>
                <w:lang w:val="fr-FR"/>
              </w:rPr>
              <w:t>état de préparation du marché en vue de la mise en place de l</w:t>
            </w:r>
            <w:r w:rsidR="00125408" w:rsidRPr="000229AD">
              <w:rPr>
                <w:b/>
                <w:bCs/>
                <w:lang w:val="fr-FR"/>
              </w:rPr>
              <w:t>'</w:t>
            </w:r>
            <w:r w:rsidR="00EB663F" w:rsidRPr="000229AD">
              <w:rPr>
                <w:b/>
                <w:bCs/>
                <w:lang w:val="fr-FR"/>
              </w:rPr>
              <w:t>itinérance nationale</w:t>
            </w:r>
            <w:r w:rsidR="00EB663F" w:rsidRPr="000229AD">
              <w:rPr>
                <w:lang w:val="fr-FR"/>
              </w:rPr>
              <w:t xml:space="preserve"> dans le pays. Les Tonga ont bénéficié d</w:t>
            </w:r>
            <w:r w:rsidR="00125408" w:rsidRPr="000229AD">
              <w:rPr>
                <w:lang w:val="fr-FR"/>
              </w:rPr>
              <w:t>'</w:t>
            </w:r>
            <w:r w:rsidR="00EB663F" w:rsidRPr="000229AD">
              <w:rPr>
                <w:lang w:val="fr-FR"/>
              </w:rPr>
              <w:t>une assistance pour l</w:t>
            </w:r>
            <w:r w:rsidR="00125408" w:rsidRPr="000229AD">
              <w:rPr>
                <w:lang w:val="fr-FR"/>
              </w:rPr>
              <w:t>'</w:t>
            </w:r>
            <w:r w:rsidR="00EB663F" w:rsidRPr="000229AD">
              <w:rPr>
                <w:lang w:val="fr-FR"/>
              </w:rPr>
              <w:t xml:space="preserve">élaboration de </w:t>
            </w:r>
            <w:r w:rsidR="00EB663F" w:rsidRPr="000229AD">
              <w:rPr>
                <w:b/>
                <w:bCs/>
                <w:lang w:val="fr-FR"/>
              </w:rPr>
              <w:t>lignes directrices nationales sur la qualité de service/qualité d</w:t>
            </w:r>
            <w:r w:rsidR="00125408" w:rsidRPr="000229AD">
              <w:rPr>
                <w:b/>
                <w:bCs/>
                <w:lang w:val="fr-FR"/>
              </w:rPr>
              <w:t>'</w:t>
            </w:r>
            <w:r w:rsidR="00EB663F" w:rsidRPr="000229AD">
              <w:rPr>
                <w:b/>
                <w:bCs/>
                <w:lang w:val="fr-FR"/>
              </w:rPr>
              <w:t>expérience</w:t>
            </w:r>
            <w:r w:rsidR="00EB663F" w:rsidRPr="000229AD">
              <w:rPr>
                <w:lang w:val="fr-FR"/>
              </w:rPr>
              <w:t>, qui accordent une place importante à la réduction des temps d</w:t>
            </w:r>
            <w:r w:rsidR="00125408" w:rsidRPr="000229AD">
              <w:rPr>
                <w:lang w:val="fr-FR"/>
              </w:rPr>
              <w:t>'</w:t>
            </w:r>
            <w:r w:rsidR="00EB663F" w:rsidRPr="000229AD">
              <w:rPr>
                <w:lang w:val="fr-FR"/>
              </w:rPr>
              <w:t>arrêt.</w:t>
            </w:r>
          </w:p>
          <w:p w14:paraId="6BFE8F47" w14:textId="269028D1" w:rsidR="00EB663F" w:rsidRPr="000229AD" w:rsidRDefault="00473BE4" w:rsidP="00716C22">
            <w:pPr>
              <w:pStyle w:val="Tabletext"/>
              <w:tabs>
                <w:tab w:val="clear" w:pos="284"/>
              </w:tabs>
              <w:spacing w:before="80" w:after="0"/>
              <w:ind w:left="311" w:hanging="311"/>
              <w:rPr>
                <w:lang w:val="fr-FR"/>
              </w:rPr>
            </w:pPr>
            <w:r w:rsidRPr="000229AD">
              <w:rPr>
                <w:lang w:val="fr-FR"/>
              </w:rPr>
              <w:tab/>
            </w:r>
            <w:r w:rsidR="00EB663F" w:rsidRPr="000229AD">
              <w:rPr>
                <w:lang w:val="fr-FR"/>
              </w:rPr>
              <w:t xml:space="preserve">Une assistance directe a également été fournie aux </w:t>
            </w:r>
            <w:r w:rsidR="00EB663F" w:rsidRPr="000229AD">
              <w:rPr>
                <w:b/>
                <w:bCs/>
                <w:lang w:val="fr-FR"/>
              </w:rPr>
              <w:t>Fidji pour l</w:t>
            </w:r>
            <w:r w:rsidR="00125408" w:rsidRPr="000229AD">
              <w:rPr>
                <w:b/>
                <w:bCs/>
                <w:lang w:val="fr-FR"/>
              </w:rPr>
              <w:t>'</w:t>
            </w:r>
            <w:r w:rsidR="00EB663F" w:rsidRPr="000229AD">
              <w:rPr>
                <w:b/>
                <w:bCs/>
                <w:lang w:val="fr-FR"/>
              </w:rPr>
              <w:t>évaluation du modèle de télévision numérique</w:t>
            </w:r>
            <w:r w:rsidR="00EB663F" w:rsidRPr="000229AD">
              <w:rPr>
                <w:lang w:val="fr-FR"/>
              </w:rPr>
              <w:t>. En outre, une formation experte a été organisée avant le Sommet sur une série d</w:t>
            </w:r>
            <w:r w:rsidR="00125408" w:rsidRPr="000229AD">
              <w:rPr>
                <w:lang w:val="fr-FR"/>
              </w:rPr>
              <w:t>'</w:t>
            </w:r>
            <w:r w:rsidR="00EB663F" w:rsidRPr="000229AD">
              <w:rPr>
                <w:lang w:val="fr-FR"/>
              </w:rPr>
              <w:t>ateliers de formation sur le Système de gestion du spectre pour les pays en développement (SMS4DC) pour l</w:t>
            </w:r>
            <w:r w:rsidR="00125408" w:rsidRPr="000229AD">
              <w:rPr>
                <w:lang w:val="fr-FR"/>
              </w:rPr>
              <w:t>'</w:t>
            </w:r>
            <w:r w:rsidR="00EB663F" w:rsidRPr="000229AD">
              <w:rPr>
                <w:lang w:val="fr-FR"/>
              </w:rPr>
              <w:t>Inde. Elle comprenait deux sessions virtuelles et une formation d</w:t>
            </w:r>
            <w:r w:rsidR="00125408" w:rsidRPr="000229AD">
              <w:rPr>
                <w:lang w:val="fr-FR"/>
              </w:rPr>
              <w:t>'</w:t>
            </w:r>
            <w:r w:rsidR="00EB663F" w:rsidRPr="000229AD">
              <w:rPr>
                <w:lang w:val="fr-FR"/>
              </w:rPr>
              <w:t>une semaine à New Delhi. Pour donner suite à plusieurs autres demandes, une formation dédiée sur le SMS4DC a également été planifiée lors de l</w:t>
            </w:r>
            <w:r w:rsidR="00125408" w:rsidRPr="000229AD">
              <w:rPr>
                <w:lang w:val="fr-FR"/>
              </w:rPr>
              <w:t>'</w:t>
            </w:r>
            <w:r w:rsidR="00EB663F" w:rsidRPr="000229AD">
              <w:rPr>
                <w:lang w:val="fr-FR"/>
              </w:rPr>
              <w:t>Assemblée générale annuelle à Vanuatu.</w:t>
            </w:r>
          </w:p>
          <w:p w14:paraId="5FEB2C47" w14:textId="132FF052" w:rsidR="00EB663F" w:rsidRPr="000229AD" w:rsidRDefault="00473BE4" w:rsidP="00716C22">
            <w:pPr>
              <w:pStyle w:val="Tabletext"/>
              <w:tabs>
                <w:tab w:val="clear" w:pos="284"/>
              </w:tabs>
              <w:spacing w:before="80" w:after="0"/>
              <w:ind w:left="311" w:hanging="311"/>
              <w:rPr>
                <w:lang w:val="fr-FR"/>
              </w:rPr>
            </w:pPr>
            <w:r w:rsidRPr="000229AD">
              <w:rPr>
                <w:lang w:val="fr-FR"/>
              </w:rPr>
              <w:t>•</w:t>
            </w:r>
            <w:r w:rsidRPr="000229AD">
              <w:rPr>
                <w:lang w:val="fr-FR"/>
              </w:rPr>
              <w:tab/>
            </w:r>
            <w:r w:rsidR="00EB663F" w:rsidRPr="000229AD">
              <w:rPr>
                <w:b/>
                <w:bCs/>
                <w:lang w:val="fr-FR"/>
              </w:rPr>
              <w:t xml:space="preserve">Dans la région </w:t>
            </w:r>
            <w:r w:rsidR="00E966D0" w:rsidRPr="000229AD">
              <w:rPr>
                <w:b/>
                <w:bCs/>
                <w:lang w:val="fr-FR"/>
              </w:rPr>
              <w:t xml:space="preserve">de la </w:t>
            </w:r>
            <w:r w:rsidR="00EB663F" w:rsidRPr="000229AD">
              <w:rPr>
                <w:b/>
                <w:bCs/>
                <w:lang w:val="fr-FR"/>
              </w:rPr>
              <w:t>CEI</w:t>
            </w:r>
            <w:r w:rsidR="00EB663F" w:rsidRPr="000229AD">
              <w:rPr>
                <w:lang w:val="fr-FR"/>
              </w:rPr>
              <w:t xml:space="preserve">, des formations ont été dispensées en Arménie, au Tadjikistan et au Turkménistan afin de </w:t>
            </w:r>
            <w:r w:rsidR="00EB663F" w:rsidRPr="000229AD">
              <w:rPr>
                <w:b/>
                <w:bCs/>
                <w:lang w:val="fr-FR"/>
              </w:rPr>
              <w:t>renforcer la capacité des États Membres à déployer des réseaux 5G</w:t>
            </w:r>
            <w:r w:rsidR="00EB663F" w:rsidRPr="000229AD">
              <w:rPr>
                <w:lang w:val="fr-FR"/>
              </w:rPr>
              <w:t>. Des études portant sur l</w:t>
            </w:r>
            <w:r w:rsidR="00125408" w:rsidRPr="000229AD">
              <w:rPr>
                <w:lang w:val="fr-FR"/>
              </w:rPr>
              <w:t>'</w:t>
            </w:r>
            <w:r w:rsidR="00EB663F" w:rsidRPr="000229AD">
              <w:rPr>
                <w:lang w:val="fr-FR"/>
              </w:rPr>
              <w:t>utilisation réelle et la qualité de la connectivité dans les écoles et sur la résilience des infrastructures des réseaux locaux ont été menées dans les écoles connectées au Kazakhstan, au Kirghizistan et en Ouzbékistan et présentées lors de la semaine de la connectivité scolaire en Asie centrale à Kostana</w:t>
            </w:r>
            <w:r w:rsidR="00792196" w:rsidRPr="000229AD">
              <w:rPr>
                <w:lang w:val="fr-FR"/>
              </w:rPr>
              <w:t>ï</w:t>
            </w:r>
            <w:r w:rsidR="00EB663F" w:rsidRPr="000229AD">
              <w:rPr>
                <w:lang w:val="fr-FR"/>
              </w:rPr>
              <w:t xml:space="preserve"> (Kazakhstan) en septembre 2023.</w:t>
            </w:r>
          </w:p>
          <w:p w14:paraId="336E213D" w14:textId="2F38A81B" w:rsidR="00EB663F" w:rsidRPr="000229AD" w:rsidRDefault="00473BE4" w:rsidP="00716C22">
            <w:pPr>
              <w:pStyle w:val="Tabletext"/>
              <w:tabs>
                <w:tab w:val="clear" w:pos="284"/>
              </w:tabs>
              <w:spacing w:before="80" w:after="0"/>
              <w:ind w:left="311" w:hanging="311"/>
              <w:rPr>
                <w:lang w:val="fr-FR"/>
              </w:rPr>
            </w:pPr>
            <w:r w:rsidRPr="000229AD">
              <w:rPr>
                <w:lang w:val="fr-FR"/>
              </w:rPr>
              <w:lastRenderedPageBreak/>
              <w:t>•</w:t>
            </w:r>
            <w:r w:rsidRPr="000229AD">
              <w:rPr>
                <w:lang w:val="fr-FR"/>
              </w:rPr>
              <w:tab/>
            </w:r>
            <w:r w:rsidR="00EB663F" w:rsidRPr="000229AD">
              <w:rPr>
                <w:b/>
                <w:bCs/>
                <w:lang w:val="fr-FR"/>
              </w:rPr>
              <w:t>Dans la région Europe</w:t>
            </w:r>
            <w:r w:rsidR="00EB663F" w:rsidRPr="000229AD">
              <w:rPr>
                <w:lang w:val="fr-FR"/>
              </w:rPr>
              <w:t xml:space="preserve">, une assistance technique a été fournie en Ukraine pour la </w:t>
            </w:r>
            <w:r w:rsidR="00EB663F" w:rsidRPr="000229AD">
              <w:rPr>
                <w:b/>
                <w:bCs/>
                <w:lang w:val="fr-FR"/>
              </w:rPr>
              <w:t>remise en état de stations de radiodiffusion</w:t>
            </w:r>
            <w:r w:rsidR="00EB663F" w:rsidRPr="000229AD">
              <w:rPr>
                <w:lang w:val="fr-FR"/>
              </w:rPr>
              <w:t>, ce qui a permis d</w:t>
            </w:r>
            <w:r w:rsidR="00125408" w:rsidRPr="000229AD">
              <w:rPr>
                <w:lang w:val="fr-FR"/>
              </w:rPr>
              <w:t>'</w:t>
            </w:r>
            <w:r w:rsidR="00EB663F" w:rsidRPr="000229AD">
              <w:rPr>
                <w:lang w:val="fr-FR"/>
              </w:rPr>
              <w:t>ouvrir des perspectives pour 10 projets de station, preuve du renforcement des partenariats et de la collaboration pour des projets de connectivité chargés de sens.</w:t>
            </w:r>
          </w:p>
          <w:p w14:paraId="0353EF08" w14:textId="30BBB389" w:rsidR="00EB663F" w:rsidRPr="000229AD" w:rsidRDefault="00473BE4" w:rsidP="00716C22">
            <w:pPr>
              <w:pStyle w:val="Tabletext"/>
              <w:keepLines/>
              <w:tabs>
                <w:tab w:val="clear" w:pos="284"/>
              </w:tabs>
              <w:spacing w:before="80" w:after="0"/>
              <w:ind w:left="312" w:hanging="312"/>
              <w:rPr>
                <w:lang w:val="fr-FR"/>
              </w:rPr>
            </w:pPr>
            <w:r w:rsidRPr="000229AD">
              <w:rPr>
                <w:lang w:val="fr-FR"/>
              </w:rPr>
              <w:tab/>
            </w:r>
            <w:r w:rsidR="00EB663F" w:rsidRPr="000229AD">
              <w:rPr>
                <w:lang w:val="fr-FR"/>
              </w:rPr>
              <w:t xml:space="preserve">Après coordination avec les autorités publiques ukrainiennes, le BDT a mis en place une assistance technique spéciale axée sur le </w:t>
            </w:r>
            <w:r w:rsidR="00EB663F" w:rsidRPr="000229AD">
              <w:rPr>
                <w:b/>
                <w:bCs/>
                <w:lang w:val="fr-FR"/>
              </w:rPr>
              <w:t>renforcement des compétences des fonctionnaires ukrainiens travaillant dans le secteur numérique</w:t>
            </w:r>
            <w:r w:rsidR="00EB663F" w:rsidRPr="000229AD">
              <w:rPr>
                <w:lang w:val="fr-FR"/>
              </w:rPr>
              <w:t>. Les sujets traités comprenaient le déploiement de la 5G, la conception des réseaux, la sécurité des réseaux et la réglementation concernant la transformation numérique.</w:t>
            </w:r>
          </w:p>
          <w:p w14:paraId="61EDEEBE" w14:textId="72ED6565" w:rsidR="00EB663F" w:rsidRPr="000229AD" w:rsidRDefault="00473BE4" w:rsidP="00716C22">
            <w:pPr>
              <w:pStyle w:val="Tabletext"/>
              <w:tabs>
                <w:tab w:val="clear" w:pos="284"/>
              </w:tabs>
              <w:spacing w:before="80" w:after="0"/>
              <w:ind w:left="311" w:hanging="311"/>
              <w:rPr>
                <w:lang w:val="fr-FR"/>
              </w:rPr>
            </w:pPr>
            <w:r w:rsidRPr="000229AD">
              <w:rPr>
                <w:lang w:val="fr-FR"/>
              </w:rPr>
              <w:tab/>
            </w:r>
            <w:r w:rsidR="00EB663F" w:rsidRPr="000229AD">
              <w:rPr>
                <w:lang w:val="fr-FR"/>
              </w:rPr>
              <w:t>Dans le cadre des travaux du BDT-UIT, du Groupe euro</w:t>
            </w:r>
            <w:r w:rsidR="00EB663F" w:rsidRPr="000229AD">
              <w:rPr>
                <w:lang w:val="fr-FR"/>
              </w:rPr>
              <w:noBreakHyphen/>
              <w:t xml:space="preserve">méditerranéen des régulateurs et du Réseau des régulateurs des communications électroniques du partenariat oriental </w:t>
            </w:r>
            <w:r w:rsidR="00EB663F" w:rsidRPr="000229AD">
              <w:rPr>
                <w:b/>
                <w:bCs/>
                <w:lang w:val="fr-FR"/>
              </w:rPr>
              <w:t>(UIT-EMERG-EaPeReg) sur les systèmes de cartographie</w:t>
            </w:r>
            <w:r w:rsidR="00EB663F" w:rsidRPr="000229AD">
              <w:rPr>
                <w:lang w:val="fr-FR"/>
              </w:rPr>
              <w:t>, les capacités de 18 pays ont été renforcées grâce à une série de trois ateliers du réseau de régulation numérique. Ces activités ont également abouti à l</w:t>
            </w:r>
            <w:r w:rsidR="00125408" w:rsidRPr="000229AD">
              <w:rPr>
                <w:lang w:val="fr-FR"/>
              </w:rPr>
              <w:t>'</w:t>
            </w:r>
            <w:r w:rsidR="00EB663F" w:rsidRPr="000229AD">
              <w:rPr>
                <w:lang w:val="fr-FR"/>
              </w:rPr>
              <w:t>élaboration d</w:t>
            </w:r>
            <w:r w:rsidR="00125408" w:rsidRPr="000229AD">
              <w:rPr>
                <w:lang w:val="fr-FR"/>
              </w:rPr>
              <w:t>'</w:t>
            </w:r>
            <w:r w:rsidR="00EB663F" w:rsidRPr="000229AD">
              <w:rPr>
                <w:lang w:val="fr-FR"/>
              </w:rPr>
              <w:t>un recueil d</w:t>
            </w:r>
            <w:r w:rsidR="00125408" w:rsidRPr="000229AD">
              <w:rPr>
                <w:lang w:val="fr-FR"/>
              </w:rPr>
              <w:t>'</w:t>
            </w:r>
            <w:r w:rsidR="00EB663F" w:rsidRPr="000229AD">
              <w:rPr>
                <w:lang w:val="fr-FR"/>
              </w:rPr>
              <w:t>études de cas présentant les capacités des systèmes de cartographie large bande dans les régions couvertes par EMERG et EaPeReg.</w:t>
            </w:r>
          </w:p>
          <w:p w14:paraId="7FECC9AF" w14:textId="7D4186C7" w:rsidR="00EB663F" w:rsidRPr="000229AD" w:rsidRDefault="00473BE4" w:rsidP="00716C22">
            <w:pPr>
              <w:pStyle w:val="Tabletext"/>
              <w:tabs>
                <w:tab w:val="clear" w:pos="284"/>
              </w:tabs>
              <w:spacing w:before="80" w:after="0"/>
              <w:ind w:left="311" w:hanging="311"/>
              <w:rPr>
                <w:lang w:val="fr-FR"/>
              </w:rPr>
            </w:pPr>
            <w:r w:rsidRPr="000229AD">
              <w:rPr>
                <w:lang w:val="fr-FR"/>
              </w:rPr>
              <w:tab/>
            </w:r>
            <w:r w:rsidR="00EB663F" w:rsidRPr="000229AD">
              <w:rPr>
                <w:lang w:val="fr-FR"/>
              </w:rPr>
              <w:t>La création d</w:t>
            </w:r>
            <w:r w:rsidR="00125408" w:rsidRPr="000229AD">
              <w:rPr>
                <w:lang w:val="fr-FR"/>
              </w:rPr>
              <w:t>'</w:t>
            </w:r>
            <w:r w:rsidR="00EB663F" w:rsidRPr="000229AD">
              <w:rPr>
                <w:lang w:val="fr-FR"/>
              </w:rPr>
              <w:t>un</w:t>
            </w:r>
            <w:r w:rsidR="00EB663F" w:rsidRPr="000229AD">
              <w:rPr>
                <w:b/>
                <w:bCs/>
                <w:lang w:val="fr-FR"/>
              </w:rPr>
              <w:t xml:space="preserve"> laboratoire IPv6</w:t>
            </w:r>
            <w:r w:rsidR="00EB663F" w:rsidRPr="000229AD">
              <w:rPr>
                <w:lang w:val="fr-FR"/>
              </w:rPr>
              <w:t xml:space="preserve"> a en outre offert au Monténégro et aux pays voisins de nouvelles possibilités d</w:t>
            </w:r>
            <w:r w:rsidR="00125408" w:rsidRPr="000229AD">
              <w:rPr>
                <w:lang w:val="fr-FR"/>
              </w:rPr>
              <w:t>'</w:t>
            </w:r>
            <w:r w:rsidR="00EB663F" w:rsidRPr="000229AD">
              <w:rPr>
                <w:lang w:val="fr-FR"/>
              </w:rPr>
              <w:t>intensifier les programmes de formation. Le BDT a également aidé l</w:t>
            </w:r>
            <w:r w:rsidR="00125408" w:rsidRPr="000229AD">
              <w:rPr>
                <w:lang w:val="fr-FR"/>
              </w:rPr>
              <w:t>'</w:t>
            </w:r>
            <w:r w:rsidR="00EB663F" w:rsidRPr="000229AD">
              <w:rPr>
                <w:lang w:val="fr-FR"/>
              </w:rPr>
              <w:t xml:space="preserve">Albanie à mettre à jour ses </w:t>
            </w:r>
            <w:r w:rsidR="00EB663F" w:rsidRPr="000229AD">
              <w:rPr>
                <w:b/>
                <w:bCs/>
                <w:lang w:val="fr-FR"/>
              </w:rPr>
              <w:t>systèmes de cartographie du large bande</w:t>
            </w:r>
            <w:r w:rsidR="00EB663F" w:rsidRPr="000229AD">
              <w:rPr>
                <w:lang w:val="fr-FR"/>
              </w:rPr>
              <w:t>, et a organisé une formation sur la réglementation de cinquième génération en Bosnie-Herzégovine.</w:t>
            </w:r>
          </w:p>
          <w:p w14:paraId="612B2204" w14:textId="390BE64C" w:rsidR="00EB663F" w:rsidRPr="000229AD" w:rsidRDefault="00473BE4" w:rsidP="00716C22">
            <w:pPr>
              <w:pStyle w:val="Tabletext"/>
              <w:tabs>
                <w:tab w:val="clear" w:pos="284"/>
              </w:tabs>
              <w:spacing w:before="80"/>
              <w:ind w:left="311" w:hanging="311"/>
              <w:rPr>
                <w:rFonts w:cs="Calibri"/>
                <w:lang w:val="fr-FR"/>
              </w:rPr>
            </w:pPr>
            <w:r w:rsidRPr="000229AD">
              <w:rPr>
                <w:lang w:val="fr-FR"/>
              </w:rPr>
              <w:tab/>
            </w:r>
            <w:r w:rsidR="00EB663F" w:rsidRPr="000229AD">
              <w:rPr>
                <w:lang w:val="fr-FR"/>
              </w:rPr>
              <w:t>Une assistance technique a été fournie à l</w:t>
            </w:r>
            <w:r w:rsidR="00125408" w:rsidRPr="000229AD">
              <w:rPr>
                <w:lang w:val="fr-FR"/>
              </w:rPr>
              <w:t>'</w:t>
            </w:r>
            <w:r w:rsidR="00EB663F" w:rsidRPr="000229AD">
              <w:rPr>
                <w:lang w:val="fr-FR"/>
              </w:rPr>
              <w:t>Albanie pour l</w:t>
            </w:r>
            <w:r w:rsidR="00125408" w:rsidRPr="000229AD">
              <w:rPr>
                <w:lang w:val="fr-FR"/>
              </w:rPr>
              <w:t>'</w:t>
            </w:r>
            <w:r w:rsidR="00EB663F" w:rsidRPr="000229AD">
              <w:rPr>
                <w:lang w:val="fr-FR"/>
              </w:rPr>
              <w:t>élaboration de spécifications techniques visant à améliorer le système de cartographie large bande Atlas. L</w:t>
            </w:r>
            <w:r w:rsidR="00125408" w:rsidRPr="000229AD">
              <w:rPr>
                <w:lang w:val="fr-FR"/>
              </w:rPr>
              <w:t>'</w:t>
            </w:r>
            <w:r w:rsidR="00EB663F" w:rsidRPr="000229AD">
              <w:rPr>
                <w:lang w:val="fr-FR"/>
              </w:rPr>
              <w:t>objectif de ces spécifications est de renforcer la fonctionnalité des systèmes de cartographie large bande, afin de permettre à l</w:t>
            </w:r>
            <w:r w:rsidR="00125408" w:rsidRPr="000229AD">
              <w:rPr>
                <w:lang w:val="fr-FR"/>
              </w:rPr>
              <w:t>'</w:t>
            </w:r>
            <w:r w:rsidR="00EB663F" w:rsidRPr="000229AD">
              <w:rPr>
                <w:lang w:val="fr-FR"/>
              </w:rPr>
              <w:t>Autorité nationale de régulation et aux autres parties prenantes en Albanie d</w:t>
            </w:r>
            <w:r w:rsidR="00125408" w:rsidRPr="000229AD">
              <w:rPr>
                <w:lang w:val="fr-FR"/>
              </w:rPr>
              <w:t>'</w:t>
            </w:r>
            <w:r w:rsidR="00EB663F" w:rsidRPr="000229AD">
              <w:rPr>
                <w:lang w:val="fr-FR"/>
              </w:rPr>
              <w:t>utiliser plus efficacement les données de cartographie du large bande, ce qui permettrait en retour d</w:t>
            </w:r>
            <w:r w:rsidR="00125408" w:rsidRPr="000229AD">
              <w:rPr>
                <w:lang w:val="fr-FR"/>
              </w:rPr>
              <w:t>'</w:t>
            </w:r>
            <w:r w:rsidR="00EB663F" w:rsidRPr="000229AD">
              <w:rPr>
                <w:lang w:val="fr-FR"/>
              </w:rPr>
              <w:t>améliorer les processus décisionnels fondés sur des données factuelles et à promouvoir le développement de l</w:t>
            </w:r>
            <w:r w:rsidR="00125408" w:rsidRPr="000229AD">
              <w:rPr>
                <w:lang w:val="fr-FR"/>
              </w:rPr>
              <w:t>'</w:t>
            </w:r>
            <w:r w:rsidR="00EB663F" w:rsidRPr="000229AD">
              <w:rPr>
                <w:lang w:val="fr-FR"/>
              </w:rPr>
              <w:t>infrastructure numérique dans le pays.</w:t>
            </w:r>
          </w:p>
        </w:tc>
        <w:tc>
          <w:tcPr>
            <w:tcW w:w="2993" w:type="dxa"/>
            <w:shd w:val="clear" w:color="auto" w:fill="auto"/>
          </w:tcPr>
          <w:p w14:paraId="4EC4E113" w14:textId="3B32E427" w:rsidR="00EB663F" w:rsidRPr="000229AD" w:rsidRDefault="00EB663F" w:rsidP="00716C22">
            <w:pPr>
              <w:pStyle w:val="Tabletext"/>
              <w:spacing w:before="120"/>
              <w:rPr>
                <w:b/>
                <w:bCs/>
                <w:lang w:val="fr-FR"/>
              </w:rPr>
            </w:pPr>
            <w:r w:rsidRPr="000229AD">
              <w:rPr>
                <w:b/>
                <w:bCs/>
                <w:lang w:val="fr-FR"/>
              </w:rPr>
              <w:lastRenderedPageBreak/>
              <w:t>Cartographies du large bande:</w:t>
            </w:r>
          </w:p>
          <w:p w14:paraId="57EEC731" w14:textId="757BD142" w:rsidR="00EB663F" w:rsidRPr="000229AD" w:rsidRDefault="00473BE4" w:rsidP="00716C22">
            <w:pPr>
              <w:pStyle w:val="Tabletext"/>
              <w:tabs>
                <w:tab w:val="clear" w:pos="284"/>
              </w:tabs>
              <w:spacing w:before="80" w:after="0"/>
              <w:ind w:left="312" w:hanging="312"/>
              <w:rPr>
                <w:lang w:val="fr-FR"/>
              </w:rPr>
            </w:pPr>
            <w:r w:rsidRPr="000229AD">
              <w:rPr>
                <w:lang w:val="fr-FR"/>
              </w:rPr>
              <w:t>–</w:t>
            </w:r>
            <w:r w:rsidRPr="000229AD">
              <w:rPr>
                <w:lang w:val="fr-FR"/>
              </w:rPr>
              <w:tab/>
            </w:r>
            <w:r w:rsidR="00EB663F" w:rsidRPr="000229AD">
              <w:rPr>
                <w:b/>
                <w:bCs/>
                <w:lang w:val="fr-FR"/>
              </w:rPr>
              <w:t>Afrique</w:t>
            </w:r>
            <w:r w:rsidR="00EB663F" w:rsidRPr="000229AD">
              <w:rPr>
                <w:lang w:val="fr-FR"/>
              </w:rPr>
              <w:t>: Afrique du Sud, Bénin, Botswana, Ghana, Malawi, Namibie, Rwanda, Sierra Leone, Soudan du Sud, Zimbabwe.</w:t>
            </w:r>
          </w:p>
          <w:p w14:paraId="7E5C8807" w14:textId="6DEB4325" w:rsidR="00EB663F" w:rsidRPr="000229AD" w:rsidRDefault="00473BE4" w:rsidP="00716C22">
            <w:pPr>
              <w:pStyle w:val="Tabletext"/>
              <w:tabs>
                <w:tab w:val="clear" w:pos="284"/>
              </w:tabs>
              <w:spacing w:before="80" w:after="0"/>
              <w:ind w:left="312" w:hanging="312"/>
              <w:rPr>
                <w:lang w:val="fr-FR"/>
              </w:rPr>
            </w:pPr>
            <w:r w:rsidRPr="000229AD">
              <w:rPr>
                <w:lang w:val="fr-FR"/>
              </w:rPr>
              <w:t>–</w:t>
            </w:r>
            <w:r w:rsidRPr="000229AD">
              <w:rPr>
                <w:lang w:val="fr-FR"/>
              </w:rPr>
              <w:tab/>
            </w:r>
            <w:r w:rsidR="00EB663F" w:rsidRPr="000229AD">
              <w:rPr>
                <w:b/>
                <w:bCs/>
                <w:lang w:val="fr-FR"/>
              </w:rPr>
              <w:t>Amériques</w:t>
            </w:r>
            <w:r w:rsidR="00EB663F" w:rsidRPr="000229AD">
              <w:rPr>
                <w:lang w:val="fr-FR"/>
              </w:rPr>
              <w:t>: Barbade, Brésil, Costa Rica, El Salvador, Grenade, Honduras, Panama, Trinité</w:t>
            </w:r>
            <w:r w:rsidRPr="000229AD">
              <w:rPr>
                <w:lang w:val="fr-FR"/>
              </w:rPr>
              <w:noBreakHyphen/>
            </w:r>
            <w:r w:rsidR="00EB663F" w:rsidRPr="000229AD">
              <w:rPr>
                <w:lang w:val="fr-FR"/>
              </w:rPr>
              <w:t>et-Tobago.</w:t>
            </w:r>
          </w:p>
          <w:p w14:paraId="00A25D2D" w14:textId="7F2745EA" w:rsidR="00EB663F" w:rsidRPr="000229AD" w:rsidRDefault="00473BE4" w:rsidP="00716C22">
            <w:pPr>
              <w:pStyle w:val="Tabletext"/>
              <w:tabs>
                <w:tab w:val="clear" w:pos="284"/>
              </w:tabs>
              <w:spacing w:before="80" w:after="0"/>
              <w:ind w:left="312" w:hanging="312"/>
              <w:rPr>
                <w:lang w:val="fr-FR"/>
              </w:rPr>
            </w:pPr>
            <w:r w:rsidRPr="000229AD">
              <w:rPr>
                <w:lang w:val="fr-FR"/>
              </w:rPr>
              <w:t>–</w:t>
            </w:r>
            <w:r w:rsidRPr="000229AD">
              <w:rPr>
                <w:lang w:val="fr-FR"/>
              </w:rPr>
              <w:tab/>
            </w:r>
            <w:r w:rsidR="00EB663F" w:rsidRPr="000229AD">
              <w:rPr>
                <w:b/>
                <w:bCs/>
                <w:lang w:val="fr-FR"/>
              </w:rPr>
              <w:t>États arabes</w:t>
            </w:r>
            <w:r w:rsidR="00EB663F" w:rsidRPr="000229AD">
              <w:rPr>
                <w:lang w:val="fr-FR"/>
              </w:rPr>
              <w:t>: Soudan.</w:t>
            </w:r>
          </w:p>
          <w:p w14:paraId="1288C076" w14:textId="20B217F2" w:rsidR="00EB663F" w:rsidRPr="000229AD" w:rsidRDefault="00473BE4" w:rsidP="00716C22">
            <w:pPr>
              <w:pStyle w:val="Tabletext"/>
              <w:tabs>
                <w:tab w:val="clear" w:pos="284"/>
              </w:tabs>
              <w:spacing w:before="80" w:after="0"/>
              <w:ind w:left="312" w:hanging="312"/>
              <w:rPr>
                <w:lang w:val="fr-FR"/>
              </w:rPr>
            </w:pPr>
            <w:r w:rsidRPr="000229AD">
              <w:rPr>
                <w:lang w:val="fr-FR"/>
              </w:rPr>
              <w:t>–</w:t>
            </w:r>
            <w:r w:rsidRPr="000229AD">
              <w:rPr>
                <w:lang w:val="fr-FR"/>
              </w:rPr>
              <w:tab/>
            </w:r>
            <w:r w:rsidR="00EB663F" w:rsidRPr="000229AD">
              <w:rPr>
                <w:b/>
                <w:bCs/>
                <w:lang w:val="fr-FR"/>
              </w:rPr>
              <w:t>Asie-Pacifique</w:t>
            </w:r>
            <w:r w:rsidR="00EB663F" w:rsidRPr="000229AD">
              <w:rPr>
                <w:lang w:val="fr-FR"/>
              </w:rPr>
              <w:t>: Inde, Mongolie, Sri Lanka, Tonga.</w:t>
            </w:r>
          </w:p>
          <w:p w14:paraId="3CA5C66F" w14:textId="6B4D7527" w:rsidR="00EB663F" w:rsidRPr="000229AD" w:rsidRDefault="00473BE4" w:rsidP="00716C22">
            <w:pPr>
              <w:pStyle w:val="Tabletext"/>
              <w:tabs>
                <w:tab w:val="clear" w:pos="284"/>
              </w:tabs>
              <w:spacing w:before="80" w:after="0"/>
              <w:ind w:left="312" w:hanging="312"/>
              <w:rPr>
                <w:lang w:val="fr-FR"/>
              </w:rPr>
            </w:pPr>
            <w:r w:rsidRPr="000229AD">
              <w:rPr>
                <w:lang w:val="fr-FR"/>
              </w:rPr>
              <w:t>–</w:t>
            </w:r>
            <w:r w:rsidRPr="000229AD">
              <w:rPr>
                <w:lang w:val="fr-FR"/>
              </w:rPr>
              <w:tab/>
            </w:r>
            <w:r w:rsidR="00EB663F" w:rsidRPr="000229AD">
              <w:rPr>
                <w:b/>
                <w:bCs/>
                <w:lang w:val="fr-FR"/>
              </w:rPr>
              <w:t>CEI</w:t>
            </w:r>
            <w:r w:rsidR="00EB663F" w:rsidRPr="000229AD">
              <w:rPr>
                <w:lang w:val="fr-FR"/>
              </w:rPr>
              <w:t>: Arménie, Bélarus, Russie, Kazakhstan, Kirghizistan, Ouzbékistan.</w:t>
            </w:r>
          </w:p>
          <w:p w14:paraId="0CEA0893" w14:textId="6CBB3ABC" w:rsidR="00EB663F" w:rsidRPr="000229AD" w:rsidRDefault="00473BE4" w:rsidP="00716C22">
            <w:pPr>
              <w:pStyle w:val="Tabletext"/>
              <w:tabs>
                <w:tab w:val="clear" w:pos="284"/>
              </w:tabs>
              <w:spacing w:before="0" w:after="0"/>
              <w:ind w:left="312" w:hanging="312"/>
              <w:rPr>
                <w:lang w:val="fr-FR"/>
              </w:rPr>
            </w:pPr>
            <w:r w:rsidRPr="000229AD">
              <w:rPr>
                <w:lang w:val="fr-FR"/>
              </w:rPr>
              <w:lastRenderedPageBreak/>
              <w:t>–</w:t>
            </w:r>
            <w:r w:rsidRPr="000229AD">
              <w:rPr>
                <w:lang w:val="fr-FR"/>
              </w:rPr>
              <w:tab/>
            </w:r>
            <w:r w:rsidR="00EB663F" w:rsidRPr="000229AD">
              <w:rPr>
                <w:b/>
                <w:bCs/>
                <w:lang w:val="fr-FR"/>
              </w:rPr>
              <w:t>Europe</w:t>
            </w:r>
            <w:r w:rsidR="00EB663F" w:rsidRPr="000229AD">
              <w:rPr>
                <w:lang w:val="fr-FR"/>
              </w:rPr>
              <w:t>: Albanie, Bosnie</w:t>
            </w:r>
            <w:r w:rsidRPr="000229AD">
              <w:rPr>
                <w:lang w:val="fr-FR"/>
              </w:rPr>
              <w:noBreakHyphen/>
            </w:r>
            <w:r w:rsidR="00EB663F" w:rsidRPr="000229AD">
              <w:rPr>
                <w:lang w:val="fr-FR"/>
              </w:rPr>
              <w:t>Herzégovine, Bulgarie, Croatie, France, Géorgie, Israël, Lettonie, Macédoine du Nord, Monténégro, Pologne, Roumanie, Slovénie, Türkiye.</w:t>
            </w:r>
          </w:p>
        </w:tc>
      </w:tr>
      <w:tr w:rsidR="00EB663F" w:rsidRPr="000229AD" w14:paraId="17D2EE04" w14:textId="77777777" w:rsidTr="004D16BB">
        <w:trPr>
          <w:trHeight w:val="355"/>
        </w:trPr>
        <w:tc>
          <w:tcPr>
            <w:tcW w:w="3114" w:type="dxa"/>
            <w:shd w:val="clear" w:color="auto" w:fill="auto"/>
          </w:tcPr>
          <w:p w14:paraId="05633D22" w14:textId="727420A5" w:rsidR="00EB663F" w:rsidRPr="000229AD" w:rsidRDefault="00EB663F" w:rsidP="00716C22">
            <w:pPr>
              <w:pStyle w:val="Tabletext"/>
              <w:rPr>
                <w:b/>
                <w:bCs/>
                <w:lang w:val="fr-FR"/>
              </w:rPr>
            </w:pPr>
            <w:r w:rsidRPr="000229AD">
              <w:rPr>
                <w:b/>
                <w:bCs/>
                <w:lang w:val="fr-FR"/>
              </w:rPr>
              <w:lastRenderedPageBreak/>
              <w:t>Contribution à la réalisation des cibles des ODD</w:t>
            </w:r>
          </w:p>
        </w:tc>
        <w:tc>
          <w:tcPr>
            <w:tcW w:w="11754" w:type="dxa"/>
            <w:gridSpan w:val="2"/>
            <w:shd w:val="clear" w:color="auto" w:fill="auto"/>
          </w:tcPr>
          <w:p w14:paraId="4B2CFC2B" w14:textId="77777777" w:rsidR="00EB663F" w:rsidRPr="000229AD" w:rsidRDefault="00EB663F" w:rsidP="00716C22">
            <w:pPr>
              <w:pStyle w:val="Tabletext"/>
              <w:rPr>
                <w:lang w:val="fr-FR"/>
              </w:rPr>
            </w:pPr>
            <w:r w:rsidRPr="000229AD">
              <w:rPr>
                <w:lang w:val="fr-FR"/>
              </w:rPr>
              <w:t>1, 3, 4, 5, 8, 9, 10, 11, 16, 17</w:t>
            </w:r>
          </w:p>
        </w:tc>
      </w:tr>
      <w:tr w:rsidR="00EB663F" w:rsidRPr="000229AD" w14:paraId="049BEDF1" w14:textId="77777777" w:rsidTr="004D16BB">
        <w:trPr>
          <w:trHeight w:val="300"/>
        </w:trPr>
        <w:tc>
          <w:tcPr>
            <w:tcW w:w="3114" w:type="dxa"/>
          </w:tcPr>
          <w:p w14:paraId="1201D49D" w14:textId="6C155C77" w:rsidR="00EB663F" w:rsidRPr="000229AD" w:rsidRDefault="00EB663F" w:rsidP="00716C22">
            <w:pPr>
              <w:pStyle w:val="Tabletext"/>
              <w:rPr>
                <w:b/>
                <w:bCs/>
                <w:lang w:val="fr-FR"/>
              </w:rPr>
            </w:pPr>
            <w:r w:rsidRPr="000229AD">
              <w:rPr>
                <w:b/>
                <w:bCs/>
                <w:lang w:val="fr-FR"/>
              </w:rPr>
              <w:t>Grandes orientations du SMSI</w:t>
            </w:r>
          </w:p>
        </w:tc>
        <w:tc>
          <w:tcPr>
            <w:tcW w:w="11754" w:type="dxa"/>
            <w:gridSpan w:val="2"/>
          </w:tcPr>
          <w:p w14:paraId="6B46579C" w14:textId="77777777" w:rsidR="00EB663F" w:rsidRPr="000229AD" w:rsidRDefault="00EB663F" w:rsidP="00716C22">
            <w:pPr>
              <w:pStyle w:val="Tabletext"/>
              <w:rPr>
                <w:lang w:val="fr-FR"/>
              </w:rPr>
            </w:pPr>
            <w:r w:rsidRPr="000229AD">
              <w:rPr>
                <w:lang w:val="fr-FR"/>
              </w:rPr>
              <w:t>C1, C2, C3, C4, C5, C6, C7, C11</w:t>
            </w:r>
          </w:p>
        </w:tc>
      </w:tr>
      <w:tr w:rsidR="00EB663F" w:rsidRPr="000229AD" w14:paraId="6C744B26" w14:textId="77777777" w:rsidTr="004D16BB">
        <w:trPr>
          <w:trHeight w:val="300"/>
        </w:trPr>
        <w:tc>
          <w:tcPr>
            <w:tcW w:w="3114" w:type="dxa"/>
          </w:tcPr>
          <w:p w14:paraId="6D03EA2D" w14:textId="1F4A0FE6" w:rsidR="00EB663F" w:rsidRPr="000229AD" w:rsidRDefault="00EB663F" w:rsidP="00716C22">
            <w:pPr>
              <w:pStyle w:val="Tabletext"/>
              <w:rPr>
                <w:b/>
                <w:bCs/>
                <w:lang w:val="fr-FR"/>
              </w:rPr>
            </w:pPr>
            <w:r w:rsidRPr="000229AD">
              <w:rPr>
                <w:b/>
                <w:bCs/>
                <w:lang w:val="fr-FR"/>
              </w:rPr>
              <w:t>Résolutions</w:t>
            </w:r>
          </w:p>
        </w:tc>
        <w:tc>
          <w:tcPr>
            <w:tcW w:w="11754" w:type="dxa"/>
            <w:gridSpan w:val="2"/>
          </w:tcPr>
          <w:p w14:paraId="4A3B9FF5" w14:textId="77777777" w:rsidR="00EB663F" w:rsidRPr="000229AD" w:rsidRDefault="00EB663F" w:rsidP="00716C22">
            <w:pPr>
              <w:pStyle w:val="Tabletext"/>
              <w:rPr>
                <w:lang w:val="fr-FR"/>
              </w:rPr>
            </w:pPr>
            <w:r w:rsidRPr="000229AD">
              <w:rPr>
                <w:lang w:val="fr-FR"/>
              </w:rPr>
              <w:t>136 de la PP; 34, 43, 66 de la CMDT; 646, 647 de la CMR; Questions 1/1, 3/1, 5/1, 4/2.</w:t>
            </w:r>
          </w:p>
        </w:tc>
      </w:tr>
    </w:tbl>
    <w:p w14:paraId="3F741A1A" w14:textId="77777777" w:rsidR="004D16BB" w:rsidRPr="000229AD" w:rsidRDefault="004D16BB" w:rsidP="00716C22">
      <w:pPr>
        <w:tabs>
          <w:tab w:val="clear" w:pos="794"/>
          <w:tab w:val="clear" w:pos="1191"/>
          <w:tab w:val="clear" w:pos="1588"/>
          <w:tab w:val="clear" w:pos="1985"/>
        </w:tabs>
        <w:overflowPunct/>
        <w:autoSpaceDE/>
        <w:autoSpaceDN/>
        <w:adjustRightInd/>
        <w:spacing w:before="0"/>
        <w:textAlignment w:val="auto"/>
        <w:rPr>
          <w:lang w:val="fr-FR"/>
        </w:rPr>
      </w:pPr>
      <w:r w:rsidRPr="000229AD">
        <w:rPr>
          <w:lang w:val="fr-FR"/>
        </w:rPr>
        <w:br w:type="page"/>
      </w:r>
    </w:p>
    <w:tbl>
      <w:tblPr>
        <w:tblStyle w:val="TableGrid3"/>
        <w:tblW w:w="14879" w:type="dxa"/>
        <w:tblBorders>
          <w:top w:val="dotted" w:sz="4" w:space="0" w:color="0070C0"/>
          <w:left w:val="dotted" w:sz="4" w:space="0" w:color="0070C0"/>
          <w:bottom w:val="dotted" w:sz="4" w:space="0" w:color="0070C0"/>
          <w:right w:val="dotted" w:sz="4" w:space="0" w:color="0070C0"/>
          <w:insideH w:val="dotted" w:sz="4" w:space="0" w:color="0070C0"/>
          <w:insideV w:val="dotted" w:sz="4" w:space="0" w:color="0070C0"/>
        </w:tblBorders>
        <w:tblLayout w:type="fixed"/>
        <w:tblLook w:val="04A0" w:firstRow="1" w:lastRow="0" w:firstColumn="1" w:lastColumn="0" w:noHBand="0" w:noVBand="1"/>
      </w:tblPr>
      <w:tblGrid>
        <w:gridCol w:w="3114"/>
        <w:gridCol w:w="8731"/>
        <w:gridCol w:w="3034"/>
      </w:tblGrid>
      <w:tr w:rsidR="00281BF0" w:rsidRPr="000229AD" w14:paraId="5D97C644" w14:textId="77777777" w:rsidTr="00565E7A">
        <w:tc>
          <w:tcPr>
            <w:tcW w:w="14879" w:type="dxa"/>
            <w:gridSpan w:val="3"/>
            <w:tcBorders>
              <w:bottom w:val="dotted" w:sz="4" w:space="0" w:color="0070C0"/>
            </w:tcBorders>
            <w:shd w:val="clear" w:color="auto" w:fill="365F91" w:themeFill="accent1" w:themeFillShade="BF"/>
          </w:tcPr>
          <w:p w14:paraId="36FFFB73" w14:textId="3992C747" w:rsidR="00281BF0" w:rsidRPr="000229AD" w:rsidRDefault="00281BF0" w:rsidP="00716C22">
            <w:pPr>
              <w:pStyle w:val="Tablehead"/>
              <w:rPr>
                <w:color w:val="FFFFFF" w:themeColor="background1"/>
                <w:lang w:val="fr-FR"/>
              </w:rPr>
            </w:pPr>
            <w:r w:rsidRPr="000229AD">
              <w:rPr>
                <w:color w:val="FFFFFF" w:themeColor="background1"/>
                <w:lang w:val="fr-FR"/>
              </w:rPr>
              <w:lastRenderedPageBreak/>
              <w:t>Priorité 2 de l</w:t>
            </w:r>
            <w:r w:rsidR="00125408" w:rsidRPr="000229AD">
              <w:rPr>
                <w:color w:val="FFFFFF" w:themeColor="background1"/>
                <w:lang w:val="fr-FR"/>
              </w:rPr>
              <w:t>'</w:t>
            </w:r>
            <w:r w:rsidRPr="000229AD">
              <w:rPr>
                <w:color w:val="FFFFFF" w:themeColor="background1"/>
                <w:lang w:val="fr-FR"/>
              </w:rPr>
              <w:t>UIT-D: Transformation numérique</w:t>
            </w:r>
          </w:p>
          <w:p w14:paraId="155E4C0A" w14:textId="3BA8C9A8" w:rsidR="00281BF0" w:rsidRPr="000229AD" w:rsidRDefault="00281BF0" w:rsidP="00716C22">
            <w:pPr>
              <w:pStyle w:val="Tablehead"/>
              <w:rPr>
                <w:b w:val="0"/>
                <w:bCs/>
                <w:i/>
                <w:iCs/>
                <w:color w:val="FFFFFF" w:themeColor="background1"/>
                <w:lang w:val="fr-FR"/>
              </w:rPr>
            </w:pPr>
            <w:r w:rsidRPr="000229AD">
              <w:rPr>
                <w:i/>
                <w:iCs/>
                <w:color w:val="FFFFFF" w:themeColor="background1"/>
                <w:lang w:val="fr-FR"/>
              </w:rPr>
              <w:t>Accélérer la transformation numérique grâce à l</w:t>
            </w:r>
            <w:r w:rsidR="00125408" w:rsidRPr="000229AD">
              <w:rPr>
                <w:i/>
                <w:iCs/>
                <w:color w:val="FFFFFF" w:themeColor="background1"/>
                <w:lang w:val="fr-FR"/>
              </w:rPr>
              <w:t>'</w:t>
            </w:r>
            <w:r w:rsidRPr="000229AD">
              <w:rPr>
                <w:i/>
                <w:iCs/>
                <w:color w:val="FFFFFF" w:themeColor="background1"/>
                <w:lang w:val="fr-FR"/>
              </w:rPr>
              <w:t>entrepreneuriat dans le secteur des TIC et</w:t>
            </w:r>
            <w:r w:rsidR="00E42752" w:rsidRPr="000229AD">
              <w:rPr>
                <w:i/>
                <w:iCs/>
                <w:color w:val="FFFFFF" w:themeColor="background1"/>
                <w:lang w:val="fr-FR"/>
              </w:rPr>
              <w:br/>
            </w:r>
            <w:r w:rsidRPr="000229AD">
              <w:rPr>
                <w:i/>
                <w:iCs/>
                <w:color w:val="FFFFFF" w:themeColor="background1"/>
                <w:lang w:val="fr-FR"/>
              </w:rPr>
              <w:t>au renforcement de l</w:t>
            </w:r>
            <w:r w:rsidR="00125408" w:rsidRPr="000229AD">
              <w:rPr>
                <w:i/>
                <w:iCs/>
                <w:color w:val="FFFFFF" w:themeColor="background1"/>
                <w:lang w:val="fr-FR"/>
              </w:rPr>
              <w:t>'</w:t>
            </w:r>
            <w:r w:rsidRPr="000229AD">
              <w:rPr>
                <w:i/>
                <w:iCs/>
                <w:color w:val="FFFFFF" w:themeColor="background1"/>
                <w:lang w:val="fr-FR"/>
              </w:rPr>
              <w:t>innovation en matière de TIC dans l</w:t>
            </w:r>
            <w:r w:rsidR="00125408" w:rsidRPr="000229AD">
              <w:rPr>
                <w:i/>
                <w:iCs/>
                <w:color w:val="FFFFFF" w:themeColor="background1"/>
                <w:lang w:val="fr-FR"/>
              </w:rPr>
              <w:t>'</w:t>
            </w:r>
            <w:r w:rsidRPr="000229AD">
              <w:rPr>
                <w:i/>
                <w:iCs/>
                <w:color w:val="FFFFFF" w:themeColor="background1"/>
                <w:lang w:val="fr-FR"/>
              </w:rPr>
              <w:t>écosystème des TIC</w:t>
            </w:r>
          </w:p>
        </w:tc>
      </w:tr>
      <w:tr w:rsidR="00281BF0" w:rsidRPr="000229AD" w14:paraId="42D92F39" w14:textId="77777777" w:rsidTr="00565E7A">
        <w:tc>
          <w:tcPr>
            <w:tcW w:w="14879" w:type="dxa"/>
            <w:gridSpan w:val="3"/>
            <w:shd w:val="clear" w:color="auto" w:fill="E5DFEC" w:themeFill="accent4" w:themeFillTint="33"/>
          </w:tcPr>
          <w:p w14:paraId="229E061B" w14:textId="04CDBE38" w:rsidR="00281BF0" w:rsidRPr="000229AD" w:rsidRDefault="00281BF0" w:rsidP="00716C22">
            <w:pPr>
              <w:pStyle w:val="Tabletext"/>
              <w:spacing w:before="120"/>
              <w:rPr>
                <w:b/>
                <w:bCs/>
                <w:lang w:val="fr-FR"/>
              </w:rPr>
            </w:pPr>
            <w:r w:rsidRPr="000229AD">
              <w:rPr>
                <w:b/>
                <w:bCs/>
                <w:lang w:val="fr-FR"/>
              </w:rPr>
              <w:t>Écosystème de l</w:t>
            </w:r>
            <w:r w:rsidR="00125408" w:rsidRPr="000229AD">
              <w:rPr>
                <w:b/>
                <w:bCs/>
                <w:lang w:val="fr-FR"/>
              </w:rPr>
              <w:t>'</w:t>
            </w:r>
            <w:r w:rsidRPr="000229AD">
              <w:rPr>
                <w:b/>
                <w:bCs/>
                <w:lang w:val="fr-FR"/>
              </w:rPr>
              <w:t>innovation numérique</w:t>
            </w:r>
          </w:p>
          <w:p w14:paraId="235D06C3" w14:textId="7E2A08D0" w:rsidR="00281BF0" w:rsidRPr="000229AD" w:rsidRDefault="00281BF0" w:rsidP="00716C22">
            <w:pPr>
              <w:pStyle w:val="Tabletext"/>
              <w:spacing w:before="120"/>
              <w:rPr>
                <w:i/>
                <w:iCs/>
                <w:lang w:val="fr-FR"/>
              </w:rPr>
            </w:pPr>
            <w:r w:rsidRPr="000229AD">
              <w:rPr>
                <w:b/>
                <w:bCs/>
                <w:i/>
                <w:iCs/>
                <w:lang w:val="fr-FR"/>
              </w:rPr>
              <w:t>Réalisation</w:t>
            </w:r>
            <w:r w:rsidRPr="000229AD">
              <w:rPr>
                <w:i/>
                <w:iCs/>
                <w:lang w:val="fr-FR"/>
              </w:rPr>
              <w:t xml:space="preserve">: </w:t>
            </w:r>
            <w:r w:rsidR="00E42752" w:rsidRPr="000229AD">
              <w:rPr>
                <w:i/>
                <w:iCs/>
                <w:lang w:val="fr-FR"/>
              </w:rPr>
              <w:t>r</w:t>
            </w:r>
            <w:r w:rsidRPr="000229AD">
              <w:rPr>
                <w:i/>
                <w:iCs/>
                <w:lang w:val="fr-FR"/>
              </w:rPr>
              <w:t>enforcement des capacités humaines et institutionnelles des membres de l</w:t>
            </w:r>
            <w:r w:rsidR="00125408" w:rsidRPr="000229AD">
              <w:rPr>
                <w:i/>
                <w:iCs/>
                <w:lang w:val="fr-FR"/>
              </w:rPr>
              <w:t>'</w:t>
            </w:r>
            <w:r w:rsidRPr="000229AD">
              <w:rPr>
                <w:i/>
                <w:iCs/>
                <w:lang w:val="fr-FR"/>
              </w:rPr>
              <w:t>UIT dans le domaine des télécommunications/TIC pour favoriser la transformation numérique</w:t>
            </w:r>
            <w:r w:rsidR="00E42752" w:rsidRPr="000229AD">
              <w:rPr>
                <w:i/>
                <w:iCs/>
                <w:lang w:val="fr-FR"/>
              </w:rPr>
              <w:t>.</w:t>
            </w:r>
          </w:p>
        </w:tc>
      </w:tr>
      <w:tr w:rsidR="00281BF0" w:rsidRPr="000229AD" w14:paraId="55E86FC1" w14:textId="77777777" w:rsidTr="00565E7A">
        <w:tc>
          <w:tcPr>
            <w:tcW w:w="11845" w:type="dxa"/>
            <w:gridSpan w:val="2"/>
            <w:shd w:val="clear" w:color="auto" w:fill="auto"/>
          </w:tcPr>
          <w:p w14:paraId="20F56305" w14:textId="77777777" w:rsidR="00281BF0" w:rsidRPr="000229AD" w:rsidRDefault="00281BF0" w:rsidP="00716C22">
            <w:pPr>
              <w:pStyle w:val="Tablehead"/>
              <w:rPr>
                <w:rFonts w:eastAsia="Calibri" w:cs="Times New Roman"/>
                <w:lang w:val="fr-FR"/>
              </w:rPr>
            </w:pPr>
            <w:r w:rsidRPr="000229AD">
              <w:rPr>
                <w:lang w:val="fr-FR"/>
              </w:rPr>
              <w:t>Produit</w:t>
            </w:r>
          </w:p>
        </w:tc>
        <w:tc>
          <w:tcPr>
            <w:tcW w:w="3034" w:type="dxa"/>
            <w:shd w:val="clear" w:color="auto" w:fill="auto"/>
          </w:tcPr>
          <w:p w14:paraId="00E46AF8" w14:textId="77777777" w:rsidR="00281BF0" w:rsidRPr="000229AD" w:rsidRDefault="00281BF0" w:rsidP="00716C22">
            <w:pPr>
              <w:pStyle w:val="Tablehead"/>
              <w:rPr>
                <w:rFonts w:eastAsia="Calibri" w:cs="Times New Roman"/>
                <w:lang w:val="fr-FR"/>
              </w:rPr>
            </w:pPr>
            <w:r w:rsidRPr="000229AD">
              <w:rPr>
                <w:lang w:val="fr-FR"/>
              </w:rPr>
              <w:t>Points clés</w:t>
            </w:r>
          </w:p>
        </w:tc>
      </w:tr>
      <w:tr w:rsidR="00281BF0" w:rsidRPr="000229AD" w14:paraId="0C032ABA" w14:textId="77777777" w:rsidTr="00565E7A">
        <w:tc>
          <w:tcPr>
            <w:tcW w:w="11845" w:type="dxa"/>
            <w:gridSpan w:val="2"/>
            <w:vMerge w:val="restart"/>
          </w:tcPr>
          <w:p w14:paraId="511419C7" w14:textId="3E6045A1" w:rsidR="00281BF0" w:rsidRPr="000229AD" w:rsidRDefault="00281BF0" w:rsidP="00716C22">
            <w:pPr>
              <w:pStyle w:val="Tabletext"/>
              <w:spacing w:before="120" w:after="120"/>
              <w:rPr>
                <w:lang w:val="fr-FR"/>
              </w:rPr>
            </w:pPr>
            <w:r w:rsidRPr="000229AD">
              <w:rPr>
                <w:lang w:val="fr-FR"/>
              </w:rPr>
              <w:t>L</w:t>
            </w:r>
            <w:r w:rsidR="00125408" w:rsidRPr="000229AD">
              <w:rPr>
                <w:lang w:val="fr-FR"/>
              </w:rPr>
              <w:t>'</w:t>
            </w:r>
            <w:r w:rsidRPr="000229AD">
              <w:rPr>
                <w:lang w:val="fr-FR"/>
              </w:rPr>
              <w:t xml:space="preserve">UIT a continué à appuyer les États Membres </w:t>
            </w:r>
            <w:r w:rsidRPr="000229AD">
              <w:rPr>
                <w:b/>
                <w:bCs/>
                <w:lang w:val="fr-FR"/>
              </w:rPr>
              <w:t>engagés dans la transformation numérique</w:t>
            </w:r>
            <w:r w:rsidRPr="000229AD">
              <w:rPr>
                <w:lang w:val="fr-FR"/>
              </w:rPr>
              <w:t>, en fournissant des outils pour l</w:t>
            </w:r>
            <w:r w:rsidR="00125408" w:rsidRPr="000229AD">
              <w:rPr>
                <w:lang w:val="fr-FR"/>
              </w:rPr>
              <w:t>'</w:t>
            </w:r>
            <w:r w:rsidRPr="000229AD">
              <w:rPr>
                <w:lang w:val="fr-FR"/>
              </w:rPr>
              <w:t>élaboration de politiques, en proposant des activités de renforcement des capacités, en apportant une assistance technique et en mettant en œuvre des projets visant à promouvoir l</w:t>
            </w:r>
            <w:r w:rsidR="00125408" w:rsidRPr="000229AD">
              <w:rPr>
                <w:lang w:val="fr-FR"/>
              </w:rPr>
              <w:t>'</w:t>
            </w:r>
            <w:r w:rsidRPr="000229AD">
              <w:rPr>
                <w:lang w:val="fr-FR"/>
              </w:rPr>
              <w:t xml:space="preserve">innovation. </w:t>
            </w:r>
          </w:p>
          <w:p w14:paraId="0B2DC45C" w14:textId="4AF07704" w:rsidR="00281BF0" w:rsidRPr="000229AD" w:rsidRDefault="00281BF0" w:rsidP="00716C22">
            <w:pPr>
              <w:pStyle w:val="Tabletext"/>
              <w:spacing w:after="120"/>
              <w:rPr>
                <w:lang w:val="fr-FR"/>
              </w:rPr>
            </w:pPr>
            <w:r w:rsidRPr="000229AD">
              <w:rPr>
                <w:lang w:val="fr-FR"/>
              </w:rPr>
              <w:t>L</w:t>
            </w:r>
            <w:r w:rsidR="00125408" w:rsidRPr="000229AD">
              <w:rPr>
                <w:lang w:val="fr-FR"/>
              </w:rPr>
              <w:t>'</w:t>
            </w:r>
            <w:hyperlink r:id="rId24" w:history="1">
              <w:r w:rsidRPr="000229AD">
                <w:rPr>
                  <w:rStyle w:val="Hyperlink"/>
                  <w:b/>
                  <w:bCs/>
                  <w:lang w:val="fr-FR"/>
                </w:rPr>
                <w:t>Alliance de l</w:t>
              </w:r>
              <w:r w:rsidR="00125408" w:rsidRPr="000229AD">
                <w:rPr>
                  <w:rStyle w:val="Hyperlink"/>
                  <w:b/>
                  <w:bCs/>
                  <w:lang w:val="fr-FR"/>
                </w:rPr>
                <w:t>'</w:t>
              </w:r>
              <w:r w:rsidRPr="000229AD">
                <w:rPr>
                  <w:rStyle w:val="Hyperlink"/>
                  <w:b/>
                  <w:bCs/>
                  <w:lang w:val="fr-FR"/>
                </w:rPr>
                <w:t>innovation et de l</w:t>
              </w:r>
              <w:r w:rsidR="00125408" w:rsidRPr="000229AD">
                <w:rPr>
                  <w:rStyle w:val="Hyperlink"/>
                  <w:b/>
                  <w:bCs/>
                  <w:lang w:val="fr-FR"/>
                </w:rPr>
                <w:t>'</w:t>
              </w:r>
              <w:r w:rsidRPr="000229AD">
                <w:rPr>
                  <w:rStyle w:val="Hyperlink"/>
                  <w:b/>
                  <w:bCs/>
                  <w:lang w:val="fr-FR"/>
                </w:rPr>
                <w:t>entrepreneuriat au service du développement du numérique</w:t>
              </w:r>
            </w:hyperlink>
            <w:r w:rsidRPr="000229AD">
              <w:rPr>
                <w:lang w:val="fr-FR"/>
              </w:rPr>
              <w:t xml:space="preserve"> a été créée. Les États Membres ont été invités, dans le cadre d</w:t>
            </w:r>
            <w:r w:rsidR="00125408" w:rsidRPr="000229AD">
              <w:rPr>
                <w:lang w:val="fr-FR"/>
              </w:rPr>
              <w:t>'</w:t>
            </w:r>
            <w:r w:rsidRPr="000229AD">
              <w:rPr>
                <w:lang w:val="fr-FR"/>
              </w:rPr>
              <w:t>un appel ouvert, à manifester leur intérêt pour accueillir les centres d</w:t>
            </w:r>
            <w:r w:rsidR="00125408" w:rsidRPr="000229AD">
              <w:rPr>
                <w:lang w:val="fr-FR"/>
              </w:rPr>
              <w:t>'</w:t>
            </w:r>
            <w:r w:rsidRPr="000229AD">
              <w:rPr>
                <w:lang w:val="fr-FR"/>
              </w:rPr>
              <w:t>accélération dans leur pays. Des critères avaient été fixés pour la sélection des entités hôtes proposées. Cet exercice a permis de sélectionner 17 centres d</w:t>
            </w:r>
            <w:r w:rsidR="00125408" w:rsidRPr="000229AD">
              <w:rPr>
                <w:lang w:val="fr-FR"/>
              </w:rPr>
              <w:t>'</w:t>
            </w:r>
            <w:r w:rsidRPr="000229AD">
              <w:rPr>
                <w:lang w:val="fr-FR"/>
              </w:rPr>
              <w:t>accélération dans l</w:t>
            </w:r>
            <w:r w:rsidR="00125408" w:rsidRPr="000229AD">
              <w:rPr>
                <w:lang w:val="fr-FR"/>
              </w:rPr>
              <w:t>'</w:t>
            </w:r>
            <w:r w:rsidRPr="000229AD">
              <w:rPr>
                <w:lang w:val="fr-FR"/>
              </w:rPr>
              <w:t>ensemble des régions. De plus amples informations sur ces centres sont disponibles à l</w:t>
            </w:r>
            <w:r w:rsidR="00125408" w:rsidRPr="000229AD">
              <w:rPr>
                <w:lang w:val="fr-FR"/>
              </w:rPr>
              <w:t>'</w:t>
            </w:r>
            <w:r w:rsidRPr="000229AD">
              <w:rPr>
                <w:lang w:val="fr-FR"/>
              </w:rPr>
              <w:t xml:space="preserve">adresse suivante: </w:t>
            </w:r>
            <w:hyperlink r:id="rId25" w:history="1">
              <w:r w:rsidR="001A4175" w:rsidRPr="000229AD">
                <w:rPr>
                  <w:rStyle w:val="Hyperlink"/>
                  <w:lang w:val="fr-FR"/>
                </w:rPr>
                <w:t>https://www.itu.int/itu-d/sites/innovation-alliance/events/news/</w:t>
              </w:r>
            </w:hyperlink>
            <w:r w:rsidRPr="000229AD">
              <w:rPr>
                <w:lang w:val="fr-FR"/>
              </w:rPr>
              <w:t>. En outre, un appel à manifestation d</w:t>
            </w:r>
            <w:r w:rsidR="00125408" w:rsidRPr="000229AD">
              <w:rPr>
                <w:lang w:val="fr-FR"/>
              </w:rPr>
              <w:t>'</w:t>
            </w:r>
            <w:r w:rsidRPr="000229AD">
              <w:rPr>
                <w:lang w:val="fr-FR"/>
              </w:rPr>
              <w:t>intérêt a également été lancé aux personnes qualifiées pour faire partie du conseil d</w:t>
            </w:r>
            <w:r w:rsidR="00125408" w:rsidRPr="000229AD">
              <w:rPr>
                <w:lang w:val="fr-FR"/>
              </w:rPr>
              <w:t>'</w:t>
            </w:r>
            <w:r w:rsidRPr="000229AD">
              <w:rPr>
                <w:lang w:val="fr-FR"/>
              </w:rPr>
              <w:t>administration de l</w:t>
            </w:r>
            <w:r w:rsidR="00125408" w:rsidRPr="000229AD">
              <w:rPr>
                <w:lang w:val="fr-FR"/>
              </w:rPr>
              <w:t>'</w:t>
            </w:r>
            <w:r w:rsidRPr="000229AD">
              <w:rPr>
                <w:lang w:val="fr-FR"/>
              </w:rPr>
              <w:t>initiative. Vingt-trois membres du Conseil ont ainsi été choisis sur la base de leur expérience, de leurs compétences et de leurs connaissances. Les membres du Conseil siègent à titre individuel et participent à titre gracieux. Le Conseil a tenu sa première réunion les 19 et 20 mars 2024 à Genève. Pour aider les pays qui pourraient avoir besoin d</w:t>
            </w:r>
            <w:r w:rsidR="00125408" w:rsidRPr="000229AD">
              <w:rPr>
                <w:lang w:val="fr-FR"/>
              </w:rPr>
              <w:t>'</w:t>
            </w:r>
            <w:r w:rsidRPr="000229AD">
              <w:rPr>
                <w:lang w:val="fr-FR"/>
              </w:rPr>
              <w:t>un appui particulier, un laboratoire de transformation a été créé au sein du BDT à Genève. Pour obtenir de plus amples informations sur cette initiative, voir le Document 16 du GCDT.</w:t>
            </w:r>
          </w:p>
          <w:p w14:paraId="75D2A176" w14:textId="4A88D288" w:rsidR="00281BF0" w:rsidRPr="000229AD" w:rsidRDefault="00281BF0" w:rsidP="00716C22">
            <w:pPr>
              <w:pStyle w:val="Tabletext"/>
              <w:spacing w:after="120"/>
              <w:rPr>
                <w:lang w:val="fr-FR"/>
              </w:rPr>
            </w:pPr>
            <w:r w:rsidRPr="000229AD">
              <w:rPr>
                <w:lang w:val="fr-FR"/>
              </w:rPr>
              <w:t>Le BDT a continué d</w:t>
            </w:r>
            <w:r w:rsidR="00125408" w:rsidRPr="000229AD">
              <w:rPr>
                <w:lang w:val="fr-FR"/>
              </w:rPr>
              <w:t>'</w:t>
            </w:r>
            <w:r w:rsidRPr="000229AD">
              <w:rPr>
                <w:lang w:val="fr-FR"/>
              </w:rPr>
              <w:t>appuyer le développement des profils d</w:t>
            </w:r>
            <w:r w:rsidR="00125408" w:rsidRPr="000229AD">
              <w:rPr>
                <w:lang w:val="fr-FR"/>
              </w:rPr>
              <w:t>'</w:t>
            </w:r>
            <w:r w:rsidRPr="000229AD">
              <w:rPr>
                <w:lang w:val="fr-FR"/>
              </w:rPr>
              <w:t>innovation numérique et de l</w:t>
            </w:r>
            <w:r w:rsidR="00125408" w:rsidRPr="000229AD">
              <w:rPr>
                <w:lang w:val="fr-FR"/>
              </w:rPr>
              <w:t>'</w:t>
            </w:r>
            <w:r w:rsidRPr="000229AD">
              <w:rPr>
                <w:lang w:val="fr-FR"/>
              </w:rPr>
              <w:t>assistance technique partagée. Des cours et des ateliers en ligne sont actuellement proposés.</w:t>
            </w:r>
          </w:p>
          <w:p w14:paraId="2C8913DF" w14:textId="14F10136" w:rsidR="00281BF0" w:rsidRPr="000229AD" w:rsidRDefault="00281BF0" w:rsidP="00716C22">
            <w:pPr>
              <w:pStyle w:val="Tabletext"/>
              <w:spacing w:after="120"/>
              <w:rPr>
                <w:lang w:val="fr-FR"/>
              </w:rPr>
            </w:pPr>
            <w:r w:rsidRPr="000229AD">
              <w:rPr>
                <w:lang w:val="fr-FR"/>
              </w:rPr>
              <w:t xml:space="preserve">Le BDT a formé plus de 250 parties prenantes dans le monde entier, </w:t>
            </w:r>
            <w:r w:rsidRPr="000229AD">
              <w:rPr>
                <w:b/>
                <w:bCs/>
                <w:lang w:val="fr-FR"/>
              </w:rPr>
              <w:t>renforçant ce faisant la capacité des décideurs, des responsables, des innovateurs et des créateurs d</w:t>
            </w:r>
            <w:r w:rsidR="00125408" w:rsidRPr="000229AD">
              <w:rPr>
                <w:b/>
                <w:bCs/>
                <w:lang w:val="fr-FR"/>
              </w:rPr>
              <w:t>'</w:t>
            </w:r>
            <w:r w:rsidRPr="000229AD">
              <w:rPr>
                <w:b/>
                <w:bCs/>
                <w:lang w:val="fr-FR"/>
              </w:rPr>
              <w:t>écosystèmes à créer des communautés d</w:t>
            </w:r>
            <w:r w:rsidR="00125408" w:rsidRPr="000229AD">
              <w:rPr>
                <w:b/>
                <w:bCs/>
                <w:lang w:val="fr-FR"/>
              </w:rPr>
              <w:t>'</w:t>
            </w:r>
            <w:r w:rsidRPr="000229AD">
              <w:rPr>
                <w:b/>
                <w:bCs/>
                <w:lang w:val="fr-FR"/>
              </w:rPr>
              <w:t>entrepreneurs dynamiques et à stimuler la compétitivité des secteurs des TIC</w:t>
            </w:r>
            <w:r w:rsidRPr="000229AD">
              <w:rPr>
                <w:lang w:val="fr-FR"/>
              </w:rPr>
              <w:t>. Un nouveau cours sur la vision stratégique a été élaboré pour la plate-forme de l</w:t>
            </w:r>
            <w:r w:rsidR="00125408" w:rsidRPr="000229AD">
              <w:rPr>
                <w:lang w:val="fr-FR"/>
              </w:rPr>
              <w:t>'</w:t>
            </w:r>
            <w:r w:rsidRPr="000229AD">
              <w:rPr>
                <w:lang w:val="fr-FR"/>
              </w:rPr>
              <w:t>Académie de l</w:t>
            </w:r>
            <w:r w:rsidR="00125408" w:rsidRPr="000229AD">
              <w:rPr>
                <w:lang w:val="fr-FR"/>
              </w:rPr>
              <w:t>'</w:t>
            </w:r>
            <w:r w:rsidRPr="000229AD">
              <w:rPr>
                <w:lang w:val="fr-FR"/>
              </w:rPr>
              <w:t>UIT. Il a été dispensé en mars 2024.</w:t>
            </w:r>
          </w:p>
          <w:p w14:paraId="21CC09FC" w14:textId="7709FDE0" w:rsidR="00281BF0" w:rsidRPr="000229AD" w:rsidRDefault="00281BF0" w:rsidP="00716C22">
            <w:pPr>
              <w:pStyle w:val="Tabletext"/>
              <w:spacing w:after="120"/>
              <w:rPr>
                <w:rFonts w:ascii="Calibri" w:eastAsia="Calibri" w:hAnsi="Calibri" w:cs="Calibri"/>
                <w:lang w:val="fr-FR"/>
              </w:rPr>
            </w:pPr>
            <w:r w:rsidRPr="000229AD">
              <w:rPr>
                <w:lang w:val="fr-FR"/>
              </w:rPr>
              <w:t>Le BDT a également organisé de nombreux forums de haut niveau, dont la manifestation parallèle intitulée "Innovation et esprit d</w:t>
            </w:r>
            <w:r w:rsidR="00125408" w:rsidRPr="000229AD">
              <w:rPr>
                <w:lang w:val="fr-FR"/>
              </w:rPr>
              <w:t>'</w:t>
            </w:r>
            <w:r w:rsidRPr="000229AD">
              <w:rPr>
                <w:lang w:val="fr-FR"/>
              </w:rPr>
              <w:t>entreprise au service des ODD" au Congrès indien sur la téléphonie mobile, ainsi que le Forum régional sur l</w:t>
            </w:r>
            <w:r w:rsidR="00125408" w:rsidRPr="000229AD">
              <w:rPr>
                <w:lang w:val="fr-FR"/>
              </w:rPr>
              <w:t>'</w:t>
            </w:r>
            <w:r w:rsidRPr="000229AD">
              <w:rPr>
                <w:lang w:val="fr-FR"/>
              </w:rPr>
              <w:t>innovation pour la région Asie-Pacifique, qui visait à favoriser l</w:t>
            </w:r>
            <w:r w:rsidR="00125408" w:rsidRPr="000229AD">
              <w:rPr>
                <w:lang w:val="fr-FR"/>
              </w:rPr>
              <w:t>'</w:t>
            </w:r>
            <w:r w:rsidRPr="000229AD">
              <w:rPr>
                <w:lang w:val="fr-FR"/>
              </w:rPr>
              <w:t>échange de données d</w:t>
            </w:r>
            <w:r w:rsidR="00125408" w:rsidRPr="000229AD">
              <w:rPr>
                <w:lang w:val="fr-FR"/>
              </w:rPr>
              <w:t>'</w:t>
            </w:r>
            <w:r w:rsidRPr="000229AD">
              <w:rPr>
                <w:lang w:val="fr-FR"/>
              </w:rPr>
              <w:t>expérience et à mieux comprendre comment intégrer des écosystèmes durables pour stimuler la transformation numérique.</w:t>
            </w:r>
          </w:p>
          <w:p w14:paraId="2BA7D653" w14:textId="29384912" w:rsidR="00281BF0" w:rsidRPr="000229AD" w:rsidRDefault="00281BF0" w:rsidP="00716C22">
            <w:pPr>
              <w:pStyle w:val="Tabletext"/>
              <w:spacing w:after="120"/>
              <w:rPr>
                <w:lang w:val="fr-FR"/>
              </w:rPr>
            </w:pPr>
            <w:r w:rsidRPr="000229AD">
              <w:rPr>
                <w:lang w:val="fr-FR"/>
              </w:rPr>
              <w:lastRenderedPageBreak/>
              <w:t>Grâce aux profils d</w:t>
            </w:r>
            <w:r w:rsidR="00125408" w:rsidRPr="000229AD">
              <w:rPr>
                <w:lang w:val="fr-FR"/>
              </w:rPr>
              <w:t>'</w:t>
            </w:r>
            <w:r w:rsidRPr="000229AD">
              <w:rPr>
                <w:lang w:val="fr-FR"/>
              </w:rPr>
              <w:t>innovation numérique de l</w:t>
            </w:r>
            <w:r w:rsidR="00125408" w:rsidRPr="000229AD">
              <w:rPr>
                <w:lang w:val="fr-FR"/>
              </w:rPr>
              <w:t>'</w:t>
            </w:r>
            <w:r w:rsidRPr="000229AD">
              <w:rPr>
                <w:lang w:val="fr-FR"/>
              </w:rPr>
              <w:t>UIT, les États Membres ont obtenu des évaluations précises de leur écosystème ainsi que des propositions de stratégies visant à orienter leurs politiques nationales, notamment en ce qui concerne l</w:t>
            </w:r>
            <w:r w:rsidR="00125408" w:rsidRPr="000229AD">
              <w:rPr>
                <w:lang w:val="fr-FR"/>
              </w:rPr>
              <w:t>'</w:t>
            </w:r>
            <w:r w:rsidRPr="000229AD">
              <w:rPr>
                <w:lang w:val="fr-FR"/>
              </w:rPr>
              <w:t>économie numérique et les plans directeurs s</w:t>
            </w:r>
            <w:r w:rsidR="00125408" w:rsidRPr="000229AD">
              <w:rPr>
                <w:lang w:val="fr-FR"/>
              </w:rPr>
              <w:t>'</w:t>
            </w:r>
            <w:r w:rsidRPr="000229AD">
              <w:rPr>
                <w:lang w:val="fr-FR"/>
              </w:rPr>
              <w:t>y rapportant. Les principales recommandations de ces évaluations mettent en évidence un environnement dynamique propice à l</w:t>
            </w:r>
            <w:r w:rsidR="00125408" w:rsidRPr="000229AD">
              <w:rPr>
                <w:lang w:val="fr-FR"/>
              </w:rPr>
              <w:t>'</w:t>
            </w:r>
            <w:r w:rsidRPr="000229AD">
              <w:rPr>
                <w:lang w:val="fr-FR"/>
              </w:rPr>
              <w:t>innovation axée sur les TIC.</w:t>
            </w:r>
          </w:p>
          <w:p w14:paraId="60D5F675" w14:textId="3C75FD58" w:rsidR="00281BF0" w:rsidRPr="000229AD" w:rsidRDefault="00281BF0" w:rsidP="00716C22">
            <w:pPr>
              <w:pStyle w:val="Tabletext"/>
              <w:spacing w:after="120"/>
              <w:rPr>
                <w:lang w:val="fr-FR"/>
              </w:rPr>
            </w:pPr>
            <w:r w:rsidRPr="000229AD">
              <w:rPr>
                <w:lang w:val="fr-FR"/>
              </w:rPr>
              <w:t>D</w:t>
            </w:r>
            <w:r w:rsidR="00125408" w:rsidRPr="000229AD">
              <w:rPr>
                <w:lang w:val="fr-FR"/>
              </w:rPr>
              <w:t>'</w:t>
            </w:r>
            <w:r w:rsidRPr="000229AD">
              <w:rPr>
                <w:lang w:val="fr-FR"/>
              </w:rPr>
              <w:t>importants progrès ont été accomplis dans la conception et l</w:t>
            </w:r>
            <w:r w:rsidR="00125408" w:rsidRPr="000229AD">
              <w:rPr>
                <w:lang w:val="fr-FR"/>
              </w:rPr>
              <w:t>'</w:t>
            </w:r>
            <w:r w:rsidRPr="000229AD">
              <w:rPr>
                <w:b/>
                <w:bCs/>
                <w:lang w:val="fr-FR"/>
              </w:rPr>
              <w:t>élaboration de plusieurs manuels visant à accélérer la transformation numérique et à combler le fossé de l</w:t>
            </w:r>
            <w:r w:rsidR="00125408" w:rsidRPr="000229AD">
              <w:rPr>
                <w:b/>
                <w:bCs/>
                <w:lang w:val="fr-FR"/>
              </w:rPr>
              <w:t>'</w:t>
            </w:r>
            <w:r w:rsidRPr="000229AD">
              <w:rPr>
                <w:b/>
                <w:bCs/>
                <w:lang w:val="fr-FR"/>
              </w:rPr>
              <w:t>innovation dans le secteur numérique</w:t>
            </w:r>
            <w:r w:rsidRPr="000229AD">
              <w:rPr>
                <w:lang w:val="fr-FR"/>
              </w:rPr>
              <w:t>. Le manuel sur la vision stratégique a été présenté dans le cadre de deux ateliers sur la capacité d</w:t>
            </w:r>
            <w:r w:rsidR="00125408" w:rsidRPr="000229AD">
              <w:rPr>
                <w:lang w:val="fr-FR"/>
              </w:rPr>
              <w:t>'</w:t>
            </w:r>
            <w:r w:rsidRPr="000229AD">
              <w:rPr>
                <w:lang w:val="fr-FR"/>
              </w:rPr>
              <w:t>étudier et d</w:t>
            </w:r>
            <w:r w:rsidR="00125408" w:rsidRPr="000229AD">
              <w:rPr>
                <w:lang w:val="fr-FR"/>
              </w:rPr>
              <w:t>'</w:t>
            </w:r>
            <w:r w:rsidRPr="000229AD">
              <w:rPr>
                <w:lang w:val="fr-FR"/>
              </w:rPr>
              <w:t>anticiper les grandes tendances (l</w:t>
            </w:r>
            <w:r w:rsidR="00125408" w:rsidRPr="000229AD">
              <w:rPr>
                <w:lang w:val="fr-FR"/>
              </w:rPr>
              <w:t>'</w:t>
            </w:r>
            <w:r w:rsidRPr="000229AD">
              <w:rPr>
                <w:lang w:val="fr-FR"/>
              </w:rPr>
              <w:t>atelier sur la capacité d</w:t>
            </w:r>
            <w:r w:rsidR="00125408" w:rsidRPr="000229AD">
              <w:rPr>
                <w:lang w:val="fr-FR"/>
              </w:rPr>
              <w:t>'</w:t>
            </w:r>
            <w:r w:rsidRPr="000229AD">
              <w:rPr>
                <w:lang w:val="fr-FR"/>
              </w:rPr>
              <w:t>étudier et d</w:t>
            </w:r>
            <w:r w:rsidR="00125408" w:rsidRPr="000229AD">
              <w:rPr>
                <w:lang w:val="fr-FR"/>
              </w:rPr>
              <w:t>'</w:t>
            </w:r>
            <w:r w:rsidRPr="000229AD">
              <w:rPr>
                <w:lang w:val="fr-FR"/>
              </w:rPr>
              <w:t>anticiper les tendances en matière de soins de santé sur le dernier kilomètre, tenu à Lucknow en juillet 2023, et l</w:t>
            </w:r>
            <w:r w:rsidR="00125408" w:rsidRPr="000229AD">
              <w:rPr>
                <w:lang w:val="fr-FR"/>
              </w:rPr>
              <w:t>'</w:t>
            </w:r>
            <w:r w:rsidRPr="000229AD">
              <w:rPr>
                <w:lang w:val="fr-FR"/>
              </w:rPr>
              <w:t>atelier sur la vision stratégique, tenu à New Delhi en octobre 2023). En outre, le BDT a élaboré plusieurs manuels supplémentaires, qui sont actuellement au stade d</w:t>
            </w:r>
            <w:r w:rsidR="00125408" w:rsidRPr="000229AD">
              <w:rPr>
                <w:lang w:val="fr-FR"/>
              </w:rPr>
              <w:t>'</w:t>
            </w:r>
            <w:r w:rsidRPr="000229AD">
              <w:rPr>
                <w:lang w:val="fr-FR"/>
              </w:rPr>
              <w:t>évaluation avant leur diffusion dans le réseau des centres d</w:t>
            </w:r>
            <w:r w:rsidR="00125408" w:rsidRPr="000229AD">
              <w:rPr>
                <w:lang w:val="fr-FR"/>
              </w:rPr>
              <w:t>'</w:t>
            </w:r>
            <w:r w:rsidRPr="000229AD">
              <w:rPr>
                <w:lang w:val="fr-FR"/>
              </w:rPr>
              <w:t>accélération de l</w:t>
            </w:r>
            <w:r w:rsidR="00125408" w:rsidRPr="000229AD">
              <w:rPr>
                <w:lang w:val="fr-FR"/>
              </w:rPr>
              <w:t>'</w:t>
            </w:r>
            <w:r w:rsidRPr="000229AD">
              <w:rPr>
                <w:lang w:val="fr-FR"/>
              </w:rPr>
              <w:t>UIT.</w:t>
            </w:r>
          </w:p>
          <w:p w14:paraId="0B5CCB36" w14:textId="06F09256" w:rsidR="00281BF0" w:rsidRPr="000229AD" w:rsidRDefault="00281BF0" w:rsidP="00716C22">
            <w:pPr>
              <w:pStyle w:val="Tabletext"/>
              <w:spacing w:after="120"/>
              <w:rPr>
                <w:lang w:val="fr-FR"/>
              </w:rPr>
            </w:pPr>
            <w:r w:rsidRPr="000229AD">
              <w:rPr>
                <w:b/>
                <w:bCs/>
                <w:lang w:val="fr-FR"/>
              </w:rPr>
              <w:t>Dans la région Europe</w:t>
            </w:r>
            <w:r w:rsidRPr="000229AD">
              <w:rPr>
                <w:lang w:val="fr-FR"/>
              </w:rPr>
              <w:t>, le BDT achève actuellement la mise au point du profil d</w:t>
            </w:r>
            <w:r w:rsidR="00125408" w:rsidRPr="000229AD">
              <w:rPr>
                <w:lang w:val="fr-FR"/>
              </w:rPr>
              <w:t>'</w:t>
            </w:r>
            <w:r w:rsidRPr="000229AD">
              <w:rPr>
                <w:lang w:val="fr-FR"/>
              </w:rPr>
              <w:t>innovation numérique de l</w:t>
            </w:r>
            <w:r w:rsidR="00125408" w:rsidRPr="000229AD">
              <w:rPr>
                <w:lang w:val="fr-FR"/>
              </w:rPr>
              <w:t>'</w:t>
            </w:r>
            <w:r w:rsidRPr="000229AD">
              <w:rPr>
                <w:lang w:val="fr-FR"/>
              </w:rPr>
              <w:t>Albanie, conformément à l</w:t>
            </w:r>
            <w:r w:rsidR="00125408" w:rsidRPr="000229AD">
              <w:rPr>
                <w:lang w:val="fr-FR"/>
              </w:rPr>
              <w:t>'</w:t>
            </w:r>
            <w:r w:rsidRPr="000229AD">
              <w:rPr>
                <w:lang w:val="fr-FR"/>
              </w:rPr>
              <w:t>ambitieuse stratégie de spécialisation intelligente du pays. Cette phase, appuyée par le lancement d</w:t>
            </w:r>
            <w:r w:rsidR="00125408" w:rsidRPr="000229AD">
              <w:rPr>
                <w:lang w:val="fr-FR"/>
              </w:rPr>
              <w:t>'</w:t>
            </w:r>
            <w:r w:rsidRPr="000229AD">
              <w:rPr>
                <w:lang w:val="fr-FR"/>
              </w:rPr>
              <w:t>un comité interministériel en février 2023 animé par la Vice-Première Ministre, vise à favoriser la croissance économique par le développement innovant et durable du secteur des TIC. Le profil d</w:t>
            </w:r>
            <w:r w:rsidR="00125408" w:rsidRPr="000229AD">
              <w:rPr>
                <w:lang w:val="fr-FR"/>
              </w:rPr>
              <w:t>'</w:t>
            </w:r>
            <w:r w:rsidRPr="000229AD">
              <w:rPr>
                <w:lang w:val="fr-FR"/>
              </w:rPr>
              <w:t>innovation numérique offrira un aperçu complet de l</w:t>
            </w:r>
            <w:r w:rsidR="00125408" w:rsidRPr="000229AD">
              <w:rPr>
                <w:lang w:val="fr-FR"/>
              </w:rPr>
              <w:t>'</w:t>
            </w:r>
            <w:r w:rsidRPr="000229AD">
              <w:rPr>
                <w:lang w:val="fr-FR"/>
              </w:rPr>
              <w:t>environnement numérique de l</w:t>
            </w:r>
            <w:r w:rsidR="00125408" w:rsidRPr="000229AD">
              <w:rPr>
                <w:lang w:val="fr-FR"/>
              </w:rPr>
              <w:t>'</w:t>
            </w:r>
            <w:r w:rsidRPr="000229AD">
              <w:rPr>
                <w:lang w:val="fr-FR"/>
              </w:rPr>
              <w:t>Albanie à partir de 2024 et mettra en valeur les possibilités et les défis qui permettront d</w:t>
            </w:r>
            <w:r w:rsidR="00125408" w:rsidRPr="000229AD">
              <w:rPr>
                <w:lang w:val="fr-FR"/>
              </w:rPr>
              <w:t>'</w:t>
            </w:r>
            <w:r w:rsidRPr="000229AD">
              <w:rPr>
                <w:lang w:val="fr-FR"/>
              </w:rPr>
              <w:t>éclairer les décisions stratégiques. Cela s</w:t>
            </w:r>
            <w:r w:rsidR="00125408" w:rsidRPr="000229AD">
              <w:rPr>
                <w:lang w:val="fr-FR"/>
              </w:rPr>
              <w:t>'</w:t>
            </w:r>
            <w:r w:rsidRPr="000229AD">
              <w:rPr>
                <w:lang w:val="fr-FR"/>
              </w:rPr>
              <w:t>inscrit dans le cadre plus large de l</w:t>
            </w:r>
            <w:r w:rsidR="00125408" w:rsidRPr="000229AD">
              <w:rPr>
                <w:lang w:val="fr-FR"/>
              </w:rPr>
              <w:t>'</w:t>
            </w:r>
            <w:r w:rsidRPr="000229AD">
              <w:rPr>
                <w:lang w:val="fr-FR"/>
              </w:rPr>
              <w:t>engagement de l</w:t>
            </w:r>
            <w:r w:rsidR="00125408" w:rsidRPr="000229AD">
              <w:rPr>
                <w:lang w:val="fr-FR"/>
              </w:rPr>
              <w:t>'</w:t>
            </w:r>
            <w:r w:rsidRPr="000229AD">
              <w:rPr>
                <w:lang w:val="fr-FR"/>
              </w:rPr>
              <w:t>Albanie à promouvoir des écosystèmes favorables à l</w:t>
            </w:r>
            <w:r w:rsidR="00125408" w:rsidRPr="000229AD">
              <w:rPr>
                <w:lang w:val="fr-FR"/>
              </w:rPr>
              <w:t>'</w:t>
            </w:r>
            <w:r w:rsidRPr="000229AD">
              <w:rPr>
                <w:lang w:val="fr-FR"/>
              </w:rPr>
              <w:t>innovation numérique dans le pays, comme en témoigne sa volonté de participer à l</w:t>
            </w:r>
            <w:r w:rsidR="00125408" w:rsidRPr="000229AD">
              <w:rPr>
                <w:lang w:val="fr-FR"/>
              </w:rPr>
              <w:t>'</w:t>
            </w:r>
            <w:r w:rsidRPr="000229AD">
              <w:rPr>
                <w:lang w:val="fr-FR"/>
              </w:rPr>
              <w:t>Alliance pour l</w:t>
            </w:r>
            <w:r w:rsidR="00125408" w:rsidRPr="000229AD">
              <w:rPr>
                <w:lang w:val="fr-FR"/>
              </w:rPr>
              <w:t>'</w:t>
            </w:r>
            <w:r w:rsidRPr="000229AD">
              <w:rPr>
                <w:lang w:val="fr-FR"/>
              </w:rPr>
              <w:t>innovation de l</w:t>
            </w:r>
            <w:r w:rsidR="00125408" w:rsidRPr="000229AD">
              <w:rPr>
                <w:lang w:val="fr-FR"/>
              </w:rPr>
              <w:t>'</w:t>
            </w:r>
            <w:r w:rsidRPr="000229AD">
              <w:rPr>
                <w:lang w:val="fr-FR"/>
              </w:rPr>
              <w:t>UIT en tant que membre du Conseil et d</w:t>
            </w:r>
            <w:r w:rsidR="00125408" w:rsidRPr="000229AD">
              <w:rPr>
                <w:lang w:val="fr-FR"/>
              </w:rPr>
              <w:t>'</w:t>
            </w:r>
            <w:r w:rsidRPr="000229AD">
              <w:rPr>
                <w:lang w:val="fr-FR"/>
              </w:rPr>
              <w:t>officialiser le Centre d</w:t>
            </w:r>
            <w:r w:rsidR="00125408" w:rsidRPr="000229AD">
              <w:rPr>
                <w:lang w:val="fr-FR"/>
              </w:rPr>
              <w:t>'</w:t>
            </w:r>
            <w:r w:rsidRPr="000229AD">
              <w:rPr>
                <w:lang w:val="fr-FR"/>
              </w:rPr>
              <w:t>innovation de l</w:t>
            </w:r>
            <w:r w:rsidR="00125408" w:rsidRPr="000229AD">
              <w:rPr>
                <w:lang w:val="fr-FR"/>
              </w:rPr>
              <w:t>'</w:t>
            </w:r>
            <w:r w:rsidRPr="000229AD">
              <w:rPr>
                <w:lang w:val="fr-FR"/>
              </w:rPr>
              <w:t>UIT en Albanie pour la région Europe de l</w:t>
            </w:r>
            <w:r w:rsidR="00125408" w:rsidRPr="000229AD">
              <w:rPr>
                <w:lang w:val="fr-FR"/>
              </w:rPr>
              <w:t>'</w:t>
            </w:r>
            <w:r w:rsidRPr="000229AD">
              <w:rPr>
                <w:lang w:val="fr-FR"/>
              </w:rPr>
              <w:t>Organisation.</w:t>
            </w:r>
          </w:p>
          <w:p w14:paraId="01EC8EE4" w14:textId="6FF1B241" w:rsidR="00281BF0" w:rsidRPr="000229AD" w:rsidRDefault="00281BF0" w:rsidP="00716C22">
            <w:pPr>
              <w:pStyle w:val="Tabletext"/>
              <w:spacing w:after="120"/>
              <w:rPr>
                <w:lang w:val="fr-FR"/>
              </w:rPr>
            </w:pPr>
            <w:r w:rsidRPr="000229AD">
              <w:rPr>
                <w:lang w:val="fr-FR"/>
              </w:rPr>
              <w:t>Des progrès substantiels ont été accomplis en ce qui concerne les discussions et les possibilités pour d</w:t>
            </w:r>
            <w:r w:rsidR="00125408" w:rsidRPr="000229AD">
              <w:rPr>
                <w:lang w:val="fr-FR"/>
              </w:rPr>
              <w:t>'</w:t>
            </w:r>
            <w:r w:rsidRPr="000229AD">
              <w:rPr>
                <w:lang w:val="fr-FR"/>
              </w:rPr>
              <w:t>autres pays européens de rejoindre l</w:t>
            </w:r>
            <w:r w:rsidR="00125408" w:rsidRPr="000229AD">
              <w:rPr>
                <w:lang w:val="fr-FR"/>
              </w:rPr>
              <w:t>'</w:t>
            </w:r>
            <w:r w:rsidRPr="000229AD">
              <w:rPr>
                <w:lang w:val="fr-FR"/>
              </w:rPr>
              <w:t>Alliance pour l</w:t>
            </w:r>
            <w:r w:rsidR="00125408" w:rsidRPr="000229AD">
              <w:rPr>
                <w:lang w:val="fr-FR"/>
              </w:rPr>
              <w:t>'</w:t>
            </w:r>
            <w:r w:rsidRPr="000229AD">
              <w:rPr>
                <w:lang w:val="fr-FR"/>
              </w:rPr>
              <w:t>innovation, en tirant parti des stratégies nationales en faveur de l</w:t>
            </w:r>
            <w:r w:rsidR="00125408" w:rsidRPr="000229AD">
              <w:rPr>
                <w:lang w:val="fr-FR"/>
              </w:rPr>
              <w:t>'</w:t>
            </w:r>
            <w:r w:rsidRPr="000229AD">
              <w:rPr>
                <w:lang w:val="fr-FR"/>
              </w:rPr>
              <w:t>innovation des pays intéressés à se mettre en conformité à l</w:t>
            </w:r>
            <w:r w:rsidR="00125408" w:rsidRPr="000229AD">
              <w:rPr>
                <w:lang w:val="fr-FR"/>
              </w:rPr>
              <w:t>'</w:t>
            </w:r>
            <w:r w:rsidRPr="000229AD">
              <w:rPr>
                <w:lang w:val="fr-FR"/>
              </w:rPr>
              <w:t>axe de travail de l</w:t>
            </w:r>
            <w:r w:rsidR="00125408" w:rsidRPr="000229AD">
              <w:rPr>
                <w:lang w:val="fr-FR"/>
              </w:rPr>
              <w:t>'</w:t>
            </w:r>
            <w:r w:rsidRPr="000229AD">
              <w:rPr>
                <w:lang w:val="fr-FR"/>
              </w:rPr>
              <w:t>UIT sur l</w:t>
            </w:r>
            <w:r w:rsidR="00125408" w:rsidRPr="000229AD">
              <w:rPr>
                <w:lang w:val="fr-FR"/>
              </w:rPr>
              <w:t>'</w:t>
            </w:r>
            <w:r w:rsidRPr="000229AD">
              <w:rPr>
                <w:lang w:val="fr-FR"/>
              </w:rPr>
              <w:t>innovation. Certains pays mènent actuellement des études ciblées sur l</w:t>
            </w:r>
            <w:r w:rsidR="00125408" w:rsidRPr="000229AD">
              <w:rPr>
                <w:lang w:val="fr-FR"/>
              </w:rPr>
              <w:t>'</w:t>
            </w:r>
            <w:r w:rsidRPr="000229AD">
              <w:rPr>
                <w:lang w:val="fr-FR"/>
              </w:rPr>
              <w:t>intégration de l</w:t>
            </w:r>
            <w:r w:rsidR="00125408" w:rsidRPr="000229AD">
              <w:rPr>
                <w:lang w:val="fr-FR"/>
              </w:rPr>
              <w:t>'</w:t>
            </w:r>
            <w:r w:rsidRPr="000229AD">
              <w:rPr>
                <w:lang w:val="fr-FR"/>
              </w:rPr>
              <w:t>innovation, en mettant particulièrement l</w:t>
            </w:r>
            <w:r w:rsidR="00125408" w:rsidRPr="000229AD">
              <w:rPr>
                <w:lang w:val="fr-FR"/>
              </w:rPr>
              <w:t>'</w:t>
            </w:r>
            <w:r w:rsidRPr="000229AD">
              <w:rPr>
                <w:lang w:val="fr-FR"/>
              </w:rPr>
              <w:t>accent sur la cybersécurité, parallèlement aux mesures visant à fusionner les activités d</w:t>
            </w:r>
            <w:r w:rsidR="00125408" w:rsidRPr="000229AD">
              <w:rPr>
                <w:lang w:val="fr-FR"/>
              </w:rPr>
              <w:t>'</w:t>
            </w:r>
            <w:r w:rsidRPr="000229AD">
              <w:rPr>
                <w:lang w:val="fr-FR"/>
              </w:rPr>
              <w:t>innovation et le secteur spatial. Les discussions en cours indiquent que ces initiatives continueront à être explorées.</w:t>
            </w:r>
          </w:p>
        </w:tc>
        <w:tc>
          <w:tcPr>
            <w:tcW w:w="3034" w:type="dxa"/>
          </w:tcPr>
          <w:p w14:paraId="6B32841D" w14:textId="3927CDCB" w:rsidR="001A4175" w:rsidRPr="000229AD" w:rsidRDefault="00281BF0" w:rsidP="00716C22">
            <w:pPr>
              <w:pStyle w:val="Tabletext"/>
              <w:spacing w:before="120"/>
              <w:rPr>
                <w:b/>
                <w:bCs/>
                <w:lang w:val="fr-FR"/>
              </w:rPr>
            </w:pPr>
            <w:r w:rsidRPr="000229AD">
              <w:rPr>
                <w:b/>
                <w:bCs/>
                <w:lang w:val="fr-FR"/>
              </w:rPr>
              <w:lastRenderedPageBreak/>
              <w:t>Centres d</w:t>
            </w:r>
            <w:r w:rsidR="00125408" w:rsidRPr="000229AD">
              <w:rPr>
                <w:b/>
                <w:bCs/>
                <w:lang w:val="fr-FR"/>
              </w:rPr>
              <w:t>'</w:t>
            </w:r>
            <w:r w:rsidRPr="000229AD">
              <w:rPr>
                <w:b/>
                <w:bCs/>
                <w:lang w:val="fr-FR"/>
              </w:rPr>
              <w:t>innovation de l</w:t>
            </w:r>
            <w:r w:rsidR="00125408" w:rsidRPr="000229AD">
              <w:rPr>
                <w:b/>
                <w:bCs/>
                <w:lang w:val="fr-FR"/>
              </w:rPr>
              <w:t>'</w:t>
            </w:r>
            <w:r w:rsidRPr="000229AD">
              <w:rPr>
                <w:b/>
                <w:bCs/>
                <w:lang w:val="fr-FR"/>
              </w:rPr>
              <w:t>UIT:</w:t>
            </w:r>
          </w:p>
        </w:tc>
      </w:tr>
      <w:tr w:rsidR="00281BF0" w:rsidRPr="000229AD" w14:paraId="42AB6D49" w14:textId="77777777" w:rsidTr="00565E7A">
        <w:tc>
          <w:tcPr>
            <w:tcW w:w="11845" w:type="dxa"/>
            <w:gridSpan w:val="2"/>
            <w:vMerge/>
          </w:tcPr>
          <w:p w14:paraId="708AD20C" w14:textId="77777777" w:rsidR="00281BF0" w:rsidRPr="000229AD" w:rsidRDefault="00281BF0" w:rsidP="00716C22">
            <w:pPr>
              <w:pStyle w:val="Tabletext"/>
              <w:rPr>
                <w:lang w:val="fr-FR"/>
              </w:rPr>
            </w:pPr>
          </w:p>
        </w:tc>
        <w:tc>
          <w:tcPr>
            <w:tcW w:w="3034" w:type="dxa"/>
            <w:tcBorders>
              <w:bottom w:val="dotted" w:sz="4" w:space="0" w:color="0070C0"/>
            </w:tcBorders>
            <w:shd w:val="clear" w:color="auto" w:fill="auto"/>
          </w:tcPr>
          <w:p w14:paraId="18A90435" w14:textId="19930A9C" w:rsidR="00281BF0" w:rsidRPr="000229AD" w:rsidRDefault="00281BF0" w:rsidP="00716C22">
            <w:pPr>
              <w:pStyle w:val="Tabletext"/>
              <w:spacing w:before="120"/>
              <w:rPr>
                <w:lang w:val="fr-FR"/>
              </w:rPr>
            </w:pPr>
            <w:r w:rsidRPr="000229AD">
              <w:rPr>
                <w:rFonts w:eastAsia="Calibri" w:cs="Times New Roman"/>
                <w:b/>
                <w:bCs/>
                <w:lang w:val="fr-FR"/>
              </w:rPr>
              <w:t>Les pays suivants accueilleront des centres d</w:t>
            </w:r>
            <w:r w:rsidR="00125408" w:rsidRPr="000229AD">
              <w:rPr>
                <w:rFonts w:eastAsia="Calibri" w:cs="Times New Roman"/>
                <w:b/>
                <w:bCs/>
                <w:lang w:val="fr-FR"/>
              </w:rPr>
              <w:t>'</w:t>
            </w:r>
            <w:r w:rsidRPr="000229AD">
              <w:rPr>
                <w:rFonts w:eastAsia="Calibri" w:cs="Times New Roman"/>
                <w:b/>
                <w:bCs/>
                <w:lang w:val="fr-FR"/>
              </w:rPr>
              <w:t>innovation</w:t>
            </w:r>
            <w:r w:rsidRPr="000229AD">
              <w:rPr>
                <w:rFonts w:eastAsia="Calibri" w:cs="Times New Roman"/>
                <w:lang w:val="fr-FR"/>
              </w:rPr>
              <w:t xml:space="preserve">: </w:t>
            </w:r>
            <w:r w:rsidRPr="000229AD">
              <w:rPr>
                <w:lang w:val="fr-FR"/>
              </w:rPr>
              <w:t>Albanie, Argentine, Azerbaïdjan, Chine, Gabon, Kenya, Malawi, Mauritanie, Oman, Pakistan, Philippines, République dominicaine, Tanzanie, Zimbabwe.</w:t>
            </w:r>
          </w:p>
          <w:p w14:paraId="131E2D44" w14:textId="6CA6EE34" w:rsidR="00281BF0" w:rsidRPr="000229AD" w:rsidRDefault="00281BF0" w:rsidP="00716C22">
            <w:pPr>
              <w:pStyle w:val="Tabletext"/>
              <w:spacing w:before="120"/>
              <w:rPr>
                <w:b/>
                <w:bCs/>
                <w:lang w:val="fr-FR"/>
              </w:rPr>
            </w:pPr>
            <w:r w:rsidRPr="000229AD">
              <w:rPr>
                <w:b/>
                <w:bCs/>
                <w:lang w:val="fr-FR"/>
              </w:rPr>
              <w:t>Stratégies nationales et profils d</w:t>
            </w:r>
            <w:r w:rsidR="00125408" w:rsidRPr="000229AD">
              <w:rPr>
                <w:b/>
                <w:bCs/>
                <w:lang w:val="fr-FR"/>
              </w:rPr>
              <w:t>'</w:t>
            </w:r>
            <w:r w:rsidRPr="000229AD">
              <w:rPr>
                <w:b/>
                <w:bCs/>
                <w:lang w:val="fr-FR"/>
              </w:rPr>
              <w:t>innovation numérique:</w:t>
            </w:r>
          </w:p>
          <w:p w14:paraId="356BDC48" w14:textId="007B7B60" w:rsidR="00281BF0" w:rsidRPr="000229AD" w:rsidRDefault="001A4175" w:rsidP="00716C22">
            <w:pPr>
              <w:pStyle w:val="Tabletext"/>
              <w:tabs>
                <w:tab w:val="clear" w:pos="284"/>
              </w:tabs>
              <w:spacing w:before="80" w:after="0"/>
              <w:ind w:left="312" w:hanging="312"/>
              <w:rPr>
                <w:lang w:val="fr-FR"/>
              </w:rPr>
            </w:pPr>
            <w:r w:rsidRPr="000229AD">
              <w:rPr>
                <w:lang w:val="fr-FR"/>
              </w:rPr>
              <w:t>–</w:t>
            </w:r>
            <w:r w:rsidRPr="000229AD">
              <w:rPr>
                <w:lang w:val="fr-FR"/>
              </w:rPr>
              <w:tab/>
            </w:r>
            <w:r w:rsidR="00281BF0" w:rsidRPr="000229AD">
              <w:rPr>
                <w:b/>
                <w:bCs/>
                <w:lang w:val="fr-FR"/>
              </w:rPr>
              <w:t>Afrique</w:t>
            </w:r>
            <w:r w:rsidR="00281BF0" w:rsidRPr="000229AD">
              <w:rPr>
                <w:lang w:val="fr-FR"/>
              </w:rPr>
              <w:t>: Bénin, Zimbabwe.</w:t>
            </w:r>
          </w:p>
          <w:p w14:paraId="28B2E25E" w14:textId="1C38D17E" w:rsidR="00281BF0" w:rsidRPr="000229AD" w:rsidRDefault="001A4175" w:rsidP="00716C22">
            <w:pPr>
              <w:pStyle w:val="Tabletext"/>
              <w:tabs>
                <w:tab w:val="clear" w:pos="284"/>
              </w:tabs>
              <w:spacing w:before="80" w:after="0"/>
              <w:ind w:left="312" w:hanging="312"/>
              <w:rPr>
                <w:lang w:val="fr-FR"/>
              </w:rPr>
            </w:pPr>
            <w:r w:rsidRPr="000229AD">
              <w:rPr>
                <w:lang w:val="fr-FR"/>
              </w:rPr>
              <w:t>–</w:t>
            </w:r>
            <w:r w:rsidRPr="000229AD">
              <w:rPr>
                <w:lang w:val="fr-FR"/>
              </w:rPr>
              <w:tab/>
            </w:r>
            <w:r w:rsidR="00281BF0" w:rsidRPr="000229AD">
              <w:rPr>
                <w:b/>
                <w:bCs/>
                <w:lang w:val="fr-FR"/>
              </w:rPr>
              <w:t>États arabes</w:t>
            </w:r>
            <w:r w:rsidR="00281BF0" w:rsidRPr="000229AD">
              <w:rPr>
                <w:lang w:val="fr-FR"/>
              </w:rPr>
              <w:t>: Bahreïn, Égypte, Oman.</w:t>
            </w:r>
          </w:p>
          <w:p w14:paraId="137BA659" w14:textId="4AC98A6B" w:rsidR="00281BF0" w:rsidRPr="000229AD" w:rsidRDefault="001A4175" w:rsidP="00716C22">
            <w:pPr>
              <w:pStyle w:val="Tabletext"/>
              <w:tabs>
                <w:tab w:val="clear" w:pos="284"/>
              </w:tabs>
              <w:spacing w:before="80" w:after="0"/>
              <w:ind w:left="312" w:hanging="312"/>
              <w:rPr>
                <w:lang w:val="fr-FR"/>
              </w:rPr>
            </w:pPr>
            <w:r w:rsidRPr="000229AD">
              <w:rPr>
                <w:lang w:val="fr-FR"/>
              </w:rPr>
              <w:t>–</w:t>
            </w:r>
            <w:r w:rsidRPr="000229AD">
              <w:rPr>
                <w:lang w:val="fr-FR"/>
              </w:rPr>
              <w:tab/>
            </w:r>
            <w:r w:rsidR="00281BF0" w:rsidRPr="000229AD">
              <w:rPr>
                <w:b/>
                <w:bCs/>
                <w:lang w:val="fr-FR"/>
              </w:rPr>
              <w:t>Asie-Pacifique</w:t>
            </w:r>
            <w:r w:rsidR="00281BF0" w:rsidRPr="000229AD">
              <w:rPr>
                <w:lang w:val="fr-FR"/>
              </w:rPr>
              <w:t>: Brunéi Darussalam, Inde.</w:t>
            </w:r>
          </w:p>
          <w:p w14:paraId="42AB5A13" w14:textId="30D00054" w:rsidR="00281BF0" w:rsidRPr="000229AD" w:rsidRDefault="001A4175" w:rsidP="00716C22">
            <w:pPr>
              <w:pStyle w:val="Tabletext"/>
              <w:tabs>
                <w:tab w:val="clear" w:pos="284"/>
              </w:tabs>
              <w:spacing w:before="80" w:after="0"/>
              <w:ind w:left="312" w:hanging="312"/>
              <w:rPr>
                <w:lang w:val="fr-FR"/>
              </w:rPr>
            </w:pPr>
            <w:r w:rsidRPr="000229AD">
              <w:rPr>
                <w:lang w:val="fr-FR"/>
              </w:rPr>
              <w:t>–</w:t>
            </w:r>
            <w:r w:rsidRPr="000229AD">
              <w:rPr>
                <w:lang w:val="fr-FR"/>
              </w:rPr>
              <w:tab/>
            </w:r>
            <w:r w:rsidR="00281BF0" w:rsidRPr="000229AD">
              <w:rPr>
                <w:b/>
                <w:bCs/>
                <w:lang w:val="fr-FR"/>
              </w:rPr>
              <w:t>Europe</w:t>
            </w:r>
            <w:r w:rsidR="00281BF0" w:rsidRPr="000229AD">
              <w:rPr>
                <w:lang w:val="fr-FR"/>
              </w:rPr>
              <w:t>: Albanie.</w:t>
            </w:r>
          </w:p>
        </w:tc>
      </w:tr>
      <w:tr w:rsidR="00281BF0" w:rsidRPr="000229AD" w14:paraId="72D05A6C" w14:textId="77777777" w:rsidTr="00565E7A">
        <w:tc>
          <w:tcPr>
            <w:tcW w:w="14879" w:type="dxa"/>
            <w:gridSpan w:val="3"/>
            <w:shd w:val="clear" w:color="auto" w:fill="E5DFEC" w:themeFill="accent4" w:themeFillTint="33"/>
          </w:tcPr>
          <w:p w14:paraId="458C4FF4" w14:textId="77777777" w:rsidR="00281BF0" w:rsidRPr="000229AD" w:rsidRDefault="00281BF0" w:rsidP="00716C22">
            <w:pPr>
              <w:pStyle w:val="Tabletext"/>
              <w:keepNext/>
              <w:keepLines/>
              <w:pageBreakBefore/>
              <w:spacing w:before="120"/>
              <w:rPr>
                <w:b/>
                <w:bCs/>
                <w:lang w:val="fr-FR"/>
              </w:rPr>
            </w:pPr>
            <w:r w:rsidRPr="000229AD">
              <w:rPr>
                <w:b/>
                <w:bCs/>
                <w:lang w:val="fr-FR"/>
              </w:rPr>
              <w:lastRenderedPageBreak/>
              <w:t>Services et applications numériques</w:t>
            </w:r>
          </w:p>
          <w:p w14:paraId="32E41397" w14:textId="7DF04306" w:rsidR="00281BF0" w:rsidRPr="000229AD" w:rsidRDefault="00281BF0" w:rsidP="00716C22">
            <w:pPr>
              <w:pStyle w:val="Tabletext"/>
              <w:keepNext/>
              <w:keepLines/>
              <w:pageBreakBefore/>
              <w:spacing w:before="120"/>
              <w:rPr>
                <w:i/>
                <w:iCs/>
                <w:lang w:val="fr-FR"/>
              </w:rPr>
            </w:pPr>
            <w:r w:rsidRPr="000229AD">
              <w:rPr>
                <w:b/>
                <w:bCs/>
                <w:i/>
                <w:iCs/>
                <w:lang w:val="fr-FR"/>
              </w:rPr>
              <w:t>Réalisation</w:t>
            </w:r>
            <w:r w:rsidRPr="000229AD">
              <w:rPr>
                <w:i/>
                <w:iCs/>
                <w:lang w:val="fr-FR"/>
              </w:rPr>
              <w:t xml:space="preserve">: </w:t>
            </w:r>
            <w:r w:rsidR="00E42752" w:rsidRPr="000229AD">
              <w:rPr>
                <w:i/>
                <w:iCs/>
                <w:lang w:val="fr-FR"/>
              </w:rPr>
              <w:t>r</w:t>
            </w:r>
            <w:r w:rsidRPr="000229AD">
              <w:rPr>
                <w:i/>
                <w:iCs/>
                <w:lang w:val="fr-FR"/>
              </w:rPr>
              <w:t>enforcement de la capacité des membres de l</w:t>
            </w:r>
            <w:r w:rsidR="00125408" w:rsidRPr="000229AD">
              <w:rPr>
                <w:i/>
                <w:iCs/>
                <w:lang w:val="fr-FR"/>
              </w:rPr>
              <w:t>'</w:t>
            </w:r>
            <w:r w:rsidRPr="000229AD">
              <w:rPr>
                <w:i/>
                <w:iCs/>
                <w:lang w:val="fr-FR"/>
              </w:rPr>
              <w:t>UIT d</w:t>
            </w:r>
            <w:r w:rsidR="00125408" w:rsidRPr="000229AD">
              <w:rPr>
                <w:i/>
                <w:iCs/>
                <w:lang w:val="fr-FR"/>
              </w:rPr>
              <w:t>'</w:t>
            </w:r>
            <w:r w:rsidRPr="000229AD">
              <w:rPr>
                <w:i/>
                <w:iCs/>
                <w:lang w:val="fr-FR"/>
              </w:rPr>
              <w:t>accélérer la transformation numérique et le développement économique et social durable en mettant à profit et en utilisant les télécommunications/TIC et les services nouveaux et émergents</w:t>
            </w:r>
            <w:r w:rsidR="00E42752" w:rsidRPr="000229AD">
              <w:rPr>
                <w:i/>
                <w:iCs/>
                <w:lang w:val="fr-FR"/>
              </w:rPr>
              <w:t>.</w:t>
            </w:r>
          </w:p>
        </w:tc>
      </w:tr>
      <w:tr w:rsidR="00281BF0" w:rsidRPr="000229AD" w14:paraId="0A090409" w14:textId="77777777" w:rsidTr="00565E7A">
        <w:tc>
          <w:tcPr>
            <w:tcW w:w="11845" w:type="dxa"/>
            <w:gridSpan w:val="2"/>
          </w:tcPr>
          <w:p w14:paraId="3E29E7E2" w14:textId="3C682CCE" w:rsidR="00281BF0" w:rsidRPr="000229AD" w:rsidRDefault="00281BF0" w:rsidP="00716C22">
            <w:pPr>
              <w:pStyle w:val="Tabletext"/>
              <w:pageBreakBefore/>
              <w:spacing w:before="120"/>
              <w:rPr>
                <w:lang w:val="fr-FR"/>
              </w:rPr>
            </w:pPr>
            <w:r w:rsidRPr="000229AD">
              <w:rPr>
                <w:lang w:val="fr-FR"/>
              </w:rPr>
              <w:t>Le BDT a continué d</w:t>
            </w:r>
            <w:r w:rsidR="00125408" w:rsidRPr="000229AD">
              <w:rPr>
                <w:lang w:val="fr-FR"/>
              </w:rPr>
              <w:t>'</w:t>
            </w:r>
            <w:r w:rsidRPr="000229AD">
              <w:rPr>
                <w:lang w:val="fr-FR"/>
              </w:rPr>
              <w:t>aider les États Membres à élaborer et à promouvoir des solutions numériques pour répondre aux besoins en matière de développement durable:</w:t>
            </w:r>
          </w:p>
          <w:p w14:paraId="68B18C4F" w14:textId="45E55C1C" w:rsidR="00281BF0" w:rsidRPr="000229AD" w:rsidRDefault="00371DF6" w:rsidP="00716C22">
            <w:pPr>
              <w:pStyle w:val="Tabletext"/>
              <w:spacing w:before="80" w:after="0"/>
              <w:ind w:left="284" w:hanging="284"/>
              <w:rPr>
                <w:lang w:val="fr-FR"/>
              </w:rPr>
            </w:pPr>
            <w:r w:rsidRPr="000229AD">
              <w:rPr>
                <w:rFonts w:eastAsia="Calibri"/>
                <w:lang w:val="fr-FR"/>
              </w:rPr>
              <w:t>•</w:t>
            </w:r>
            <w:r w:rsidRPr="000229AD">
              <w:rPr>
                <w:lang w:val="fr-FR"/>
              </w:rPr>
              <w:tab/>
            </w:r>
            <w:r w:rsidR="00281BF0" w:rsidRPr="000229AD">
              <w:rPr>
                <w:b/>
                <w:bCs/>
                <w:lang w:val="fr-FR"/>
              </w:rPr>
              <w:t>Transformation numérique de l</w:t>
            </w:r>
            <w:r w:rsidR="00125408" w:rsidRPr="000229AD">
              <w:rPr>
                <w:b/>
                <w:bCs/>
                <w:lang w:val="fr-FR"/>
              </w:rPr>
              <w:t>'</w:t>
            </w:r>
            <w:r w:rsidR="00281BF0" w:rsidRPr="000229AD">
              <w:rPr>
                <w:b/>
                <w:bCs/>
                <w:lang w:val="fr-FR"/>
              </w:rPr>
              <w:t>administration publique</w:t>
            </w:r>
            <w:r w:rsidR="00281BF0" w:rsidRPr="000229AD">
              <w:rPr>
                <w:lang w:val="fr-FR"/>
              </w:rPr>
              <w:t>:</w:t>
            </w:r>
            <w:r w:rsidRPr="000229AD">
              <w:rPr>
                <w:lang w:val="fr-FR"/>
              </w:rPr>
              <w:t xml:space="preserve"> l</w:t>
            </w:r>
            <w:r w:rsidR="00281BF0" w:rsidRPr="000229AD">
              <w:rPr>
                <w:lang w:val="fr-FR"/>
              </w:rPr>
              <w:t xml:space="preserve">e BDT a contribué à </w:t>
            </w:r>
            <w:r w:rsidR="00281BF0" w:rsidRPr="000229AD">
              <w:rPr>
                <w:b/>
                <w:bCs/>
                <w:lang w:val="fr-FR"/>
              </w:rPr>
              <w:t>améliorer l</w:t>
            </w:r>
            <w:r w:rsidR="00125408" w:rsidRPr="000229AD">
              <w:rPr>
                <w:b/>
                <w:bCs/>
                <w:lang w:val="fr-FR"/>
              </w:rPr>
              <w:t>'</w:t>
            </w:r>
            <w:r w:rsidR="00281BF0" w:rsidRPr="000229AD">
              <w:rPr>
                <w:b/>
                <w:bCs/>
                <w:lang w:val="fr-FR"/>
              </w:rPr>
              <w:t>accès des États Membres aux outils et aux supports d</w:t>
            </w:r>
            <w:r w:rsidR="00125408" w:rsidRPr="000229AD">
              <w:rPr>
                <w:b/>
                <w:bCs/>
                <w:lang w:val="fr-FR"/>
              </w:rPr>
              <w:t>'</w:t>
            </w:r>
            <w:r w:rsidR="00281BF0" w:rsidRPr="000229AD">
              <w:rPr>
                <w:b/>
                <w:bCs/>
                <w:lang w:val="fr-FR"/>
              </w:rPr>
              <w:t>information de l</w:t>
            </w:r>
            <w:r w:rsidR="00125408" w:rsidRPr="000229AD">
              <w:rPr>
                <w:b/>
                <w:bCs/>
                <w:lang w:val="fr-FR"/>
              </w:rPr>
              <w:t>'</w:t>
            </w:r>
            <w:r w:rsidR="00281BF0" w:rsidRPr="000229AD">
              <w:rPr>
                <w:b/>
                <w:bCs/>
                <w:lang w:val="fr-FR"/>
              </w:rPr>
              <w:t>UIT afin d</w:t>
            </w:r>
            <w:r w:rsidR="00125408" w:rsidRPr="000229AD">
              <w:rPr>
                <w:b/>
                <w:bCs/>
                <w:lang w:val="fr-FR"/>
              </w:rPr>
              <w:t>'</w:t>
            </w:r>
            <w:r w:rsidR="00281BF0" w:rsidRPr="000229AD">
              <w:rPr>
                <w:b/>
                <w:bCs/>
                <w:lang w:val="fr-FR"/>
              </w:rPr>
              <w:t>accélérer la transformation numérique</w:t>
            </w:r>
            <w:r w:rsidR="00281BF0" w:rsidRPr="000229AD">
              <w:rPr>
                <w:lang w:val="fr-FR"/>
              </w:rPr>
              <w:t xml:space="preserve"> grâce au </w:t>
            </w:r>
            <w:hyperlink r:id="rId26" w:history="1">
              <w:r w:rsidR="00281BF0" w:rsidRPr="000229AD">
                <w:rPr>
                  <w:rStyle w:val="Hyperlink"/>
                  <w:lang w:val="fr-FR"/>
                </w:rPr>
                <w:t>projet GovStack</w:t>
              </w:r>
            </w:hyperlink>
            <w:r w:rsidR="00281BF0" w:rsidRPr="000229AD">
              <w:rPr>
                <w:lang w:val="fr-FR"/>
              </w:rPr>
              <w:t xml:space="preserve">, dans le cadre duquel un ensemble de </w:t>
            </w:r>
            <w:hyperlink r:id="rId27" w:history="1">
              <w:r w:rsidR="00281BF0" w:rsidRPr="000229AD">
                <w:rPr>
                  <w:rStyle w:val="Hyperlink"/>
                  <w:lang w:val="fr-FR"/>
                </w:rPr>
                <w:t>15 spécifications</w:t>
              </w:r>
            </w:hyperlink>
            <w:r w:rsidR="00281BF0" w:rsidRPr="000229AD">
              <w:rPr>
                <w:lang w:val="fr-FR"/>
              </w:rPr>
              <w:t xml:space="preserve"> de modules du secteur public numérique (par exemple, identité, paiements, échange, consentement, registres, signature électronique, SIG, place de marché électronique, etc.) a été publié. Les États Membres ont désormais accès à une ressource ouverte, que leurs équipes numériques peuvent utiliser pour élaborer leurs propres modules, ou préparer des demandes de proposition dans le cadre d</w:t>
            </w:r>
            <w:r w:rsidR="00125408" w:rsidRPr="000229AD">
              <w:rPr>
                <w:lang w:val="fr-FR"/>
              </w:rPr>
              <w:t>'</w:t>
            </w:r>
            <w:r w:rsidR="00281BF0" w:rsidRPr="000229AD">
              <w:rPr>
                <w:lang w:val="fr-FR"/>
              </w:rPr>
              <w:t>appels d</w:t>
            </w:r>
            <w:r w:rsidR="00125408" w:rsidRPr="000229AD">
              <w:rPr>
                <w:lang w:val="fr-FR"/>
              </w:rPr>
              <w:t>'</w:t>
            </w:r>
            <w:r w:rsidR="00281BF0" w:rsidRPr="000229AD">
              <w:rPr>
                <w:lang w:val="fr-FR"/>
              </w:rPr>
              <w:t xml:space="preserve">offres. Des </w:t>
            </w:r>
            <w:hyperlink r:id="rId28" w:history="1">
              <w:r w:rsidR="00281BF0" w:rsidRPr="000229AD">
                <w:rPr>
                  <w:rStyle w:val="Hyperlink"/>
                  <w:lang w:val="fr-FR"/>
                </w:rPr>
                <w:t>instructions pour la mise en place d</w:t>
              </w:r>
              <w:r w:rsidR="00125408" w:rsidRPr="000229AD">
                <w:rPr>
                  <w:rStyle w:val="Hyperlink"/>
                  <w:lang w:val="fr-FR"/>
                </w:rPr>
                <w:t>'</w:t>
              </w:r>
              <w:r w:rsidR="00281BF0" w:rsidRPr="000229AD">
                <w:rPr>
                  <w:rStyle w:val="Hyperlink"/>
                  <w:lang w:val="fr-FR"/>
                </w:rPr>
                <w:t>un environnement test</w:t>
              </w:r>
            </w:hyperlink>
            <w:r w:rsidR="00281BF0" w:rsidRPr="000229AD">
              <w:rPr>
                <w:lang w:val="fr-FR"/>
              </w:rPr>
              <w:t xml:space="preserve"> ont également été publiées afin de fournir aux utilisateurs techniques et développeurs, aux architectes de solutions et aux concepteurs de services la possibilité de reproduire un environnement test. Les services disponibles dans l</w:t>
            </w:r>
            <w:r w:rsidR="00125408" w:rsidRPr="000229AD">
              <w:rPr>
                <w:lang w:val="fr-FR"/>
              </w:rPr>
              <w:t>'</w:t>
            </w:r>
            <w:r w:rsidR="00281BF0" w:rsidRPr="000229AD">
              <w:rPr>
                <w:lang w:val="fr-FR"/>
              </w:rPr>
              <w:t xml:space="preserve">environnement test suivent les lignes directrices du </w:t>
            </w:r>
            <w:hyperlink r:id="rId29" w:history="1">
              <w:r w:rsidR="00281BF0" w:rsidRPr="000229AD">
                <w:rPr>
                  <w:rStyle w:val="Hyperlink"/>
                  <w:lang w:val="fr-FR"/>
                </w:rPr>
                <w:t>Guide</w:t>
              </w:r>
            </w:hyperlink>
            <w:r w:rsidR="00281BF0" w:rsidRPr="000229AD">
              <w:rPr>
                <w:lang w:val="fr-FR"/>
              </w:rPr>
              <w:t xml:space="preserve"> sur la conception des services, qui ont également été présentées. Des guides sur la </w:t>
            </w:r>
            <w:hyperlink r:id="rId30" w:history="1">
              <w:r w:rsidR="00281BF0" w:rsidRPr="000229AD">
                <w:rPr>
                  <w:rStyle w:val="Hyperlink"/>
                  <w:lang w:val="fr-FR"/>
                </w:rPr>
                <w:t>passation de marchés publics durable dans le domaine des TIC</w:t>
              </w:r>
            </w:hyperlink>
            <w:r w:rsidR="00281BF0" w:rsidRPr="000229AD">
              <w:rPr>
                <w:lang w:val="fr-FR"/>
              </w:rPr>
              <w:t xml:space="preserve"> et les </w:t>
            </w:r>
            <w:hyperlink r:id="rId31" w:history="1">
              <w:r w:rsidR="00281BF0" w:rsidRPr="000229AD">
                <w:rPr>
                  <w:rStyle w:val="Hyperlink"/>
                  <w:lang w:val="fr-FR"/>
                </w:rPr>
                <w:t>centres de données respectueux de l</w:t>
              </w:r>
              <w:r w:rsidR="00125408" w:rsidRPr="000229AD">
                <w:rPr>
                  <w:rStyle w:val="Hyperlink"/>
                  <w:lang w:val="fr-FR"/>
                </w:rPr>
                <w:t>'</w:t>
              </w:r>
              <w:r w:rsidR="00281BF0" w:rsidRPr="000229AD">
                <w:rPr>
                  <w:rStyle w:val="Hyperlink"/>
                  <w:lang w:val="fr-FR"/>
                </w:rPr>
                <w:t>environnement</w:t>
              </w:r>
            </w:hyperlink>
            <w:r w:rsidR="00281BF0" w:rsidRPr="000229AD">
              <w:rPr>
                <w:lang w:val="fr-FR"/>
              </w:rPr>
              <w:t xml:space="preserve"> ont également été publiés dans le cadre du volet de travail Green GovStack.</w:t>
            </w:r>
          </w:p>
          <w:p w14:paraId="5E577E1D" w14:textId="14ABCE67" w:rsidR="00281BF0" w:rsidRPr="000229AD" w:rsidRDefault="00371DF6" w:rsidP="00716C22">
            <w:pPr>
              <w:pStyle w:val="Tabletext"/>
              <w:pageBreakBefore/>
              <w:tabs>
                <w:tab w:val="clear" w:pos="284"/>
              </w:tabs>
              <w:spacing w:before="80" w:after="0"/>
              <w:ind w:left="311" w:hanging="311"/>
              <w:rPr>
                <w:lang w:val="fr-FR"/>
              </w:rPr>
            </w:pPr>
            <w:r w:rsidRPr="000229AD">
              <w:rPr>
                <w:rFonts w:eastAsia="Calibri"/>
                <w:lang w:val="fr-FR"/>
              </w:rPr>
              <w:t>•</w:t>
            </w:r>
            <w:r w:rsidRPr="000229AD">
              <w:rPr>
                <w:lang w:val="fr-FR"/>
              </w:rPr>
              <w:tab/>
            </w:r>
            <w:r w:rsidR="00281BF0" w:rsidRPr="000229AD">
              <w:rPr>
                <w:b/>
                <w:bCs/>
                <w:lang w:val="fr-FR"/>
              </w:rPr>
              <w:t>Technologies à code source ouvert pour les services publics</w:t>
            </w:r>
            <w:r w:rsidR="00281BF0" w:rsidRPr="000229AD">
              <w:rPr>
                <w:lang w:val="fr-FR"/>
              </w:rPr>
              <w:t xml:space="preserve">: </w:t>
            </w:r>
            <w:r w:rsidR="00E97BD0" w:rsidRPr="000229AD">
              <w:rPr>
                <w:lang w:val="fr-FR"/>
              </w:rPr>
              <w:t>l</w:t>
            </w:r>
            <w:r w:rsidR="00281BF0" w:rsidRPr="000229AD">
              <w:rPr>
                <w:lang w:val="fr-FR"/>
              </w:rPr>
              <w:t>e projet OSEE ("Open Source Ecosystem Enablement"), élaboré conjointement par l</w:t>
            </w:r>
            <w:r w:rsidR="00125408" w:rsidRPr="000229AD">
              <w:rPr>
                <w:lang w:val="fr-FR"/>
              </w:rPr>
              <w:t>'</w:t>
            </w:r>
            <w:r w:rsidR="00281BF0" w:rsidRPr="000229AD">
              <w:rPr>
                <w:lang w:val="fr-FR"/>
              </w:rPr>
              <w:t>UIT et le PNUD et financé par l</w:t>
            </w:r>
            <w:r w:rsidR="00125408" w:rsidRPr="000229AD">
              <w:rPr>
                <w:lang w:val="fr-FR"/>
              </w:rPr>
              <w:t>'</w:t>
            </w:r>
            <w:r w:rsidR="00281BF0" w:rsidRPr="000229AD">
              <w:rPr>
                <w:lang w:val="fr-FR"/>
              </w:rPr>
              <w:t>Union européenne (EU), a officiellement été lancé. L</w:t>
            </w:r>
            <w:r w:rsidR="00125408" w:rsidRPr="000229AD">
              <w:rPr>
                <w:lang w:val="fr-FR"/>
              </w:rPr>
              <w:t>'</w:t>
            </w:r>
            <w:r w:rsidR="00281BF0" w:rsidRPr="000229AD">
              <w:rPr>
                <w:lang w:val="fr-FR"/>
              </w:rPr>
              <w:t>objectif du projet est de créer un cadre global d</w:t>
            </w:r>
            <w:r w:rsidR="00125408" w:rsidRPr="000229AD">
              <w:rPr>
                <w:lang w:val="fr-FR"/>
              </w:rPr>
              <w:t>'</w:t>
            </w:r>
            <w:r w:rsidR="00281BF0" w:rsidRPr="000229AD">
              <w:rPr>
                <w:lang w:val="fr-FR"/>
              </w:rPr>
              <w:t>enseignement, de formation et d</w:t>
            </w:r>
            <w:r w:rsidR="00125408" w:rsidRPr="000229AD">
              <w:rPr>
                <w:lang w:val="fr-FR"/>
              </w:rPr>
              <w:t>'</w:t>
            </w:r>
            <w:r w:rsidR="00281BF0" w:rsidRPr="000229AD">
              <w:rPr>
                <w:lang w:val="fr-FR"/>
              </w:rPr>
              <w:t>appui aux pays souhaitant utiliser les technologies à code source ouvert pour développer des services et des produits publics numériques. Des webinaires, des ateliers et des manifestations ont été organisés sur des sujets tels que l</w:t>
            </w:r>
            <w:r w:rsidR="00125408" w:rsidRPr="000229AD">
              <w:rPr>
                <w:lang w:val="fr-FR"/>
              </w:rPr>
              <w:t>'</w:t>
            </w:r>
            <w:r w:rsidR="00281BF0" w:rsidRPr="000229AD">
              <w:rPr>
                <w:lang w:val="fr-FR"/>
              </w:rPr>
              <w:t>intelligence artificielle générative à code source ouvert pour l</w:t>
            </w:r>
            <w:r w:rsidR="00125408" w:rsidRPr="000229AD">
              <w:rPr>
                <w:lang w:val="fr-FR"/>
              </w:rPr>
              <w:t>'</w:t>
            </w:r>
            <w:r w:rsidR="00281BF0" w:rsidRPr="000229AD">
              <w:rPr>
                <w:lang w:val="fr-FR"/>
              </w:rPr>
              <w:t>éducation et les services publics, la gestion des données et la gouvernance, l</w:t>
            </w:r>
            <w:r w:rsidR="00125408" w:rsidRPr="000229AD">
              <w:rPr>
                <w:lang w:val="fr-FR"/>
              </w:rPr>
              <w:t>'</w:t>
            </w:r>
            <w:r w:rsidR="00281BF0" w:rsidRPr="000229AD">
              <w:rPr>
                <w:lang w:val="fr-FR"/>
              </w:rPr>
              <w:t>infrastructure en nuage, etc. Ces activités ont permis d</w:t>
            </w:r>
            <w:r w:rsidR="00125408" w:rsidRPr="000229AD">
              <w:rPr>
                <w:lang w:val="fr-FR"/>
              </w:rPr>
              <w:t>'</w:t>
            </w:r>
            <w:r w:rsidR="00281BF0" w:rsidRPr="000229AD">
              <w:rPr>
                <w:b/>
                <w:bCs/>
                <w:lang w:val="fr-FR"/>
              </w:rPr>
              <w:t>améliorer les connaissances des parties prenantes et de renforcer l</w:t>
            </w:r>
            <w:r w:rsidR="00125408" w:rsidRPr="000229AD">
              <w:rPr>
                <w:b/>
                <w:bCs/>
                <w:lang w:val="fr-FR"/>
              </w:rPr>
              <w:t>'</w:t>
            </w:r>
            <w:r w:rsidR="00281BF0" w:rsidRPr="000229AD">
              <w:rPr>
                <w:b/>
                <w:bCs/>
                <w:lang w:val="fr-FR"/>
              </w:rPr>
              <w:t>écosystème international à code source ouvert</w:t>
            </w:r>
            <w:r w:rsidR="00281BF0" w:rsidRPr="000229AD">
              <w:rPr>
                <w:lang w:val="fr-FR"/>
              </w:rPr>
              <w:t>.</w:t>
            </w:r>
          </w:p>
          <w:p w14:paraId="2ECE1AE3" w14:textId="3F66767A" w:rsidR="00281BF0" w:rsidRPr="000229AD" w:rsidRDefault="00371DF6" w:rsidP="00716C22">
            <w:pPr>
              <w:pStyle w:val="Tabletext"/>
              <w:pageBreakBefore/>
              <w:tabs>
                <w:tab w:val="clear" w:pos="284"/>
              </w:tabs>
              <w:spacing w:before="80" w:after="0"/>
              <w:ind w:left="311" w:hanging="311"/>
              <w:rPr>
                <w:lang w:val="fr-FR"/>
              </w:rPr>
            </w:pPr>
            <w:r w:rsidRPr="000229AD">
              <w:rPr>
                <w:rFonts w:eastAsia="Calibri"/>
                <w:lang w:val="fr-FR"/>
              </w:rPr>
              <w:t>•</w:t>
            </w:r>
            <w:r w:rsidRPr="000229AD">
              <w:rPr>
                <w:lang w:val="fr-FR"/>
              </w:rPr>
              <w:tab/>
            </w:r>
            <w:r w:rsidR="00281BF0" w:rsidRPr="000229AD">
              <w:rPr>
                <w:b/>
                <w:bCs/>
                <w:lang w:val="fr-FR"/>
              </w:rPr>
              <w:t>Santé numérique</w:t>
            </w:r>
            <w:r w:rsidR="00281BF0" w:rsidRPr="000229AD">
              <w:rPr>
                <w:lang w:val="fr-FR"/>
              </w:rPr>
              <w:t xml:space="preserve">: </w:t>
            </w:r>
            <w:r w:rsidR="00E97BD0" w:rsidRPr="000229AD">
              <w:rPr>
                <w:lang w:val="fr-FR"/>
              </w:rPr>
              <w:t>l</w:t>
            </w:r>
            <w:r w:rsidR="00281BF0" w:rsidRPr="000229AD">
              <w:rPr>
                <w:lang w:val="fr-FR"/>
              </w:rPr>
              <w:t>e BDT a activement collaboré avec l</w:t>
            </w:r>
            <w:r w:rsidR="00125408" w:rsidRPr="000229AD">
              <w:rPr>
                <w:lang w:val="fr-FR"/>
              </w:rPr>
              <w:t>'</w:t>
            </w:r>
            <w:r w:rsidR="00281BF0" w:rsidRPr="000229AD">
              <w:rPr>
                <w:lang w:val="fr-FR"/>
              </w:rPr>
              <w:t>Équipe spéciale interorganisations pour la prévention et la maîtrise des maladies non transmissibles pour élaborer le rapport intitulé "Sauver des vies et faire des économies grâce à la technologie: Les solutions numériques au service de la lutte contre les maladies non transmissibles". Ce rapport conjoint entre l</w:t>
            </w:r>
            <w:r w:rsidR="00125408" w:rsidRPr="000229AD">
              <w:rPr>
                <w:lang w:val="fr-FR"/>
              </w:rPr>
              <w:t>'</w:t>
            </w:r>
            <w:r w:rsidR="00281BF0" w:rsidRPr="000229AD">
              <w:rPr>
                <w:lang w:val="fr-FR"/>
              </w:rPr>
              <w:t>Organisation mondiale de la santé (OMS) et l</w:t>
            </w:r>
            <w:r w:rsidR="00125408" w:rsidRPr="000229AD">
              <w:rPr>
                <w:lang w:val="fr-FR"/>
              </w:rPr>
              <w:t>'</w:t>
            </w:r>
            <w:r w:rsidR="00281BF0" w:rsidRPr="000229AD">
              <w:rPr>
                <w:lang w:val="fr-FR"/>
              </w:rPr>
              <w:t>UIT étudie trois grandes catégories d</w:t>
            </w:r>
            <w:r w:rsidR="00125408" w:rsidRPr="000229AD">
              <w:rPr>
                <w:lang w:val="fr-FR"/>
              </w:rPr>
              <w:t>'</w:t>
            </w:r>
            <w:r w:rsidR="00281BF0" w:rsidRPr="000229AD">
              <w:rPr>
                <w:lang w:val="fr-FR"/>
              </w:rPr>
              <w:t>interventions en matière de santé numérique et évalue l</w:t>
            </w:r>
            <w:r w:rsidR="00125408" w:rsidRPr="000229AD">
              <w:rPr>
                <w:lang w:val="fr-FR"/>
              </w:rPr>
              <w:t>'</w:t>
            </w:r>
            <w:r w:rsidR="00281BF0" w:rsidRPr="000229AD">
              <w:rPr>
                <w:lang w:val="fr-FR"/>
              </w:rPr>
              <w:t xml:space="preserve">efficacité de ces dernières. Les résultats démontrent le fort potentiel de la technologie numérique pour renforcer les systèmes de santé nationaux. Grâce à ces initiatives, le BDT a contribué à </w:t>
            </w:r>
            <w:r w:rsidR="00281BF0" w:rsidRPr="000229AD">
              <w:rPr>
                <w:b/>
                <w:bCs/>
                <w:lang w:val="fr-FR"/>
              </w:rPr>
              <w:t>renforcer les connaissances des États</w:t>
            </w:r>
            <w:r w:rsidR="00A4048C" w:rsidRPr="000229AD">
              <w:rPr>
                <w:b/>
                <w:bCs/>
                <w:lang w:val="fr-FR"/>
              </w:rPr>
              <w:t> </w:t>
            </w:r>
            <w:r w:rsidR="00281BF0" w:rsidRPr="000229AD">
              <w:rPr>
                <w:b/>
                <w:bCs/>
                <w:lang w:val="fr-FR"/>
              </w:rPr>
              <w:t>Membres sur le rapport coûts-avantages des interventions en matière de santé numérique dans la lutte mondiale contre les maladies non transmissibles</w:t>
            </w:r>
            <w:r w:rsidR="00281BF0" w:rsidRPr="000229AD">
              <w:rPr>
                <w:lang w:val="fr-FR"/>
              </w:rPr>
              <w:t>.</w:t>
            </w:r>
          </w:p>
          <w:p w14:paraId="3D966357" w14:textId="444FA098" w:rsidR="00281BF0" w:rsidRPr="000229AD" w:rsidRDefault="00371DF6" w:rsidP="00716C22">
            <w:pPr>
              <w:pStyle w:val="Tabletext"/>
              <w:keepNext/>
              <w:keepLines/>
              <w:pageBreakBefore/>
              <w:tabs>
                <w:tab w:val="clear" w:pos="284"/>
              </w:tabs>
              <w:spacing w:before="80" w:after="0"/>
              <w:ind w:left="312" w:hanging="312"/>
              <w:rPr>
                <w:szCs w:val="24"/>
                <w:lang w:val="fr-FR"/>
              </w:rPr>
            </w:pPr>
            <w:r w:rsidRPr="000229AD">
              <w:rPr>
                <w:rFonts w:eastAsia="Calibri"/>
                <w:lang w:val="fr-FR"/>
              </w:rPr>
              <w:lastRenderedPageBreak/>
              <w:t>•</w:t>
            </w:r>
            <w:r w:rsidRPr="000229AD">
              <w:rPr>
                <w:lang w:val="fr-FR"/>
              </w:rPr>
              <w:tab/>
            </w:r>
            <w:r w:rsidR="00281BF0" w:rsidRPr="000229AD">
              <w:rPr>
                <w:b/>
                <w:bCs/>
                <w:lang w:val="fr-FR"/>
              </w:rPr>
              <w:t>Agriculture numérique</w:t>
            </w:r>
            <w:r w:rsidR="00281BF0" w:rsidRPr="000229AD">
              <w:rPr>
                <w:lang w:val="fr-FR"/>
              </w:rPr>
              <w:t xml:space="preserve">: </w:t>
            </w:r>
            <w:r w:rsidR="00E97BD0" w:rsidRPr="000229AD">
              <w:rPr>
                <w:lang w:val="fr-FR"/>
              </w:rPr>
              <w:t>u</w:t>
            </w:r>
            <w:r w:rsidR="00281BF0" w:rsidRPr="000229AD">
              <w:rPr>
                <w:lang w:val="fr-FR"/>
              </w:rPr>
              <w:t>n nouveau projet conjoint entre l</w:t>
            </w:r>
            <w:r w:rsidR="00125408" w:rsidRPr="000229AD">
              <w:rPr>
                <w:lang w:val="fr-FR"/>
              </w:rPr>
              <w:t>'</w:t>
            </w:r>
            <w:r w:rsidR="00281BF0" w:rsidRPr="000229AD">
              <w:rPr>
                <w:lang w:val="fr-FR"/>
              </w:rPr>
              <w:t>UIT et l</w:t>
            </w:r>
            <w:r w:rsidR="00125408" w:rsidRPr="000229AD">
              <w:rPr>
                <w:lang w:val="fr-FR"/>
              </w:rPr>
              <w:t>'</w:t>
            </w:r>
            <w:r w:rsidR="00281BF0" w:rsidRPr="000229AD">
              <w:rPr>
                <w:lang w:val="fr-FR"/>
              </w:rPr>
              <w:t>Organisation des Nations Unies pour l</w:t>
            </w:r>
            <w:r w:rsidR="00125408" w:rsidRPr="000229AD">
              <w:rPr>
                <w:lang w:val="fr-FR"/>
              </w:rPr>
              <w:t>'</w:t>
            </w:r>
            <w:r w:rsidR="00281BF0" w:rsidRPr="000229AD">
              <w:rPr>
                <w:lang w:val="fr-FR"/>
              </w:rPr>
              <w:t>alimentation et l</w:t>
            </w:r>
            <w:r w:rsidR="00125408" w:rsidRPr="000229AD">
              <w:rPr>
                <w:lang w:val="fr-FR"/>
              </w:rPr>
              <w:t>'</w:t>
            </w:r>
            <w:r w:rsidR="00281BF0" w:rsidRPr="000229AD">
              <w:rPr>
                <w:lang w:val="fr-FR"/>
              </w:rPr>
              <w:t>agriculture (FAO) financé par l</w:t>
            </w:r>
            <w:r w:rsidR="00125408" w:rsidRPr="000229AD">
              <w:rPr>
                <w:lang w:val="fr-FR"/>
              </w:rPr>
              <w:t>'</w:t>
            </w:r>
            <w:r w:rsidR="00281BF0" w:rsidRPr="000229AD">
              <w:rPr>
                <w:lang w:val="fr-FR"/>
              </w:rPr>
              <w:t>UE et intitulé "MERIAN – Renforcement des capacités de recherche, de vulgarisation et d</w:t>
            </w:r>
            <w:r w:rsidR="00125408" w:rsidRPr="000229AD">
              <w:rPr>
                <w:lang w:val="fr-FR"/>
              </w:rPr>
              <w:t>'</w:t>
            </w:r>
            <w:r w:rsidR="00281BF0" w:rsidRPr="000229AD">
              <w:rPr>
                <w:lang w:val="fr-FR"/>
              </w:rPr>
              <w:t>éducation numérique agricole" a été signé. Il vise à améliorer la formation et l</w:t>
            </w:r>
            <w:r w:rsidR="00125408" w:rsidRPr="000229AD">
              <w:rPr>
                <w:lang w:val="fr-FR"/>
              </w:rPr>
              <w:t>'</w:t>
            </w:r>
            <w:r w:rsidR="00281BF0" w:rsidRPr="000229AD">
              <w:rPr>
                <w:lang w:val="fr-FR"/>
              </w:rPr>
              <w:t>éducation formelles des professionnels de l</w:t>
            </w:r>
            <w:r w:rsidR="00125408" w:rsidRPr="000229AD">
              <w:rPr>
                <w:lang w:val="fr-FR"/>
              </w:rPr>
              <w:t>'</w:t>
            </w:r>
            <w:r w:rsidR="00281BF0" w:rsidRPr="000229AD">
              <w:rPr>
                <w:lang w:val="fr-FR"/>
              </w:rPr>
              <w:t>agriculture et à leur permettre d</w:t>
            </w:r>
            <w:r w:rsidR="00125408" w:rsidRPr="000229AD">
              <w:rPr>
                <w:lang w:val="fr-FR"/>
              </w:rPr>
              <w:t>'</w:t>
            </w:r>
            <w:r w:rsidR="00281BF0" w:rsidRPr="000229AD">
              <w:rPr>
                <w:lang w:val="fr-FR"/>
              </w:rPr>
              <w:t>utiliser efficacement la technologie dans les pratiques agricoles et les services de vulgarisation. Le projet s</w:t>
            </w:r>
            <w:r w:rsidR="00125408" w:rsidRPr="000229AD">
              <w:rPr>
                <w:lang w:val="fr-FR"/>
              </w:rPr>
              <w:t>'</w:t>
            </w:r>
            <w:r w:rsidR="00281BF0" w:rsidRPr="000229AD">
              <w:rPr>
                <w:lang w:val="fr-FR"/>
              </w:rPr>
              <w:t>appuiera sur GovStack pour mettre en place une plate-forme en ligne ainsi qu</w:t>
            </w:r>
            <w:r w:rsidR="00125408" w:rsidRPr="000229AD">
              <w:rPr>
                <w:lang w:val="fr-FR"/>
              </w:rPr>
              <w:t>'</w:t>
            </w:r>
            <w:r w:rsidR="00281BF0" w:rsidRPr="000229AD">
              <w:rPr>
                <w:lang w:val="fr-FR"/>
              </w:rPr>
              <w:t>une application pour fournir des services de vulgarisation. Le BDT a également continué d</w:t>
            </w:r>
            <w:r w:rsidR="00125408" w:rsidRPr="000229AD">
              <w:rPr>
                <w:lang w:val="fr-FR"/>
              </w:rPr>
              <w:t>'</w:t>
            </w:r>
            <w:r w:rsidR="00281BF0" w:rsidRPr="000229AD">
              <w:rPr>
                <w:lang w:val="fr-FR"/>
              </w:rPr>
              <w:t xml:space="preserve">étendre les avantages de la transformation numérique aux zones rurales et isolées de </w:t>
            </w:r>
            <w:r w:rsidR="00281BF0" w:rsidRPr="000229AD">
              <w:rPr>
                <w:b/>
                <w:bCs/>
                <w:lang w:val="fr-FR"/>
              </w:rPr>
              <w:t>Papouasie-Nouvelle-Guinée</w:t>
            </w:r>
            <w:r w:rsidR="00281BF0" w:rsidRPr="000229AD">
              <w:rPr>
                <w:lang w:val="fr-FR"/>
              </w:rPr>
              <w:t xml:space="preserve"> dans le cadre du programme STREIT de l</w:t>
            </w:r>
            <w:r w:rsidR="00125408" w:rsidRPr="000229AD">
              <w:rPr>
                <w:lang w:val="fr-FR"/>
              </w:rPr>
              <w:t>'</w:t>
            </w:r>
            <w:r w:rsidR="00281BF0" w:rsidRPr="000229AD">
              <w:rPr>
                <w:lang w:val="fr-FR"/>
              </w:rPr>
              <w:t>UE, dirigé par la FAO en collaboration avec l</w:t>
            </w:r>
            <w:r w:rsidR="00125408" w:rsidRPr="000229AD">
              <w:rPr>
                <w:lang w:val="fr-FR"/>
              </w:rPr>
              <w:t>'</w:t>
            </w:r>
            <w:r w:rsidR="00281BF0" w:rsidRPr="000229AD">
              <w:rPr>
                <w:lang w:val="fr-FR"/>
              </w:rPr>
              <w:t>OIT, l</w:t>
            </w:r>
            <w:r w:rsidR="00125408" w:rsidRPr="000229AD">
              <w:rPr>
                <w:lang w:val="fr-FR"/>
              </w:rPr>
              <w:t>'</w:t>
            </w:r>
            <w:r w:rsidR="00281BF0" w:rsidRPr="000229AD">
              <w:rPr>
                <w:lang w:val="fr-FR"/>
              </w:rPr>
              <w:t>UIT, le Fonds d</w:t>
            </w:r>
            <w:r w:rsidR="00125408" w:rsidRPr="000229AD">
              <w:rPr>
                <w:lang w:val="fr-FR"/>
              </w:rPr>
              <w:t>'</w:t>
            </w:r>
            <w:r w:rsidR="00281BF0" w:rsidRPr="000229AD">
              <w:rPr>
                <w:lang w:val="fr-FR"/>
              </w:rPr>
              <w:t>équipement des Nations Unies (FENU) et le PNUD. Grâce à cette initiative, quatre</w:t>
            </w:r>
            <w:r w:rsidR="00A4048C" w:rsidRPr="000229AD">
              <w:rPr>
                <w:lang w:val="fr-FR"/>
              </w:rPr>
              <w:t> </w:t>
            </w:r>
            <w:r w:rsidR="00281BF0" w:rsidRPr="000229AD">
              <w:rPr>
                <w:lang w:val="fr-FR"/>
              </w:rPr>
              <w:t>centres de ressources ont été créés et des formations sont organisées pour les agriculteurs sur diverses compétences numériques et le commerce électronique. Au total, 542 participants ont bénéficié de ces formations. Les compétences qu</w:t>
            </w:r>
            <w:r w:rsidR="00125408" w:rsidRPr="000229AD">
              <w:rPr>
                <w:lang w:val="fr-FR"/>
              </w:rPr>
              <w:t>'</w:t>
            </w:r>
            <w:r w:rsidR="00281BF0" w:rsidRPr="000229AD">
              <w:rPr>
                <w:lang w:val="fr-FR"/>
              </w:rPr>
              <w:t>ils ont acquises ont permis aux agriculteurs d</w:t>
            </w:r>
            <w:r w:rsidR="00125408" w:rsidRPr="000229AD">
              <w:rPr>
                <w:lang w:val="fr-FR"/>
              </w:rPr>
              <w:t>'</w:t>
            </w:r>
            <w:r w:rsidR="00281BF0" w:rsidRPr="000229AD">
              <w:rPr>
                <w:lang w:val="fr-FR"/>
              </w:rPr>
              <w:t>utiliser efficacement les technologies numériques, stimulant ainsi la croissance économique. En outre, les agriculteurs sont en mesure de répandre leurs connaissances à d</w:t>
            </w:r>
            <w:r w:rsidR="00125408" w:rsidRPr="000229AD">
              <w:rPr>
                <w:lang w:val="fr-FR"/>
              </w:rPr>
              <w:t>'</w:t>
            </w:r>
            <w:r w:rsidR="00281BF0" w:rsidRPr="000229AD">
              <w:rPr>
                <w:lang w:val="fr-FR"/>
              </w:rPr>
              <w:t>autres villages, contribuant ainsi au développement global des populations locales. La FAO et l</w:t>
            </w:r>
            <w:r w:rsidR="00125408" w:rsidRPr="000229AD">
              <w:rPr>
                <w:lang w:val="fr-FR"/>
              </w:rPr>
              <w:t>'</w:t>
            </w:r>
            <w:r w:rsidR="00281BF0" w:rsidRPr="000229AD">
              <w:rPr>
                <w:lang w:val="fr-FR"/>
              </w:rPr>
              <w:t>UIT ont amélioré le partage des connaissances sur l</w:t>
            </w:r>
            <w:r w:rsidR="00125408" w:rsidRPr="000229AD">
              <w:rPr>
                <w:lang w:val="fr-FR"/>
              </w:rPr>
              <w:t>'</w:t>
            </w:r>
            <w:r w:rsidR="00281BF0" w:rsidRPr="000229AD">
              <w:rPr>
                <w:lang w:val="fr-FR"/>
              </w:rPr>
              <w:t>agriculture numérique dans le cadre du Forum sur les solutions d</w:t>
            </w:r>
            <w:r w:rsidR="00125408" w:rsidRPr="000229AD">
              <w:rPr>
                <w:lang w:val="fr-FR"/>
              </w:rPr>
              <w:t>'</w:t>
            </w:r>
            <w:r w:rsidR="00281BF0" w:rsidRPr="000229AD">
              <w:rPr>
                <w:lang w:val="fr-FR"/>
              </w:rPr>
              <w:t>agriculture numérique pour la région Asie-Pacifique 2023.</w:t>
            </w:r>
          </w:p>
          <w:p w14:paraId="06D5C1F5" w14:textId="3949E201" w:rsidR="00281BF0" w:rsidRPr="000229AD" w:rsidRDefault="00371DF6" w:rsidP="00716C22">
            <w:pPr>
              <w:pStyle w:val="Tabletext"/>
              <w:pageBreakBefore/>
              <w:tabs>
                <w:tab w:val="clear" w:pos="284"/>
              </w:tabs>
              <w:spacing w:before="80" w:after="0"/>
              <w:ind w:left="311" w:hanging="311"/>
              <w:rPr>
                <w:rFonts w:eastAsia="Calibri"/>
                <w:lang w:val="fr-FR"/>
              </w:rPr>
            </w:pPr>
            <w:r w:rsidRPr="000229AD">
              <w:rPr>
                <w:rFonts w:eastAsia="Calibri"/>
                <w:lang w:val="fr-FR"/>
              </w:rPr>
              <w:t>•</w:t>
            </w:r>
            <w:r w:rsidRPr="000229AD">
              <w:rPr>
                <w:rFonts w:eastAsia="Calibri"/>
                <w:lang w:val="fr-FR"/>
              </w:rPr>
              <w:tab/>
            </w:r>
            <w:r w:rsidR="00281BF0" w:rsidRPr="000229AD">
              <w:rPr>
                <w:rFonts w:eastAsia="Calibri"/>
                <w:b/>
                <w:bCs/>
                <w:lang w:val="fr-FR"/>
              </w:rPr>
              <w:t>Autres solutions numériques</w:t>
            </w:r>
            <w:r w:rsidR="00281BF0" w:rsidRPr="000229AD">
              <w:rPr>
                <w:rFonts w:eastAsia="Calibri"/>
                <w:lang w:val="fr-FR"/>
              </w:rPr>
              <w:t xml:space="preserve">: </w:t>
            </w:r>
            <w:r w:rsidR="00E97BD0" w:rsidRPr="000229AD">
              <w:rPr>
                <w:rFonts w:eastAsia="Calibri"/>
                <w:lang w:val="fr-FR"/>
              </w:rPr>
              <w:t>l</w:t>
            </w:r>
            <w:r w:rsidR="00281BF0" w:rsidRPr="000229AD">
              <w:rPr>
                <w:rFonts w:eastAsia="Calibri"/>
                <w:lang w:val="fr-FR"/>
              </w:rPr>
              <w:t>e BDT a par ailleurs mis au point un système amélioré de gestion de l</w:t>
            </w:r>
            <w:r w:rsidR="00125408" w:rsidRPr="000229AD">
              <w:rPr>
                <w:rFonts w:eastAsia="Calibri"/>
                <w:lang w:val="fr-FR"/>
              </w:rPr>
              <w:t>'</w:t>
            </w:r>
            <w:r w:rsidR="00281BF0" w:rsidRPr="000229AD">
              <w:rPr>
                <w:rFonts w:eastAsia="Calibri"/>
                <w:lang w:val="fr-FR"/>
              </w:rPr>
              <w:t>apprentissage, qui a été remis à l</w:t>
            </w:r>
            <w:r w:rsidR="00125408" w:rsidRPr="000229AD">
              <w:rPr>
                <w:rFonts w:eastAsia="Calibri"/>
                <w:lang w:val="fr-FR"/>
              </w:rPr>
              <w:t>'</w:t>
            </w:r>
            <w:r w:rsidR="00281BF0" w:rsidRPr="000229AD">
              <w:rPr>
                <w:rFonts w:eastAsia="Calibri"/>
                <w:b/>
                <w:bCs/>
                <w:lang w:val="fr-FR"/>
              </w:rPr>
              <w:t>Université de technologie de Papouasie-Nouvelle-Guinée</w:t>
            </w:r>
            <w:r w:rsidR="00281BF0" w:rsidRPr="000229AD">
              <w:rPr>
                <w:rFonts w:eastAsia="Calibri"/>
                <w:lang w:val="fr-FR"/>
              </w:rPr>
              <w:t xml:space="preserve">. </w:t>
            </w:r>
            <w:hyperlink r:id="rId32" w:history="1">
              <w:r w:rsidR="00281BF0" w:rsidRPr="000229AD">
                <w:rPr>
                  <w:rStyle w:val="Hyperlink"/>
                  <w:lang w:val="fr-FR"/>
                </w:rPr>
                <w:t>Plusieurs solutions numériques</w:t>
              </w:r>
            </w:hyperlink>
            <w:r w:rsidR="00281BF0" w:rsidRPr="000229AD">
              <w:rPr>
                <w:rFonts w:eastAsia="Calibri"/>
                <w:lang w:val="fr-FR"/>
              </w:rPr>
              <w:t xml:space="preserve"> continuent d</w:t>
            </w:r>
            <w:r w:rsidR="00125408" w:rsidRPr="000229AD">
              <w:rPr>
                <w:rFonts w:eastAsia="Calibri"/>
                <w:lang w:val="fr-FR"/>
              </w:rPr>
              <w:t>'</w:t>
            </w:r>
            <w:r w:rsidR="00281BF0" w:rsidRPr="000229AD">
              <w:rPr>
                <w:rFonts w:eastAsia="Calibri"/>
                <w:lang w:val="fr-FR"/>
              </w:rPr>
              <w:t>être développées en étroite coopération avec le Gouvernement de Papouasie-Nouvelle-Guinée et des partenaires de programme conformément aux stratégies de cyberagriculture élaborées précédemment.</w:t>
            </w:r>
          </w:p>
          <w:p w14:paraId="7DBE8FC0" w14:textId="65DBA3E7" w:rsidR="00281BF0" w:rsidRPr="000229AD" w:rsidRDefault="00371DF6" w:rsidP="00716C22">
            <w:pPr>
              <w:pStyle w:val="Tabletext"/>
              <w:pageBreakBefore/>
              <w:tabs>
                <w:tab w:val="clear" w:pos="284"/>
              </w:tabs>
              <w:spacing w:before="80" w:after="0"/>
              <w:ind w:left="311" w:hanging="311"/>
              <w:rPr>
                <w:rFonts w:eastAsia="Calibri"/>
                <w:lang w:val="fr-FR"/>
              </w:rPr>
            </w:pPr>
            <w:r w:rsidRPr="000229AD">
              <w:rPr>
                <w:rFonts w:eastAsia="Calibri"/>
                <w:lang w:val="fr-FR"/>
              </w:rPr>
              <w:t>•</w:t>
            </w:r>
            <w:r w:rsidRPr="000229AD">
              <w:rPr>
                <w:rFonts w:eastAsia="Calibri"/>
                <w:lang w:val="fr-FR"/>
              </w:rPr>
              <w:tab/>
            </w:r>
            <w:r w:rsidR="00281BF0" w:rsidRPr="000229AD">
              <w:rPr>
                <w:rFonts w:eastAsia="Calibri"/>
                <w:b/>
                <w:bCs/>
                <w:lang w:val="fr-FR"/>
              </w:rPr>
              <w:t>GovStack</w:t>
            </w:r>
            <w:r w:rsidR="00281BF0" w:rsidRPr="000229AD">
              <w:rPr>
                <w:rFonts w:eastAsia="Calibri"/>
                <w:lang w:val="fr-FR"/>
              </w:rPr>
              <w:t xml:space="preserve"> a lancé la première édition du GovStack Women in Govtech Challenge dans le cadre duquel le projet a sélectionné</w:t>
            </w:r>
            <w:r w:rsidR="00A4048C" w:rsidRPr="000229AD">
              <w:rPr>
                <w:rFonts w:eastAsia="Calibri"/>
                <w:lang w:val="fr-FR"/>
              </w:rPr>
              <w:t> </w:t>
            </w:r>
            <w:r w:rsidR="00281BF0" w:rsidRPr="000229AD">
              <w:rPr>
                <w:rFonts w:eastAsia="Calibri"/>
                <w:lang w:val="fr-FR"/>
              </w:rPr>
              <w:t>139 femmes parmi 240 candidates pour les former aux spécifications techniques de GovStack, à la gestion d</w:t>
            </w:r>
            <w:r w:rsidR="00125408" w:rsidRPr="000229AD">
              <w:rPr>
                <w:rFonts w:eastAsia="Calibri"/>
                <w:lang w:val="fr-FR"/>
              </w:rPr>
              <w:t>'</w:t>
            </w:r>
            <w:r w:rsidR="00281BF0" w:rsidRPr="000229AD">
              <w:rPr>
                <w:rFonts w:eastAsia="Calibri"/>
                <w:lang w:val="fr-FR"/>
              </w:rPr>
              <w:t>équipe et à l</w:t>
            </w:r>
            <w:r w:rsidR="00125408" w:rsidRPr="000229AD">
              <w:rPr>
                <w:rFonts w:eastAsia="Calibri"/>
                <w:lang w:val="fr-FR"/>
              </w:rPr>
              <w:t>'</w:t>
            </w:r>
            <w:r w:rsidR="00281BF0" w:rsidRPr="000229AD">
              <w:rPr>
                <w:rFonts w:eastAsia="Calibri"/>
                <w:lang w:val="fr-FR"/>
              </w:rPr>
              <w:t>exercice de l</w:t>
            </w:r>
            <w:r w:rsidR="00125408" w:rsidRPr="000229AD">
              <w:rPr>
                <w:rFonts w:eastAsia="Calibri"/>
                <w:lang w:val="fr-FR"/>
              </w:rPr>
              <w:t>'</w:t>
            </w:r>
            <w:r w:rsidR="00281BF0" w:rsidRPr="000229AD">
              <w:rPr>
                <w:rFonts w:eastAsia="Calibri"/>
                <w:lang w:val="fr-FR"/>
              </w:rPr>
              <w:t>autorité. Le premier groupe comprend des contributions de 59 pays et les meilleurs projets seront présentés au SMSI 2024. Un environnement test pour les services publics numériques a été mis en place. Il sert de plate-forme aux utilisateurs souhaitant s</w:t>
            </w:r>
            <w:r w:rsidR="00125408" w:rsidRPr="000229AD">
              <w:rPr>
                <w:rFonts w:eastAsia="Calibri"/>
                <w:lang w:val="fr-FR"/>
              </w:rPr>
              <w:t>'</w:t>
            </w:r>
            <w:r w:rsidR="00281BF0" w:rsidRPr="000229AD">
              <w:rPr>
                <w:rFonts w:eastAsia="Calibri"/>
                <w:lang w:val="fr-FR"/>
              </w:rPr>
              <w:t>essayer et se former au développement de services d</w:t>
            </w:r>
            <w:r w:rsidR="00125408" w:rsidRPr="000229AD">
              <w:rPr>
                <w:rFonts w:eastAsia="Calibri"/>
                <w:lang w:val="fr-FR"/>
              </w:rPr>
              <w:t>'</w:t>
            </w:r>
            <w:r w:rsidR="00281BF0" w:rsidRPr="000229AD">
              <w:rPr>
                <w:rFonts w:eastAsia="Calibri"/>
                <w:lang w:val="fr-FR"/>
              </w:rPr>
              <w:t>administration en ligne interopérables et sécurisés. Quatre outils numériques ou modules ont été créés et déployés dans l</w:t>
            </w:r>
            <w:r w:rsidR="00125408" w:rsidRPr="000229AD">
              <w:rPr>
                <w:rFonts w:eastAsia="Calibri"/>
                <w:lang w:val="fr-FR"/>
              </w:rPr>
              <w:t>'</w:t>
            </w:r>
            <w:r w:rsidR="00281BF0" w:rsidRPr="000229AD">
              <w:rPr>
                <w:rFonts w:eastAsia="Calibri"/>
                <w:lang w:val="fr-FR"/>
              </w:rPr>
              <w:t>environnement test de GovStack: il s</w:t>
            </w:r>
            <w:r w:rsidR="00125408" w:rsidRPr="000229AD">
              <w:rPr>
                <w:rFonts w:eastAsia="Calibri"/>
                <w:lang w:val="fr-FR"/>
              </w:rPr>
              <w:t>'</w:t>
            </w:r>
            <w:r w:rsidR="00281BF0" w:rsidRPr="000229AD">
              <w:rPr>
                <w:rFonts w:eastAsia="Calibri"/>
                <w:lang w:val="fr-FR"/>
              </w:rPr>
              <w:t>agit des modules identité, paiements, médiateur de l</w:t>
            </w:r>
            <w:r w:rsidR="00125408" w:rsidRPr="000229AD">
              <w:rPr>
                <w:rFonts w:eastAsia="Calibri"/>
                <w:lang w:val="fr-FR"/>
              </w:rPr>
              <w:t>'</w:t>
            </w:r>
            <w:r w:rsidR="00281BF0" w:rsidRPr="000229AD">
              <w:rPr>
                <w:rFonts w:eastAsia="Calibri"/>
                <w:lang w:val="fr-FR"/>
              </w:rPr>
              <w:t>information et consentement. Ces modules réutilisables ont été intégrés pour fournir des exemples de services publics numériques. Les équipes numériques dans les pays étudient en permanence l</w:t>
            </w:r>
            <w:r w:rsidR="00125408" w:rsidRPr="000229AD">
              <w:rPr>
                <w:rFonts w:eastAsia="Calibri"/>
                <w:lang w:val="fr-FR"/>
              </w:rPr>
              <w:t>'</w:t>
            </w:r>
            <w:r w:rsidR="00281BF0" w:rsidRPr="000229AD">
              <w:rPr>
                <w:rFonts w:eastAsia="Calibri"/>
                <w:lang w:val="fr-FR"/>
              </w:rPr>
              <w:t>utilisation de ces plates-formes pour compléter leur pile technologique.</w:t>
            </w:r>
          </w:p>
          <w:p w14:paraId="45BC522F" w14:textId="138B9755" w:rsidR="00281BF0" w:rsidRPr="000229AD" w:rsidRDefault="00371DF6" w:rsidP="00716C22">
            <w:pPr>
              <w:pStyle w:val="Tabletext"/>
              <w:pageBreakBefore/>
              <w:tabs>
                <w:tab w:val="clear" w:pos="284"/>
              </w:tabs>
              <w:spacing w:before="80" w:after="0"/>
              <w:ind w:left="311" w:hanging="311"/>
              <w:rPr>
                <w:rFonts w:eastAsia="Calibri"/>
                <w:lang w:val="fr-FR"/>
              </w:rPr>
            </w:pPr>
            <w:r w:rsidRPr="000229AD">
              <w:rPr>
                <w:rFonts w:eastAsia="Calibri"/>
                <w:lang w:val="fr-FR"/>
              </w:rPr>
              <w:t>•</w:t>
            </w:r>
            <w:r w:rsidRPr="000229AD">
              <w:rPr>
                <w:rFonts w:eastAsia="Calibri"/>
                <w:lang w:val="fr-FR"/>
              </w:rPr>
              <w:tab/>
            </w:r>
            <w:r w:rsidR="00281BF0" w:rsidRPr="000229AD">
              <w:rPr>
                <w:rFonts w:eastAsia="Calibri"/>
                <w:b/>
                <w:bCs/>
                <w:lang w:val="fr-FR"/>
              </w:rPr>
              <w:t xml:space="preserve">Dans la région </w:t>
            </w:r>
            <w:r w:rsidR="00792196" w:rsidRPr="000229AD">
              <w:rPr>
                <w:rFonts w:eastAsia="Calibri"/>
                <w:b/>
                <w:bCs/>
                <w:lang w:val="fr-FR"/>
              </w:rPr>
              <w:t xml:space="preserve">des </w:t>
            </w:r>
            <w:r w:rsidR="00281BF0" w:rsidRPr="000229AD">
              <w:rPr>
                <w:rFonts w:eastAsia="Calibri"/>
                <w:b/>
                <w:bCs/>
                <w:lang w:val="fr-FR"/>
              </w:rPr>
              <w:t>États arabes</w:t>
            </w:r>
            <w:r w:rsidR="00281BF0" w:rsidRPr="000229AD">
              <w:rPr>
                <w:rFonts w:eastAsia="Calibri"/>
                <w:lang w:val="fr-FR"/>
              </w:rPr>
              <w:t>, le BDT a lancé, en collaboration avec l</w:t>
            </w:r>
            <w:r w:rsidR="00125408" w:rsidRPr="000229AD">
              <w:rPr>
                <w:rFonts w:eastAsia="Calibri"/>
                <w:lang w:val="fr-FR"/>
              </w:rPr>
              <w:t>'</w:t>
            </w:r>
            <w:r w:rsidR="00281BF0" w:rsidRPr="000229AD">
              <w:rPr>
                <w:rFonts w:eastAsia="Calibri"/>
                <w:lang w:val="fr-FR"/>
              </w:rPr>
              <w:t>Autorité nationale de régulation des télécommunications d</w:t>
            </w:r>
            <w:r w:rsidR="00125408" w:rsidRPr="000229AD">
              <w:rPr>
                <w:rFonts w:eastAsia="Calibri"/>
                <w:lang w:val="fr-FR"/>
              </w:rPr>
              <w:t>'</w:t>
            </w:r>
            <w:r w:rsidR="00281BF0" w:rsidRPr="000229AD">
              <w:rPr>
                <w:rFonts w:eastAsia="Calibri"/>
                <w:lang w:val="fr-FR"/>
              </w:rPr>
              <w:t xml:space="preserve">Égypte, un projet visant à mettre en place une infrastructure de télécommunication pour le </w:t>
            </w:r>
            <w:r w:rsidR="00281BF0" w:rsidRPr="000229AD">
              <w:rPr>
                <w:rFonts w:eastAsia="Calibri"/>
                <w:b/>
                <w:bCs/>
                <w:lang w:val="fr-FR"/>
              </w:rPr>
              <w:t>développement de villes et de communautés intelligentes et durables en Égypte</w:t>
            </w:r>
            <w:r w:rsidR="00281BF0" w:rsidRPr="000229AD">
              <w:rPr>
                <w:rFonts w:eastAsia="Calibri"/>
                <w:lang w:val="fr-FR"/>
              </w:rPr>
              <w:t>. Le projet vise à mettre en place un environnement favorable à l</w:t>
            </w:r>
            <w:r w:rsidR="00125408" w:rsidRPr="000229AD">
              <w:rPr>
                <w:rFonts w:eastAsia="Calibri"/>
                <w:lang w:val="fr-FR"/>
              </w:rPr>
              <w:t>'</w:t>
            </w:r>
            <w:r w:rsidR="00281BF0" w:rsidRPr="000229AD">
              <w:rPr>
                <w:rFonts w:eastAsia="Calibri"/>
                <w:lang w:val="fr-FR"/>
              </w:rPr>
              <w:t>innovation en Égypte grâce à la réalisation d</w:t>
            </w:r>
            <w:r w:rsidR="00125408" w:rsidRPr="000229AD">
              <w:rPr>
                <w:rFonts w:eastAsia="Calibri"/>
                <w:lang w:val="fr-FR"/>
              </w:rPr>
              <w:t>'</w:t>
            </w:r>
            <w:r w:rsidR="00281BF0" w:rsidRPr="000229AD">
              <w:rPr>
                <w:rFonts w:eastAsia="Calibri"/>
                <w:lang w:val="fr-FR"/>
              </w:rPr>
              <w:t>une évaluation, la formulation d</w:t>
            </w:r>
            <w:r w:rsidR="00125408" w:rsidRPr="000229AD">
              <w:rPr>
                <w:rFonts w:eastAsia="Calibri"/>
                <w:lang w:val="fr-FR"/>
              </w:rPr>
              <w:t>'</w:t>
            </w:r>
            <w:r w:rsidR="00281BF0" w:rsidRPr="000229AD">
              <w:rPr>
                <w:rFonts w:eastAsia="Calibri"/>
                <w:lang w:val="fr-FR"/>
              </w:rPr>
              <w:t>un cadre réglementaire et l</w:t>
            </w:r>
            <w:r w:rsidR="00125408" w:rsidRPr="000229AD">
              <w:rPr>
                <w:rFonts w:eastAsia="Calibri"/>
                <w:lang w:val="fr-FR"/>
              </w:rPr>
              <w:t>'</w:t>
            </w:r>
            <w:r w:rsidR="00281BF0" w:rsidRPr="000229AD">
              <w:rPr>
                <w:rFonts w:eastAsia="Calibri"/>
                <w:lang w:val="fr-FR"/>
              </w:rPr>
              <w:t>élaboration d</w:t>
            </w:r>
            <w:r w:rsidR="00125408" w:rsidRPr="000229AD">
              <w:rPr>
                <w:rFonts w:eastAsia="Calibri"/>
                <w:lang w:val="fr-FR"/>
              </w:rPr>
              <w:t>'</w:t>
            </w:r>
            <w:r w:rsidR="00281BF0" w:rsidRPr="000229AD">
              <w:rPr>
                <w:rFonts w:eastAsia="Calibri"/>
                <w:lang w:val="fr-FR"/>
              </w:rPr>
              <w:t>une méthodologie visant à soutenir les actions du Gouvernement égyptien dans le domaine des villes et communautés intelligentes et durables. Plus de 250 parties prenantes ont participé à la première formation approfondie de GovStack tenue en Égypte, leur permettant ainsi d</w:t>
            </w:r>
            <w:r w:rsidR="00125408" w:rsidRPr="000229AD">
              <w:rPr>
                <w:rFonts w:eastAsia="Calibri"/>
                <w:lang w:val="fr-FR"/>
              </w:rPr>
              <w:t>'</w:t>
            </w:r>
            <w:r w:rsidR="00281BF0" w:rsidRPr="000229AD">
              <w:rPr>
                <w:rFonts w:eastAsia="Calibri"/>
                <w:b/>
                <w:bCs/>
                <w:lang w:val="fr-FR"/>
              </w:rPr>
              <w:t xml:space="preserve">améliorer leur expertise technique sur les spécifications </w:t>
            </w:r>
            <w:r w:rsidR="00281BF0" w:rsidRPr="000229AD">
              <w:rPr>
                <w:rFonts w:eastAsia="Calibri"/>
                <w:b/>
                <w:bCs/>
                <w:lang w:val="fr-FR"/>
              </w:rPr>
              <w:lastRenderedPageBreak/>
              <w:t>techniques et l</w:t>
            </w:r>
            <w:r w:rsidR="00125408" w:rsidRPr="000229AD">
              <w:rPr>
                <w:rFonts w:eastAsia="Calibri"/>
                <w:b/>
                <w:bCs/>
                <w:lang w:val="fr-FR"/>
              </w:rPr>
              <w:t>'</w:t>
            </w:r>
            <w:r w:rsidR="00281BF0" w:rsidRPr="000229AD">
              <w:rPr>
                <w:rFonts w:eastAsia="Calibri"/>
                <w:b/>
                <w:bCs/>
                <w:lang w:val="fr-FR"/>
              </w:rPr>
              <w:t>interface de programmation d</w:t>
            </w:r>
            <w:r w:rsidR="00125408" w:rsidRPr="000229AD">
              <w:rPr>
                <w:rFonts w:eastAsia="Calibri"/>
                <w:b/>
                <w:bCs/>
                <w:lang w:val="fr-FR"/>
              </w:rPr>
              <w:t>'</w:t>
            </w:r>
            <w:r w:rsidR="00281BF0" w:rsidRPr="000229AD">
              <w:rPr>
                <w:rFonts w:eastAsia="Calibri"/>
                <w:b/>
                <w:bCs/>
                <w:lang w:val="fr-FR"/>
              </w:rPr>
              <w:t>application (API) de GovStack</w:t>
            </w:r>
            <w:r w:rsidR="00281BF0" w:rsidRPr="000229AD">
              <w:rPr>
                <w:rFonts w:eastAsia="Calibri"/>
                <w:lang w:val="fr-FR"/>
              </w:rPr>
              <w:t>. Ces formations approfondies offrent une expérience immersive pour l</w:t>
            </w:r>
            <w:r w:rsidR="00125408" w:rsidRPr="000229AD">
              <w:rPr>
                <w:rFonts w:eastAsia="Calibri"/>
                <w:lang w:val="fr-FR"/>
              </w:rPr>
              <w:t>'</w:t>
            </w:r>
            <w:r w:rsidR="00281BF0" w:rsidRPr="000229AD">
              <w:rPr>
                <w:rFonts w:eastAsia="Calibri"/>
                <w:lang w:val="fr-FR"/>
              </w:rPr>
              <w:t>étude détaillée des fonctionnalités disponibles dans les spécifications techniques et les API de GovStack, l</w:t>
            </w:r>
            <w:r w:rsidR="00125408" w:rsidRPr="000229AD">
              <w:rPr>
                <w:rFonts w:eastAsia="Calibri"/>
                <w:lang w:val="fr-FR"/>
              </w:rPr>
              <w:t>'</w:t>
            </w:r>
            <w:r w:rsidR="00281BF0" w:rsidRPr="000229AD">
              <w:rPr>
                <w:rFonts w:eastAsia="Calibri"/>
                <w:lang w:val="fr-FR"/>
              </w:rPr>
              <w:t>architecture de l</w:t>
            </w:r>
            <w:r w:rsidR="00125408" w:rsidRPr="000229AD">
              <w:rPr>
                <w:rFonts w:eastAsia="Calibri"/>
                <w:lang w:val="fr-FR"/>
              </w:rPr>
              <w:t>'</w:t>
            </w:r>
            <w:r w:rsidR="00281BF0" w:rsidRPr="000229AD">
              <w:rPr>
                <w:rFonts w:eastAsia="Calibri"/>
                <w:lang w:val="fr-FR"/>
              </w:rPr>
              <w:t>environnement test, l</w:t>
            </w:r>
            <w:r w:rsidR="00125408" w:rsidRPr="000229AD">
              <w:rPr>
                <w:rFonts w:eastAsia="Calibri"/>
                <w:lang w:val="fr-FR"/>
              </w:rPr>
              <w:t>'</w:t>
            </w:r>
            <w:r w:rsidR="00281BF0" w:rsidRPr="000229AD">
              <w:rPr>
                <w:rFonts w:eastAsia="Calibri"/>
                <w:lang w:val="fr-FR"/>
              </w:rPr>
              <w:t>intégration de cas d</w:t>
            </w:r>
            <w:r w:rsidR="00125408" w:rsidRPr="000229AD">
              <w:rPr>
                <w:rFonts w:eastAsia="Calibri"/>
                <w:lang w:val="fr-FR"/>
              </w:rPr>
              <w:t>'</w:t>
            </w:r>
            <w:r w:rsidR="00281BF0" w:rsidRPr="000229AD">
              <w:rPr>
                <w:rFonts w:eastAsia="Calibri"/>
                <w:lang w:val="fr-FR"/>
              </w:rPr>
              <w:t>utilisation, le guide et les supports de formation disponibles dans GovStack.</w:t>
            </w:r>
          </w:p>
          <w:p w14:paraId="5C493CF2" w14:textId="0A929270" w:rsidR="00281BF0" w:rsidRPr="000229AD" w:rsidRDefault="00371DF6" w:rsidP="00716C22">
            <w:pPr>
              <w:pStyle w:val="Tabletext"/>
              <w:pageBreakBefore/>
              <w:tabs>
                <w:tab w:val="clear" w:pos="284"/>
              </w:tabs>
              <w:spacing w:before="80" w:after="0"/>
              <w:ind w:left="311" w:hanging="311"/>
              <w:rPr>
                <w:rFonts w:eastAsia="Calibri"/>
                <w:lang w:val="fr-FR"/>
              </w:rPr>
            </w:pPr>
            <w:r w:rsidRPr="000229AD">
              <w:rPr>
                <w:rFonts w:eastAsia="Calibri"/>
                <w:lang w:val="fr-FR"/>
              </w:rPr>
              <w:tab/>
            </w:r>
            <w:r w:rsidR="00281BF0" w:rsidRPr="000229AD">
              <w:rPr>
                <w:rFonts w:eastAsia="Calibri"/>
                <w:b/>
                <w:bCs/>
                <w:lang w:val="fr-FR"/>
              </w:rPr>
              <w:t xml:space="preserve">Djibouti </w:t>
            </w:r>
            <w:r w:rsidR="00281BF0" w:rsidRPr="000229AD">
              <w:rPr>
                <w:rFonts w:eastAsia="Calibri"/>
                <w:lang w:val="fr-FR"/>
              </w:rPr>
              <w:t xml:space="preserve">et la </w:t>
            </w:r>
            <w:r w:rsidR="00281BF0" w:rsidRPr="000229AD">
              <w:rPr>
                <w:rFonts w:eastAsia="Calibri"/>
                <w:b/>
                <w:bCs/>
                <w:lang w:val="fr-FR"/>
              </w:rPr>
              <w:t>Somalie</w:t>
            </w:r>
            <w:r w:rsidR="00281BF0" w:rsidRPr="000229AD">
              <w:rPr>
                <w:rFonts w:eastAsia="Calibri"/>
                <w:lang w:val="fr-FR"/>
              </w:rPr>
              <w:t xml:space="preserve"> ont été choisis comme pays de référence pour l</w:t>
            </w:r>
            <w:r w:rsidR="00125408" w:rsidRPr="000229AD">
              <w:rPr>
                <w:rFonts w:eastAsia="Calibri"/>
                <w:lang w:val="fr-FR"/>
              </w:rPr>
              <w:t>'</w:t>
            </w:r>
            <w:r w:rsidR="00281BF0" w:rsidRPr="000229AD">
              <w:rPr>
                <w:rFonts w:eastAsia="Calibri"/>
                <w:lang w:val="fr-FR"/>
              </w:rPr>
              <w:t>implémentation de GovStack. Le BDT fournit une assistance technique pour la numérisation de quatre cas d</w:t>
            </w:r>
            <w:r w:rsidR="00125408" w:rsidRPr="000229AD">
              <w:rPr>
                <w:rFonts w:eastAsia="Calibri"/>
                <w:lang w:val="fr-FR"/>
              </w:rPr>
              <w:t>'</w:t>
            </w:r>
            <w:r w:rsidR="00281BF0" w:rsidRPr="000229AD">
              <w:rPr>
                <w:rFonts w:eastAsia="Calibri"/>
                <w:lang w:val="fr-FR"/>
              </w:rPr>
              <w:t>utilisation prioritaires, à savoir eCabinet et eConstruction Permits à</w:t>
            </w:r>
            <w:r w:rsidR="00BC0512" w:rsidRPr="000229AD">
              <w:rPr>
                <w:rFonts w:eastAsia="Calibri"/>
                <w:lang w:val="fr-FR"/>
              </w:rPr>
              <w:t> </w:t>
            </w:r>
            <w:r w:rsidR="00281BF0" w:rsidRPr="000229AD">
              <w:rPr>
                <w:rFonts w:eastAsia="Calibri"/>
                <w:lang w:val="fr-FR"/>
              </w:rPr>
              <w:t>Djibouti et High School Records and Services Portal en Somalie. Tout au long de l</w:t>
            </w:r>
            <w:r w:rsidR="00125408" w:rsidRPr="000229AD">
              <w:rPr>
                <w:rFonts w:eastAsia="Calibri"/>
                <w:lang w:val="fr-FR"/>
              </w:rPr>
              <w:t>'</w:t>
            </w:r>
            <w:r w:rsidR="00281BF0" w:rsidRPr="000229AD">
              <w:rPr>
                <w:rFonts w:eastAsia="Calibri"/>
                <w:lang w:val="fr-FR"/>
              </w:rPr>
              <w:t>année 2023, des séances de conception de services ont été organisées pour déterminer les composants logiciels/DPI/modules réutilisables nécessaires pour permettre la numérisation des cas d</w:t>
            </w:r>
            <w:r w:rsidR="00125408" w:rsidRPr="000229AD">
              <w:rPr>
                <w:rFonts w:eastAsia="Calibri"/>
                <w:lang w:val="fr-FR"/>
              </w:rPr>
              <w:t>'</w:t>
            </w:r>
            <w:r w:rsidR="00281BF0" w:rsidRPr="000229AD">
              <w:rPr>
                <w:rFonts w:eastAsia="Calibri"/>
                <w:lang w:val="fr-FR"/>
              </w:rPr>
              <w:t>utilisation prioritaires.</w:t>
            </w:r>
          </w:p>
          <w:p w14:paraId="142C1F7B" w14:textId="44B8F99F" w:rsidR="00281BF0" w:rsidRPr="000229AD" w:rsidRDefault="00371DF6" w:rsidP="00716C22">
            <w:pPr>
              <w:pStyle w:val="Tabletext"/>
              <w:pageBreakBefore/>
              <w:tabs>
                <w:tab w:val="clear" w:pos="284"/>
              </w:tabs>
              <w:spacing w:before="80" w:after="0"/>
              <w:ind w:left="311" w:hanging="311"/>
              <w:rPr>
                <w:rFonts w:eastAsia="Calibri"/>
                <w:lang w:val="fr-FR"/>
              </w:rPr>
            </w:pPr>
            <w:r w:rsidRPr="000229AD">
              <w:rPr>
                <w:rFonts w:eastAsia="Calibri"/>
                <w:lang w:val="fr-FR"/>
              </w:rPr>
              <w:t>•</w:t>
            </w:r>
            <w:r w:rsidRPr="000229AD">
              <w:rPr>
                <w:rFonts w:eastAsia="Calibri"/>
                <w:lang w:val="fr-FR"/>
              </w:rPr>
              <w:tab/>
            </w:r>
            <w:r w:rsidR="00281BF0" w:rsidRPr="000229AD">
              <w:rPr>
                <w:rFonts w:eastAsia="Calibri"/>
                <w:b/>
                <w:bCs/>
                <w:lang w:val="fr-FR"/>
              </w:rPr>
              <w:t>Dans la région Afrique</w:t>
            </w:r>
            <w:r w:rsidR="00281BF0" w:rsidRPr="000229AD">
              <w:rPr>
                <w:rFonts w:eastAsia="Calibri"/>
                <w:lang w:val="fr-FR"/>
              </w:rPr>
              <w:t>, le BDT a mis en place une collaboration avec un partenaire de connaissances GovStack pour aider le</w:t>
            </w:r>
            <w:r w:rsidR="00A4048C" w:rsidRPr="000229AD">
              <w:rPr>
                <w:rFonts w:eastAsia="Calibri"/>
                <w:lang w:val="fr-FR"/>
              </w:rPr>
              <w:t> </w:t>
            </w:r>
            <w:r w:rsidR="00281BF0" w:rsidRPr="000229AD">
              <w:rPr>
                <w:rFonts w:eastAsia="Calibri"/>
                <w:b/>
                <w:bCs/>
                <w:lang w:val="fr-FR"/>
              </w:rPr>
              <w:t>Togo</w:t>
            </w:r>
            <w:r w:rsidR="00281BF0" w:rsidRPr="000229AD">
              <w:rPr>
                <w:rFonts w:eastAsia="Calibri"/>
                <w:lang w:val="fr-FR"/>
              </w:rPr>
              <w:t xml:space="preserve"> à mettre en œuvre la plate-forme d</w:t>
            </w:r>
            <w:r w:rsidR="00125408" w:rsidRPr="000229AD">
              <w:rPr>
                <w:rFonts w:eastAsia="Calibri"/>
                <w:lang w:val="fr-FR"/>
              </w:rPr>
              <w:t>'</w:t>
            </w:r>
            <w:r w:rsidR="00281BF0" w:rsidRPr="000229AD">
              <w:rPr>
                <w:rFonts w:eastAsia="Calibri"/>
                <w:lang w:val="fr-FR"/>
              </w:rPr>
              <w:t xml:space="preserve">identification numérique conformément aux spécifications techniques de GovStack. Au </w:t>
            </w:r>
            <w:r w:rsidR="00281BF0" w:rsidRPr="000229AD">
              <w:rPr>
                <w:rFonts w:eastAsia="Calibri"/>
                <w:b/>
                <w:bCs/>
                <w:lang w:val="fr-FR"/>
              </w:rPr>
              <w:t>Kenya</w:t>
            </w:r>
            <w:r w:rsidR="00281BF0" w:rsidRPr="000229AD">
              <w:rPr>
                <w:rFonts w:eastAsia="Calibri"/>
                <w:lang w:val="fr-FR"/>
              </w:rPr>
              <w:t>, un système de gestion de cas est en cours d</w:t>
            </w:r>
            <w:r w:rsidR="00125408" w:rsidRPr="000229AD">
              <w:rPr>
                <w:rFonts w:eastAsia="Calibri"/>
                <w:lang w:val="fr-FR"/>
              </w:rPr>
              <w:t>'</w:t>
            </w:r>
            <w:r w:rsidR="00281BF0" w:rsidRPr="000229AD">
              <w:rPr>
                <w:rFonts w:eastAsia="Calibri"/>
                <w:lang w:val="fr-FR"/>
              </w:rPr>
              <w:t>élaboration dans le cadre de l</w:t>
            </w:r>
            <w:r w:rsidR="00125408" w:rsidRPr="000229AD">
              <w:rPr>
                <w:rFonts w:eastAsia="Calibri"/>
                <w:lang w:val="fr-FR"/>
              </w:rPr>
              <w:t>'</w:t>
            </w:r>
            <w:r w:rsidR="00281BF0" w:rsidRPr="000229AD">
              <w:rPr>
                <w:rFonts w:eastAsia="Calibri"/>
                <w:lang w:val="fr-FR"/>
              </w:rPr>
              <w:t>Initiative pour la Corne de l</w:t>
            </w:r>
            <w:r w:rsidR="00125408" w:rsidRPr="000229AD">
              <w:rPr>
                <w:rFonts w:eastAsia="Calibri"/>
                <w:lang w:val="fr-FR"/>
              </w:rPr>
              <w:t>'</w:t>
            </w:r>
            <w:r w:rsidR="00281BF0" w:rsidRPr="000229AD">
              <w:rPr>
                <w:rFonts w:eastAsia="Calibri"/>
                <w:lang w:val="fr-FR"/>
              </w:rPr>
              <w:t>Afrique. Plus de 70 participants de Djibouti, du Kenya et de la Somalie ont participé à des initiatives de renforcement des capacités organisées à Kigali (Rwanda), qui leur ont permis de tirer parti de l</w:t>
            </w:r>
            <w:r w:rsidR="00125408" w:rsidRPr="000229AD">
              <w:rPr>
                <w:rFonts w:eastAsia="Calibri"/>
                <w:lang w:val="fr-FR"/>
              </w:rPr>
              <w:t>'</w:t>
            </w:r>
            <w:r w:rsidR="00281BF0" w:rsidRPr="000229AD">
              <w:rPr>
                <w:rFonts w:eastAsia="Calibri"/>
                <w:lang w:val="fr-FR"/>
              </w:rPr>
              <w:t xml:space="preserve">expérience du </w:t>
            </w:r>
            <w:r w:rsidR="00281BF0" w:rsidRPr="000229AD">
              <w:rPr>
                <w:rFonts w:eastAsia="Calibri"/>
                <w:b/>
                <w:bCs/>
                <w:lang w:val="fr-FR"/>
              </w:rPr>
              <w:t>Rwanda</w:t>
            </w:r>
            <w:r w:rsidR="00281BF0" w:rsidRPr="000229AD">
              <w:rPr>
                <w:rFonts w:eastAsia="Calibri"/>
                <w:lang w:val="fr-FR"/>
              </w:rPr>
              <w:t xml:space="preserve"> en matière de transformation numérique. Au </w:t>
            </w:r>
            <w:r w:rsidR="00281BF0" w:rsidRPr="000229AD">
              <w:rPr>
                <w:rFonts w:eastAsia="Calibri"/>
                <w:b/>
                <w:bCs/>
                <w:lang w:val="fr-FR"/>
              </w:rPr>
              <w:t>Sénégal</w:t>
            </w:r>
            <w:r w:rsidR="00281BF0" w:rsidRPr="000229AD">
              <w:rPr>
                <w:rFonts w:eastAsia="Calibri"/>
                <w:lang w:val="fr-FR"/>
              </w:rPr>
              <w:t xml:space="preserve"> et au </w:t>
            </w:r>
            <w:r w:rsidR="00281BF0" w:rsidRPr="000229AD">
              <w:rPr>
                <w:rFonts w:eastAsia="Calibri"/>
                <w:b/>
                <w:bCs/>
                <w:lang w:val="fr-FR"/>
              </w:rPr>
              <w:t>Togo</w:t>
            </w:r>
            <w:r w:rsidR="00281BF0" w:rsidRPr="000229AD">
              <w:rPr>
                <w:rFonts w:eastAsia="Calibri"/>
                <w:lang w:val="fr-FR"/>
              </w:rPr>
              <w:t xml:space="preserve">, un atelier a réuni les écosystèmes numériques des pays pour revoir la conception de leurs infrastructures publiques numériques. </w:t>
            </w:r>
            <w:r w:rsidR="00281BF0" w:rsidRPr="000229AD">
              <w:rPr>
                <w:rFonts w:eastAsia="Calibri"/>
                <w:b/>
                <w:bCs/>
                <w:lang w:val="fr-FR"/>
              </w:rPr>
              <w:t>Plus de 60 parties prenantes</w:t>
            </w:r>
            <w:r w:rsidR="00281BF0" w:rsidRPr="000229AD">
              <w:rPr>
                <w:rFonts w:eastAsia="Calibri"/>
                <w:lang w:val="fr-FR"/>
              </w:rPr>
              <w:t xml:space="preserve"> y ont participé, ce qui leur a permis de </w:t>
            </w:r>
            <w:r w:rsidR="00281BF0" w:rsidRPr="000229AD">
              <w:rPr>
                <w:rFonts w:eastAsia="Calibri"/>
                <w:b/>
                <w:bCs/>
                <w:lang w:val="fr-FR"/>
              </w:rPr>
              <w:t>mieux comprendre le fonctionnement de GovStack</w:t>
            </w:r>
            <w:r w:rsidR="00281BF0" w:rsidRPr="000229AD">
              <w:rPr>
                <w:rFonts w:eastAsia="Calibri"/>
                <w:lang w:val="fr-FR"/>
              </w:rPr>
              <w:t xml:space="preserve">. En </w:t>
            </w:r>
            <w:r w:rsidR="00281BF0" w:rsidRPr="000229AD">
              <w:rPr>
                <w:rFonts w:eastAsia="Calibri"/>
                <w:b/>
                <w:bCs/>
                <w:lang w:val="fr-FR"/>
              </w:rPr>
              <w:t>Gambie</w:t>
            </w:r>
            <w:r w:rsidR="00281BF0" w:rsidRPr="000229AD">
              <w:rPr>
                <w:rFonts w:eastAsia="Calibri"/>
                <w:lang w:val="fr-FR"/>
              </w:rPr>
              <w:t>, avec le soutien de Connect2Recover, un atelier approfondi sur la pile technologique GovStack a été organisé pour plus de 50 parties prenantes.</w:t>
            </w:r>
          </w:p>
          <w:p w14:paraId="22C4273A" w14:textId="65C5FB02" w:rsidR="00281BF0" w:rsidRPr="000229AD" w:rsidRDefault="00371DF6" w:rsidP="00716C22">
            <w:pPr>
              <w:pStyle w:val="Tabletext"/>
              <w:pageBreakBefore/>
              <w:tabs>
                <w:tab w:val="clear" w:pos="284"/>
              </w:tabs>
              <w:spacing w:before="80" w:after="0"/>
              <w:ind w:left="311" w:hanging="311"/>
              <w:rPr>
                <w:rFonts w:eastAsia="Calibri"/>
                <w:lang w:val="fr-FR"/>
              </w:rPr>
            </w:pPr>
            <w:r w:rsidRPr="000229AD">
              <w:rPr>
                <w:rFonts w:eastAsia="Calibri"/>
                <w:lang w:val="fr-FR"/>
              </w:rPr>
              <w:t>•</w:t>
            </w:r>
            <w:r w:rsidRPr="000229AD">
              <w:rPr>
                <w:rFonts w:eastAsia="Calibri"/>
                <w:lang w:val="fr-FR"/>
              </w:rPr>
              <w:tab/>
            </w:r>
            <w:r w:rsidR="00281BF0" w:rsidRPr="000229AD">
              <w:rPr>
                <w:rFonts w:eastAsia="Calibri"/>
                <w:b/>
                <w:bCs/>
                <w:lang w:val="fr-FR"/>
              </w:rPr>
              <w:t>Dans la région Amériques</w:t>
            </w:r>
            <w:r w:rsidR="00281BF0" w:rsidRPr="000229AD">
              <w:rPr>
                <w:rFonts w:eastAsia="Calibri"/>
                <w:lang w:val="fr-FR"/>
              </w:rPr>
              <w:t>, 26 responsables de services ou d</w:t>
            </w:r>
            <w:r w:rsidR="00125408" w:rsidRPr="000229AD">
              <w:rPr>
                <w:rFonts w:eastAsia="Calibri"/>
                <w:lang w:val="fr-FR"/>
              </w:rPr>
              <w:t>'</w:t>
            </w:r>
            <w:r w:rsidR="00281BF0" w:rsidRPr="000229AD">
              <w:rPr>
                <w:rFonts w:eastAsia="Calibri"/>
                <w:lang w:val="fr-FR"/>
              </w:rPr>
              <w:t xml:space="preserve">organismes chargés des services publics numériques ont amélioré leurs connaissances de GovStack lors de la réunion annuelle du </w:t>
            </w:r>
            <w:r w:rsidR="00281BF0" w:rsidRPr="000229AD">
              <w:rPr>
                <w:rFonts w:eastAsia="Calibri"/>
                <w:b/>
                <w:bCs/>
                <w:lang w:val="fr-FR"/>
              </w:rPr>
              <w:t>Réseau régional pour le développement de l</w:t>
            </w:r>
            <w:r w:rsidR="00125408" w:rsidRPr="000229AD">
              <w:rPr>
                <w:rFonts w:eastAsia="Calibri"/>
                <w:b/>
                <w:bCs/>
                <w:lang w:val="fr-FR"/>
              </w:rPr>
              <w:t>'</w:t>
            </w:r>
            <w:r w:rsidR="00281BF0" w:rsidRPr="000229AD">
              <w:rPr>
                <w:rFonts w:eastAsia="Calibri"/>
                <w:b/>
                <w:bCs/>
                <w:lang w:val="fr-FR"/>
              </w:rPr>
              <w:t>administration en ligne</w:t>
            </w:r>
            <w:r w:rsidR="00281BF0" w:rsidRPr="000229AD">
              <w:rPr>
                <w:rFonts w:eastAsia="Calibri"/>
                <w:lang w:val="fr-FR"/>
              </w:rPr>
              <w:t xml:space="preserve"> en novembre 2023. Des concertations ont abouti à ce que certains pays de la partie centrale des Amériques, notamment le Belize et le Guatemala, fassent part de leur intérêt. Par conséquent, le BDT a approché les États Membres de la région, notamment la Colombie, le Costa Rica et la République dominicaine, pour leur présenter de manière approfondie le projet GovStack et étudier les possibilités d</w:t>
            </w:r>
            <w:r w:rsidR="00125408" w:rsidRPr="000229AD">
              <w:rPr>
                <w:rFonts w:eastAsia="Calibri"/>
                <w:lang w:val="fr-FR"/>
              </w:rPr>
              <w:t>'</w:t>
            </w:r>
            <w:r w:rsidR="00281BF0" w:rsidRPr="000229AD">
              <w:rPr>
                <w:rFonts w:eastAsia="Calibri"/>
                <w:lang w:val="fr-FR"/>
              </w:rPr>
              <w:t>implémentation de cette initiative mondiale.</w:t>
            </w:r>
          </w:p>
          <w:p w14:paraId="5A0D4029" w14:textId="2F32FA2D" w:rsidR="00281BF0" w:rsidRPr="000229AD" w:rsidRDefault="00371DF6" w:rsidP="00716C22">
            <w:pPr>
              <w:pStyle w:val="Tabletext"/>
              <w:pageBreakBefore/>
              <w:tabs>
                <w:tab w:val="clear" w:pos="284"/>
              </w:tabs>
              <w:spacing w:before="80"/>
              <w:ind w:left="311" w:hanging="311"/>
              <w:rPr>
                <w:rFonts w:eastAsia="Calibri"/>
                <w:lang w:val="fr-FR"/>
              </w:rPr>
            </w:pPr>
            <w:r w:rsidRPr="000229AD">
              <w:rPr>
                <w:rFonts w:eastAsia="Calibri"/>
                <w:lang w:val="fr-FR"/>
              </w:rPr>
              <w:t>•</w:t>
            </w:r>
            <w:r w:rsidRPr="000229AD">
              <w:rPr>
                <w:rFonts w:eastAsia="Calibri"/>
                <w:lang w:val="fr-FR"/>
              </w:rPr>
              <w:tab/>
            </w:r>
            <w:r w:rsidR="00281BF0" w:rsidRPr="000229AD">
              <w:rPr>
                <w:rFonts w:eastAsia="Calibri"/>
                <w:b/>
                <w:bCs/>
                <w:lang w:val="fr-FR"/>
              </w:rPr>
              <w:t>Dans la région Asie-Pacifique</w:t>
            </w:r>
            <w:r w:rsidR="00281BF0" w:rsidRPr="000229AD">
              <w:rPr>
                <w:rFonts w:eastAsia="Calibri"/>
                <w:lang w:val="fr-FR"/>
              </w:rPr>
              <w:t>, le BDT a appuyé et continue d</w:t>
            </w:r>
            <w:r w:rsidR="00125408" w:rsidRPr="000229AD">
              <w:rPr>
                <w:rFonts w:eastAsia="Calibri"/>
                <w:lang w:val="fr-FR"/>
              </w:rPr>
              <w:t>'</w:t>
            </w:r>
            <w:r w:rsidR="00281BF0" w:rsidRPr="000229AD">
              <w:rPr>
                <w:rFonts w:eastAsia="Calibri"/>
                <w:lang w:val="fr-FR"/>
              </w:rPr>
              <w:t>appuyer l</w:t>
            </w:r>
            <w:r w:rsidR="00125408" w:rsidRPr="000229AD">
              <w:rPr>
                <w:rFonts w:eastAsia="Calibri"/>
                <w:lang w:val="fr-FR"/>
              </w:rPr>
              <w:t>'</w:t>
            </w:r>
            <w:r w:rsidR="00281BF0" w:rsidRPr="000229AD">
              <w:rPr>
                <w:rFonts w:eastAsia="Calibri"/>
                <w:lang w:val="fr-FR"/>
              </w:rPr>
              <w:t xml:space="preserve">élaboration de politiques et de stratégies visant à accélérer la transformation numérique en </w:t>
            </w:r>
            <w:r w:rsidR="00281BF0" w:rsidRPr="000229AD">
              <w:rPr>
                <w:rFonts w:eastAsia="Calibri"/>
                <w:b/>
                <w:bCs/>
                <w:lang w:val="fr-FR"/>
              </w:rPr>
              <w:t>Micronésie</w:t>
            </w:r>
            <w:r w:rsidR="00281BF0" w:rsidRPr="000229AD">
              <w:rPr>
                <w:rFonts w:eastAsia="Calibri"/>
                <w:lang w:val="fr-FR"/>
              </w:rPr>
              <w:t xml:space="preserve"> (stratégies de transformation numérique), dans les</w:t>
            </w:r>
            <w:r w:rsidR="00281BF0" w:rsidRPr="000229AD">
              <w:rPr>
                <w:rFonts w:eastAsia="Calibri"/>
                <w:b/>
                <w:bCs/>
                <w:lang w:val="fr-FR"/>
              </w:rPr>
              <w:t xml:space="preserve"> Fidji, à Kiribati, à</w:t>
            </w:r>
            <w:r w:rsidR="00902DF9" w:rsidRPr="000229AD">
              <w:rPr>
                <w:rFonts w:eastAsia="Calibri"/>
                <w:b/>
                <w:bCs/>
                <w:lang w:val="fr-FR"/>
              </w:rPr>
              <w:t> </w:t>
            </w:r>
            <w:r w:rsidR="00281BF0" w:rsidRPr="000229AD">
              <w:rPr>
                <w:rFonts w:eastAsia="Calibri"/>
                <w:b/>
                <w:bCs/>
                <w:lang w:val="fr-FR"/>
              </w:rPr>
              <w:t>Nauru, dans les Îles Salomon</w:t>
            </w:r>
            <w:r w:rsidR="00281BF0" w:rsidRPr="000229AD">
              <w:rPr>
                <w:rFonts w:eastAsia="Calibri"/>
                <w:lang w:val="fr-FR"/>
              </w:rPr>
              <w:t xml:space="preserve"> et au Vanuatu (plan directeur pour les services publics numériques). Plus</w:t>
            </w:r>
            <w:r w:rsidR="0094464F" w:rsidRPr="000229AD">
              <w:rPr>
                <w:rFonts w:eastAsia="Calibri"/>
                <w:lang w:val="fr-FR"/>
              </w:rPr>
              <w:t xml:space="preserve"> </w:t>
            </w:r>
            <w:r w:rsidR="00281BF0" w:rsidRPr="000229AD">
              <w:rPr>
                <w:rFonts w:eastAsia="Calibri"/>
                <w:lang w:val="fr-FR"/>
              </w:rPr>
              <w:t>de</w:t>
            </w:r>
            <w:r w:rsidR="0094464F" w:rsidRPr="000229AD">
              <w:rPr>
                <w:rFonts w:eastAsia="Calibri"/>
                <w:lang w:val="fr-FR"/>
              </w:rPr>
              <w:t xml:space="preserve"> </w:t>
            </w:r>
            <w:r w:rsidR="00281BF0" w:rsidRPr="000229AD">
              <w:rPr>
                <w:rFonts w:eastAsia="Calibri"/>
                <w:lang w:val="fr-FR"/>
              </w:rPr>
              <w:t>400 parties</w:t>
            </w:r>
            <w:r w:rsidR="00902DF9" w:rsidRPr="000229AD">
              <w:rPr>
                <w:rFonts w:eastAsia="Calibri"/>
                <w:lang w:val="fr-FR"/>
              </w:rPr>
              <w:t> </w:t>
            </w:r>
            <w:r w:rsidR="00281BF0" w:rsidRPr="000229AD">
              <w:rPr>
                <w:rFonts w:eastAsia="Calibri"/>
                <w:lang w:val="fr-FR"/>
              </w:rPr>
              <w:t>prenantes ont participé à des initiatives de renforcement des capacités sur l</w:t>
            </w:r>
            <w:r w:rsidR="00125408" w:rsidRPr="000229AD">
              <w:rPr>
                <w:rFonts w:eastAsia="Calibri"/>
                <w:lang w:val="fr-FR"/>
              </w:rPr>
              <w:t>'</w:t>
            </w:r>
            <w:r w:rsidR="00281BF0" w:rsidRPr="000229AD">
              <w:rPr>
                <w:rFonts w:eastAsia="Calibri"/>
                <w:lang w:val="fr-FR"/>
              </w:rPr>
              <w:t>approche faisant intervenir toutes les entités publiques dans le cadre de GovStack. Des orientations stratégiques sont actuellement proposées à la</w:t>
            </w:r>
            <w:r w:rsidR="00BB74F4" w:rsidRPr="000229AD">
              <w:rPr>
                <w:rFonts w:eastAsia="Calibri"/>
                <w:lang w:val="fr-FR"/>
              </w:rPr>
              <w:t xml:space="preserve"> </w:t>
            </w:r>
            <w:r w:rsidR="00BB74F4" w:rsidRPr="000229AD">
              <w:rPr>
                <w:rFonts w:eastAsia="Calibri"/>
                <w:b/>
                <w:bCs/>
                <w:lang w:val="fr-FR"/>
              </w:rPr>
              <w:t>Papouasie</w:t>
            </w:r>
            <w:r w:rsidR="00BB74F4" w:rsidRPr="000229AD">
              <w:rPr>
                <w:rFonts w:eastAsia="Calibri"/>
                <w:b/>
                <w:bCs/>
                <w:lang w:val="fr-FR"/>
              </w:rPr>
              <w:noBreakHyphen/>
              <w:t>Nouvelle</w:t>
            </w:r>
            <w:r w:rsidR="00BB74F4" w:rsidRPr="000229AD">
              <w:rPr>
                <w:rFonts w:eastAsia="Calibri"/>
                <w:b/>
                <w:bCs/>
                <w:lang w:val="fr-FR"/>
              </w:rPr>
              <w:noBreakHyphen/>
              <w:t>Guinée</w:t>
            </w:r>
            <w:r w:rsidR="00BB74F4" w:rsidRPr="000229AD">
              <w:rPr>
                <w:rFonts w:eastAsia="Calibri"/>
                <w:lang w:val="fr-FR"/>
              </w:rPr>
              <w:t xml:space="preserve"> sur l</w:t>
            </w:r>
            <w:r w:rsidR="00125408" w:rsidRPr="000229AD">
              <w:rPr>
                <w:rFonts w:eastAsia="Calibri"/>
                <w:lang w:val="fr-FR"/>
              </w:rPr>
              <w:t>'</w:t>
            </w:r>
            <w:r w:rsidR="00BB74F4" w:rsidRPr="000229AD">
              <w:rPr>
                <w:rFonts w:eastAsia="Calibri"/>
                <w:lang w:val="fr-FR"/>
              </w:rPr>
              <w:t>implémentation de GovStack et d</w:t>
            </w:r>
            <w:r w:rsidR="00125408" w:rsidRPr="000229AD">
              <w:rPr>
                <w:rFonts w:eastAsia="Calibri"/>
                <w:lang w:val="fr-FR"/>
              </w:rPr>
              <w:t>'</w:t>
            </w:r>
            <w:r w:rsidR="00BB74F4" w:rsidRPr="000229AD">
              <w:rPr>
                <w:rFonts w:eastAsia="Calibri"/>
                <w:lang w:val="fr-FR"/>
              </w:rPr>
              <w:t>une solution pour l</w:t>
            </w:r>
            <w:r w:rsidR="00125408" w:rsidRPr="000229AD">
              <w:rPr>
                <w:rFonts w:eastAsia="Calibri"/>
                <w:lang w:val="fr-FR"/>
              </w:rPr>
              <w:t>'</w:t>
            </w:r>
            <w:r w:rsidR="00BB74F4" w:rsidRPr="000229AD">
              <w:rPr>
                <w:rFonts w:eastAsia="Calibri"/>
                <w:lang w:val="fr-FR"/>
              </w:rPr>
              <w:t>identification numérique afin</w:t>
            </w:r>
            <w:r w:rsidR="00A97762" w:rsidRPr="000229AD">
              <w:rPr>
                <w:rFonts w:eastAsia="Calibri"/>
                <w:lang w:val="fr-FR"/>
              </w:rPr>
              <w:t xml:space="preserve"> </w:t>
            </w:r>
            <w:r w:rsidR="00281BF0" w:rsidRPr="000229AD">
              <w:rPr>
                <w:rFonts w:eastAsia="Calibri"/>
                <w:lang w:val="fr-FR"/>
              </w:rPr>
              <w:t>d</w:t>
            </w:r>
            <w:r w:rsidR="00125408" w:rsidRPr="000229AD">
              <w:rPr>
                <w:rFonts w:eastAsia="Calibri"/>
                <w:lang w:val="fr-FR"/>
              </w:rPr>
              <w:t>'</w:t>
            </w:r>
            <w:r w:rsidR="00281BF0" w:rsidRPr="000229AD">
              <w:rPr>
                <w:rFonts w:eastAsia="Calibri"/>
                <w:lang w:val="fr-FR"/>
              </w:rPr>
              <w:t>accélérer la politique et le plan du pays en faveur des services publics numériques. Un projet sur l</w:t>
            </w:r>
            <w:r w:rsidR="00125408" w:rsidRPr="000229AD">
              <w:rPr>
                <w:rFonts w:eastAsia="Calibri"/>
                <w:lang w:val="fr-FR"/>
              </w:rPr>
              <w:t>'</w:t>
            </w:r>
            <w:r w:rsidR="00281BF0" w:rsidRPr="000229AD">
              <w:rPr>
                <w:rFonts w:eastAsia="Calibri"/>
                <w:lang w:val="fr-FR"/>
              </w:rPr>
              <w:t>accélération de la transformation numérique Dans la région Asie-Pacifique, financé par le Ministère australien de l</w:t>
            </w:r>
            <w:r w:rsidR="00125408" w:rsidRPr="000229AD">
              <w:rPr>
                <w:rFonts w:eastAsia="Calibri"/>
                <w:lang w:val="fr-FR"/>
              </w:rPr>
              <w:t>'</w:t>
            </w:r>
            <w:r w:rsidR="00281BF0" w:rsidRPr="000229AD">
              <w:rPr>
                <w:rFonts w:eastAsia="Calibri"/>
                <w:lang w:val="fr-FR"/>
              </w:rPr>
              <w:t>infrastructure, des transports, du développement régional, des communications et des arts, a également été lancé en août 2023 afin d</w:t>
            </w:r>
            <w:r w:rsidR="00125408" w:rsidRPr="000229AD">
              <w:rPr>
                <w:rFonts w:eastAsia="Calibri"/>
                <w:lang w:val="fr-FR"/>
              </w:rPr>
              <w:t>'</w:t>
            </w:r>
            <w:r w:rsidR="00281BF0" w:rsidRPr="000229AD">
              <w:rPr>
                <w:rFonts w:eastAsia="Calibri"/>
                <w:lang w:val="fr-FR"/>
              </w:rPr>
              <w:t>aider les membres de l</w:t>
            </w:r>
            <w:r w:rsidR="00125408" w:rsidRPr="000229AD">
              <w:rPr>
                <w:rFonts w:eastAsia="Calibri"/>
                <w:lang w:val="fr-FR"/>
              </w:rPr>
              <w:t>'</w:t>
            </w:r>
            <w:r w:rsidR="00281BF0" w:rsidRPr="000229AD">
              <w:rPr>
                <w:rFonts w:eastAsia="Calibri"/>
                <w:lang w:val="fr-FR"/>
              </w:rPr>
              <w:t>UIT dans la région.</w:t>
            </w:r>
          </w:p>
          <w:p w14:paraId="016FECB2" w14:textId="22E90D33" w:rsidR="00281BF0" w:rsidRPr="000229AD" w:rsidRDefault="00371DF6" w:rsidP="00716C22">
            <w:pPr>
              <w:pStyle w:val="Tabletext"/>
              <w:pageBreakBefore/>
              <w:tabs>
                <w:tab w:val="clear" w:pos="284"/>
              </w:tabs>
              <w:spacing w:before="0" w:after="0"/>
              <w:ind w:left="311" w:hanging="311"/>
              <w:rPr>
                <w:rFonts w:eastAsia="Calibri"/>
                <w:lang w:val="fr-FR"/>
              </w:rPr>
            </w:pPr>
            <w:r w:rsidRPr="000229AD">
              <w:rPr>
                <w:rFonts w:eastAsia="Calibri"/>
                <w:lang w:val="fr-FR"/>
              </w:rPr>
              <w:lastRenderedPageBreak/>
              <w:tab/>
            </w:r>
            <w:r w:rsidR="00281BF0" w:rsidRPr="000229AD">
              <w:rPr>
                <w:rFonts w:eastAsia="Calibri"/>
                <w:lang w:val="fr-FR"/>
              </w:rPr>
              <w:t>Le déploiement et le renforcement de l</w:t>
            </w:r>
            <w:r w:rsidR="00125408" w:rsidRPr="000229AD">
              <w:rPr>
                <w:rFonts w:eastAsia="Calibri"/>
                <w:lang w:val="fr-FR"/>
              </w:rPr>
              <w:t>'</w:t>
            </w:r>
            <w:r w:rsidR="00281BF0" w:rsidRPr="000229AD">
              <w:rPr>
                <w:rFonts w:eastAsia="Calibri"/>
                <w:b/>
                <w:bCs/>
                <w:lang w:val="fr-FR"/>
              </w:rPr>
              <w:t>initiative "Villages intelligents et îles intelligentes"</w:t>
            </w:r>
            <w:r w:rsidR="00281BF0" w:rsidRPr="000229AD">
              <w:rPr>
                <w:rFonts w:eastAsia="Calibri"/>
                <w:lang w:val="fr-FR"/>
              </w:rPr>
              <w:t xml:space="preserve"> se poursuivent dans 13 États</w:t>
            </w:r>
            <w:r w:rsidR="00902DF9" w:rsidRPr="000229AD">
              <w:rPr>
                <w:rFonts w:eastAsia="Calibri"/>
                <w:lang w:val="fr-FR"/>
              </w:rPr>
              <w:t> </w:t>
            </w:r>
            <w:r w:rsidR="00281BF0" w:rsidRPr="000229AD">
              <w:rPr>
                <w:rFonts w:eastAsia="Calibri"/>
                <w:lang w:val="fr-FR"/>
              </w:rPr>
              <w:t>Membres de l</w:t>
            </w:r>
            <w:r w:rsidR="00125408" w:rsidRPr="000229AD">
              <w:rPr>
                <w:rFonts w:eastAsia="Calibri"/>
                <w:lang w:val="fr-FR"/>
              </w:rPr>
              <w:t>'</w:t>
            </w:r>
            <w:r w:rsidR="00281BF0" w:rsidRPr="000229AD">
              <w:rPr>
                <w:rFonts w:eastAsia="Calibri"/>
                <w:lang w:val="fr-FR"/>
              </w:rPr>
              <w:t>UIT (Fidji, Indonésie, Kiribati, Îles Marshall, Micronésie, Nauru, Pakistan, Papouasie-Nouvelle-Guinée, Philippines, Samoa, Tonga, Tuvalu et Vanuatu). Cette initiative s</w:t>
            </w:r>
            <w:r w:rsidR="00125408" w:rsidRPr="000229AD">
              <w:rPr>
                <w:rFonts w:eastAsia="Calibri"/>
                <w:lang w:val="fr-FR"/>
              </w:rPr>
              <w:t>'</w:t>
            </w:r>
            <w:r w:rsidR="00281BF0" w:rsidRPr="000229AD">
              <w:rPr>
                <w:rFonts w:eastAsia="Calibri"/>
                <w:lang w:val="fr-FR"/>
              </w:rPr>
              <w:t>appuie sur des fonds propres et est par ailleurs soutenue par plusieurs partenaires, dont des organismes des Nations Unies, le Fonds commun pour les ODD, des banques de développement (la Banque asiatique de développement, la Banque islamique de développement [en discussion]), des gouvernements (Australie, Japon) et Huawei. Les Maldives et les îles Salomon ont également manifesté leur intérêt. Le BDT collabore avec des partenaires tels que l</w:t>
            </w:r>
            <w:r w:rsidR="00125408" w:rsidRPr="000229AD">
              <w:rPr>
                <w:rFonts w:eastAsia="Calibri"/>
                <w:lang w:val="fr-FR"/>
              </w:rPr>
              <w:t>'</w:t>
            </w:r>
            <w:r w:rsidR="00281BF0" w:rsidRPr="000229AD">
              <w:rPr>
                <w:rFonts w:eastAsia="Calibri"/>
                <w:lang w:val="fr-FR"/>
              </w:rPr>
              <w:t>Association des télécommunications des îles du Pacifique et le Gouvernement indonésien pour sensibiliser différentes parties prenantes à l</w:t>
            </w:r>
            <w:r w:rsidR="00125408" w:rsidRPr="000229AD">
              <w:rPr>
                <w:rFonts w:eastAsia="Calibri"/>
                <w:lang w:val="fr-FR"/>
              </w:rPr>
              <w:t>'</w:t>
            </w:r>
            <w:r w:rsidR="00281BF0" w:rsidRPr="000229AD">
              <w:rPr>
                <w:rFonts w:eastAsia="Calibri"/>
                <w:lang w:val="fr-FR"/>
              </w:rPr>
              <w:t>initiative Villages intelligents et îles intelligentes (2023,</w:t>
            </w:r>
            <w:r w:rsidR="00902DF9" w:rsidRPr="000229AD">
              <w:rPr>
                <w:rFonts w:eastAsia="Calibri"/>
                <w:lang w:val="fr-FR"/>
              </w:rPr>
              <w:t> </w:t>
            </w:r>
            <w:r w:rsidR="00281BF0" w:rsidRPr="000229AD">
              <w:rPr>
                <w:rFonts w:eastAsia="Calibri"/>
                <w:lang w:val="fr-FR"/>
              </w:rPr>
              <w:t xml:space="preserve">Indonésie). Ces collaborations illustrent la </w:t>
            </w:r>
            <w:r w:rsidR="00281BF0" w:rsidRPr="000229AD">
              <w:rPr>
                <w:rFonts w:eastAsia="Calibri"/>
                <w:b/>
                <w:bCs/>
                <w:lang w:val="fr-FR"/>
              </w:rPr>
              <w:t>grande confiance dont bénéficie l</w:t>
            </w:r>
            <w:r w:rsidR="00125408" w:rsidRPr="000229AD">
              <w:rPr>
                <w:rFonts w:eastAsia="Calibri"/>
                <w:b/>
                <w:bCs/>
                <w:lang w:val="fr-FR"/>
              </w:rPr>
              <w:t>'</w:t>
            </w:r>
            <w:r w:rsidR="00281BF0" w:rsidRPr="000229AD">
              <w:rPr>
                <w:rFonts w:eastAsia="Calibri"/>
                <w:b/>
                <w:bCs/>
                <w:lang w:val="fr-FR"/>
              </w:rPr>
              <w:t>UIT en tant que partenaire essentiel dans la mise en œuvre des initiatives de transformation numérique et du renforcement des partenariats et des collaborations en vue d</w:t>
            </w:r>
            <w:r w:rsidR="00125408" w:rsidRPr="000229AD">
              <w:rPr>
                <w:rFonts w:eastAsia="Calibri"/>
                <w:b/>
                <w:bCs/>
                <w:lang w:val="fr-FR"/>
              </w:rPr>
              <w:t>'</w:t>
            </w:r>
            <w:r w:rsidR="00281BF0" w:rsidRPr="000229AD">
              <w:rPr>
                <w:rFonts w:eastAsia="Calibri"/>
                <w:b/>
                <w:bCs/>
                <w:lang w:val="fr-FR"/>
              </w:rPr>
              <w:t>accélérer la transformation numérique</w:t>
            </w:r>
            <w:r w:rsidR="00281BF0" w:rsidRPr="000229AD">
              <w:rPr>
                <w:rFonts w:eastAsia="Calibri"/>
                <w:lang w:val="fr-FR"/>
              </w:rPr>
              <w:t>.</w:t>
            </w:r>
          </w:p>
          <w:p w14:paraId="24BCB9C6" w14:textId="342DACCE" w:rsidR="00281BF0" w:rsidRPr="000229AD" w:rsidRDefault="00371DF6" w:rsidP="00716C22">
            <w:pPr>
              <w:pStyle w:val="Tabletext"/>
              <w:pageBreakBefore/>
              <w:tabs>
                <w:tab w:val="clear" w:pos="284"/>
              </w:tabs>
              <w:spacing w:before="80" w:after="0"/>
              <w:ind w:left="311" w:hanging="311"/>
              <w:rPr>
                <w:rFonts w:eastAsia="Calibri"/>
                <w:lang w:val="fr-FR"/>
              </w:rPr>
            </w:pPr>
            <w:r w:rsidRPr="000229AD">
              <w:rPr>
                <w:rFonts w:eastAsia="Calibri"/>
                <w:lang w:val="fr-FR"/>
              </w:rPr>
              <w:tab/>
            </w:r>
            <w:r w:rsidR="00281BF0" w:rsidRPr="000229AD">
              <w:rPr>
                <w:rFonts w:eastAsia="Calibri"/>
                <w:lang w:val="fr-FR"/>
              </w:rPr>
              <w:t>Dans le cadre de l</w:t>
            </w:r>
            <w:r w:rsidR="00125408" w:rsidRPr="000229AD">
              <w:rPr>
                <w:rFonts w:eastAsia="Calibri"/>
                <w:lang w:val="fr-FR"/>
              </w:rPr>
              <w:t>'</w:t>
            </w:r>
            <w:r w:rsidR="00281BF0" w:rsidRPr="000229AD">
              <w:rPr>
                <w:rFonts w:eastAsia="Calibri"/>
                <w:lang w:val="fr-FR"/>
              </w:rPr>
              <w:t>initiative Villages intelligents et îles intelligentes, le BDT a mis en place grâce des partenariats des services numériques dans le sud de Malekula (</w:t>
            </w:r>
            <w:r w:rsidR="00281BF0" w:rsidRPr="000229AD">
              <w:rPr>
                <w:rFonts w:eastAsia="Calibri"/>
                <w:b/>
                <w:bCs/>
                <w:lang w:val="fr-FR"/>
              </w:rPr>
              <w:t>Vanuatu</w:t>
            </w:r>
            <w:r w:rsidR="00281BF0" w:rsidRPr="000229AD">
              <w:rPr>
                <w:rFonts w:eastAsia="Calibri"/>
                <w:lang w:val="fr-FR"/>
              </w:rPr>
              <w:t>), dont des plates-formes d</w:t>
            </w:r>
            <w:r w:rsidR="00125408" w:rsidRPr="000229AD">
              <w:rPr>
                <w:rFonts w:eastAsia="Calibri"/>
                <w:lang w:val="fr-FR"/>
              </w:rPr>
              <w:t>'</w:t>
            </w:r>
            <w:r w:rsidR="00281BF0" w:rsidRPr="000229AD">
              <w:rPr>
                <w:rFonts w:eastAsia="Calibri"/>
                <w:lang w:val="fr-FR"/>
              </w:rPr>
              <w:t>apprentissage et d</w:t>
            </w:r>
            <w:r w:rsidR="00125408" w:rsidRPr="000229AD">
              <w:rPr>
                <w:rFonts w:eastAsia="Calibri"/>
                <w:lang w:val="fr-FR"/>
              </w:rPr>
              <w:t>'</w:t>
            </w:r>
            <w:r w:rsidR="00281BF0" w:rsidRPr="000229AD">
              <w:rPr>
                <w:rFonts w:eastAsia="Calibri"/>
                <w:lang w:val="fr-FR"/>
              </w:rPr>
              <w:t>enseignement à distance, des services de portefeuille mobile et une application de délivrance de certificats de police. Une salle de classe intelligente a été équipée de 40 tablettes, d</w:t>
            </w:r>
            <w:r w:rsidR="00125408" w:rsidRPr="000229AD">
              <w:rPr>
                <w:rFonts w:eastAsia="Calibri"/>
                <w:lang w:val="fr-FR"/>
              </w:rPr>
              <w:t>'</w:t>
            </w:r>
            <w:r w:rsidR="00281BF0" w:rsidRPr="000229AD">
              <w:rPr>
                <w:rFonts w:eastAsia="Calibri"/>
                <w:lang w:val="fr-FR"/>
              </w:rPr>
              <w:t>un tableau blanc numérique, d</w:t>
            </w:r>
            <w:r w:rsidR="00125408" w:rsidRPr="000229AD">
              <w:rPr>
                <w:rFonts w:eastAsia="Calibri"/>
                <w:lang w:val="fr-FR"/>
              </w:rPr>
              <w:t>'</w:t>
            </w:r>
            <w:r w:rsidR="00281BF0" w:rsidRPr="000229AD">
              <w:rPr>
                <w:rFonts w:eastAsia="Calibri"/>
                <w:lang w:val="fr-FR"/>
              </w:rPr>
              <w:t>un système de vidéoconférence et d</w:t>
            </w:r>
            <w:r w:rsidR="00125408" w:rsidRPr="000229AD">
              <w:rPr>
                <w:rFonts w:eastAsia="Calibri"/>
                <w:lang w:val="fr-FR"/>
              </w:rPr>
              <w:t>'</w:t>
            </w:r>
            <w:r w:rsidR="00281BF0" w:rsidRPr="000229AD">
              <w:rPr>
                <w:rFonts w:eastAsia="Calibri"/>
                <w:lang w:val="fr-FR"/>
              </w:rPr>
              <w:t>équipements de réseau pour servir de lieu communautaire, permettant aux étudiants, aux enseignants et aux membres de la population locale de bénéficier de cours d</w:t>
            </w:r>
            <w:r w:rsidR="00125408" w:rsidRPr="000229AD">
              <w:rPr>
                <w:rFonts w:eastAsia="Calibri"/>
                <w:lang w:val="fr-FR"/>
              </w:rPr>
              <w:t>'</w:t>
            </w:r>
            <w:r w:rsidR="00281BF0" w:rsidRPr="000229AD">
              <w:rPr>
                <w:rFonts w:eastAsia="Calibri"/>
                <w:lang w:val="fr-FR"/>
              </w:rPr>
              <w:t xml:space="preserve">apprentissage en ligne et de relier les villages isolés à Port Vila, la capitale du Vanuatu. Au </w:t>
            </w:r>
            <w:r w:rsidR="00281BF0" w:rsidRPr="000229AD">
              <w:rPr>
                <w:rFonts w:eastAsia="Calibri"/>
                <w:b/>
                <w:bCs/>
                <w:lang w:val="fr-FR"/>
              </w:rPr>
              <w:t>Pakistan</w:t>
            </w:r>
            <w:r w:rsidR="00281BF0" w:rsidRPr="000229AD">
              <w:rPr>
                <w:rFonts w:eastAsia="Calibri"/>
                <w:lang w:val="fr-FR"/>
              </w:rPr>
              <w:t>, quelque 2</w:t>
            </w:r>
            <w:r w:rsidR="00902DF9" w:rsidRPr="000229AD">
              <w:rPr>
                <w:rFonts w:eastAsia="Calibri"/>
                <w:lang w:val="fr-FR"/>
              </w:rPr>
              <w:t> </w:t>
            </w:r>
            <w:r w:rsidR="00281BF0" w:rsidRPr="000229AD">
              <w:rPr>
                <w:rFonts w:eastAsia="Calibri"/>
                <w:lang w:val="fr-FR"/>
              </w:rPr>
              <w:t>000 patients, dont 84% de femmes, ont bénéficié des services de santé numérique du village intelligent de Gokina. En outre, 100 filles continuent de suivre l</w:t>
            </w:r>
            <w:r w:rsidR="00125408" w:rsidRPr="000229AD">
              <w:rPr>
                <w:rFonts w:eastAsia="Calibri"/>
                <w:lang w:val="fr-FR"/>
              </w:rPr>
              <w:t>'</w:t>
            </w:r>
            <w:r w:rsidR="00281BF0" w:rsidRPr="000229AD">
              <w:rPr>
                <w:rFonts w:eastAsia="Calibri"/>
                <w:lang w:val="fr-FR"/>
              </w:rPr>
              <w:t>enseignement scolaire officiel grâce à des services de téléenseignement à Gokina. Sur l</w:t>
            </w:r>
            <w:r w:rsidR="00125408" w:rsidRPr="000229AD">
              <w:rPr>
                <w:rFonts w:eastAsia="Calibri"/>
                <w:lang w:val="fr-FR"/>
              </w:rPr>
              <w:t>'</w:t>
            </w:r>
            <w:r w:rsidR="00281BF0" w:rsidRPr="000229AD">
              <w:rPr>
                <w:rFonts w:eastAsia="Calibri"/>
                <w:lang w:val="fr-FR"/>
              </w:rPr>
              <w:t>île de Tamana (</w:t>
            </w:r>
            <w:r w:rsidR="00281BF0" w:rsidRPr="000229AD">
              <w:rPr>
                <w:rFonts w:eastAsia="Calibri"/>
                <w:b/>
                <w:bCs/>
                <w:lang w:val="fr-FR"/>
              </w:rPr>
              <w:t>Kiribati</w:t>
            </w:r>
            <w:r w:rsidR="00281BF0" w:rsidRPr="000229AD">
              <w:rPr>
                <w:rFonts w:eastAsia="Calibri"/>
                <w:lang w:val="fr-FR"/>
              </w:rPr>
              <w:t>), dans le cadre du Programme conjoint des Nations Unies pour la transformation numérique en Micronésie, des activités sont en cours pour étendre la couverture Wi-Fi afin d</w:t>
            </w:r>
            <w:r w:rsidR="00125408" w:rsidRPr="000229AD">
              <w:rPr>
                <w:rFonts w:eastAsia="Calibri"/>
                <w:lang w:val="fr-FR"/>
              </w:rPr>
              <w:t>'</w:t>
            </w:r>
            <w:r w:rsidR="00281BF0" w:rsidRPr="000229AD">
              <w:rPr>
                <w:rFonts w:eastAsia="Calibri"/>
                <w:lang w:val="fr-FR"/>
              </w:rPr>
              <w:t>améliorer l</w:t>
            </w:r>
            <w:r w:rsidR="00125408" w:rsidRPr="000229AD">
              <w:rPr>
                <w:rFonts w:eastAsia="Calibri"/>
                <w:lang w:val="fr-FR"/>
              </w:rPr>
              <w:t>'</w:t>
            </w:r>
            <w:r w:rsidR="00281BF0" w:rsidRPr="000229AD">
              <w:rPr>
                <w:rFonts w:eastAsia="Calibri"/>
                <w:lang w:val="fr-FR"/>
              </w:rPr>
              <w:t>accès aux services de paiement numérique et de faciliter les consultations médicales en ligne. Des actions visant à renforcer la connectivité large bande et à améliorer l</w:t>
            </w:r>
            <w:r w:rsidR="00125408" w:rsidRPr="000229AD">
              <w:rPr>
                <w:rFonts w:eastAsia="Calibri"/>
                <w:lang w:val="fr-FR"/>
              </w:rPr>
              <w:t>'</w:t>
            </w:r>
            <w:r w:rsidR="00281BF0" w:rsidRPr="000229AD">
              <w:rPr>
                <w:rFonts w:eastAsia="Calibri"/>
                <w:lang w:val="fr-FR"/>
              </w:rPr>
              <w:t>accès aux services numériques ont été entreprises à plus grande échelle dans d</w:t>
            </w:r>
            <w:r w:rsidR="00125408" w:rsidRPr="000229AD">
              <w:rPr>
                <w:rFonts w:eastAsia="Calibri"/>
                <w:lang w:val="fr-FR"/>
              </w:rPr>
              <w:t>'</w:t>
            </w:r>
            <w:r w:rsidR="00281BF0" w:rsidRPr="000229AD">
              <w:rPr>
                <w:rFonts w:eastAsia="Calibri"/>
                <w:lang w:val="fr-FR"/>
              </w:rPr>
              <w:t>autres pays insulaires du Pacifique. Depuis mai 2023, environ 800 villageois issus des populations insulaires éloignées et isolées ont été dotés de compétences numériques de base dans le cadre de l</w:t>
            </w:r>
            <w:r w:rsidR="00125408" w:rsidRPr="000229AD">
              <w:rPr>
                <w:rFonts w:eastAsia="Calibri"/>
                <w:lang w:val="fr-FR"/>
              </w:rPr>
              <w:t>'</w:t>
            </w:r>
            <w:r w:rsidR="00281BF0" w:rsidRPr="000229AD">
              <w:rPr>
                <w:rFonts w:eastAsia="Calibri"/>
                <w:lang w:val="fr-FR"/>
              </w:rPr>
              <w:t>initiative Villages intelligents et îles intelligentes dans la région Asie-Pacifique. Pour la seule région Pacifique, 485 femmes, 19 personnes handicapées et 309 jeunes ont bénéficié des actions de terrain entreprises par le BDT dans le domaine.</w:t>
            </w:r>
          </w:p>
          <w:p w14:paraId="79B5F06C" w14:textId="0E5DAC3D" w:rsidR="00281BF0" w:rsidRPr="000229AD" w:rsidRDefault="00371DF6" w:rsidP="00716C22">
            <w:pPr>
              <w:pStyle w:val="Tabletext"/>
              <w:pageBreakBefore/>
              <w:tabs>
                <w:tab w:val="clear" w:pos="284"/>
              </w:tabs>
              <w:spacing w:before="80"/>
              <w:ind w:left="311" w:hanging="311"/>
              <w:rPr>
                <w:rFonts w:eastAsia="Calibri"/>
                <w:lang w:val="fr-FR"/>
              </w:rPr>
            </w:pPr>
            <w:r w:rsidRPr="000229AD">
              <w:rPr>
                <w:rFonts w:eastAsia="Calibri"/>
                <w:lang w:val="fr-FR"/>
              </w:rPr>
              <w:t>•</w:t>
            </w:r>
            <w:r w:rsidRPr="000229AD">
              <w:rPr>
                <w:rFonts w:eastAsia="Calibri"/>
                <w:lang w:val="fr-FR"/>
              </w:rPr>
              <w:tab/>
            </w:r>
            <w:r w:rsidR="00281BF0" w:rsidRPr="000229AD">
              <w:rPr>
                <w:rFonts w:eastAsia="Calibri"/>
                <w:b/>
                <w:bCs/>
                <w:lang w:val="fr-FR"/>
              </w:rPr>
              <w:t xml:space="preserve">Dans la région </w:t>
            </w:r>
            <w:r w:rsidR="00E966D0" w:rsidRPr="000229AD">
              <w:rPr>
                <w:rFonts w:eastAsia="Calibri"/>
                <w:b/>
                <w:bCs/>
                <w:lang w:val="fr-FR"/>
              </w:rPr>
              <w:t xml:space="preserve">de la </w:t>
            </w:r>
            <w:r w:rsidR="00281BF0" w:rsidRPr="000229AD">
              <w:rPr>
                <w:rFonts w:eastAsia="Calibri"/>
                <w:b/>
                <w:bCs/>
                <w:lang w:val="fr-FR"/>
              </w:rPr>
              <w:t>CEI</w:t>
            </w:r>
            <w:r w:rsidR="00281BF0" w:rsidRPr="000229AD">
              <w:rPr>
                <w:rFonts w:eastAsia="Calibri"/>
                <w:lang w:val="fr-FR"/>
              </w:rPr>
              <w:t>, le lancement de la Coopération régionale pour les services publics numériques permettra aux gouvernements, aux institutions et aux autres parties prenantes régionales de mettre en commun leurs connaissances et de travailler ensemble pour accélérer la transformation numérique, la rendre plus efficace et équitable et assurer qu</w:t>
            </w:r>
            <w:r w:rsidR="00125408" w:rsidRPr="000229AD">
              <w:rPr>
                <w:rFonts w:eastAsia="Calibri"/>
                <w:lang w:val="fr-FR"/>
              </w:rPr>
              <w:t>'</w:t>
            </w:r>
            <w:r w:rsidR="00281BF0" w:rsidRPr="000229AD">
              <w:rPr>
                <w:rFonts w:eastAsia="Calibri"/>
                <w:lang w:val="fr-FR"/>
              </w:rPr>
              <w:t>elle soit axée sur l</w:t>
            </w:r>
            <w:r w:rsidR="00125408" w:rsidRPr="000229AD">
              <w:rPr>
                <w:rFonts w:eastAsia="Calibri"/>
                <w:lang w:val="fr-FR"/>
              </w:rPr>
              <w:t>'</w:t>
            </w:r>
            <w:r w:rsidR="00281BF0" w:rsidRPr="000229AD">
              <w:rPr>
                <w:rFonts w:eastAsia="Calibri"/>
                <w:lang w:val="fr-FR"/>
              </w:rPr>
              <w:t>humain. Dans le cadre de la coopération régionale, trois réunions thématiques en ligne ont été organisées.</w:t>
            </w:r>
            <w:r w:rsidR="00BB74F4" w:rsidRPr="000229AD">
              <w:rPr>
                <w:rFonts w:eastAsia="Calibri"/>
                <w:lang w:val="fr-FR"/>
              </w:rPr>
              <w:t xml:space="preserve"> </w:t>
            </w:r>
            <w:r w:rsidR="00281BF0" w:rsidRPr="000229AD">
              <w:rPr>
                <w:rFonts w:eastAsia="Calibri"/>
                <w:lang w:val="fr-FR"/>
              </w:rPr>
              <w:t>Plus</w:t>
            </w:r>
            <w:r w:rsidR="00902DF9" w:rsidRPr="000229AD">
              <w:rPr>
                <w:rFonts w:eastAsia="Calibri"/>
                <w:lang w:val="fr-FR"/>
              </w:rPr>
              <w:t> </w:t>
            </w:r>
            <w:r w:rsidR="00281BF0" w:rsidRPr="000229AD">
              <w:rPr>
                <w:rFonts w:eastAsia="Calibri"/>
                <w:lang w:val="fr-FR"/>
              </w:rPr>
              <w:t>de</w:t>
            </w:r>
            <w:r w:rsidR="00902DF9" w:rsidRPr="000229AD">
              <w:rPr>
                <w:rFonts w:eastAsia="Calibri"/>
                <w:lang w:val="fr-FR"/>
              </w:rPr>
              <w:t> </w:t>
            </w:r>
            <w:r w:rsidR="00281BF0" w:rsidRPr="000229AD">
              <w:rPr>
                <w:rFonts w:eastAsia="Calibri"/>
                <w:lang w:val="fr-FR"/>
              </w:rPr>
              <w:t xml:space="preserve">40 professionnels se sont retrouvés au </w:t>
            </w:r>
            <w:hyperlink r:id="rId33" w:history="1">
              <w:r w:rsidR="00281BF0" w:rsidRPr="000229AD">
                <w:rPr>
                  <w:rStyle w:val="Hyperlink"/>
                  <w:lang w:val="fr-FR"/>
                </w:rPr>
                <w:t>forum régional sur les services publics numériques</w:t>
              </w:r>
            </w:hyperlink>
            <w:r w:rsidR="00281BF0" w:rsidRPr="000229AD">
              <w:rPr>
                <w:rFonts w:eastAsia="Calibri"/>
                <w:lang w:val="fr-FR"/>
              </w:rPr>
              <w:t xml:space="preserve"> afin d</w:t>
            </w:r>
            <w:r w:rsidR="00125408" w:rsidRPr="000229AD">
              <w:rPr>
                <w:rFonts w:eastAsia="Calibri"/>
                <w:lang w:val="fr-FR"/>
              </w:rPr>
              <w:t>'</w:t>
            </w:r>
            <w:r w:rsidR="00281BF0" w:rsidRPr="000229AD">
              <w:rPr>
                <w:rFonts w:eastAsia="Calibri"/>
                <w:lang w:val="fr-FR"/>
              </w:rPr>
              <w:t>étudier en détail les possibilités offertes aux pays ainsi que les outils et services disponibles dans le cadre de l</w:t>
            </w:r>
            <w:r w:rsidR="00125408" w:rsidRPr="000229AD">
              <w:rPr>
                <w:rFonts w:eastAsia="Calibri"/>
                <w:lang w:val="fr-FR"/>
              </w:rPr>
              <w:t>'</w:t>
            </w:r>
            <w:r w:rsidR="00281BF0" w:rsidRPr="000229AD">
              <w:rPr>
                <w:rFonts w:eastAsia="Calibri"/>
                <w:lang w:val="fr-FR"/>
              </w:rPr>
              <w:t>initiative GovStack et de discuter de l</w:t>
            </w:r>
            <w:r w:rsidR="00125408" w:rsidRPr="000229AD">
              <w:rPr>
                <w:rFonts w:eastAsia="Calibri"/>
                <w:lang w:val="fr-FR"/>
              </w:rPr>
              <w:t>'</w:t>
            </w:r>
            <w:r w:rsidR="00281BF0" w:rsidRPr="000229AD">
              <w:rPr>
                <w:rFonts w:eastAsia="Calibri"/>
                <w:lang w:val="fr-FR"/>
              </w:rPr>
              <w:t>implémentation des services d</w:t>
            </w:r>
            <w:r w:rsidR="00125408" w:rsidRPr="000229AD">
              <w:rPr>
                <w:rFonts w:eastAsia="Calibri"/>
                <w:lang w:val="fr-FR"/>
              </w:rPr>
              <w:t>'</w:t>
            </w:r>
            <w:r w:rsidR="00281BF0" w:rsidRPr="000229AD">
              <w:rPr>
                <w:rFonts w:eastAsia="Calibri"/>
                <w:lang w:val="fr-FR"/>
              </w:rPr>
              <w:t>administration en ligne, des problèmes rencontrés et des éventuelles solutions offertes par la coopération et le partage de données d</w:t>
            </w:r>
            <w:r w:rsidR="00125408" w:rsidRPr="000229AD">
              <w:rPr>
                <w:rFonts w:eastAsia="Calibri"/>
                <w:lang w:val="fr-FR"/>
              </w:rPr>
              <w:t>'</w:t>
            </w:r>
            <w:r w:rsidR="00281BF0" w:rsidRPr="000229AD">
              <w:rPr>
                <w:rFonts w:eastAsia="Calibri"/>
                <w:lang w:val="fr-FR"/>
              </w:rPr>
              <w:t>expérience dans le cadre de cette initiative.</w:t>
            </w:r>
          </w:p>
          <w:p w14:paraId="3914BBF5" w14:textId="5C5FA803" w:rsidR="00281BF0" w:rsidRPr="000229AD" w:rsidRDefault="00371DF6" w:rsidP="00716C22">
            <w:pPr>
              <w:pStyle w:val="Tabletext"/>
              <w:pageBreakBefore/>
              <w:tabs>
                <w:tab w:val="clear" w:pos="284"/>
              </w:tabs>
              <w:spacing w:before="0" w:after="0"/>
              <w:ind w:left="311" w:hanging="311"/>
              <w:rPr>
                <w:rFonts w:ascii="Calibri" w:eastAsia="Calibri" w:hAnsi="Calibri" w:cs="Calibri"/>
                <w:lang w:val="fr-FR"/>
              </w:rPr>
            </w:pPr>
            <w:r w:rsidRPr="000229AD">
              <w:rPr>
                <w:rFonts w:eastAsia="Calibri"/>
                <w:lang w:val="fr-FR"/>
              </w:rPr>
              <w:lastRenderedPageBreak/>
              <w:tab/>
            </w:r>
            <w:r w:rsidR="00281BF0" w:rsidRPr="000229AD">
              <w:rPr>
                <w:rFonts w:eastAsia="Calibri"/>
                <w:lang w:val="fr-FR"/>
              </w:rPr>
              <w:t>Au Bélarus, le BDT a continué à appuyer les collectivités</w:t>
            </w:r>
            <w:r w:rsidR="00281BF0" w:rsidRPr="000229AD">
              <w:rPr>
                <w:lang w:val="fr-FR"/>
              </w:rPr>
              <w:t xml:space="preserve"> locales en vue de renforcer leurs compétences dans le domaine des </w:t>
            </w:r>
            <w:r w:rsidR="00281BF0" w:rsidRPr="000229AD">
              <w:rPr>
                <w:b/>
                <w:bCs/>
                <w:lang w:val="fr-FR"/>
              </w:rPr>
              <w:t xml:space="preserve">villes et communautés intelligentes </w:t>
            </w:r>
            <w:r w:rsidR="00281BF0" w:rsidRPr="000229AD">
              <w:rPr>
                <w:lang w:val="fr-FR"/>
              </w:rPr>
              <w:t>grâce à: la formation de plus de 340 représentants des autorités municipales et régionales à la mise en œuvre de solutions intelligentes; le renforcement des habiletés numériques des agents des autorités municipales et régionales pour soutenir une transformation numérique durable; la formation des fonctionnaires locaux à l</w:t>
            </w:r>
            <w:r w:rsidR="00125408" w:rsidRPr="000229AD">
              <w:rPr>
                <w:lang w:val="fr-FR"/>
              </w:rPr>
              <w:t>'</w:t>
            </w:r>
            <w:r w:rsidR="00281BF0" w:rsidRPr="000229AD">
              <w:rPr>
                <w:lang w:val="fr-FR"/>
              </w:rPr>
              <w:t>utilisation des nouvelles technologies afin de faciliter les interactions entre les citoyens, les entreprises et les pouvoirs publics et d</w:t>
            </w:r>
            <w:r w:rsidR="00125408" w:rsidRPr="000229AD">
              <w:rPr>
                <w:lang w:val="fr-FR"/>
              </w:rPr>
              <w:t>'</w:t>
            </w:r>
            <w:r w:rsidR="00281BF0" w:rsidRPr="000229AD">
              <w:rPr>
                <w:lang w:val="fr-FR"/>
              </w:rPr>
              <w:t>améliorer les outils à la disposition des résidents.</w:t>
            </w:r>
          </w:p>
          <w:p w14:paraId="792412D3" w14:textId="00361167" w:rsidR="00281BF0" w:rsidRPr="000229AD" w:rsidRDefault="00371DF6" w:rsidP="00716C22">
            <w:pPr>
              <w:pStyle w:val="Tabletext"/>
              <w:pageBreakBefore/>
              <w:tabs>
                <w:tab w:val="clear" w:pos="284"/>
              </w:tabs>
              <w:spacing w:before="80" w:after="0"/>
              <w:ind w:left="311" w:hanging="311"/>
              <w:rPr>
                <w:rFonts w:eastAsia="Calibri"/>
                <w:lang w:val="fr-FR"/>
              </w:rPr>
            </w:pPr>
            <w:r w:rsidRPr="000229AD">
              <w:rPr>
                <w:rFonts w:eastAsia="Calibri"/>
                <w:lang w:val="fr-FR"/>
              </w:rPr>
              <w:t>•</w:t>
            </w:r>
            <w:r w:rsidRPr="000229AD">
              <w:rPr>
                <w:rFonts w:eastAsia="Calibri"/>
                <w:lang w:val="fr-FR"/>
              </w:rPr>
              <w:tab/>
            </w:r>
            <w:r w:rsidR="00281BF0" w:rsidRPr="000229AD">
              <w:rPr>
                <w:rFonts w:eastAsia="Calibri"/>
                <w:b/>
                <w:bCs/>
                <w:lang w:val="fr-FR"/>
              </w:rPr>
              <w:t>Dans la région Europe</w:t>
            </w:r>
            <w:r w:rsidR="00281BF0" w:rsidRPr="000229AD">
              <w:rPr>
                <w:rFonts w:eastAsia="Calibri"/>
                <w:lang w:val="fr-FR"/>
              </w:rPr>
              <w:t xml:space="preserve">, un </w:t>
            </w:r>
            <w:hyperlink r:id="rId34" w:history="1">
              <w:r w:rsidR="00281BF0" w:rsidRPr="000229AD">
                <w:rPr>
                  <w:rStyle w:val="Hyperlink"/>
                  <w:lang w:val="fr-FR"/>
                </w:rPr>
                <w:t>recueil conjoint entre l</w:t>
              </w:r>
              <w:r w:rsidR="00125408" w:rsidRPr="000229AD">
                <w:rPr>
                  <w:rStyle w:val="Hyperlink"/>
                  <w:lang w:val="fr-FR"/>
                </w:rPr>
                <w:t>'</w:t>
              </w:r>
              <w:r w:rsidR="00281BF0" w:rsidRPr="000229AD">
                <w:rPr>
                  <w:rStyle w:val="Hyperlink"/>
                  <w:lang w:val="fr-FR"/>
                </w:rPr>
                <w:t>UIT et la FAO</w:t>
              </w:r>
            </w:hyperlink>
            <w:r w:rsidR="00281BF0" w:rsidRPr="000229AD">
              <w:rPr>
                <w:rFonts w:eastAsia="Calibri"/>
                <w:lang w:val="fr-FR"/>
              </w:rPr>
              <w:t xml:space="preserve"> intitulé "</w:t>
            </w:r>
            <w:r w:rsidR="00281BF0" w:rsidRPr="000229AD">
              <w:rPr>
                <w:rFonts w:eastAsia="Calibri"/>
                <w:b/>
                <w:bCs/>
                <w:lang w:val="fr-FR"/>
              </w:rPr>
              <w:t>Conformité aux exigences de l</w:t>
            </w:r>
            <w:r w:rsidR="00125408" w:rsidRPr="000229AD">
              <w:rPr>
                <w:rFonts w:eastAsia="Calibri"/>
                <w:b/>
                <w:bCs/>
                <w:lang w:val="fr-FR"/>
              </w:rPr>
              <w:t>'</w:t>
            </w:r>
            <w:r w:rsidR="00281BF0" w:rsidRPr="000229AD">
              <w:rPr>
                <w:rFonts w:eastAsia="Calibri"/>
                <w:b/>
                <w:bCs/>
                <w:lang w:val="fr-FR"/>
              </w:rPr>
              <w:t>Union européenne en matière d</w:t>
            </w:r>
            <w:r w:rsidR="00125408" w:rsidRPr="000229AD">
              <w:rPr>
                <w:rFonts w:eastAsia="Calibri"/>
                <w:b/>
                <w:bCs/>
                <w:lang w:val="fr-FR"/>
              </w:rPr>
              <w:t>'</w:t>
            </w:r>
            <w:r w:rsidR="00281BF0" w:rsidRPr="000229AD">
              <w:rPr>
                <w:rFonts w:eastAsia="Calibri"/>
                <w:b/>
                <w:bCs/>
                <w:lang w:val="fr-FR"/>
              </w:rPr>
              <w:t>agriculture numérique</w:t>
            </w:r>
            <w:r w:rsidR="00281BF0" w:rsidRPr="000229AD">
              <w:rPr>
                <w:rFonts w:eastAsia="Calibri"/>
                <w:lang w:val="fr-FR"/>
              </w:rPr>
              <w:t>" a été élaboré à l</w:t>
            </w:r>
            <w:r w:rsidR="00125408" w:rsidRPr="000229AD">
              <w:rPr>
                <w:rFonts w:eastAsia="Calibri"/>
                <w:lang w:val="fr-FR"/>
              </w:rPr>
              <w:t>'</w:t>
            </w:r>
            <w:r w:rsidR="00281BF0" w:rsidRPr="000229AD">
              <w:rPr>
                <w:rFonts w:eastAsia="Calibri"/>
                <w:lang w:val="fr-FR"/>
              </w:rPr>
              <w:t>intention des pays en phase de préadhésion. Ce recueil établit une trajectoire efficace, du niveau régional au niveau national, faisant appel à une approche projetée pour renforcer les capacités nationales.</w:t>
            </w:r>
          </w:p>
          <w:p w14:paraId="77F30E54" w14:textId="1619319D" w:rsidR="00281BF0" w:rsidRPr="000229AD" w:rsidRDefault="00371DF6" w:rsidP="00716C22">
            <w:pPr>
              <w:pStyle w:val="Tabletext"/>
              <w:pageBreakBefore/>
              <w:tabs>
                <w:tab w:val="clear" w:pos="284"/>
              </w:tabs>
              <w:spacing w:before="80" w:after="0"/>
              <w:ind w:left="311" w:hanging="311"/>
              <w:rPr>
                <w:rFonts w:eastAsia="Calibri"/>
                <w:lang w:val="fr-FR"/>
              </w:rPr>
            </w:pPr>
            <w:r w:rsidRPr="000229AD">
              <w:rPr>
                <w:rFonts w:eastAsia="Calibri"/>
                <w:lang w:val="fr-FR"/>
              </w:rPr>
              <w:tab/>
            </w:r>
            <w:r w:rsidR="00281BF0" w:rsidRPr="000229AD">
              <w:rPr>
                <w:rFonts w:eastAsia="Calibri"/>
                <w:lang w:val="fr-FR"/>
              </w:rPr>
              <w:t>La Macédoine du Nord et le Moldova ont bénéficié d</w:t>
            </w:r>
            <w:r w:rsidR="00125408" w:rsidRPr="000229AD">
              <w:rPr>
                <w:rFonts w:eastAsia="Calibri"/>
                <w:lang w:val="fr-FR"/>
              </w:rPr>
              <w:t>'</w:t>
            </w:r>
            <w:r w:rsidR="00281BF0" w:rsidRPr="000229AD">
              <w:rPr>
                <w:rFonts w:eastAsia="Calibri"/>
                <w:lang w:val="fr-FR"/>
              </w:rPr>
              <w:t>une assistance pour élaborer leurs stratégies nationales de transformation numérique, conformément aux recommandations de l</w:t>
            </w:r>
            <w:r w:rsidR="00125408" w:rsidRPr="000229AD">
              <w:rPr>
                <w:rFonts w:eastAsia="Calibri"/>
                <w:lang w:val="fr-FR"/>
              </w:rPr>
              <w:t>'</w:t>
            </w:r>
            <w:r w:rsidR="00281BF0" w:rsidRPr="000229AD">
              <w:rPr>
                <w:rFonts w:eastAsia="Calibri"/>
                <w:lang w:val="fr-FR"/>
              </w:rPr>
              <w:t>UIT et à l</w:t>
            </w:r>
            <w:r w:rsidR="00125408" w:rsidRPr="000229AD">
              <w:rPr>
                <w:rFonts w:eastAsia="Calibri"/>
                <w:lang w:val="fr-FR"/>
              </w:rPr>
              <w:t>'</w:t>
            </w:r>
            <w:r w:rsidR="00281BF0" w:rsidRPr="000229AD">
              <w:rPr>
                <w:rFonts w:eastAsia="Calibri"/>
                <w:lang w:val="fr-FR"/>
              </w:rPr>
              <w:t>approche modulaire. Ces stratégies visent à améliorer la connectivité numérique, l</w:t>
            </w:r>
            <w:r w:rsidR="00125408" w:rsidRPr="000229AD">
              <w:rPr>
                <w:rFonts w:eastAsia="Calibri"/>
                <w:lang w:val="fr-FR"/>
              </w:rPr>
              <w:t>'</w:t>
            </w:r>
            <w:r w:rsidR="00281BF0" w:rsidRPr="000229AD">
              <w:rPr>
                <w:rFonts w:eastAsia="Calibri"/>
                <w:lang w:val="fr-FR"/>
              </w:rPr>
              <w:t>infrastructure des TIC, les compétences numériques, les services publics, l</w:t>
            </w:r>
            <w:r w:rsidR="00125408" w:rsidRPr="000229AD">
              <w:rPr>
                <w:rFonts w:eastAsia="Calibri"/>
                <w:lang w:val="fr-FR"/>
              </w:rPr>
              <w:t>'</w:t>
            </w:r>
            <w:r w:rsidR="00281BF0" w:rsidRPr="000229AD">
              <w:rPr>
                <w:rFonts w:eastAsia="Calibri"/>
                <w:lang w:val="fr-FR"/>
              </w:rPr>
              <w:t>appui aux entreprises numériques et le soutien en faveur de l</w:t>
            </w:r>
            <w:r w:rsidR="00125408" w:rsidRPr="000229AD">
              <w:rPr>
                <w:rFonts w:eastAsia="Calibri"/>
                <w:lang w:val="fr-FR"/>
              </w:rPr>
              <w:t>'</w:t>
            </w:r>
            <w:r w:rsidR="00281BF0" w:rsidRPr="000229AD">
              <w:rPr>
                <w:rFonts w:eastAsia="Calibri"/>
                <w:lang w:val="fr-FR"/>
              </w:rPr>
              <w:t>innovation dans ce domaine.</w:t>
            </w:r>
          </w:p>
          <w:p w14:paraId="4DF2C279" w14:textId="1DD9686C" w:rsidR="00281BF0" w:rsidRPr="000229AD" w:rsidRDefault="00371DF6" w:rsidP="00716C22">
            <w:pPr>
              <w:pStyle w:val="Tabletext"/>
              <w:pageBreakBefore/>
              <w:tabs>
                <w:tab w:val="clear" w:pos="284"/>
              </w:tabs>
              <w:spacing w:before="80" w:after="0"/>
              <w:ind w:left="311" w:hanging="311"/>
              <w:rPr>
                <w:rFonts w:eastAsia="Calibri"/>
                <w:lang w:val="fr-FR"/>
              </w:rPr>
            </w:pPr>
            <w:r w:rsidRPr="000229AD">
              <w:rPr>
                <w:rFonts w:eastAsia="Calibri"/>
                <w:lang w:val="fr-FR"/>
              </w:rPr>
              <w:tab/>
            </w:r>
            <w:r w:rsidR="00281BF0" w:rsidRPr="000229AD">
              <w:rPr>
                <w:rFonts w:eastAsia="Calibri"/>
                <w:lang w:val="fr-FR"/>
              </w:rPr>
              <w:t>En Albanie, au Monténégro et en Serbie, l</w:t>
            </w:r>
            <w:r w:rsidR="00125408" w:rsidRPr="000229AD">
              <w:rPr>
                <w:rFonts w:eastAsia="Calibri"/>
                <w:lang w:val="fr-FR"/>
              </w:rPr>
              <w:t>'</w:t>
            </w:r>
            <w:r w:rsidR="00281BF0" w:rsidRPr="000229AD">
              <w:rPr>
                <w:rFonts w:eastAsia="Calibri"/>
                <w:lang w:val="fr-FR"/>
              </w:rPr>
              <w:t>adoption de l</w:t>
            </w:r>
            <w:r w:rsidR="00125408" w:rsidRPr="000229AD">
              <w:rPr>
                <w:rFonts w:eastAsia="Calibri"/>
                <w:lang w:val="fr-FR"/>
              </w:rPr>
              <w:t>'</w:t>
            </w:r>
            <w:r w:rsidR="00281BF0" w:rsidRPr="000229AD">
              <w:rPr>
                <w:rFonts w:eastAsia="Calibri"/>
                <w:lang w:val="fr-FR"/>
              </w:rPr>
              <w:t>approche modulaire sera encouragée grâce à des partenariats stratégiques avec des organismes des Nations Unies dans le cadre des trois projets de l</w:t>
            </w:r>
            <w:r w:rsidR="00125408" w:rsidRPr="000229AD">
              <w:rPr>
                <w:rFonts w:eastAsia="Calibri"/>
                <w:lang w:val="fr-FR"/>
              </w:rPr>
              <w:t>'</w:t>
            </w:r>
            <w:r w:rsidR="00281BF0" w:rsidRPr="000229AD">
              <w:rPr>
                <w:rFonts w:eastAsia="Calibri"/>
                <w:lang w:val="fr-FR"/>
              </w:rPr>
              <w:t>enveloppe du Fonds commun pour les</w:t>
            </w:r>
            <w:r w:rsidR="00902DF9" w:rsidRPr="000229AD">
              <w:rPr>
                <w:rFonts w:eastAsia="Calibri"/>
                <w:lang w:val="fr-FR"/>
              </w:rPr>
              <w:t> </w:t>
            </w:r>
            <w:r w:rsidR="00281BF0" w:rsidRPr="000229AD">
              <w:rPr>
                <w:rFonts w:eastAsia="Calibri"/>
                <w:lang w:val="fr-FR"/>
              </w:rPr>
              <w:t xml:space="preserve">ODD dédiée aux projets numériques. En Albanie, le projet </w:t>
            </w:r>
            <w:r w:rsidR="00281BF0" w:rsidRPr="000229AD">
              <w:rPr>
                <w:rFonts w:eastAsia="Calibri"/>
                <w:b/>
                <w:bCs/>
                <w:lang w:val="fr-FR"/>
              </w:rPr>
              <w:t>Agriculture numérique et transformation rurale</w:t>
            </w:r>
            <w:r w:rsidR="00281BF0" w:rsidRPr="000229AD">
              <w:rPr>
                <w:rFonts w:eastAsia="Calibri"/>
                <w:lang w:val="fr-FR"/>
              </w:rPr>
              <w:t xml:space="preserve"> vise à révolutionner le secteur agroalimentaire, en permettant aux localités mal desservies de tirer parti des avantages de la transformation numérique. En Serbie, le projet "</w:t>
            </w:r>
            <w:r w:rsidR="00281BF0" w:rsidRPr="000229AD">
              <w:rPr>
                <w:rFonts w:eastAsia="Calibri"/>
                <w:b/>
                <w:bCs/>
                <w:lang w:val="fr-FR"/>
              </w:rPr>
              <w:t>Centre de conception de services numériques – Cliquer avec les citoyens</w:t>
            </w:r>
            <w:r w:rsidR="00281BF0" w:rsidRPr="000229AD">
              <w:rPr>
                <w:rFonts w:eastAsia="Calibri"/>
                <w:lang w:val="fr-FR"/>
              </w:rPr>
              <w:t>" vise à améliorer les services publics grâce à une conception centrée sur l</w:t>
            </w:r>
            <w:r w:rsidR="00125408" w:rsidRPr="000229AD">
              <w:rPr>
                <w:rFonts w:eastAsia="Calibri"/>
                <w:lang w:val="fr-FR"/>
              </w:rPr>
              <w:t>'</w:t>
            </w:r>
            <w:r w:rsidR="00281BF0" w:rsidRPr="000229AD">
              <w:rPr>
                <w:rFonts w:eastAsia="Calibri"/>
                <w:lang w:val="fr-FR"/>
              </w:rPr>
              <w:t xml:space="preserve">utilisateur et exploite les compétences du pays pour accélérer la transformation technologique. De même, les activités mises en œuvre dans le cadre du projet </w:t>
            </w:r>
            <w:r w:rsidR="00281BF0" w:rsidRPr="000229AD">
              <w:rPr>
                <w:rFonts w:eastAsia="Calibri"/>
                <w:b/>
                <w:bCs/>
                <w:lang w:val="fr-FR"/>
              </w:rPr>
              <w:t>Transformation numérique des collectivités locales au Monténégro</w:t>
            </w:r>
            <w:r w:rsidR="00281BF0" w:rsidRPr="000229AD">
              <w:rPr>
                <w:rFonts w:eastAsia="Calibri"/>
                <w:lang w:val="fr-FR"/>
              </w:rPr>
              <w:t xml:space="preserve"> soutiennent la transformation numérique des collectivités locales et la mise en place d</w:t>
            </w:r>
            <w:r w:rsidR="00125408" w:rsidRPr="000229AD">
              <w:rPr>
                <w:rFonts w:eastAsia="Calibri"/>
                <w:lang w:val="fr-FR"/>
              </w:rPr>
              <w:t>'</w:t>
            </w:r>
            <w:r w:rsidR="00281BF0" w:rsidRPr="000229AD">
              <w:rPr>
                <w:rFonts w:eastAsia="Calibri"/>
                <w:lang w:val="fr-FR"/>
              </w:rPr>
              <w:t>une cybergouvernance locale, jetant ainsi les bases du cadre relatif à l</w:t>
            </w:r>
            <w:r w:rsidR="00125408" w:rsidRPr="000229AD">
              <w:rPr>
                <w:rFonts w:eastAsia="Calibri"/>
                <w:lang w:val="fr-FR"/>
              </w:rPr>
              <w:t>'</w:t>
            </w:r>
            <w:r w:rsidR="00281BF0" w:rsidRPr="000229AD">
              <w:rPr>
                <w:rFonts w:eastAsia="Calibri"/>
                <w:lang w:val="fr-FR"/>
              </w:rPr>
              <w:t>initiative Villes intelligentes et durables.</w:t>
            </w:r>
          </w:p>
          <w:p w14:paraId="3B51AFF6" w14:textId="77D56F48" w:rsidR="00281BF0" w:rsidRPr="000229AD" w:rsidRDefault="00371DF6" w:rsidP="00716C22">
            <w:pPr>
              <w:pStyle w:val="Tabletext"/>
              <w:pageBreakBefore/>
              <w:tabs>
                <w:tab w:val="clear" w:pos="284"/>
              </w:tabs>
              <w:spacing w:before="80" w:after="0"/>
              <w:ind w:left="311" w:hanging="311"/>
              <w:rPr>
                <w:rFonts w:eastAsia="Calibri"/>
                <w:lang w:val="fr-FR"/>
              </w:rPr>
            </w:pPr>
            <w:r w:rsidRPr="000229AD">
              <w:rPr>
                <w:rFonts w:eastAsia="Calibri"/>
                <w:lang w:val="fr-FR"/>
              </w:rPr>
              <w:tab/>
            </w:r>
            <w:r w:rsidR="00281BF0" w:rsidRPr="000229AD">
              <w:rPr>
                <w:rFonts w:eastAsia="Calibri"/>
                <w:b/>
                <w:bCs/>
                <w:lang w:val="fr-FR"/>
              </w:rPr>
              <w:t>En réponse aux engagements pris lors du Forum régional de développement pour l</w:t>
            </w:r>
            <w:r w:rsidR="00125408" w:rsidRPr="000229AD">
              <w:rPr>
                <w:rFonts w:eastAsia="Calibri"/>
                <w:b/>
                <w:bCs/>
                <w:lang w:val="fr-FR"/>
              </w:rPr>
              <w:t>'</w:t>
            </w:r>
            <w:r w:rsidR="00281BF0" w:rsidRPr="000229AD">
              <w:rPr>
                <w:rFonts w:eastAsia="Calibri"/>
                <w:b/>
                <w:bCs/>
                <w:lang w:val="fr-FR"/>
              </w:rPr>
              <w:t>Europe (RFD-EUR)</w:t>
            </w:r>
            <w:r w:rsidR="00281BF0" w:rsidRPr="000229AD">
              <w:rPr>
                <w:rFonts w:eastAsia="Calibri"/>
                <w:lang w:val="fr-FR"/>
              </w:rPr>
              <w:t>, le BDT a contribué à la mise en place d</w:t>
            </w:r>
            <w:r w:rsidR="00125408" w:rsidRPr="000229AD">
              <w:rPr>
                <w:rFonts w:eastAsia="Calibri"/>
                <w:lang w:val="fr-FR"/>
              </w:rPr>
              <w:t>'</w:t>
            </w:r>
            <w:r w:rsidR="00281BF0" w:rsidRPr="000229AD">
              <w:rPr>
                <w:rFonts w:eastAsia="Calibri"/>
                <w:lang w:val="fr-FR"/>
              </w:rPr>
              <w:t>une collaboration ambitieuse entre partenaires et États Membres. Cette collaboration et ces partenariats visent à rationaliser les actions liées à la transformation numérique grâce à l</w:t>
            </w:r>
            <w:r w:rsidR="00125408" w:rsidRPr="000229AD">
              <w:rPr>
                <w:rFonts w:eastAsia="Calibri"/>
                <w:lang w:val="fr-FR"/>
              </w:rPr>
              <w:t>'</w:t>
            </w:r>
            <w:r w:rsidR="00281BF0" w:rsidRPr="000229AD">
              <w:rPr>
                <w:rFonts w:eastAsia="Calibri"/>
                <w:lang w:val="fr-FR"/>
              </w:rPr>
              <w:t>échange de connaissances et de meilleures pratiques. La collaboration a vu le jour grâce aux tables rondes de mise en relation.</w:t>
            </w:r>
          </w:p>
          <w:p w14:paraId="4DE3391A" w14:textId="29FC59EB" w:rsidR="00281BF0" w:rsidRPr="000229AD" w:rsidRDefault="00371DF6" w:rsidP="00716C22">
            <w:pPr>
              <w:pStyle w:val="Tabletext"/>
              <w:tabs>
                <w:tab w:val="clear" w:pos="284"/>
              </w:tabs>
              <w:spacing w:before="80" w:after="0"/>
              <w:ind w:left="312" w:hanging="312"/>
              <w:rPr>
                <w:rFonts w:eastAsia="Calibri"/>
                <w:lang w:val="fr-FR"/>
              </w:rPr>
            </w:pPr>
            <w:r w:rsidRPr="000229AD">
              <w:rPr>
                <w:rFonts w:eastAsia="Calibri"/>
                <w:lang w:val="fr-FR"/>
              </w:rPr>
              <w:tab/>
            </w:r>
            <w:r w:rsidR="00281BF0" w:rsidRPr="000229AD">
              <w:rPr>
                <w:rFonts w:eastAsia="Calibri"/>
                <w:lang w:val="fr-FR"/>
              </w:rPr>
              <w:t>L</w:t>
            </w:r>
            <w:r w:rsidR="00125408" w:rsidRPr="000229AD">
              <w:rPr>
                <w:rFonts w:eastAsia="Calibri"/>
                <w:lang w:val="fr-FR"/>
              </w:rPr>
              <w:t>'</w:t>
            </w:r>
            <w:r w:rsidR="00281BF0" w:rsidRPr="000229AD">
              <w:rPr>
                <w:rFonts w:eastAsia="Calibri"/>
                <w:lang w:val="fr-FR"/>
              </w:rPr>
              <w:t xml:space="preserve">atelier </w:t>
            </w:r>
            <w:r w:rsidR="009C78C5" w:rsidRPr="000229AD">
              <w:rPr>
                <w:rFonts w:eastAsia="Calibri"/>
                <w:lang w:val="fr-FR"/>
              </w:rPr>
              <w:t>"</w:t>
            </w:r>
            <w:r w:rsidR="00281BF0" w:rsidRPr="000229AD">
              <w:rPr>
                <w:rFonts w:eastAsia="Calibri"/>
                <w:b/>
                <w:bCs/>
                <w:lang w:val="fr-FR"/>
              </w:rPr>
              <w:t xml:space="preserve">Repenser les services publics: </w:t>
            </w:r>
            <w:r w:rsidR="009C78C5" w:rsidRPr="000229AD">
              <w:rPr>
                <w:rFonts w:eastAsia="Calibri"/>
                <w:b/>
                <w:bCs/>
                <w:lang w:val="fr-FR"/>
              </w:rPr>
              <w:t>S</w:t>
            </w:r>
            <w:r w:rsidR="00281BF0" w:rsidRPr="000229AD">
              <w:rPr>
                <w:rFonts w:eastAsia="Calibri"/>
                <w:b/>
                <w:bCs/>
                <w:lang w:val="fr-FR"/>
              </w:rPr>
              <w:t>tratégies pour atteindre les objectifs de la transformation numérique</w:t>
            </w:r>
            <w:r w:rsidR="009C78C5" w:rsidRPr="000229AD">
              <w:rPr>
                <w:rFonts w:eastAsia="Calibri"/>
                <w:lang w:val="fr-FR"/>
              </w:rPr>
              <w:t>"</w:t>
            </w:r>
            <w:r w:rsidR="00281BF0" w:rsidRPr="000229AD">
              <w:rPr>
                <w:rFonts w:eastAsia="Calibri"/>
                <w:lang w:val="fr-FR"/>
              </w:rPr>
              <w:t>, organisé en marge du Forum 2023 du SMSI, a permis d</w:t>
            </w:r>
            <w:r w:rsidR="00125408" w:rsidRPr="000229AD">
              <w:rPr>
                <w:rFonts w:eastAsia="Calibri"/>
                <w:lang w:val="fr-FR"/>
              </w:rPr>
              <w:t>'</w:t>
            </w:r>
            <w:r w:rsidR="00281BF0" w:rsidRPr="000229AD">
              <w:rPr>
                <w:rFonts w:eastAsia="Calibri"/>
                <w:lang w:val="fr-FR"/>
              </w:rPr>
              <w:t>améliorer le renforcement des capacités dans 11 pays. Organisé par le BDT dans le cadre de l</w:t>
            </w:r>
            <w:r w:rsidR="00125408" w:rsidRPr="000229AD">
              <w:rPr>
                <w:rFonts w:eastAsia="Calibri"/>
                <w:lang w:val="fr-FR"/>
              </w:rPr>
              <w:t>'</w:t>
            </w:r>
            <w:r w:rsidR="00281BF0" w:rsidRPr="000229AD">
              <w:rPr>
                <w:rFonts w:eastAsia="Calibri"/>
                <w:lang w:val="fr-FR"/>
              </w:rPr>
              <w:t>initiative régionale de l</w:t>
            </w:r>
            <w:r w:rsidR="00125408" w:rsidRPr="000229AD">
              <w:rPr>
                <w:rFonts w:eastAsia="Calibri"/>
                <w:lang w:val="fr-FR"/>
              </w:rPr>
              <w:t>'</w:t>
            </w:r>
            <w:r w:rsidR="00281BF0" w:rsidRPr="000229AD">
              <w:rPr>
                <w:rFonts w:eastAsia="Calibri"/>
                <w:lang w:val="fr-FR"/>
              </w:rPr>
              <w:t>UIT pour l</w:t>
            </w:r>
            <w:r w:rsidR="00125408" w:rsidRPr="000229AD">
              <w:rPr>
                <w:rFonts w:eastAsia="Calibri"/>
                <w:lang w:val="fr-FR"/>
              </w:rPr>
              <w:t>'</w:t>
            </w:r>
            <w:r w:rsidR="00281BF0" w:rsidRPr="000229AD">
              <w:rPr>
                <w:rFonts w:eastAsia="Calibri"/>
                <w:lang w:val="fr-FR"/>
              </w:rPr>
              <w:t>Europe sur la transformation numérique au service de la résilience, cet atelier a accompagné les discussions qui se sont tenues au SMSI sur le thème "Incidence de la GovTech 4: Retour d</w:t>
            </w:r>
            <w:r w:rsidR="00125408" w:rsidRPr="000229AD">
              <w:rPr>
                <w:rFonts w:eastAsia="Calibri"/>
                <w:lang w:val="fr-FR"/>
              </w:rPr>
              <w:t>'</w:t>
            </w:r>
            <w:r w:rsidR="00281BF0" w:rsidRPr="000229AD">
              <w:rPr>
                <w:rFonts w:eastAsia="Calibri"/>
                <w:lang w:val="fr-FR"/>
              </w:rPr>
              <w:t>expérience des cadres sur le développement du service public numérique en Europe". L</w:t>
            </w:r>
            <w:r w:rsidR="00125408" w:rsidRPr="000229AD">
              <w:rPr>
                <w:rFonts w:eastAsia="Calibri"/>
                <w:lang w:val="fr-FR"/>
              </w:rPr>
              <w:t>'</w:t>
            </w:r>
            <w:r w:rsidR="00281BF0" w:rsidRPr="000229AD">
              <w:rPr>
                <w:rFonts w:eastAsia="Calibri"/>
                <w:lang w:val="fr-FR"/>
              </w:rPr>
              <w:t>atelier a permis de mettre en valeur les compétences des pays candidats et des pays candidats potentiels à l</w:t>
            </w:r>
            <w:r w:rsidR="00125408" w:rsidRPr="000229AD">
              <w:rPr>
                <w:rFonts w:eastAsia="Calibri"/>
                <w:lang w:val="fr-FR"/>
              </w:rPr>
              <w:t>'</w:t>
            </w:r>
            <w:r w:rsidR="00281BF0" w:rsidRPr="000229AD">
              <w:rPr>
                <w:rFonts w:eastAsia="Calibri"/>
                <w:lang w:val="fr-FR"/>
              </w:rPr>
              <w:t>adhésion à l</w:t>
            </w:r>
            <w:r w:rsidR="00125408" w:rsidRPr="000229AD">
              <w:rPr>
                <w:rFonts w:eastAsia="Calibri"/>
                <w:lang w:val="fr-FR"/>
              </w:rPr>
              <w:t>'</w:t>
            </w:r>
            <w:r w:rsidR="00281BF0" w:rsidRPr="000229AD">
              <w:rPr>
                <w:rFonts w:eastAsia="Calibri"/>
                <w:lang w:val="fr-FR"/>
              </w:rPr>
              <w:t xml:space="preserve">UE et de favoriser un dialogue constructif entre les principales parties prenantes impliquées dans la transformation numérique. Les participants ont abordé les contraintes, </w:t>
            </w:r>
            <w:r w:rsidR="00281BF0" w:rsidRPr="000229AD">
              <w:rPr>
                <w:rFonts w:eastAsia="Calibri"/>
                <w:lang w:val="fr-FR"/>
              </w:rPr>
              <w:lastRenderedPageBreak/>
              <w:t>présenté les enseignements et envisagé les stratégies pour tirer parti des possibilités offertes. L</w:t>
            </w:r>
            <w:r w:rsidR="00125408" w:rsidRPr="000229AD">
              <w:rPr>
                <w:rFonts w:eastAsia="Calibri"/>
                <w:lang w:val="fr-FR"/>
              </w:rPr>
              <w:t>'</w:t>
            </w:r>
            <w:r w:rsidR="00281BF0" w:rsidRPr="000229AD">
              <w:rPr>
                <w:rFonts w:eastAsia="Calibri"/>
                <w:lang w:val="fr-FR"/>
              </w:rPr>
              <w:t>atelier s</w:t>
            </w:r>
            <w:r w:rsidR="00125408" w:rsidRPr="000229AD">
              <w:rPr>
                <w:rFonts w:eastAsia="Calibri"/>
                <w:lang w:val="fr-FR"/>
              </w:rPr>
              <w:t>'</w:t>
            </w:r>
            <w:r w:rsidR="00281BF0" w:rsidRPr="000229AD">
              <w:rPr>
                <w:rFonts w:eastAsia="Calibri"/>
                <w:lang w:val="fr-FR"/>
              </w:rPr>
              <w:t>est penché sur les aspects frontaux (front-end), dorsaux (back-end) et d</w:t>
            </w:r>
            <w:r w:rsidR="00125408" w:rsidRPr="000229AD">
              <w:rPr>
                <w:rFonts w:eastAsia="Calibri"/>
                <w:lang w:val="fr-FR"/>
              </w:rPr>
              <w:t>'</w:t>
            </w:r>
            <w:r w:rsidR="00281BF0" w:rsidRPr="000229AD">
              <w:rPr>
                <w:rFonts w:eastAsia="Calibri"/>
                <w:lang w:val="fr-FR"/>
              </w:rPr>
              <w:t>infrastructure des services publics et a fourni aux participants des informations pratiques pour les inciter à agir.</w:t>
            </w:r>
          </w:p>
          <w:p w14:paraId="1CE0F968" w14:textId="05B2274A" w:rsidR="00281BF0" w:rsidRPr="000229AD" w:rsidRDefault="00371DF6" w:rsidP="00716C22">
            <w:pPr>
              <w:pStyle w:val="Tabletext"/>
              <w:pageBreakBefore/>
              <w:tabs>
                <w:tab w:val="clear" w:pos="284"/>
              </w:tabs>
              <w:spacing w:before="80"/>
              <w:ind w:left="311" w:hanging="311"/>
              <w:rPr>
                <w:lang w:val="fr-FR"/>
              </w:rPr>
            </w:pPr>
            <w:r w:rsidRPr="000229AD">
              <w:rPr>
                <w:rFonts w:eastAsia="Calibri"/>
                <w:lang w:val="fr-FR"/>
              </w:rPr>
              <w:tab/>
            </w:r>
            <w:r w:rsidR="00281BF0" w:rsidRPr="000229AD">
              <w:rPr>
                <w:rFonts w:eastAsia="Calibri"/>
                <w:lang w:val="fr-FR"/>
              </w:rPr>
              <w:t>La formation Pleins feux sur la transformation numérique centrée sur l</w:t>
            </w:r>
            <w:r w:rsidR="00125408" w:rsidRPr="000229AD">
              <w:rPr>
                <w:rFonts w:eastAsia="Calibri"/>
                <w:lang w:val="fr-FR"/>
              </w:rPr>
              <w:t>'</w:t>
            </w:r>
            <w:r w:rsidR="00281BF0" w:rsidRPr="000229AD">
              <w:rPr>
                <w:rFonts w:eastAsia="Calibri"/>
                <w:lang w:val="fr-FR"/>
              </w:rPr>
              <w:t>humain, composée de trois webinaires, a permis de mieux faire comprendre l</w:t>
            </w:r>
            <w:r w:rsidR="00125408" w:rsidRPr="000229AD">
              <w:rPr>
                <w:rFonts w:eastAsia="Calibri"/>
                <w:lang w:val="fr-FR"/>
              </w:rPr>
              <w:t>'</w:t>
            </w:r>
            <w:r w:rsidR="00281BF0" w:rsidRPr="000229AD">
              <w:rPr>
                <w:rFonts w:eastAsia="Calibri"/>
                <w:lang w:val="fr-FR"/>
              </w:rPr>
              <w:t>idée de conception plus humaine des outils numériques, ce qui a conduit à l</w:t>
            </w:r>
            <w:r w:rsidR="00125408" w:rsidRPr="000229AD">
              <w:rPr>
                <w:rFonts w:eastAsia="Calibri"/>
                <w:lang w:val="fr-FR"/>
              </w:rPr>
              <w:t>'</w:t>
            </w:r>
            <w:r w:rsidR="00281BF0" w:rsidRPr="000229AD">
              <w:rPr>
                <w:rFonts w:eastAsia="Calibri"/>
                <w:lang w:val="fr-FR"/>
              </w:rPr>
              <w:t>élaboration d</w:t>
            </w:r>
            <w:r w:rsidR="00125408" w:rsidRPr="000229AD">
              <w:rPr>
                <w:rFonts w:eastAsia="Calibri"/>
                <w:lang w:val="fr-FR"/>
              </w:rPr>
              <w:t>'</w:t>
            </w:r>
            <w:r w:rsidR="00281BF0" w:rsidRPr="000229AD">
              <w:rPr>
                <w:rFonts w:eastAsia="Calibri"/>
                <w:lang w:val="fr-FR"/>
              </w:rPr>
              <w:t>un recueil de la transformation numérique centrée sur l</w:t>
            </w:r>
            <w:r w:rsidR="00125408" w:rsidRPr="000229AD">
              <w:rPr>
                <w:rFonts w:eastAsia="Calibri"/>
                <w:lang w:val="fr-FR"/>
              </w:rPr>
              <w:t>'</w:t>
            </w:r>
            <w:r w:rsidR="00281BF0" w:rsidRPr="000229AD">
              <w:rPr>
                <w:rFonts w:eastAsia="Calibri"/>
                <w:lang w:val="fr-FR"/>
              </w:rPr>
              <w:t>humain présentant les expériences de 10 pays européens. Le recueil décrit les défis et les recommandations liés au passage au numérique des services publics, éducatifs et de la santé, et propose une liste des meilleures pratiques dans le domaine afin d</w:t>
            </w:r>
            <w:r w:rsidR="00125408" w:rsidRPr="000229AD">
              <w:rPr>
                <w:rFonts w:eastAsia="Calibri"/>
                <w:lang w:val="fr-FR"/>
              </w:rPr>
              <w:t>'</w:t>
            </w:r>
            <w:r w:rsidR="00281BF0" w:rsidRPr="000229AD">
              <w:rPr>
                <w:rFonts w:eastAsia="Calibri"/>
                <w:lang w:val="fr-FR"/>
              </w:rPr>
              <w:t>orienter les parties prenantes intéressées en Europe et ailleurs dans la prise en compte des aspects centrés sur l</w:t>
            </w:r>
            <w:r w:rsidR="00125408" w:rsidRPr="000229AD">
              <w:rPr>
                <w:rFonts w:eastAsia="Calibri"/>
                <w:lang w:val="fr-FR"/>
              </w:rPr>
              <w:t>'</w:t>
            </w:r>
            <w:r w:rsidR="00281BF0" w:rsidRPr="000229AD">
              <w:rPr>
                <w:rFonts w:eastAsia="Calibri"/>
                <w:lang w:val="fr-FR"/>
              </w:rPr>
              <w:t>humain des services numériques et l</w:t>
            </w:r>
            <w:r w:rsidR="00125408" w:rsidRPr="000229AD">
              <w:rPr>
                <w:rFonts w:eastAsia="Calibri"/>
                <w:lang w:val="fr-FR"/>
              </w:rPr>
              <w:t>'</w:t>
            </w:r>
            <w:r w:rsidR="00281BF0" w:rsidRPr="000229AD">
              <w:rPr>
                <w:rFonts w:eastAsia="Calibri"/>
                <w:lang w:val="fr-FR"/>
              </w:rPr>
              <w:t>adoption de pratiques similaires.</w:t>
            </w:r>
          </w:p>
        </w:tc>
        <w:tc>
          <w:tcPr>
            <w:tcW w:w="3034" w:type="dxa"/>
            <w:shd w:val="clear" w:color="auto" w:fill="auto"/>
          </w:tcPr>
          <w:p w14:paraId="618B209F" w14:textId="16187D0F" w:rsidR="00371DF6" w:rsidRPr="000229AD" w:rsidRDefault="00281BF0" w:rsidP="00716C22">
            <w:pPr>
              <w:pStyle w:val="Tabletext"/>
              <w:pageBreakBefore/>
              <w:spacing w:before="120"/>
              <w:rPr>
                <w:b/>
                <w:bCs/>
                <w:lang w:val="fr-FR"/>
              </w:rPr>
            </w:pPr>
            <w:r w:rsidRPr="000229AD">
              <w:rPr>
                <w:b/>
                <w:bCs/>
                <w:lang w:val="fr-FR"/>
              </w:rPr>
              <w:lastRenderedPageBreak/>
              <w:t>Transformation numérique de l</w:t>
            </w:r>
            <w:r w:rsidR="00125408" w:rsidRPr="000229AD">
              <w:rPr>
                <w:b/>
                <w:bCs/>
                <w:lang w:val="fr-FR"/>
              </w:rPr>
              <w:t>'</w:t>
            </w:r>
            <w:r w:rsidRPr="000229AD">
              <w:rPr>
                <w:b/>
                <w:bCs/>
                <w:lang w:val="fr-FR"/>
              </w:rPr>
              <w:t>administration publique:</w:t>
            </w:r>
          </w:p>
          <w:p w14:paraId="57873ED3" w14:textId="593E170F" w:rsidR="00281BF0" w:rsidRPr="000229AD" w:rsidRDefault="00371DF6" w:rsidP="00716C22">
            <w:pPr>
              <w:pStyle w:val="Tabletext"/>
              <w:pageBreakBefore/>
              <w:tabs>
                <w:tab w:val="clear" w:pos="284"/>
              </w:tabs>
              <w:spacing w:before="80" w:after="0"/>
              <w:ind w:left="312" w:hanging="312"/>
              <w:rPr>
                <w:lang w:val="fr-FR"/>
              </w:rPr>
            </w:pPr>
            <w:r w:rsidRPr="000229AD">
              <w:rPr>
                <w:lang w:val="fr-FR"/>
              </w:rPr>
              <w:t>–</w:t>
            </w:r>
            <w:r w:rsidRPr="000229AD">
              <w:rPr>
                <w:lang w:val="fr-FR"/>
              </w:rPr>
              <w:tab/>
            </w:r>
            <w:r w:rsidR="00281BF0" w:rsidRPr="000229AD">
              <w:rPr>
                <w:lang w:val="fr-FR"/>
              </w:rPr>
              <w:t>Publication de spécifications pour les modules de l</w:t>
            </w:r>
            <w:r w:rsidR="00125408" w:rsidRPr="000229AD">
              <w:rPr>
                <w:lang w:val="fr-FR"/>
              </w:rPr>
              <w:t>'</w:t>
            </w:r>
            <w:r w:rsidR="00281BF0" w:rsidRPr="000229AD">
              <w:rPr>
                <w:lang w:val="fr-FR"/>
              </w:rPr>
              <w:t>administration en ligne.</w:t>
            </w:r>
          </w:p>
          <w:p w14:paraId="7A81FF2A" w14:textId="32FD74B3" w:rsidR="00281BF0" w:rsidRPr="000229AD" w:rsidRDefault="00371DF6" w:rsidP="00716C22">
            <w:pPr>
              <w:pStyle w:val="Tabletext"/>
              <w:pageBreakBefore/>
              <w:tabs>
                <w:tab w:val="clear" w:pos="284"/>
              </w:tabs>
              <w:spacing w:before="80" w:after="0"/>
              <w:ind w:left="312" w:hanging="312"/>
              <w:rPr>
                <w:lang w:val="fr-FR"/>
              </w:rPr>
            </w:pPr>
            <w:r w:rsidRPr="000229AD">
              <w:rPr>
                <w:lang w:val="fr-FR"/>
              </w:rPr>
              <w:t>–</w:t>
            </w:r>
            <w:r w:rsidRPr="000229AD">
              <w:rPr>
                <w:lang w:val="fr-FR"/>
              </w:rPr>
              <w:tab/>
            </w:r>
            <w:r w:rsidR="00281BF0" w:rsidRPr="000229AD">
              <w:rPr>
                <w:lang w:val="fr-FR"/>
              </w:rPr>
              <w:t>Publication d</w:t>
            </w:r>
            <w:r w:rsidR="00125408" w:rsidRPr="000229AD">
              <w:rPr>
                <w:lang w:val="fr-FR"/>
              </w:rPr>
              <w:t>'</w:t>
            </w:r>
            <w:r w:rsidR="00281BF0" w:rsidRPr="000229AD">
              <w:rPr>
                <w:lang w:val="fr-FR"/>
              </w:rPr>
              <w:t>instructions pour la mise en place d</w:t>
            </w:r>
            <w:r w:rsidR="00125408" w:rsidRPr="000229AD">
              <w:rPr>
                <w:lang w:val="fr-FR"/>
              </w:rPr>
              <w:t>'</w:t>
            </w:r>
            <w:r w:rsidR="00281BF0" w:rsidRPr="000229AD">
              <w:rPr>
                <w:lang w:val="fr-FR"/>
              </w:rPr>
              <w:t>un environnement test à l</w:t>
            </w:r>
            <w:r w:rsidR="00125408" w:rsidRPr="000229AD">
              <w:rPr>
                <w:lang w:val="fr-FR"/>
              </w:rPr>
              <w:t>'</w:t>
            </w:r>
            <w:r w:rsidR="00281BF0" w:rsidRPr="000229AD">
              <w:rPr>
                <w:lang w:val="fr-FR"/>
              </w:rPr>
              <w:t>intention des utilisateurs techniques.</w:t>
            </w:r>
          </w:p>
          <w:p w14:paraId="6826D847" w14:textId="0B4B99CC" w:rsidR="00281BF0" w:rsidRPr="000229AD" w:rsidRDefault="00371DF6" w:rsidP="00716C22">
            <w:pPr>
              <w:pStyle w:val="Tabletext"/>
              <w:pageBreakBefore/>
              <w:tabs>
                <w:tab w:val="clear" w:pos="284"/>
              </w:tabs>
              <w:spacing w:before="80" w:after="0"/>
              <w:ind w:left="312" w:hanging="312"/>
              <w:rPr>
                <w:lang w:val="fr-FR"/>
              </w:rPr>
            </w:pPr>
            <w:r w:rsidRPr="000229AD">
              <w:rPr>
                <w:lang w:val="fr-FR"/>
              </w:rPr>
              <w:t>–</w:t>
            </w:r>
            <w:r w:rsidRPr="000229AD">
              <w:rPr>
                <w:lang w:val="fr-FR"/>
              </w:rPr>
              <w:tab/>
            </w:r>
            <w:r w:rsidR="00281BF0" w:rsidRPr="000229AD">
              <w:rPr>
                <w:lang w:val="fr-FR"/>
              </w:rPr>
              <w:t>Publication de guides sur la passation de marchés publics durable dans le domaine des TIC et sur les centres de données respectueux de l</w:t>
            </w:r>
            <w:r w:rsidR="00125408" w:rsidRPr="000229AD">
              <w:rPr>
                <w:lang w:val="fr-FR"/>
              </w:rPr>
              <w:t>'</w:t>
            </w:r>
            <w:r w:rsidR="00281BF0" w:rsidRPr="000229AD">
              <w:rPr>
                <w:lang w:val="fr-FR"/>
              </w:rPr>
              <w:t>environnement.</w:t>
            </w:r>
          </w:p>
          <w:p w14:paraId="35441CE5" w14:textId="39EE0F3C" w:rsidR="00281BF0" w:rsidRPr="000229AD" w:rsidRDefault="00371DF6" w:rsidP="00716C22">
            <w:pPr>
              <w:pStyle w:val="Tabletext"/>
              <w:pageBreakBefore/>
              <w:tabs>
                <w:tab w:val="clear" w:pos="284"/>
              </w:tabs>
              <w:spacing w:before="80" w:after="0"/>
              <w:ind w:left="312" w:hanging="312"/>
              <w:rPr>
                <w:rFonts w:ascii="Calibri" w:hAnsi="Calibri"/>
                <w:lang w:val="fr-FR"/>
              </w:rPr>
            </w:pPr>
            <w:r w:rsidRPr="000229AD">
              <w:rPr>
                <w:lang w:val="fr-FR"/>
              </w:rPr>
              <w:t>–</w:t>
            </w:r>
            <w:r w:rsidRPr="000229AD">
              <w:rPr>
                <w:lang w:val="fr-FR"/>
              </w:rPr>
              <w:tab/>
            </w:r>
            <w:r w:rsidR="00281BF0" w:rsidRPr="000229AD">
              <w:rPr>
                <w:lang w:val="fr-FR"/>
              </w:rPr>
              <w:t>Appui à l</w:t>
            </w:r>
            <w:r w:rsidR="00125408" w:rsidRPr="000229AD">
              <w:rPr>
                <w:lang w:val="fr-FR"/>
              </w:rPr>
              <w:t>'</w:t>
            </w:r>
            <w:r w:rsidR="00281BF0" w:rsidRPr="000229AD">
              <w:rPr>
                <w:lang w:val="fr-FR"/>
              </w:rPr>
              <w:t>élaboration de politiques et de stratégies.</w:t>
            </w:r>
          </w:p>
          <w:p w14:paraId="7A87C1C6" w14:textId="77F9C7CF" w:rsidR="00281BF0" w:rsidRPr="000229AD" w:rsidRDefault="00281BF0" w:rsidP="00716C22">
            <w:pPr>
              <w:pStyle w:val="Tabletext"/>
              <w:pageBreakBefore/>
              <w:spacing w:before="80"/>
              <w:rPr>
                <w:b/>
                <w:bCs/>
                <w:lang w:val="fr-FR"/>
              </w:rPr>
            </w:pPr>
            <w:r w:rsidRPr="000229AD">
              <w:rPr>
                <w:b/>
                <w:bCs/>
                <w:lang w:val="fr-FR"/>
              </w:rPr>
              <w:t>Technologies à code source ouvert pour les services publics:</w:t>
            </w:r>
          </w:p>
          <w:p w14:paraId="4521C204" w14:textId="630F5A5E" w:rsidR="00281BF0" w:rsidRPr="000229AD" w:rsidRDefault="00A4048C" w:rsidP="00716C22">
            <w:pPr>
              <w:pStyle w:val="Tabletext"/>
              <w:pageBreakBefore/>
              <w:tabs>
                <w:tab w:val="clear" w:pos="284"/>
              </w:tabs>
              <w:spacing w:before="80" w:after="0"/>
              <w:ind w:left="312" w:hanging="312"/>
              <w:rPr>
                <w:lang w:val="fr-FR"/>
              </w:rPr>
            </w:pPr>
            <w:r w:rsidRPr="000229AD">
              <w:rPr>
                <w:lang w:val="fr-FR"/>
              </w:rPr>
              <w:t>–</w:t>
            </w:r>
            <w:r w:rsidRPr="000229AD">
              <w:rPr>
                <w:lang w:val="fr-FR"/>
              </w:rPr>
              <w:tab/>
            </w:r>
            <w:r w:rsidR="00281BF0" w:rsidRPr="000229AD">
              <w:rPr>
                <w:lang w:val="fr-FR"/>
              </w:rPr>
              <w:t>Projet conjoint entre l</w:t>
            </w:r>
            <w:r w:rsidR="00125408" w:rsidRPr="000229AD">
              <w:rPr>
                <w:lang w:val="fr-FR"/>
              </w:rPr>
              <w:t>'</w:t>
            </w:r>
            <w:r w:rsidR="00281BF0" w:rsidRPr="000229AD">
              <w:rPr>
                <w:lang w:val="fr-FR"/>
              </w:rPr>
              <w:t>UIT, le PNUD et l</w:t>
            </w:r>
            <w:r w:rsidR="00125408" w:rsidRPr="000229AD">
              <w:rPr>
                <w:lang w:val="fr-FR"/>
              </w:rPr>
              <w:t>'</w:t>
            </w:r>
            <w:r w:rsidR="00281BF0" w:rsidRPr="000229AD">
              <w:rPr>
                <w:lang w:val="fr-FR"/>
              </w:rPr>
              <w:t>UE lancé.</w:t>
            </w:r>
          </w:p>
          <w:p w14:paraId="3B1CDB4F" w14:textId="7E316B13" w:rsidR="00281BF0" w:rsidRPr="000229AD" w:rsidRDefault="00A4048C" w:rsidP="00716C22">
            <w:pPr>
              <w:pStyle w:val="Tabletext"/>
              <w:pageBreakBefore/>
              <w:tabs>
                <w:tab w:val="clear" w:pos="284"/>
              </w:tabs>
              <w:spacing w:before="80"/>
              <w:ind w:left="312" w:hanging="312"/>
              <w:rPr>
                <w:lang w:val="fr-FR"/>
              </w:rPr>
            </w:pPr>
            <w:r w:rsidRPr="000229AD">
              <w:rPr>
                <w:lang w:val="fr-FR"/>
              </w:rPr>
              <w:t>–</w:t>
            </w:r>
            <w:r w:rsidRPr="000229AD">
              <w:rPr>
                <w:lang w:val="fr-FR"/>
              </w:rPr>
              <w:tab/>
            </w:r>
            <w:r w:rsidR="00281BF0" w:rsidRPr="000229AD">
              <w:rPr>
                <w:lang w:val="fr-FR"/>
              </w:rPr>
              <w:t>Renforcement des capacités en matière de technologies et de méthodes à code source ouvert.</w:t>
            </w:r>
          </w:p>
          <w:p w14:paraId="5D1646F4" w14:textId="37E96215" w:rsidR="00281BF0" w:rsidRPr="000229AD" w:rsidRDefault="00A4048C" w:rsidP="00716C22">
            <w:pPr>
              <w:pStyle w:val="Tabletext"/>
              <w:pageBreakBefore/>
              <w:tabs>
                <w:tab w:val="clear" w:pos="284"/>
              </w:tabs>
              <w:spacing w:before="80" w:after="0"/>
              <w:ind w:left="312" w:hanging="312"/>
              <w:rPr>
                <w:lang w:val="fr-FR"/>
              </w:rPr>
            </w:pPr>
            <w:r w:rsidRPr="000229AD">
              <w:rPr>
                <w:lang w:val="fr-FR"/>
              </w:rPr>
              <w:lastRenderedPageBreak/>
              <w:t>–</w:t>
            </w:r>
            <w:r w:rsidRPr="000229AD">
              <w:rPr>
                <w:lang w:val="fr-FR"/>
              </w:rPr>
              <w:tab/>
            </w:r>
            <w:r w:rsidR="00281BF0" w:rsidRPr="000229AD">
              <w:rPr>
                <w:lang w:val="fr-FR"/>
              </w:rPr>
              <w:t>Mise en place d</w:t>
            </w:r>
            <w:r w:rsidR="00125408" w:rsidRPr="000229AD">
              <w:rPr>
                <w:lang w:val="fr-FR"/>
              </w:rPr>
              <w:t>'</w:t>
            </w:r>
            <w:r w:rsidR="00281BF0" w:rsidRPr="000229AD">
              <w:rPr>
                <w:lang w:val="fr-FR"/>
              </w:rPr>
              <w:t>installations techniques à</w:t>
            </w:r>
            <w:r w:rsidR="00195EDD" w:rsidRPr="000229AD">
              <w:rPr>
                <w:lang w:val="fr-FR"/>
              </w:rPr>
              <w:t> </w:t>
            </w:r>
            <w:r w:rsidR="00281BF0" w:rsidRPr="000229AD">
              <w:rPr>
                <w:lang w:val="fr-FR"/>
              </w:rPr>
              <w:t>code source ouvert.</w:t>
            </w:r>
          </w:p>
          <w:p w14:paraId="18664567" w14:textId="09FBAC64" w:rsidR="00281BF0" w:rsidRPr="000229AD" w:rsidRDefault="00281BF0" w:rsidP="00716C22">
            <w:pPr>
              <w:pStyle w:val="Tabletext"/>
              <w:pageBreakBefore/>
              <w:spacing w:before="120"/>
              <w:rPr>
                <w:b/>
                <w:bCs/>
                <w:lang w:val="fr-FR"/>
              </w:rPr>
            </w:pPr>
            <w:r w:rsidRPr="000229AD">
              <w:rPr>
                <w:b/>
                <w:bCs/>
                <w:lang w:val="fr-FR"/>
              </w:rPr>
              <w:t>Villages intelligents/îles intelligentes:</w:t>
            </w:r>
          </w:p>
          <w:p w14:paraId="26814D5F" w14:textId="1D5590D3" w:rsidR="00281BF0" w:rsidRPr="000229AD" w:rsidRDefault="00A4048C" w:rsidP="00716C22">
            <w:pPr>
              <w:pStyle w:val="Tabletext"/>
              <w:pageBreakBefore/>
              <w:tabs>
                <w:tab w:val="clear" w:pos="284"/>
              </w:tabs>
              <w:spacing w:before="80" w:after="0"/>
              <w:ind w:left="312" w:hanging="312"/>
              <w:rPr>
                <w:lang w:val="fr-FR"/>
              </w:rPr>
            </w:pPr>
            <w:r w:rsidRPr="000229AD">
              <w:rPr>
                <w:lang w:val="fr-FR"/>
              </w:rPr>
              <w:t>–</w:t>
            </w:r>
            <w:r w:rsidRPr="000229AD">
              <w:rPr>
                <w:lang w:val="fr-FR"/>
              </w:rPr>
              <w:tab/>
            </w:r>
            <w:r w:rsidR="00281BF0" w:rsidRPr="000229AD">
              <w:rPr>
                <w:lang w:val="fr-FR"/>
              </w:rPr>
              <w:t>Extension de l</w:t>
            </w:r>
            <w:r w:rsidR="00125408" w:rsidRPr="000229AD">
              <w:rPr>
                <w:lang w:val="fr-FR"/>
              </w:rPr>
              <w:t>'</w:t>
            </w:r>
            <w:r w:rsidR="00281BF0" w:rsidRPr="000229AD">
              <w:rPr>
                <w:lang w:val="fr-FR"/>
              </w:rPr>
              <w:t>initiative Villages intelligents et îles intelligentes à la région Asie-Pacifique.</w:t>
            </w:r>
          </w:p>
          <w:p w14:paraId="4981FDE4" w14:textId="2663514A" w:rsidR="00281BF0" w:rsidRPr="000229AD" w:rsidRDefault="00A4048C" w:rsidP="00716C22">
            <w:pPr>
              <w:pStyle w:val="Tabletext"/>
              <w:pageBreakBefore/>
              <w:tabs>
                <w:tab w:val="clear" w:pos="284"/>
              </w:tabs>
              <w:spacing w:before="80" w:after="0"/>
              <w:ind w:left="312" w:hanging="312"/>
              <w:rPr>
                <w:lang w:val="fr-FR"/>
              </w:rPr>
            </w:pPr>
            <w:r w:rsidRPr="000229AD">
              <w:rPr>
                <w:lang w:val="fr-FR"/>
              </w:rPr>
              <w:t>–</w:t>
            </w:r>
            <w:r w:rsidRPr="000229AD">
              <w:rPr>
                <w:lang w:val="fr-FR"/>
              </w:rPr>
              <w:tab/>
            </w:r>
            <w:r w:rsidR="00281BF0" w:rsidRPr="000229AD">
              <w:rPr>
                <w:lang w:val="fr-FR"/>
              </w:rPr>
              <w:t>Retombées concrètes au Pakistan et au Vanuatu, avec une amélioration de la connectivité et des services numériques.</w:t>
            </w:r>
          </w:p>
          <w:p w14:paraId="6A57AC03" w14:textId="19C95109" w:rsidR="00281BF0" w:rsidRPr="000229AD" w:rsidRDefault="00281BF0" w:rsidP="00716C22">
            <w:pPr>
              <w:pStyle w:val="Tabletext"/>
              <w:pageBreakBefore/>
              <w:spacing w:before="120"/>
              <w:rPr>
                <w:b/>
                <w:bCs/>
                <w:lang w:val="fr-FR"/>
              </w:rPr>
            </w:pPr>
            <w:r w:rsidRPr="000229AD">
              <w:rPr>
                <w:b/>
                <w:bCs/>
                <w:lang w:val="fr-FR"/>
              </w:rPr>
              <w:t>Agriculture numérique:</w:t>
            </w:r>
          </w:p>
          <w:p w14:paraId="406ED91D" w14:textId="352FDFAC" w:rsidR="00281BF0" w:rsidRPr="000229AD" w:rsidRDefault="00A4048C" w:rsidP="00716C22">
            <w:pPr>
              <w:pStyle w:val="Tabletext"/>
              <w:pageBreakBefore/>
              <w:tabs>
                <w:tab w:val="clear" w:pos="284"/>
              </w:tabs>
              <w:spacing w:before="80" w:after="0"/>
              <w:ind w:left="312" w:hanging="312"/>
              <w:rPr>
                <w:lang w:val="fr-FR"/>
              </w:rPr>
            </w:pPr>
            <w:r w:rsidRPr="000229AD">
              <w:rPr>
                <w:lang w:val="fr-FR"/>
              </w:rPr>
              <w:t>–</w:t>
            </w:r>
            <w:r w:rsidRPr="000229AD">
              <w:rPr>
                <w:lang w:val="fr-FR"/>
              </w:rPr>
              <w:tab/>
            </w:r>
            <w:r w:rsidR="00281BF0" w:rsidRPr="000229AD">
              <w:rPr>
                <w:lang w:val="fr-FR"/>
              </w:rPr>
              <w:t>Lancement de projets en collaboration avec la FAO.</w:t>
            </w:r>
          </w:p>
          <w:p w14:paraId="778C0832" w14:textId="70472499" w:rsidR="00281BF0" w:rsidRPr="000229AD" w:rsidRDefault="00A4048C" w:rsidP="00716C22">
            <w:pPr>
              <w:pStyle w:val="Tabletext"/>
              <w:pageBreakBefore/>
              <w:tabs>
                <w:tab w:val="clear" w:pos="284"/>
              </w:tabs>
              <w:spacing w:before="80" w:after="0"/>
              <w:ind w:left="312" w:hanging="312"/>
              <w:rPr>
                <w:lang w:val="fr-FR"/>
              </w:rPr>
            </w:pPr>
            <w:r w:rsidRPr="000229AD">
              <w:rPr>
                <w:lang w:val="fr-FR"/>
              </w:rPr>
              <w:t>–</w:t>
            </w:r>
            <w:r w:rsidRPr="000229AD">
              <w:rPr>
                <w:lang w:val="fr-FR"/>
              </w:rPr>
              <w:tab/>
            </w:r>
            <w:r w:rsidR="00281BF0" w:rsidRPr="000229AD">
              <w:rPr>
                <w:lang w:val="fr-FR"/>
              </w:rPr>
              <w:t>Formation des agriculteurs sur les compétences numériques et le commerce électronique.</w:t>
            </w:r>
          </w:p>
          <w:p w14:paraId="31DEC41F" w14:textId="33B05A52" w:rsidR="00281BF0" w:rsidRPr="000229AD" w:rsidRDefault="00281BF0" w:rsidP="00716C22">
            <w:pPr>
              <w:pStyle w:val="Tabletext"/>
              <w:pageBreakBefore/>
              <w:spacing w:before="120"/>
              <w:rPr>
                <w:b/>
                <w:bCs/>
                <w:lang w:val="fr-FR"/>
              </w:rPr>
            </w:pPr>
            <w:r w:rsidRPr="000229AD">
              <w:rPr>
                <w:b/>
                <w:bCs/>
                <w:lang w:val="fr-FR"/>
              </w:rPr>
              <w:t>Santé numérique:</w:t>
            </w:r>
          </w:p>
          <w:p w14:paraId="4A16B293" w14:textId="58A10092" w:rsidR="00281BF0" w:rsidRPr="000229AD" w:rsidRDefault="00A4048C" w:rsidP="00716C22">
            <w:pPr>
              <w:pStyle w:val="Tabletext"/>
              <w:pageBreakBefore/>
              <w:tabs>
                <w:tab w:val="clear" w:pos="284"/>
              </w:tabs>
              <w:spacing w:before="80" w:after="0"/>
              <w:ind w:left="312" w:hanging="312"/>
              <w:rPr>
                <w:lang w:val="fr-FR"/>
              </w:rPr>
            </w:pPr>
            <w:r w:rsidRPr="000229AD">
              <w:rPr>
                <w:lang w:val="fr-FR"/>
              </w:rPr>
              <w:t>–</w:t>
            </w:r>
            <w:r w:rsidRPr="000229AD">
              <w:rPr>
                <w:lang w:val="fr-FR"/>
              </w:rPr>
              <w:tab/>
            </w:r>
            <w:r w:rsidR="00281BF0" w:rsidRPr="000229AD">
              <w:rPr>
                <w:lang w:val="fr-FR"/>
              </w:rPr>
              <w:t>Rapports et manuels élaborés.</w:t>
            </w:r>
          </w:p>
          <w:p w14:paraId="63CD9F05" w14:textId="253CC6D4" w:rsidR="00281BF0" w:rsidRPr="000229AD" w:rsidRDefault="00A4048C" w:rsidP="00716C22">
            <w:pPr>
              <w:pStyle w:val="Tabletext"/>
              <w:pageBreakBefore/>
              <w:tabs>
                <w:tab w:val="clear" w:pos="284"/>
              </w:tabs>
              <w:spacing w:before="80" w:after="0"/>
              <w:ind w:left="312" w:hanging="312"/>
              <w:rPr>
                <w:lang w:val="fr-FR"/>
              </w:rPr>
            </w:pPr>
            <w:r w:rsidRPr="000229AD">
              <w:rPr>
                <w:lang w:val="fr-FR"/>
              </w:rPr>
              <w:t>–</w:t>
            </w:r>
            <w:r w:rsidRPr="000229AD">
              <w:rPr>
                <w:lang w:val="fr-FR"/>
              </w:rPr>
              <w:tab/>
            </w:r>
            <w:r w:rsidR="00281BF0" w:rsidRPr="000229AD">
              <w:rPr>
                <w:lang w:val="fr-FR"/>
              </w:rPr>
              <w:t>Initiatives conjointes avec des organismes des Nations</w:t>
            </w:r>
            <w:r w:rsidR="00195EDD" w:rsidRPr="000229AD">
              <w:rPr>
                <w:lang w:val="fr-FR"/>
              </w:rPr>
              <w:t> </w:t>
            </w:r>
            <w:r w:rsidR="00281BF0" w:rsidRPr="000229AD">
              <w:rPr>
                <w:lang w:val="fr-FR"/>
              </w:rPr>
              <w:t>Unies (OMS) pour faire face aux maladies non transmissibles.</w:t>
            </w:r>
          </w:p>
          <w:p w14:paraId="43E2D9B0" w14:textId="586A424A" w:rsidR="00281BF0" w:rsidRPr="000229AD" w:rsidRDefault="00A4048C" w:rsidP="00716C22">
            <w:pPr>
              <w:pStyle w:val="Tabletext"/>
              <w:pageBreakBefore/>
              <w:tabs>
                <w:tab w:val="clear" w:pos="284"/>
              </w:tabs>
              <w:spacing w:before="80" w:after="0"/>
              <w:ind w:left="312" w:hanging="312"/>
              <w:rPr>
                <w:lang w:val="fr-FR"/>
              </w:rPr>
            </w:pPr>
            <w:r w:rsidRPr="000229AD">
              <w:rPr>
                <w:lang w:val="fr-FR"/>
              </w:rPr>
              <w:t>–</w:t>
            </w:r>
            <w:r w:rsidRPr="000229AD">
              <w:rPr>
                <w:lang w:val="fr-FR"/>
              </w:rPr>
              <w:tab/>
            </w:r>
            <w:r w:rsidR="00281BF0" w:rsidRPr="000229AD">
              <w:rPr>
                <w:b/>
                <w:bCs/>
                <w:lang w:val="fr-FR"/>
              </w:rPr>
              <w:t>Afrique</w:t>
            </w:r>
            <w:r w:rsidR="00281BF0" w:rsidRPr="000229AD">
              <w:rPr>
                <w:lang w:val="fr-FR"/>
              </w:rPr>
              <w:t xml:space="preserve">: Gambie, Kenya, Rwanda, Sénégal, Togo. </w:t>
            </w:r>
          </w:p>
          <w:p w14:paraId="7AC707BA" w14:textId="4DF7BB08" w:rsidR="00281BF0" w:rsidRPr="000229AD" w:rsidRDefault="00A4048C" w:rsidP="00716C22">
            <w:pPr>
              <w:pStyle w:val="Tabletext"/>
              <w:pageBreakBefore/>
              <w:tabs>
                <w:tab w:val="clear" w:pos="284"/>
              </w:tabs>
              <w:spacing w:before="0" w:after="0"/>
              <w:ind w:left="312" w:hanging="312"/>
              <w:rPr>
                <w:lang w:val="fr-FR"/>
              </w:rPr>
            </w:pPr>
            <w:r w:rsidRPr="000229AD">
              <w:rPr>
                <w:lang w:val="fr-FR"/>
              </w:rPr>
              <w:lastRenderedPageBreak/>
              <w:t>–</w:t>
            </w:r>
            <w:r w:rsidRPr="000229AD">
              <w:rPr>
                <w:lang w:val="fr-FR"/>
              </w:rPr>
              <w:tab/>
            </w:r>
            <w:r w:rsidR="00281BF0" w:rsidRPr="000229AD">
              <w:rPr>
                <w:b/>
                <w:bCs/>
                <w:lang w:val="fr-FR"/>
              </w:rPr>
              <w:t>États arabes</w:t>
            </w:r>
            <w:r w:rsidR="00281BF0" w:rsidRPr="000229AD">
              <w:rPr>
                <w:lang w:val="fr-FR"/>
              </w:rPr>
              <w:t>: Égypte, Djibouti, Somalie</w:t>
            </w:r>
          </w:p>
          <w:p w14:paraId="18A70A06" w14:textId="4178848B" w:rsidR="00281BF0" w:rsidRPr="000229AD" w:rsidRDefault="00A4048C" w:rsidP="00716C22">
            <w:pPr>
              <w:pStyle w:val="Tabletext"/>
              <w:pageBreakBefore/>
              <w:tabs>
                <w:tab w:val="clear" w:pos="284"/>
              </w:tabs>
              <w:spacing w:before="80" w:after="0"/>
              <w:ind w:left="312" w:hanging="312"/>
              <w:rPr>
                <w:lang w:val="fr-FR"/>
              </w:rPr>
            </w:pPr>
            <w:r w:rsidRPr="000229AD">
              <w:rPr>
                <w:lang w:val="fr-FR"/>
              </w:rPr>
              <w:t>–</w:t>
            </w:r>
            <w:r w:rsidRPr="000229AD">
              <w:rPr>
                <w:lang w:val="fr-FR"/>
              </w:rPr>
              <w:tab/>
            </w:r>
            <w:r w:rsidR="00281BF0" w:rsidRPr="000229AD">
              <w:rPr>
                <w:b/>
                <w:bCs/>
                <w:lang w:val="fr-FR"/>
              </w:rPr>
              <w:t>Amériques</w:t>
            </w:r>
            <w:r w:rsidR="00281BF0" w:rsidRPr="000229AD">
              <w:rPr>
                <w:lang w:val="fr-FR"/>
              </w:rPr>
              <w:t>: Belize, Colombie, Costa Rica, Guatemala, République dominicaine.</w:t>
            </w:r>
          </w:p>
          <w:p w14:paraId="1BB95B24" w14:textId="7F1C0BD4" w:rsidR="00281BF0" w:rsidRPr="000229AD" w:rsidRDefault="00A4048C" w:rsidP="00716C22">
            <w:pPr>
              <w:pStyle w:val="Tabletext"/>
              <w:pageBreakBefore/>
              <w:tabs>
                <w:tab w:val="clear" w:pos="284"/>
              </w:tabs>
              <w:spacing w:before="80" w:after="0"/>
              <w:ind w:left="312" w:hanging="312"/>
              <w:rPr>
                <w:spacing w:val="-2"/>
                <w:lang w:val="fr-FR"/>
              </w:rPr>
            </w:pPr>
            <w:r w:rsidRPr="000229AD">
              <w:rPr>
                <w:spacing w:val="-2"/>
                <w:lang w:val="fr-FR"/>
              </w:rPr>
              <w:t>–</w:t>
            </w:r>
            <w:r w:rsidRPr="000229AD">
              <w:rPr>
                <w:spacing w:val="-2"/>
                <w:lang w:val="fr-FR"/>
              </w:rPr>
              <w:tab/>
            </w:r>
            <w:r w:rsidR="00281BF0" w:rsidRPr="000229AD">
              <w:rPr>
                <w:b/>
                <w:bCs/>
                <w:spacing w:val="-2"/>
                <w:lang w:val="fr-FR"/>
              </w:rPr>
              <w:t>Asie-Pacifique</w:t>
            </w:r>
            <w:r w:rsidR="00281BF0" w:rsidRPr="000229AD">
              <w:rPr>
                <w:spacing w:val="-2"/>
                <w:lang w:val="fr-FR"/>
              </w:rPr>
              <w:t>: Fidji, Îles Marshall, Îles Salomon, Indonésie, Kiribati, Micronésie, Nauru, Pakistan, Papouasie</w:t>
            </w:r>
            <w:r w:rsidR="00195EDD" w:rsidRPr="000229AD">
              <w:rPr>
                <w:spacing w:val="-2"/>
                <w:lang w:val="fr-FR"/>
              </w:rPr>
              <w:noBreakHyphen/>
            </w:r>
            <w:r w:rsidR="00281BF0" w:rsidRPr="000229AD">
              <w:rPr>
                <w:spacing w:val="-2"/>
                <w:lang w:val="fr-FR"/>
              </w:rPr>
              <w:t>Nouvelle</w:t>
            </w:r>
            <w:r w:rsidR="00195EDD" w:rsidRPr="000229AD">
              <w:rPr>
                <w:spacing w:val="-2"/>
                <w:lang w:val="fr-FR"/>
              </w:rPr>
              <w:noBreakHyphen/>
            </w:r>
            <w:r w:rsidR="00281BF0" w:rsidRPr="000229AD">
              <w:rPr>
                <w:spacing w:val="-2"/>
                <w:lang w:val="fr-FR"/>
              </w:rPr>
              <w:t>Guinée, Philippines, Samoa, Tonga, Tuvalu, Vanuatu.</w:t>
            </w:r>
          </w:p>
          <w:p w14:paraId="21E8252A" w14:textId="1BACC11E" w:rsidR="00281BF0" w:rsidRPr="000229AD" w:rsidRDefault="00A4048C" w:rsidP="00716C22">
            <w:pPr>
              <w:pStyle w:val="Tabletext"/>
              <w:pageBreakBefore/>
              <w:tabs>
                <w:tab w:val="clear" w:pos="284"/>
              </w:tabs>
              <w:spacing w:before="80" w:after="0"/>
              <w:ind w:left="312" w:hanging="312"/>
              <w:rPr>
                <w:lang w:val="fr-FR"/>
              </w:rPr>
            </w:pPr>
            <w:r w:rsidRPr="000229AD">
              <w:rPr>
                <w:lang w:val="fr-FR"/>
              </w:rPr>
              <w:t>–</w:t>
            </w:r>
            <w:r w:rsidRPr="000229AD">
              <w:rPr>
                <w:lang w:val="fr-FR"/>
              </w:rPr>
              <w:tab/>
            </w:r>
            <w:r w:rsidR="00281BF0" w:rsidRPr="000229AD">
              <w:rPr>
                <w:b/>
                <w:bCs/>
                <w:lang w:val="fr-FR"/>
              </w:rPr>
              <w:t>CEI</w:t>
            </w:r>
            <w:r w:rsidR="00281BF0" w:rsidRPr="000229AD">
              <w:rPr>
                <w:lang w:val="fr-FR"/>
              </w:rPr>
              <w:t>: Arménie, Azerbaïdjan, Bélarus, Kazakhstan, Kirghizistan, Ouzbékistan, Tadjikistan.</w:t>
            </w:r>
          </w:p>
          <w:p w14:paraId="10E70720" w14:textId="6ADDEA72" w:rsidR="00281BF0" w:rsidRPr="000229AD" w:rsidRDefault="00A4048C" w:rsidP="00716C22">
            <w:pPr>
              <w:pStyle w:val="Tabletext"/>
              <w:pageBreakBefore/>
              <w:tabs>
                <w:tab w:val="clear" w:pos="284"/>
              </w:tabs>
              <w:spacing w:before="80" w:after="0"/>
              <w:ind w:left="312" w:hanging="312"/>
              <w:rPr>
                <w:rFonts w:ascii="Calibri" w:hAnsi="Calibri"/>
                <w:lang w:val="fr-FR"/>
              </w:rPr>
            </w:pPr>
            <w:r w:rsidRPr="000229AD">
              <w:rPr>
                <w:lang w:val="fr-FR"/>
              </w:rPr>
              <w:t>–</w:t>
            </w:r>
            <w:r w:rsidRPr="000229AD">
              <w:rPr>
                <w:lang w:val="fr-FR"/>
              </w:rPr>
              <w:tab/>
            </w:r>
            <w:r w:rsidR="00281BF0" w:rsidRPr="000229AD">
              <w:rPr>
                <w:b/>
                <w:bCs/>
                <w:lang w:val="fr-FR"/>
              </w:rPr>
              <w:t>Europe</w:t>
            </w:r>
            <w:r w:rsidR="00281BF0" w:rsidRPr="000229AD">
              <w:rPr>
                <w:lang w:val="fr-FR"/>
              </w:rPr>
              <w:t>: Albanie, Bosnie</w:t>
            </w:r>
            <w:r w:rsidR="009E1E91" w:rsidRPr="000229AD">
              <w:rPr>
                <w:lang w:val="fr-FR"/>
              </w:rPr>
              <w:noBreakHyphen/>
            </w:r>
            <w:r w:rsidR="00281BF0" w:rsidRPr="000229AD">
              <w:rPr>
                <w:lang w:val="fr-FR"/>
              </w:rPr>
              <w:t>Herzégovine, Géorgie, Moldova, Macédoine du Nord, Monténégro, Serbie, Türkiye, Ukraine.</w:t>
            </w:r>
          </w:p>
        </w:tc>
      </w:tr>
      <w:tr w:rsidR="00281BF0" w:rsidRPr="000229AD" w14:paraId="18875DB0" w14:textId="77777777" w:rsidTr="00E42752">
        <w:trPr>
          <w:trHeight w:val="463"/>
        </w:trPr>
        <w:tc>
          <w:tcPr>
            <w:tcW w:w="3114" w:type="dxa"/>
            <w:shd w:val="clear" w:color="auto" w:fill="FFFFFF" w:themeFill="background1"/>
          </w:tcPr>
          <w:p w14:paraId="16EC8398" w14:textId="22BF430D" w:rsidR="00281BF0" w:rsidRPr="000229AD" w:rsidRDefault="00281BF0" w:rsidP="00716C22">
            <w:pPr>
              <w:pStyle w:val="Tabletext"/>
              <w:rPr>
                <w:b/>
                <w:bCs/>
                <w:lang w:val="fr-FR"/>
              </w:rPr>
            </w:pPr>
            <w:r w:rsidRPr="000229AD">
              <w:rPr>
                <w:b/>
                <w:bCs/>
                <w:lang w:val="fr-FR"/>
              </w:rPr>
              <w:lastRenderedPageBreak/>
              <w:t>Contribution à la réalisation des cibles des ODD</w:t>
            </w:r>
          </w:p>
        </w:tc>
        <w:tc>
          <w:tcPr>
            <w:tcW w:w="11765" w:type="dxa"/>
            <w:gridSpan w:val="2"/>
            <w:shd w:val="clear" w:color="auto" w:fill="FFFFFF" w:themeFill="background1"/>
          </w:tcPr>
          <w:p w14:paraId="0A812C26" w14:textId="77777777" w:rsidR="00281BF0" w:rsidRPr="000229AD" w:rsidRDefault="00281BF0" w:rsidP="00716C22">
            <w:pPr>
              <w:pStyle w:val="Tabletext"/>
              <w:rPr>
                <w:lang w:val="fr-FR"/>
              </w:rPr>
            </w:pPr>
            <w:r w:rsidRPr="000229AD">
              <w:rPr>
                <w:lang w:val="fr-FR"/>
              </w:rPr>
              <w:t>1, 3, 4, 5, 8, 9, 10, 11, 16, 17</w:t>
            </w:r>
          </w:p>
        </w:tc>
      </w:tr>
      <w:tr w:rsidR="00281BF0" w:rsidRPr="000229AD" w14:paraId="04DB5847" w14:textId="77777777" w:rsidTr="00E42752">
        <w:tc>
          <w:tcPr>
            <w:tcW w:w="3114" w:type="dxa"/>
          </w:tcPr>
          <w:p w14:paraId="1C21DF0A" w14:textId="1E7C1C12" w:rsidR="00281BF0" w:rsidRPr="000229AD" w:rsidRDefault="00281BF0" w:rsidP="00716C22">
            <w:pPr>
              <w:pStyle w:val="Tabletext"/>
              <w:rPr>
                <w:b/>
                <w:bCs/>
                <w:lang w:val="fr-FR"/>
              </w:rPr>
            </w:pPr>
            <w:r w:rsidRPr="000229AD">
              <w:rPr>
                <w:b/>
                <w:bCs/>
                <w:lang w:val="fr-FR"/>
              </w:rPr>
              <w:t>Grandes orientations du SMSI</w:t>
            </w:r>
          </w:p>
        </w:tc>
        <w:tc>
          <w:tcPr>
            <w:tcW w:w="11765" w:type="dxa"/>
            <w:gridSpan w:val="2"/>
          </w:tcPr>
          <w:p w14:paraId="5A763BA7" w14:textId="77777777" w:rsidR="00281BF0" w:rsidRPr="000229AD" w:rsidRDefault="00281BF0" w:rsidP="00716C22">
            <w:pPr>
              <w:pStyle w:val="Tabletext"/>
              <w:rPr>
                <w:rFonts w:ascii="Calibri" w:eastAsia="Calibri" w:hAnsi="Calibri" w:cs="Calibri"/>
                <w:lang w:val="fr-FR"/>
              </w:rPr>
            </w:pPr>
            <w:r w:rsidRPr="000229AD">
              <w:rPr>
                <w:lang w:val="fr-FR"/>
              </w:rPr>
              <w:t>C1, C2, C3, C4, C5, C6, C7, C11</w:t>
            </w:r>
          </w:p>
        </w:tc>
      </w:tr>
      <w:tr w:rsidR="00281BF0" w:rsidRPr="000229AD" w14:paraId="669A0103" w14:textId="77777777" w:rsidTr="00E42752">
        <w:tc>
          <w:tcPr>
            <w:tcW w:w="3114" w:type="dxa"/>
          </w:tcPr>
          <w:p w14:paraId="6DD650C4" w14:textId="5C2BB652" w:rsidR="00281BF0" w:rsidRPr="000229AD" w:rsidRDefault="00281BF0" w:rsidP="00716C22">
            <w:pPr>
              <w:pStyle w:val="Tabletext"/>
              <w:rPr>
                <w:b/>
                <w:bCs/>
                <w:lang w:val="fr-FR"/>
              </w:rPr>
            </w:pPr>
            <w:r w:rsidRPr="000229AD">
              <w:rPr>
                <w:b/>
                <w:bCs/>
                <w:lang w:val="fr-FR"/>
              </w:rPr>
              <w:t>Résolutions</w:t>
            </w:r>
          </w:p>
        </w:tc>
        <w:tc>
          <w:tcPr>
            <w:tcW w:w="11765" w:type="dxa"/>
            <w:gridSpan w:val="2"/>
          </w:tcPr>
          <w:p w14:paraId="51E55927" w14:textId="77777777" w:rsidR="00281BF0" w:rsidRPr="000229AD" w:rsidRDefault="00281BF0" w:rsidP="00716C22">
            <w:pPr>
              <w:pStyle w:val="Tabletext"/>
              <w:rPr>
                <w:lang w:val="fr-FR"/>
              </w:rPr>
            </w:pPr>
            <w:r w:rsidRPr="000229AD">
              <w:rPr>
                <w:lang w:val="fr-FR"/>
              </w:rPr>
              <w:t>205 de la PP; 16, 30, 37, 85, 90 de la CMDT; Questions 2/1, 4/1, 1/2, 2/2</w:t>
            </w:r>
          </w:p>
        </w:tc>
      </w:tr>
    </w:tbl>
    <w:p w14:paraId="59E4C455" w14:textId="77777777" w:rsidR="009C78C5" w:rsidRPr="000229AD" w:rsidRDefault="009C78C5" w:rsidP="00716C22">
      <w:pPr>
        <w:tabs>
          <w:tab w:val="clear" w:pos="794"/>
          <w:tab w:val="clear" w:pos="1191"/>
          <w:tab w:val="clear" w:pos="1588"/>
          <w:tab w:val="clear" w:pos="1985"/>
        </w:tabs>
        <w:overflowPunct/>
        <w:autoSpaceDE/>
        <w:autoSpaceDN/>
        <w:adjustRightInd/>
        <w:spacing w:before="0"/>
        <w:textAlignment w:val="auto"/>
        <w:rPr>
          <w:lang w:val="fr-FR"/>
        </w:rPr>
      </w:pPr>
      <w:r w:rsidRPr="000229AD">
        <w:rPr>
          <w:lang w:val="fr-FR"/>
        </w:rPr>
        <w:br w:type="page"/>
      </w:r>
    </w:p>
    <w:tbl>
      <w:tblPr>
        <w:tblStyle w:val="TableGrid4"/>
        <w:tblW w:w="14850" w:type="dxa"/>
        <w:tblInd w:w="-5" w:type="dxa"/>
        <w:tblBorders>
          <w:top w:val="dotted" w:sz="4" w:space="0" w:color="0070C0"/>
          <w:left w:val="dotted" w:sz="4" w:space="0" w:color="0070C0"/>
          <w:bottom w:val="dotted" w:sz="4" w:space="0" w:color="0070C0"/>
          <w:right w:val="dotted" w:sz="4" w:space="0" w:color="0070C0"/>
          <w:insideH w:val="dotted" w:sz="4" w:space="0" w:color="0070C0"/>
          <w:insideV w:val="dotted" w:sz="4" w:space="0" w:color="0070C0"/>
        </w:tblBorders>
        <w:tblLayout w:type="fixed"/>
        <w:tblLook w:val="04A0" w:firstRow="1" w:lastRow="0" w:firstColumn="1" w:lastColumn="0" w:noHBand="0" w:noVBand="1"/>
      </w:tblPr>
      <w:tblGrid>
        <w:gridCol w:w="2977"/>
        <w:gridCol w:w="8903"/>
        <w:gridCol w:w="2970"/>
      </w:tblGrid>
      <w:tr w:rsidR="00642741" w:rsidRPr="000229AD" w14:paraId="40BECC6B" w14:textId="77777777" w:rsidTr="00565E7A">
        <w:tc>
          <w:tcPr>
            <w:tcW w:w="14850" w:type="dxa"/>
            <w:gridSpan w:val="3"/>
            <w:shd w:val="clear" w:color="auto" w:fill="2F5496"/>
          </w:tcPr>
          <w:p w14:paraId="35142A01" w14:textId="35A131F3" w:rsidR="00642741" w:rsidRPr="000229AD" w:rsidRDefault="00642741" w:rsidP="00716C22">
            <w:pPr>
              <w:pStyle w:val="Tablehead"/>
              <w:rPr>
                <w:color w:val="FFFFFF" w:themeColor="background1"/>
                <w:lang w:val="fr-FR"/>
              </w:rPr>
            </w:pPr>
            <w:r w:rsidRPr="000229AD">
              <w:rPr>
                <w:color w:val="FFFFFF" w:themeColor="background1"/>
                <w:lang w:val="fr-FR"/>
              </w:rPr>
              <w:lastRenderedPageBreak/>
              <w:t>Priorité 3 de l</w:t>
            </w:r>
            <w:r w:rsidR="00125408" w:rsidRPr="000229AD">
              <w:rPr>
                <w:color w:val="FFFFFF" w:themeColor="background1"/>
                <w:lang w:val="fr-FR"/>
              </w:rPr>
              <w:t>'</w:t>
            </w:r>
            <w:r w:rsidRPr="000229AD">
              <w:rPr>
                <w:color w:val="FFFFFF" w:themeColor="background1"/>
                <w:lang w:val="fr-FR"/>
              </w:rPr>
              <w:t>UIT-D: Environnement politique et réglementaire propice</w:t>
            </w:r>
          </w:p>
          <w:p w14:paraId="619C358A" w14:textId="75F412C7" w:rsidR="00642741" w:rsidRPr="000229AD" w:rsidRDefault="00642741" w:rsidP="00716C22">
            <w:pPr>
              <w:pStyle w:val="Tablehead"/>
              <w:rPr>
                <w:i/>
                <w:iCs/>
                <w:lang w:val="fr-FR"/>
              </w:rPr>
            </w:pPr>
            <w:r w:rsidRPr="000229AD">
              <w:rPr>
                <w:i/>
                <w:iCs/>
                <w:color w:val="FFFFFF" w:themeColor="background1"/>
                <w:lang w:val="fr-FR"/>
              </w:rPr>
              <w:t>Promouvoir la mise en place d</w:t>
            </w:r>
            <w:r w:rsidR="00125408" w:rsidRPr="000229AD">
              <w:rPr>
                <w:i/>
                <w:iCs/>
                <w:color w:val="FFFFFF" w:themeColor="background1"/>
                <w:lang w:val="fr-FR"/>
              </w:rPr>
              <w:t>'</w:t>
            </w:r>
            <w:r w:rsidRPr="000229AD">
              <w:rPr>
                <w:i/>
                <w:iCs/>
                <w:color w:val="FFFFFF" w:themeColor="background1"/>
                <w:lang w:val="fr-FR"/>
              </w:rPr>
              <w:t>un environnement politique et réglementaire</w:t>
            </w:r>
            <w:r w:rsidRPr="000229AD">
              <w:rPr>
                <w:i/>
                <w:iCs/>
                <w:color w:val="FFFFFF" w:themeColor="background1"/>
                <w:lang w:val="fr-FR"/>
              </w:rPr>
              <w:br/>
              <w:t>favorable au développement durable des télécommunications/TIC</w:t>
            </w:r>
          </w:p>
        </w:tc>
      </w:tr>
      <w:tr w:rsidR="00642741" w:rsidRPr="000229AD" w14:paraId="0FDB19DE" w14:textId="77777777" w:rsidTr="00565E7A">
        <w:tc>
          <w:tcPr>
            <w:tcW w:w="14850" w:type="dxa"/>
            <w:gridSpan w:val="3"/>
            <w:shd w:val="clear" w:color="auto" w:fill="E5DFEC" w:themeFill="accent4" w:themeFillTint="33"/>
          </w:tcPr>
          <w:p w14:paraId="72B5042D" w14:textId="656ECB7C" w:rsidR="00642741" w:rsidRPr="000229AD" w:rsidRDefault="00642741" w:rsidP="00716C22">
            <w:pPr>
              <w:pStyle w:val="Tabletext"/>
              <w:spacing w:before="120"/>
              <w:rPr>
                <w:b/>
                <w:bCs/>
                <w:lang w:val="fr-FR"/>
              </w:rPr>
            </w:pPr>
            <w:r w:rsidRPr="000229AD">
              <w:rPr>
                <w:b/>
                <w:bCs/>
                <w:lang w:val="fr-FR"/>
              </w:rPr>
              <w:t>Renforcement des capacités</w:t>
            </w:r>
          </w:p>
          <w:p w14:paraId="256E345A" w14:textId="58B36303" w:rsidR="00642741" w:rsidRPr="000229AD" w:rsidRDefault="00642741" w:rsidP="00716C22">
            <w:pPr>
              <w:pStyle w:val="Tabletext"/>
              <w:spacing w:before="120"/>
              <w:rPr>
                <w:i/>
                <w:iCs/>
                <w:color w:val="FFFFFF"/>
                <w:lang w:val="fr-FR"/>
              </w:rPr>
            </w:pPr>
            <w:r w:rsidRPr="000229AD">
              <w:rPr>
                <w:b/>
                <w:bCs/>
                <w:i/>
                <w:iCs/>
                <w:lang w:val="fr-FR"/>
              </w:rPr>
              <w:t>Réalisation</w:t>
            </w:r>
            <w:r w:rsidRPr="000229AD">
              <w:rPr>
                <w:i/>
                <w:iCs/>
                <w:lang w:val="fr-FR"/>
              </w:rPr>
              <w:t>: renforcement des capacités humaines et institutionnelles des membres de l</w:t>
            </w:r>
            <w:r w:rsidR="00125408" w:rsidRPr="000229AD">
              <w:rPr>
                <w:i/>
                <w:iCs/>
                <w:lang w:val="fr-FR"/>
              </w:rPr>
              <w:t>'</w:t>
            </w:r>
            <w:r w:rsidRPr="000229AD">
              <w:rPr>
                <w:i/>
                <w:iCs/>
                <w:lang w:val="fr-FR"/>
              </w:rPr>
              <w:t>UIT, dans le domaine des télécommunications/TIC, à exploiter pleinement le potentiel de l</w:t>
            </w:r>
            <w:r w:rsidR="00125408" w:rsidRPr="000229AD">
              <w:rPr>
                <w:i/>
                <w:iCs/>
                <w:lang w:val="fr-FR"/>
              </w:rPr>
              <w:t>'</w:t>
            </w:r>
            <w:r w:rsidRPr="000229AD">
              <w:rPr>
                <w:i/>
                <w:iCs/>
                <w:lang w:val="fr-FR"/>
              </w:rPr>
              <w:t>économie et de la société numériques.</w:t>
            </w:r>
          </w:p>
        </w:tc>
      </w:tr>
      <w:tr w:rsidR="00642741" w:rsidRPr="000229AD" w14:paraId="7822CFDE" w14:textId="77777777" w:rsidTr="00565E7A">
        <w:tc>
          <w:tcPr>
            <w:tcW w:w="11880" w:type="dxa"/>
            <w:gridSpan w:val="2"/>
            <w:shd w:val="clear" w:color="auto" w:fill="auto"/>
          </w:tcPr>
          <w:p w14:paraId="637C23D3" w14:textId="49C021C2" w:rsidR="00613FEE" w:rsidRPr="000229AD" w:rsidRDefault="00642741" w:rsidP="00716C22">
            <w:pPr>
              <w:pStyle w:val="Tablehead"/>
              <w:rPr>
                <w:lang w:val="fr-FR"/>
              </w:rPr>
            </w:pPr>
            <w:r w:rsidRPr="000229AD">
              <w:rPr>
                <w:lang w:val="fr-FR"/>
              </w:rPr>
              <w:t>Produit</w:t>
            </w:r>
          </w:p>
        </w:tc>
        <w:tc>
          <w:tcPr>
            <w:tcW w:w="2970" w:type="dxa"/>
            <w:shd w:val="clear" w:color="auto" w:fill="auto"/>
          </w:tcPr>
          <w:p w14:paraId="2C774F1D" w14:textId="0F2DDC22" w:rsidR="00613FEE" w:rsidRPr="000229AD" w:rsidRDefault="00642741" w:rsidP="00716C22">
            <w:pPr>
              <w:pStyle w:val="Tablehead"/>
              <w:rPr>
                <w:lang w:val="fr-FR"/>
              </w:rPr>
            </w:pPr>
            <w:r w:rsidRPr="000229AD">
              <w:rPr>
                <w:lang w:val="fr-FR"/>
              </w:rPr>
              <w:t>Points clés</w:t>
            </w:r>
          </w:p>
        </w:tc>
      </w:tr>
      <w:tr w:rsidR="00642741" w:rsidRPr="000229AD" w14:paraId="14304196" w14:textId="77777777" w:rsidTr="00565E7A">
        <w:tc>
          <w:tcPr>
            <w:tcW w:w="11880" w:type="dxa"/>
            <w:gridSpan w:val="2"/>
            <w:vMerge w:val="restart"/>
          </w:tcPr>
          <w:p w14:paraId="6A8D6AA9" w14:textId="48F4C53F" w:rsidR="00642741" w:rsidRPr="000229AD" w:rsidRDefault="00642741" w:rsidP="00716C22">
            <w:pPr>
              <w:pStyle w:val="Tabletext"/>
              <w:spacing w:before="120"/>
              <w:rPr>
                <w:lang w:val="fr-FR"/>
              </w:rPr>
            </w:pPr>
            <w:r w:rsidRPr="000229AD">
              <w:rPr>
                <w:lang w:val="fr-FR"/>
              </w:rPr>
              <w:t>L</w:t>
            </w:r>
            <w:r w:rsidR="00125408" w:rsidRPr="000229AD">
              <w:rPr>
                <w:lang w:val="fr-FR"/>
              </w:rPr>
              <w:t>'</w:t>
            </w:r>
            <w:r w:rsidRPr="000229AD">
              <w:rPr>
                <w:lang w:val="fr-FR"/>
              </w:rPr>
              <w:t>UIT s</w:t>
            </w:r>
            <w:r w:rsidR="00125408" w:rsidRPr="000229AD">
              <w:rPr>
                <w:lang w:val="fr-FR"/>
              </w:rPr>
              <w:t>'</w:t>
            </w:r>
            <w:r w:rsidRPr="000229AD">
              <w:rPr>
                <w:lang w:val="fr-FR"/>
              </w:rPr>
              <w:t>est engagée à renforcer les capacités humaines et institutionnelles de ses membres, en donnant la priorité à la mise en place de programmes de formation de qualité. Des cours ont été organisés par l</w:t>
            </w:r>
            <w:r w:rsidR="00125408" w:rsidRPr="000229AD">
              <w:rPr>
                <w:lang w:val="fr-FR"/>
              </w:rPr>
              <w:t>'</w:t>
            </w:r>
            <w:r w:rsidRPr="000229AD">
              <w:rPr>
                <w:lang w:val="fr-FR"/>
              </w:rPr>
              <w:t>intermédiaire de l</w:t>
            </w:r>
            <w:r w:rsidR="00125408" w:rsidRPr="000229AD">
              <w:rPr>
                <w:lang w:val="fr-FR"/>
              </w:rPr>
              <w:t>'</w:t>
            </w:r>
            <w:hyperlink r:id="rId35" w:history="1">
              <w:r w:rsidRPr="000229AD">
                <w:rPr>
                  <w:rStyle w:val="Hyperlink"/>
                  <w:lang w:val="fr-FR"/>
                </w:rPr>
                <w:t>Académie de l</w:t>
              </w:r>
              <w:r w:rsidR="00125408" w:rsidRPr="000229AD">
                <w:rPr>
                  <w:rStyle w:val="Hyperlink"/>
                  <w:lang w:val="fr-FR"/>
                </w:rPr>
                <w:t>'</w:t>
              </w:r>
              <w:r w:rsidRPr="000229AD">
                <w:rPr>
                  <w:rStyle w:val="Hyperlink"/>
                  <w:lang w:val="fr-FR"/>
                </w:rPr>
                <w:t>UIT</w:t>
              </w:r>
            </w:hyperlink>
            <w:r w:rsidRPr="000229AD">
              <w:rPr>
                <w:lang w:val="fr-FR"/>
              </w:rPr>
              <w:t xml:space="preserve"> et des </w:t>
            </w:r>
            <w:hyperlink r:id="rId36" w:history="1">
              <w:r w:rsidRPr="000229AD">
                <w:rPr>
                  <w:rStyle w:val="Hyperlink"/>
                  <w:lang w:val="fr-FR"/>
                </w:rPr>
                <w:t>centres de formation de l</w:t>
              </w:r>
              <w:r w:rsidR="00125408" w:rsidRPr="000229AD">
                <w:rPr>
                  <w:rStyle w:val="Hyperlink"/>
                  <w:lang w:val="fr-FR"/>
                </w:rPr>
                <w:t>'</w:t>
              </w:r>
              <w:r w:rsidRPr="000229AD">
                <w:rPr>
                  <w:rStyle w:val="Hyperlink"/>
                  <w:lang w:val="fr-FR"/>
                </w:rPr>
                <w:t>Académie de l</w:t>
              </w:r>
              <w:r w:rsidR="00125408" w:rsidRPr="000229AD">
                <w:rPr>
                  <w:rStyle w:val="Hyperlink"/>
                  <w:lang w:val="fr-FR"/>
                </w:rPr>
                <w:t>'</w:t>
              </w:r>
              <w:r w:rsidRPr="000229AD">
                <w:rPr>
                  <w:rStyle w:val="Hyperlink"/>
                  <w:lang w:val="fr-FR"/>
                </w:rPr>
                <w:t>UIT</w:t>
              </w:r>
            </w:hyperlink>
            <w:r w:rsidRPr="000229AD">
              <w:rPr>
                <w:lang w:val="fr-FR"/>
              </w:rPr>
              <w:t>, dans l</w:t>
            </w:r>
            <w:r w:rsidR="00125408" w:rsidRPr="000229AD">
              <w:rPr>
                <w:lang w:val="fr-FR"/>
              </w:rPr>
              <w:t>'</w:t>
            </w:r>
            <w:r w:rsidRPr="000229AD">
              <w:rPr>
                <w:lang w:val="fr-FR"/>
              </w:rPr>
              <w:t>objectif d</w:t>
            </w:r>
            <w:r w:rsidR="00125408" w:rsidRPr="000229AD">
              <w:rPr>
                <w:lang w:val="fr-FR"/>
              </w:rPr>
              <w:t>'</w:t>
            </w:r>
            <w:r w:rsidRPr="000229AD">
              <w:rPr>
                <w:lang w:val="fr-FR"/>
              </w:rPr>
              <w:t>apporter une contribution significative aux défis rencontrés par les membres de l</w:t>
            </w:r>
            <w:r w:rsidR="00125408" w:rsidRPr="000229AD">
              <w:rPr>
                <w:lang w:val="fr-FR"/>
              </w:rPr>
              <w:t>'</w:t>
            </w:r>
            <w:r w:rsidRPr="000229AD">
              <w:rPr>
                <w:lang w:val="fr-FR"/>
              </w:rPr>
              <w:t>UIT. De juin 2023 à avril 2024, l</w:t>
            </w:r>
            <w:r w:rsidR="00125408" w:rsidRPr="000229AD">
              <w:rPr>
                <w:lang w:val="fr-FR"/>
              </w:rPr>
              <w:t>'</w:t>
            </w:r>
            <w:hyperlink r:id="rId37" w:history="1">
              <w:r w:rsidRPr="000229AD">
                <w:rPr>
                  <w:rStyle w:val="Hyperlink"/>
                  <w:lang w:val="fr-FR"/>
                </w:rPr>
                <w:t>Académie de l</w:t>
              </w:r>
              <w:r w:rsidR="00125408" w:rsidRPr="000229AD">
                <w:rPr>
                  <w:rStyle w:val="Hyperlink"/>
                  <w:lang w:val="fr-FR"/>
                </w:rPr>
                <w:t>'</w:t>
              </w:r>
              <w:r w:rsidRPr="000229AD">
                <w:rPr>
                  <w:rStyle w:val="Hyperlink"/>
                  <w:lang w:val="fr-FR"/>
                </w:rPr>
                <w:t>UIT</w:t>
              </w:r>
            </w:hyperlink>
            <w:r w:rsidRPr="000229AD">
              <w:rPr>
                <w:lang w:val="fr-FR"/>
              </w:rPr>
              <w:t xml:space="preserve"> a enregistré </w:t>
            </w:r>
            <w:r w:rsidRPr="000229AD">
              <w:rPr>
                <w:b/>
                <w:bCs/>
                <w:lang w:val="fr-FR"/>
              </w:rPr>
              <w:t>7</w:t>
            </w:r>
            <w:r w:rsidR="00613FEE" w:rsidRPr="000229AD">
              <w:rPr>
                <w:b/>
                <w:bCs/>
                <w:lang w:val="fr-FR"/>
              </w:rPr>
              <w:t> </w:t>
            </w:r>
            <w:r w:rsidRPr="000229AD">
              <w:rPr>
                <w:b/>
                <w:bCs/>
                <w:lang w:val="fr-FR"/>
              </w:rPr>
              <w:t>800 nouveaux utilisateurs, ce qui porte à plus de</w:t>
            </w:r>
            <w:r w:rsidR="00613FEE" w:rsidRPr="000229AD">
              <w:rPr>
                <w:b/>
                <w:bCs/>
                <w:lang w:val="fr-FR"/>
              </w:rPr>
              <w:t> </w:t>
            </w:r>
            <w:r w:rsidRPr="000229AD">
              <w:rPr>
                <w:b/>
                <w:bCs/>
                <w:lang w:val="fr-FR"/>
              </w:rPr>
              <w:t>47</w:t>
            </w:r>
            <w:r w:rsidR="00613FEE" w:rsidRPr="000229AD">
              <w:rPr>
                <w:b/>
                <w:bCs/>
                <w:lang w:val="fr-FR"/>
              </w:rPr>
              <w:t> </w:t>
            </w:r>
            <w:r w:rsidRPr="000229AD">
              <w:rPr>
                <w:b/>
                <w:bCs/>
                <w:lang w:val="fr-FR"/>
              </w:rPr>
              <w:t>300 le nombre total d</w:t>
            </w:r>
            <w:r w:rsidR="00125408" w:rsidRPr="000229AD">
              <w:rPr>
                <w:b/>
                <w:bCs/>
                <w:lang w:val="fr-FR"/>
              </w:rPr>
              <w:t>'</w:t>
            </w:r>
            <w:r w:rsidRPr="000229AD">
              <w:rPr>
                <w:b/>
                <w:bCs/>
                <w:lang w:val="fr-FR"/>
              </w:rPr>
              <w:t>apprenants de tous les États Membres</w:t>
            </w:r>
            <w:r w:rsidRPr="000229AD">
              <w:rPr>
                <w:lang w:val="fr-FR"/>
              </w:rPr>
              <w:t>, dont plus de 70% de pays en développement. Au cours de cette période, plus de 130 cours ont été dispensés sur la plate-forme à plus de 13</w:t>
            </w:r>
            <w:r w:rsidR="00613FEE" w:rsidRPr="000229AD">
              <w:rPr>
                <w:lang w:val="fr-FR"/>
              </w:rPr>
              <w:t> </w:t>
            </w:r>
            <w:r w:rsidRPr="000229AD">
              <w:rPr>
                <w:lang w:val="fr-FR"/>
              </w:rPr>
              <w:t>500 participants inscrits, dont plus de</w:t>
            </w:r>
            <w:r w:rsidR="00613FEE" w:rsidRPr="000229AD">
              <w:rPr>
                <w:lang w:val="fr-FR"/>
              </w:rPr>
              <w:t> </w:t>
            </w:r>
            <w:r w:rsidRPr="000229AD">
              <w:rPr>
                <w:lang w:val="fr-FR"/>
              </w:rPr>
              <w:t>3</w:t>
            </w:r>
            <w:r w:rsidR="00613FEE" w:rsidRPr="000229AD">
              <w:rPr>
                <w:lang w:val="fr-FR"/>
              </w:rPr>
              <w:t> </w:t>
            </w:r>
            <w:r w:rsidRPr="000229AD">
              <w:rPr>
                <w:lang w:val="fr-FR"/>
              </w:rPr>
              <w:t>500</w:t>
            </w:r>
            <w:r w:rsidR="00613FEE" w:rsidRPr="000229AD">
              <w:rPr>
                <w:lang w:val="fr-FR"/>
              </w:rPr>
              <w:t> </w:t>
            </w:r>
            <w:r w:rsidRPr="000229AD">
              <w:rPr>
                <w:lang w:val="fr-FR"/>
              </w:rPr>
              <w:t>avaient terminé leur formation au mois d</w:t>
            </w:r>
            <w:r w:rsidR="00125408" w:rsidRPr="000229AD">
              <w:rPr>
                <w:lang w:val="fr-FR"/>
              </w:rPr>
              <w:t>'</w:t>
            </w:r>
            <w:r w:rsidRPr="000229AD">
              <w:rPr>
                <w:lang w:val="fr-FR"/>
              </w:rPr>
              <w:t>avril 2024 (d</w:t>
            </w:r>
            <w:r w:rsidR="00125408" w:rsidRPr="000229AD">
              <w:rPr>
                <w:lang w:val="fr-FR"/>
              </w:rPr>
              <w:t>'</w:t>
            </w:r>
            <w:r w:rsidRPr="000229AD">
              <w:rPr>
                <w:lang w:val="fr-FR"/>
              </w:rPr>
              <w:t>autres cours se déroulent encore actuellement). Par ailleurs, plus de 2</w:t>
            </w:r>
            <w:r w:rsidR="00613FEE" w:rsidRPr="000229AD">
              <w:rPr>
                <w:lang w:val="fr-FR"/>
              </w:rPr>
              <w:t> </w:t>
            </w:r>
            <w:r w:rsidRPr="000229AD">
              <w:rPr>
                <w:lang w:val="fr-FR"/>
              </w:rPr>
              <w:t>200 participants ont répondu à des enquêtes d</w:t>
            </w:r>
            <w:r w:rsidR="00125408" w:rsidRPr="000229AD">
              <w:rPr>
                <w:lang w:val="fr-FR"/>
              </w:rPr>
              <w:t>'</w:t>
            </w:r>
            <w:r w:rsidRPr="000229AD">
              <w:rPr>
                <w:lang w:val="fr-FR"/>
              </w:rPr>
              <w:t>évaluation des cours, et 90% se sont déclarés satisfaits ou très satisfaits de leur expérience.</w:t>
            </w:r>
          </w:p>
          <w:p w14:paraId="4DA3AC27" w14:textId="75DBBB7B" w:rsidR="00642741" w:rsidRPr="000229AD" w:rsidRDefault="00642741" w:rsidP="00716C22">
            <w:pPr>
              <w:pStyle w:val="Tabletext"/>
              <w:spacing w:after="120"/>
              <w:rPr>
                <w:rStyle w:val="xnormaltextrun"/>
                <w:rFonts w:ascii="Calibri" w:hAnsi="Calibri" w:cs="Calibri"/>
                <w:bdr w:val="none" w:sz="0" w:space="0" w:color="auto" w:frame="1"/>
                <w:shd w:val="clear" w:color="auto" w:fill="FFFFFF"/>
                <w:lang w:val="fr-FR"/>
              </w:rPr>
            </w:pPr>
            <w:r w:rsidRPr="000229AD">
              <w:rPr>
                <w:lang w:val="fr-FR"/>
              </w:rPr>
              <w:t xml:space="preserve">Au cours de leur première année de mise en œuvre, les </w:t>
            </w:r>
            <w:r w:rsidRPr="000229AD">
              <w:rPr>
                <w:b/>
                <w:bCs/>
                <w:lang w:val="fr-FR"/>
              </w:rPr>
              <w:t>centres de formation ont dispensé 45 cours, qui ont attiré environ</w:t>
            </w:r>
            <w:r w:rsidR="00613FEE" w:rsidRPr="000229AD">
              <w:rPr>
                <w:b/>
                <w:bCs/>
                <w:lang w:val="fr-FR"/>
              </w:rPr>
              <w:t> </w:t>
            </w:r>
            <w:r w:rsidRPr="000229AD">
              <w:rPr>
                <w:b/>
                <w:bCs/>
                <w:lang w:val="fr-FR"/>
              </w:rPr>
              <w:t>2</w:t>
            </w:r>
            <w:r w:rsidR="00613FEE" w:rsidRPr="000229AD">
              <w:rPr>
                <w:b/>
                <w:bCs/>
                <w:lang w:val="fr-FR"/>
              </w:rPr>
              <w:t> </w:t>
            </w:r>
            <w:r w:rsidRPr="000229AD">
              <w:rPr>
                <w:b/>
                <w:bCs/>
                <w:lang w:val="fr-FR"/>
              </w:rPr>
              <w:t>900 inscriptions</w:t>
            </w:r>
            <w:r w:rsidRPr="000229AD">
              <w:rPr>
                <w:lang w:val="fr-FR"/>
              </w:rPr>
              <w:t>. Plus de 900 cours avaient été achevés en avril 2024. Au cours du premier trimestre de 2024, le BDT a organisé plusieurs séances de formation à l</w:t>
            </w:r>
            <w:r w:rsidR="00125408" w:rsidRPr="000229AD">
              <w:rPr>
                <w:lang w:val="fr-FR"/>
              </w:rPr>
              <w:t>'</w:t>
            </w:r>
            <w:r w:rsidRPr="000229AD">
              <w:rPr>
                <w:lang w:val="fr-FR"/>
              </w:rPr>
              <w:t>intention des formateurs des 13 centres sur la manière d</w:t>
            </w:r>
            <w:r w:rsidR="00125408" w:rsidRPr="000229AD">
              <w:rPr>
                <w:lang w:val="fr-FR"/>
              </w:rPr>
              <w:t>'</w:t>
            </w:r>
            <w:r w:rsidRPr="000229AD">
              <w:rPr>
                <w:lang w:val="fr-FR"/>
              </w:rPr>
              <w:t>organiser des formations dynamiques et interactives. L</w:t>
            </w:r>
            <w:r w:rsidR="00125408" w:rsidRPr="000229AD">
              <w:rPr>
                <w:lang w:val="fr-FR"/>
              </w:rPr>
              <w:t>'</w:t>
            </w:r>
            <w:r w:rsidRPr="000229AD">
              <w:rPr>
                <w:lang w:val="fr-FR"/>
              </w:rPr>
              <w:t>objectif de cette formation était d</w:t>
            </w:r>
            <w:r w:rsidR="00125408" w:rsidRPr="000229AD">
              <w:rPr>
                <w:lang w:val="fr-FR"/>
              </w:rPr>
              <w:t>'</w:t>
            </w:r>
            <w:r w:rsidRPr="000229AD">
              <w:rPr>
                <w:lang w:val="fr-FR"/>
              </w:rPr>
              <w:t>améliorer la qualité des cours en améliorant les compétences d</w:t>
            </w:r>
            <w:r w:rsidR="00125408" w:rsidRPr="000229AD">
              <w:rPr>
                <w:lang w:val="fr-FR"/>
              </w:rPr>
              <w:t>'</w:t>
            </w:r>
            <w:r w:rsidRPr="000229AD">
              <w:rPr>
                <w:lang w:val="fr-FR"/>
              </w:rPr>
              <w:t xml:space="preserve">animation et de présentation virtuelle et en permettant la mise en commun des meilleures pratiques entre les établissements participants. Lors de la </w:t>
            </w:r>
            <w:hyperlink r:id="rId38" w:history="1">
              <w:r w:rsidRPr="000229AD">
                <w:rPr>
                  <w:rStyle w:val="Hyperlink"/>
                  <w:lang w:val="fr-FR"/>
                </w:rPr>
                <w:t>première réunion annuelle mondiale des centres de formation</w:t>
              </w:r>
            </w:hyperlink>
            <w:r w:rsidRPr="000229AD">
              <w:rPr>
                <w:lang w:val="fr-FR"/>
              </w:rPr>
              <w:t>, des représentants de l</w:t>
            </w:r>
            <w:r w:rsidR="00125408" w:rsidRPr="000229AD">
              <w:rPr>
                <w:lang w:val="fr-FR"/>
              </w:rPr>
              <w:t>'</w:t>
            </w:r>
            <w:r w:rsidRPr="000229AD">
              <w:rPr>
                <w:lang w:val="fr-FR"/>
              </w:rPr>
              <w:t>ensemble des</w:t>
            </w:r>
            <w:r w:rsidR="00613FEE" w:rsidRPr="000229AD">
              <w:rPr>
                <w:lang w:val="fr-FR"/>
              </w:rPr>
              <w:t> </w:t>
            </w:r>
            <w:r w:rsidRPr="000229AD">
              <w:rPr>
                <w:lang w:val="fr-FR"/>
              </w:rPr>
              <w:t>13 centres se sont réunis pour faire part de leurs méthodes et promouvoir les meilleures pratiques afin d</w:t>
            </w:r>
            <w:r w:rsidR="00125408" w:rsidRPr="000229AD">
              <w:rPr>
                <w:lang w:val="fr-FR"/>
              </w:rPr>
              <w:t>'</w:t>
            </w:r>
            <w:r w:rsidRPr="000229AD">
              <w:rPr>
                <w:lang w:val="fr-FR"/>
              </w:rPr>
              <w:t>offrir une expérience d</w:t>
            </w:r>
            <w:r w:rsidR="00125408" w:rsidRPr="000229AD">
              <w:rPr>
                <w:lang w:val="fr-FR"/>
              </w:rPr>
              <w:t>'</w:t>
            </w:r>
            <w:r w:rsidRPr="000229AD">
              <w:rPr>
                <w:lang w:val="fr-FR"/>
              </w:rPr>
              <w:t>apprentissage optimale, ce qui a permis de donner plus de moyens d</w:t>
            </w:r>
            <w:r w:rsidR="00125408" w:rsidRPr="000229AD">
              <w:rPr>
                <w:lang w:val="fr-FR"/>
              </w:rPr>
              <w:t>'</w:t>
            </w:r>
            <w:r w:rsidRPr="000229AD">
              <w:rPr>
                <w:lang w:val="fr-FR"/>
              </w:rPr>
              <w:t>action aux professionnels des TIC du monde entier.</w:t>
            </w:r>
          </w:p>
          <w:p w14:paraId="56041CEF" w14:textId="013409AB" w:rsidR="00642741" w:rsidRPr="000229AD" w:rsidRDefault="00642741" w:rsidP="00716C22">
            <w:pPr>
              <w:pStyle w:val="Tabletext"/>
              <w:spacing w:after="120"/>
              <w:rPr>
                <w:lang w:val="fr-FR"/>
              </w:rPr>
            </w:pPr>
            <w:r w:rsidRPr="000229AD">
              <w:rPr>
                <w:lang w:val="fr-FR"/>
              </w:rPr>
              <w:t xml:space="preserve">En collaboration avec </w:t>
            </w:r>
            <w:r w:rsidRPr="000229AD">
              <w:rPr>
                <w:b/>
                <w:bCs/>
                <w:lang w:val="fr-FR"/>
              </w:rPr>
              <w:t>Cisco</w:t>
            </w:r>
            <w:r w:rsidRPr="000229AD">
              <w:rPr>
                <w:lang w:val="fr-FR"/>
              </w:rPr>
              <w:t>, l</w:t>
            </w:r>
            <w:r w:rsidR="00125408" w:rsidRPr="000229AD">
              <w:rPr>
                <w:lang w:val="fr-FR"/>
              </w:rPr>
              <w:t>'</w:t>
            </w:r>
            <w:hyperlink r:id="rId39" w:history="1">
              <w:r w:rsidRPr="000229AD">
                <w:rPr>
                  <w:rStyle w:val="Hyperlink"/>
                  <w:lang w:val="fr-FR"/>
                </w:rPr>
                <w:t>initiative Centres de transformation numérique</w:t>
              </w:r>
            </w:hyperlink>
            <w:r w:rsidRPr="000229AD">
              <w:rPr>
                <w:lang w:val="fr-FR"/>
              </w:rPr>
              <w:t xml:space="preserve"> a élargi ses activités, avec l</w:t>
            </w:r>
            <w:r w:rsidR="00125408" w:rsidRPr="000229AD">
              <w:rPr>
                <w:lang w:val="fr-FR"/>
              </w:rPr>
              <w:t>'</w:t>
            </w:r>
            <w:r w:rsidRPr="000229AD">
              <w:rPr>
                <w:lang w:val="fr-FR"/>
              </w:rPr>
              <w:t>arrivée de nouveaux centres du Sénégal et de la Sierra Leone, ce qui porte à 314</w:t>
            </w:r>
            <w:r w:rsidR="00613FEE" w:rsidRPr="000229AD">
              <w:rPr>
                <w:lang w:val="fr-FR"/>
              </w:rPr>
              <w:t> </w:t>
            </w:r>
            <w:r w:rsidRPr="000229AD">
              <w:rPr>
                <w:lang w:val="fr-FR"/>
              </w:rPr>
              <w:t>910 le nombre total de participants formés aux compétences numériques de base et intermédiaires dans l</w:t>
            </w:r>
            <w:r w:rsidR="00125408" w:rsidRPr="000229AD">
              <w:rPr>
                <w:lang w:val="fr-FR"/>
              </w:rPr>
              <w:t>'</w:t>
            </w:r>
            <w:r w:rsidRPr="000229AD">
              <w:rPr>
                <w:lang w:val="fr-FR"/>
              </w:rPr>
              <w:t>ensemble du réseau, dont 54% de femmes. En outre, en 2023, la</w:t>
            </w:r>
            <w:r w:rsidR="00613FEE" w:rsidRPr="000229AD">
              <w:rPr>
                <w:lang w:val="fr-FR"/>
              </w:rPr>
              <w:t> </w:t>
            </w:r>
            <w:r w:rsidRPr="000229AD">
              <w:rPr>
                <w:b/>
                <w:bCs/>
                <w:lang w:val="fr-FR"/>
              </w:rPr>
              <w:t>ST</w:t>
            </w:r>
            <w:r w:rsidR="00613FEE" w:rsidRPr="000229AD">
              <w:rPr>
                <w:b/>
                <w:bCs/>
                <w:lang w:val="fr-FR"/>
              </w:rPr>
              <w:t> </w:t>
            </w:r>
            <w:r w:rsidRPr="000229AD">
              <w:rPr>
                <w:b/>
                <w:bCs/>
                <w:lang w:val="fr-FR"/>
              </w:rPr>
              <w:t>Microelectronics</w:t>
            </w:r>
            <w:r w:rsidR="00613FEE" w:rsidRPr="000229AD">
              <w:rPr>
                <w:b/>
                <w:bCs/>
                <w:lang w:val="fr-FR"/>
              </w:rPr>
              <w:t> </w:t>
            </w:r>
            <w:r w:rsidRPr="000229AD">
              <w:rPr>
                <w:b/>
                <w:bCs/>
                <w:lang w:val="fr-FR"/>
              </w:rPr>
              <w:t xml:space="preserve">Foundation </w:t>
            </w:r>
            <w:r w:rsidRPr="000229AD">
              <w:rPr>
                <w:lang w:val="fr-FR"/>
              </w:rPr>
              <w:t>a officiellement rejoint l</w:t>
            </w:r>
            <w:r w:rsidR="00125408" w:rsidRPr="000229AD">
              <w:rPr>
                <w:lang w:val="fr-FR"/>
              </w:rPr>
              <w:t>'</w:t>
            </w:r>
            <w:r w:rsidRPr="000229AD">
              <w:rPr>
                <w:lang w:val="fr-FR"/>
              </w:rPr>
              <w:t>initiative et l</w:t>
            </w:r>
            <w:r w:rsidR="00125408" w:rsidRPr="000229AD">
              <w:rPr>
                <w:lang w:val="fr-FR"/>
              </w:rPr>
              <w:t>'</w:t>
            </w:r>
            <w:r w:rsidRPr="000229AD">
              <w:rPr>
                <w:lang w:val="fr-FR"/>
              </w:rPr>
              <w:t>un de ses cours axés sur les compétences de base en informatique pour les malvoyants a été dispensé par le centre de transformation numérique du Ghana.</w:t>
            </w:r>
          </w:p>
          <w:p w14:paraId="2B690442" w14:textId="0EE43D04" w:rsidR="00642741" w:rsidRPr="000229AD" w:rsidRDefault="00642741" w:rsidP="00716C22">
            <w:pPr>
              <w:pStyle w:val="Tabletext"/>
              <w:keepLines/>
              <w:spacing w:after="120"/>
              <w:rPr>
                <w:lang w:val="fr-FR"/>
              </w:rPr>
            </w:pPr>
            <w:r w:rsidRPr="000229AD">
              <w:rPr>
                <w:lang w:val="fr-FR"/>
              </w:rPr>
              <w:lastRenderedPageBreak/>
              <w:t>Les partenariats sont les principaux moteurs du succès des initiatives de renforcement des capacités du BDT. Au</w:t>
            </w:r>
            <w:r w:rsidR="006D5351" w:rsidRPr="000229AD">
              <w:rPr>
                <w:lang w:val="fr-FR"/>
              </w:rPr>
              <w:t> </w:t>
            </w:r>
            <w:r w:rsidRPr="000229AD">
              <w:rPr>
                <w:lang w:val="fr-FR"/>
              </w:rPr>
              <w:t>troisième</w:t>
            </w:r>
            <w:r w:rsidR="006D5351" w:rsidRPr="000229AD">
              <w:rPr>
                <w:lang w:val="fr-FR"/>
              </w:rPr>
              <w:t> </w:t>
            </w:r>
            <w:r w:rsidRPr="000229AD">
              <w:rPr>
                <w:lang w:val="fr-FR"/>
              </w:rPr>
              <w:t>trimestre de 2023, le BDT a lancé un nouveau projet intitulé "</w:t>
            </w:r>
            <w:r w:rsidRPr="000229AD">
              <w:rPr>
                <w:b/>
                <w:bCs/>
                <w:lang w:val="fr-FR"/>
              </w:rPr>
              <w:t>Renforcement des capacités pour la transformation numérique</w:t>
            </w:r>
            <w:r w:rsidRPr="000229AD">
              <w:rPr>
                <w:lang w:val="fr-FR"/>
              </w:rPr>
              <w:t xml:space="preserve">". Financé par la </w:t>
            </w:r>
            <w:r w:rsidRPr="000229AD">
              <w:rPr>
                <w:b/>
                <w:bCs/>
                <w:lang w:val="fr-FR"/>
              </w:rPr>
              <w:t>Commission européenne</w:t>
            </w:r>
            <w:r w:rsidRPr="000229AD">
              <w:rPr>
                <w:lang w:val="fr-FR"/>
              </w:rPr>
              <w:t xml:space="preserve"> (CE) pour une période de quatre ans, ce projet vise à fournir aux décideurs et aux fonctionnaires du secteur des TIC une formation à travers l</w:t>
            </w:r>
            <w:r w:rsidR="00125408" w:rsidRPr="000229AD">
              <w:rPr>
                <w:lang w:val="fr-FR"/>
              </w:rPr>
              <w:t>'</w:t>
            </w:r>
            <w:r w:rsidRPr="000229AD">
              <w:rPr>
                <w:lang w:val="fr-FR"/>
              </w:rPr>
              <w:t>Académie de l</w:t>
            </w:r>
            <w:r w:rsidR="00125408" w:rsidRPr="000229AD">
              <w:rPr>
                <w:lang w:val="fr-FR"/>
              </w:rPr>
              <w:t>'</w:t>
            </w:r>
            <w:r w:rsidRPr="000229AD">
              <w:rPr>
                <w:lang w:val="fr-FR"/>
              </w:rPr>
              <w:t>UIT.</w:t>
            </w:r>
          </w:p>
          <w:p w14:paraId="1606702E" w14:textId="608E47A0" w:rsidR="00642741" w:rsidRPr="000229AD" w:rsidRDefault="00642741" w:rsidP="00716C22">
            <w:pPr>
              <w:pStyle w:val="Tabletext"/>
              <w:spacing w:after="120"/>
              <w:rPr>
                <w:lang w:val="fr-FR"/>
              </w:rPr>
            </w:pPr>
            <w:r w:rsidRPr="000229AD">
              <w:rPr>
                <w:lang w:val="fr-FR"/>
              </w:rPr>
              <w:t>Dans le cadre du projet "Promouvoir les compétences numériques" de l</w:t>
            </w:r>
            <w:r w:rsidR="00125408" w:rsidRPr="000229AD">
              <w:rPr>
                <w:lang w:val="fr-FR"/>
              </w:rPr>
              <w:t>'</w:t>
            </w:r>
            <w:r w:rsidRPr="000229AD">
              <w:rPr>
                <w:lang w:val="fr-FR"/>
              </w:rPr>
              <w:t>initiative Centres de transformation numérique, le BDT et l</w:t>
            </w:r>
            <w:r w:rsidR="00125408" w:rsidRPr="000229AD">
              <w:rPr>
                <w:lang w:val="fr-FR"/>
              </w:rPr>
              <w:t>'</w:t>
            </w:r>
            <w:r w:rsidRPr="000229AD">
              <w:rPr>
                <w:b/>
                <w:bCs/>
                <w:lang w:val="fr-FR"/>
              </w:rPr>
              <w:t xml:space="preserve">Agence norvégienne de coopération pour le développement (NORAD) </w:t>
            </w:r>
            <w:r w:rsidRPr="000229AD">
              <w:rPr>
                <w:lang w:val="fr-FR"/>
              </w:rPr>
              <w:t>ont pris des mesures pour faciliter les activités du centre du Ghana, ce qui a permis de toucher plus de 18</w:t>
            </w:r>
            <w:r w:rsidR="00613FEE" w:rsidRPr="000229AD">
              <w:rPr>
                <w:lang w:val="fr-FR"/>
              </w:rPr>
              <w:t> </w:t>
            </w:r>
            <w:r w:rsidRPr="000229AD">
              <w:rPr>
                <w:lang w:val="fr-FR"/>
              </w:rPr>
              <w:t>000 personnes, dont 68% de femmes. À la fin de l</w:t>
            </w:r>
            <w:r w:rsidR="00125408" w:rsidRPr="000229AD">
              <w:rPr>
                <w:lang w:val="fr-FR"/>
              </w:rPr>
              <w:t>'</w:t>
            </w:r>
            <w:r w:rsidRPr="000229AD">
              <w:rPr>
                <w:lang w:val="fr-FR"/>
              </w:rPr>
              <w:t>année 2023, l</w:t>
            </w:r>
            <w:r w:rsidR="00125408" w:rsidRPr="000229AD">
              <w:rPr>
                <w:lang w:val="fr-FR"/>
              </w:rPr>
              <w:t>'</w:t>
            </w:r>
            <w:r w:rsidRPr="000229AD">
              <w:rPr>
                <w:lang w:val="fr-FR"/>
              </w:rPr>
              <w:t>UIT a reçu un nouveau financement de la NORAD permettant de soutenir le programme mondial des Centres de transformation numérique pour deux années supplémentaires.</w:t>
            </w:r>
          </w:p>
          <w:p w14:paraId="7896A78B" w14:textId="49007FE4" w:rsidR="00642741" w:rsidRPr="000229AD" w:rsidRDefault="00642741" w:rsidP="00716C22">
            <w:pPr>
              <w:pStyle w:val="Tabletext"/>
              <w:spacing w:after="120"/>
              <w:rPr>
                <w:rFonts w:ascii="Calibri" w:hAnsi="Calibri"/>
                <w:lang w:val="fr-FR"/>
              </w:rPr>
            </w:pPr>
            <w:r w:rsidRPr="000229AD">
              <w:rPr>
                <w:lang w:val="fr-FR"/>
              </w:rPr>
              <w:t xml:space="preserve">Par ailleurs, la communauté des Centres de transformation numérique a été davantage renforcée grâce au partenariat avec </w:t>
            </w:r>
            <w:r w:rsidRPr="000229AD">
              <w:rPr>
                <w:b/>
                <w:bCs/>
                <w:lang w:val="fr-FR"/>
              </w:rPr>
              <w:t>Indosat et Airtel</w:t>
            </w:r>
            <w:r w:rsidRPr="000229AD">
              <w:rPr>
                <w:lang w:val="fr-FR"/>
              </w:rPr>
              <w:t>. Les partenaires de l</w:t>
            </w:r>
            <w:r w:rsidR="00125408" w:rsidRPr="000229AD">
              <w:rPr>
                <w:lang w:val="fr-FR"/>
              </w:rPr>
              <w:t>'</w:t>
            </w:r>
            <w:r w:rsidRPr="000229AD">
              <w:rPr>
                <w:lang w:val="fr-FR"/>
              </w:rPr>
              <w:t>UIT et de l</w:t>
            </w:r>
            <w:r w:rsidR="00125408" w:rsidRPr="000229AD">
              <w:rPr>
                <w:lang w:val="fr-FR"/>
              </w:rPr>
              <w:t>'</w:t>
            </w:r>
            <w:r w:rsidRPr="000229AD">
              <w:rPr>
                <w:lang w:val="fr-FR"/>
              </w:rPr>
              <w:t xml:space="preserve">initiative ont aidé six centres </w:t>
            </w:r>
            <w:r w:rsidRPr="000229AD">
              <w:rPr>
                <w:b/>
                <w:bCs/>
                <w:lang w:val="fr-FR"/>
              </w:rPr>
              <w:t>en République dominicaine, au Ghana, en Indonésie, en Côte d</w:t>
            </w:r>
            <w:r w:rsidR="00125408" w:rsidRPr="000229AD">
              <w:rPr>
                <w:b/>
                <w:bCs/>
                <w:lang w:val="fr-FR"/>
              </w:rPr>
              <w:t>'</w:t>
            </w:r>
            <w:r w:rsidRPr="000229AD">
              <w:rPr>
                <w:b/>
                <w:bCs/>
                <w:lang w:val="fr-FR"/>
              </w:rPr>
              <w:t>Ivoire, en Papouasie-Nouvelle-Guinée</w:t>
            </w:r>
            <w:r w:rsidRPr="000229AD">
              <w:rPr>
                <w:lang w:val="fr-FR"/>
              </w:rPr>
              <w:t xml:space="preserve"> et</w:t>
            </w:r>
            <w:r w:rsidRPr="000229AD">
              <w:rPr>
                <w:b/>
                <w:bCs/>
                <w:lang w:val="fr-FR"/>
              </w:rPr>
              <w:t xml:space="preserve"> aux Philippines</w:t>
            </w:r>
            <w:r w:rsidRPr="000229AD">
              <w:rPr>
                <w:lang w:val="fr-FR"/>
              </w:rPr>
              <w:t xml:space="preserve"> à renforcer leurs capacités institutionnelles grâce à des formations des formateurs qui ont touché 336 formateurs (91 femmes), et un centre en Zambie à organiser deux ateliers sur la mobilisation des parties prenantes.</w:t>
            </w:r>
          </w:p>
          <w:p w14:paraId="79504C4C" w14:textId="41408B6C" w:rsidR="00642741" w:rsidRPr="000229AD" w:rsidRDefault="00642741" w:rsidP="00716C22">
            <w:pPr>
              <w:pStyle w:val="Tabletext"/>
              <w:spacing w:after="120"/>
              <w:rPr>
                <w:lang w:val="fr-FR"/>
              </w:rPr>
            </w:pPr>
            <w:r w:rsidRPr="000229AD">
              <w:rPr>
                <w:lang w:val="fr-FR"/>
              </w:rPr>
              <w:t xml:space="preserve">Depuis 2016, le BDT continue de mener la </w:t>
            </w:r>
            <w:hyperlink r:id="rId40" w:history="1">
              <w:r w:rsidRPr="000229AD">
                <w:rPr>
                  <w:rStyle w:val="Hyperlink"/>
                  <w:lang w:val="fr-FR"/>
                </w:rPr>
                <w:t>campagne sur les compétences numériques</w:t>
              </w:r>
            </w:hyperlink>
            <w:r w:rsidRPr="000229AD">
              <w:rPr>
                <w:lang w:val="fr-FR"/>
              </w:rPr>
              <w:t xml:space="preserve"> dans le cadre de l</w:t>
            </w:r>
            <w:r w:rsidR="00125408" w:rsidRPr="000229AD">
              <w:rPr>
                <w:lang w:val="fr-FR"/>
              </w:rPr>
              <w:t>'</w:t>
            </w:r>
            <w:r w:rsidRPr="000229AD">
              <w:rPr>
                <w:b/>
                <w:bCs/>
                <w:lang w:val="fr-FR"/>
              </w:rPr>
              <w:t>initiative mondiale pour l</w:t>
            </w:r>
            <w:r w:rsidR="00125408" w:rsidRPr="000229AD">
              <w:rPr>
                <w:b/>
                <w:bCs/>
                <w:lang w:val="fr-FR"/>
              </w:rPr>
              <w:t>'</w:t>
            </w:r>
            <w:r w:rsidRPr="000229AD">
              <w:rPr>
                <w:b/>
                <w:bCs/>
                <w:lang w:val="fr-FR"/>
              </w:rPr>
              <w:t>emploi décent des jeunes lancée par l</w:t>
            </w:r>
            <w:r w:rsidR="00125408" w:rsidRPr="000229AD">
              <w:rPr>
                <w:b/>
                <w:bCs/>
                <w:lang w:val="fr-FR"/>
              </w:rPr>
              <w:t>'</w:t>
            </w:r>
            <w:r w:rsidRPr="000229AD">
              <w:rPr>
                <w:b/>
                <w:bCs/>
                <w:lang w:val="fr-FR"/>
              </w:rPr>
              <w:t>OIT</w:t>
            </w:r>
            <w:r w:rsidRPr="000229AD">
              <w:rPr>
                <w:lang w:val="fr-FR"/>
              </w:rPr>
              <w:t>. Depuis son lancement, près de 24 millions de jeunes ont bénéficié de cette initiative. En juin 2023, l</w:t>
            </w:r>
            <w:r w:rsidR="00125408" w:rsidRPr="000229AD">
              <w:rPr>
                <w:lang w:val="fr-FR"/>
              </w:rPr>
              <w:t>'</w:t>
            </w:r>
            <w:r w:rsidRPr="000229AD">
              <w:rPr>
                <w:lang w:val="fr-FR"/>
              </w:rPr>
              <w:t>UIT et l</w:t>
            </w:r>
            <w:r w:rsidR="00125408" w:rsidRPr="000229AD">
              <w:rPr>
                <w:lang w:val="fr-FR"/>
              </w:rPr>
              <w:t>'</w:t>
            </w:r>
            <w:r w:rsidRPr="000229AD">
              <w:rPr>
                <w:lang w:val="fr-FR"/>
              </w:rPr>
              <w:t>OIT ont convoqué une réunion des partenaires et partenaires potentiels de la campagne afin de dégager les synergies pour renforcer les activités de développement des compétences des jeunes.</w:t>
            </w:r>
          </w:p>
          <w:p w14:paraId="4A5DE8DD" w14:textId="5807F78F" w:rsidR="00642741" w:rsidRPr="000229AD" w:rsidRDefault="00642741" w:rsidP="00716C22">
            <w:pPr>
              <w:pStyle w:val="Tabletext"/>
              <w:spacing w:after="120"/>
              <w:rPr>
                <w:rFonts w:eastAsia="Times New Roman"/>
                <w:lang w:val="fr-FR"/>
              </w:rPr>
            </w:pPr>
            <w:r w:rsidRPr="000229AD">
              <w:rPr>
                <w:lang w:val="fr-FR"/>
              </w:rPr>
              <w:t xml:space="preserve">Le nouveau cycle de 4 ans du </w:t>
            </w:r>
            <w:hyperlink r:id="rId41" w:history="1">
              <w:r w:rsidRPr="000229AD">
                <w:rPr>
                  <w:rStyle w:val="Hyperlink"/>
                  <w:lang w:val="fr-FR"/>
                </w:rPr>
                <w:t>Groupe sur les initiatives pour le renforcement des capacités (GCBI)</w:t>
              </w:r>
            </w:hyperlink>
            <w:r w:rsidRPr="000229AD">
              <w:rPr>
                <w:lang w:val="fr-FR"/>
              </w:rPr>
              <w:t xml:space="preserve"> a été lancé en 2023. Une première réunion du GCBI s</w:t>
            </w:r>
            <w:r w:rsidR="00125408" w:rsidRPr="000229AD">
              <w:rPr>
                <w:lang w:val="fr-FR"/>
              </w:rPr>
              <w:t>'</w:t>
            </w:r>
            <w:r w:rsidRPr="000229AD">
              <w:rPr>
                <w:lang w:val="fr-FR"/>
              </w:rPr>
              <w:t>est tenue en ligne avec les nouveaux membres, dans le cadre de laquelle un programme de travail provisoire a été examiné, et la première réunion en personne a eu lieu en avril 2024.</w:t>
            </w:r>
          </w:p>
          <w:p w14:paraId="1D727EFB" w14:textId="441BA16F" w:rsidR="00642741" w:rsidRPr="000229AD" w:rsidRDefault="007D07A7" w:rsidP="00716C22">
            <w:pPr>
              <w:pStyle w:val="Tabletext"/>
              <w:pageBreakBefore/>
              <w:tabs>
                <w:tab w:val="clear" w:pos="284"/>
              </w:tabs>
              <w:spacing w:before="80" w:after="0"/>
              <w:ind w:left="311" w:hanging="311"/>
              <w:rPr>
                <w:rFonts w:cstheme="minorBidi"/>
                <w:lang w:val="fr-FR"/>
              </w:rPr>
            </w:pPr>
            <w:r w:rsidRPr="000229AD">
              <w:rPr>
                <w:lang w:val="fr-FR"/>
              </w:rPr>
              <w:t>•</w:t>
            </w:r>
            <w:r w:rsidRPr="000229AD">
              <w:rPr>
                <w:lang w:val="fr-FR"/>
              </w:rPr>
              <w:tab/>
            </w:r>
            <w:r w:rsidR="00642741" w:rsidRPr="000229AD">
              <w:rPr>
                <w:b/>
                <w:bCs/>
                <w:lang w:val="fr-FR"/>
              </w:rPr>
              <w:t>Dans la région Afrique</w:t>
            </w:r>
            <w:r w:rsidR="00BC0512" w:rsidRPr="000229AD">
              <w:rPr>
                <w:lang w:val="fr-FR"/>
              </w:rPr>
              <w:t>,</w:t>
            </w:r>
            <w:r w:rsidR="00642741" w:rsidRPr="000229AD">
              <w:rPr>
                <w:lang w:val="fr-FR"/>
              </w:rPr>
              <w:t xml:space="preserve"> </w:t>
            </w:r>
            <w:r w:rsidRPr="000229AD">
              <w:rPr>
                <w:lang w:val="fr-FR"/>
              </w:rPr>
              <w:t>l</w:t>
            </w:r>
            <w:r w:rsidR="00642741" w:rsidRPr="000229AD">
              <w:rPr>
                <w:lang w:val="fr-FR"/>
              </w:rPr>
              <w:t xml:space="preserve">es centres de transformation numérique au </w:t>
            </w:r>
            <w:r w:rsidR="00642741" w:rsidRPr="000229AD">
              <w:rPr>
                <w:b/>
                <w:bCs/>
                <w:lang w:val="fr-FR"/>
              </w:rPr>
              <w:t>Ghana</w:t>
            </w:r>
            <w:r w:rsidR="00642741" w:rsidRPr="000229AD">
              <w:rPr>
                <w:lang w:val="fr-FR"/>
              </w:rPr>
              <w:t xml:space="preserve"> et en </w:t>
            </w:r>
            <w:r w:rsidR="00642741" w:rsidRPr="000229AD">
              <w:rPr>
                <w:b/>
                <w:bCs/>
                <w:lang w:val="fr-FR"/>
              </w:rPr>
              <w:t>Zambie</w:t>
            </w:r>
            <w:r w:rsidR="00642741" w:rsidRPr="000229AD">
              <w:rPr>
                <w:lang w:val="fr-FR"/>
              </w:rPr>
              <w:t xml:space="preserve"> ont renforcé les compétences des formateurs grâce à des formations des formateurs. Des activités de renforcement des compétences et des formations sur les technologies numériques émergentes et les lois sur le cyberespace ont été organisées à l</w:t>
            </w:r>
            <w:r w:rsidR="00125408" w:rsidRPr="000229AD">
              <w:rPr>
                <w:lang w:val="fr-FR"/>
              </w:rPr>
              <w:t>'</w:t>
            </w:r>
            <w:r w:rsidR="00642741" w:rsidRPr="000229AD">
              <w:rPr>
                <w:lang w:val="fr-FR"/>
              </w:rPr>
              <w:t xml:space="preserve">intention de la communauté juridique et judiciaire du </w:t>
            </w:r>
            <w:r w:rsidR="00642741" w:rsidRPr="000229AD">
              <w:rPr>
                <w:b/>
                <w:bCs/>
                <w:lang w:val="fr-FR"/>
              </w:rPr>
              <w:t>Malawi</w:t>
            </w:r>
            <w:r w:rsidR="00642741" w:rsidRPr="000229AD">
              <w:rPr>
                <w:lang w:val="fr-FR"/>
              </w:rPr>
              <w:t>.</w:t>
            </w:r>
          </w:p>
          <w:p w14:paraId="1E6E6997" w14:textId="72ABF82F" w:rsidR="00642741" w:rsidRPr="000229AD" w:rsidRDefault="007D07A7" w:rsidP="00716C22">
            <w:pPr>
              <w:pStyle w:val="Tabletext"/>
              <w:pageBreakBefore/>
              <w:tabs>
                <w:tab w:val="clear" w:pos="284"/>
              </w:tabs>
              <w:spacing w:before="80" w:after="0"/>
              <w:ind w:left="311" w:hanging="311"/>
              <w:rPr>
                <w:rFonts w:ascii="Calibri" w:hAnsi="Calibri" w:cs="Calibri"/>
                <w:lang w:val="fr-FR"/>
              </w:rPr>
            </w:pPr>
            <w:r w:rsidRPr="000229AD">
              <w:rPr>
                <w:lang w:val="fr-FR"/>
              </w:rPr>
              <w:tab/>
            </w:r>
            <w:r w:rsidR="00642741" w:rsidRPr="000229AD">
              <w:rPr>
                <w:lang w:val="fr-FR"/>
              </w:rPr>
              <w:t>Pour développer et renforcer les capacités en matière de gestion du spectre et de technologies nouvelles, 10 ateliers de formation ont été organisés à l</w:t>
            </w:r>
            <w:r w:rsidR="00125408" w:rsidRPr="000229AD">
              <w:rPr>
                <w:lang w:val="fr-FR"/>
              </w:rPr>
              <w:t>'</w:t>
            </w:r>
            <w:r w:rsidR="00642741" w:rsidRPr="000229AD">
              <w:rPr>
                <w:lang w:val="fr-FR"/>
              </w:rPr>
              <w:t>intention de 42 pays dans le cadre du projet PRIDA (</w:t>
            </w:r>
            <w:r w:rsidR="00642741" w:rsidRPr="000229AD">
              <w:rPr>
                <w:b/>
                <w:bCs/>
                <w:lang w:val="fr-FR"/>
              </w:rPr>
              <w:t>Afrique du Sud, Angola, Bénin, Botswana, Burkina Faso, Burundi, Cabo Verde, Cameroun, Congo, Côte d</w:t>
            </w:r>
            <w:r w:rsidR="00125408" w:rsidRPr="000229AD">
              <w:rPr>
                <w:b/>
                <w:bCs/>
                <w:lang w:val="fr-FR"/>
              </w:rPr>
              <w:t>'</w:t>
            </w:r>
            <w:r w:rsidR="00642741" w:rsidRPr="000229AD">
              <w:rPr>
                <w:b/>
                <w:bCs/>
                <w:lang w:val="fr-FR"/>
              </w:rPr>
              <w:t>Ivoire, Eswatini, Éthiopie, Gabon, Gambie, Ghana, Guinée, Guinée-Bissau, Guinée équatoriale, Kenya, Lesotho, Libéria, Madagascar, Malawi, Mali, Maurice, Mozambique, Namibie, Niger, Nigéria, Ouganda, République centrafricaine, République démocratique du Congo, Rwanda, Sao Tomé-et-Principe, Sénégal, Seychelles, Soudan du Sud, Tanzanie, Tchad, Togo, Zambie et Zimbabwe</w:t>
            </w:r>
            <w:r w:rsidR="00642741" w:rsidRPr="000229AD">
              <w:rPr>
                <w:lang w:val="fr-FR"/>
              </w:rPr>
              <w:t>). Ces ateliers étaient suivis de l</w:t>
            </w:r>
            <w:r w:rsidR="00125408" w:rsidRPr="000229AD">
              <w:rPr>
                <w:lang w:val="fr-FR"/>
              </w:rPr>
              <w:t>'</w:t>
            </w:r>
            <w:r w:rsidR="00642741" w:rsidRPr="000229AD">
              <w:rPr>
                <w:lang w:val="fr-FR"/>
              </w:rPr>
              <w:t xml:space="preserve">assistance technique correspondante. Les formations dispensées comprenaient notamment la gestion du spectre dans les pays en développement, les services de communication aéronautique et maritime, le large bande par satellite et la réglementation des </w:t>
            </w:r>
            <w:r w:rsidR="00642741" w:rsidRPr="000229AD">
              <w:rPr>
                <w:lang w:val="fr-FR"/>
              </w:rPr>
              <w:lastRenderedPageBreak/>
              <w:t>réseaux locaux hertziens, la planification des activités commerciales pour le développement des réseaux large bande, les aspects du spectre à prendre en considération dans le cadre de l</w:t>
            </w:r>
            <w:r w:rsidR="00125408" w:rsidRPr="000229AD">
              <w:rPr>
                <w:lang w:val="fr-FR"/>
              </w:rPr>
              <w:t>'</w:t>
            </w:r>
            <w:r w:rsidR="00642741" w:rsidRPr="000229AD">
              <w:rPr>
                <w:lang w:val="fr-FR"/>
              </w:rPr>
              <w:t>Internet des objets, ainsi qu</w:t>
            </w:r>
            <w:r w:rsidR="00125408" w:rsidRPr="000229AD">
              <w:rPr>
                <w:lang w:val="fr-FR"/>
              </w:rPr>
              <w:t>'</w:t>
            </w:r>
            <w:r w:rsidR="00642741" w:rsidRPr="000229AD">
              <w:rPr>
                <w:lang w:val="fr-FR"/>
              </w:rPr>
              <w:t>une formation spécialisée sur la gestion du spectre pour les jeunes femmes.</w:t>
            </w:r>
          </w:p>
          <w:p w14:paraId="795C6CD8" w14:textId="701CA39D" w:rsidR="00642741" w:rsidRPr="000229AD" w:rsidRDefault="007D07A7" w:rsidP="00716C22">
            <w:pPr>
              <w:pStyle w:val="Tabletext"/>
              <w:pageBreakBefore/>
              <w:tabs>
                <w:tab w:val="clear" w:pos="284"/>
              </w:tabs>
              <w:spacing w:before="80" w:after="0"/>
              <w:ind w:left="311" w:hanging="311"/>
              <w:rPr>
                <w:rFonts w:cstheme="minorBidi"/>
                <w:lang w:val="fr-FR"/>
              </w:rPr>
            </w:pPr>
            <w:r w:rsidRPr="000229AD">
              <w:rPr>
                <w:lang w:val="fr-FR"/>
              </w:rPr>
              <w:tab/>
            </w:r>
            <w:r w:rsidR="00642741" w:rsidRPr="000229AD">
              <w:rPr>
                <w:lang w:val="fr-FR"/>
              </w:rPr>
              <w:t>Le projet conjoint entre l</w:t>
            </w:r>
            <w:r w:rsidR="00125408" w:rsidRPr="000229AD">
              <w:rPr>
                <w:lang w:val="fr-FR"/>
              </w:rPr>
              <w:t>'</w:t>
            </w:r>
            <w:r w:rsidR="00642741" w:rsidRPr="000229AD">
              <w:rPr>
                <w:lang w:val="fr-FR"/>
              </w:rPr>
              <w:t>UIT et le Ministère des affaires étrangères, du Commonwealth et du développement du Royaume-Uni a publié une évaluation des compétences numériques au Nigéria et organisé une formation en présence et en mode hybride en Afrique du Sud sur la 5G et la gestion du spectre.</w:t>
            </w:r>
          </w:p>
          <w:p w14:paraId="4D4A8808" w14:textId="19E50BCC" w:rsidR="00642741" w:rsidRPr="000229AD" w:rsidRDefault="007D07A7" w:rsidP="00716C22">
            <w:pPr>
              <w:pStyle w:val="Tabletext"/>
              <w:pageBreakBefore/>
              <w:tabs>
                <w:tab w:val="clear" w:pos="284"/>
              </w:tabs>
              <w:spacing w:before="80" w:after="0"/>
              <w:ind w:left="311" w:hanging="311"/>
              <w:rPr>
                <w:lang w:val="fr-FR"/>
              </w:rPr>
            </w:pPr>
            <w:r w:rsidRPr="000229AD">
              <w:rPr>
                <w:lang w:val="fr-FR"/>
              </w:rPr>
              <w:t>•</w:t>
            </w:r>
            <w:r w:rsidRPr="000229AD">
              <w:rPr>
                <w:lang w:val="fr-FR"/>
              </w:rPr>
              <w:tab/>
            </w:r>
            <w:r w:rsidR="00642741" w:rsidRPr="000229AD">
              <w:rPr>
                <w:b/>
                <w:bCs/>
                <w:lang w:val="fr-FR"/>
              </w:rPr>
              <w:t>Dans la région Amériques</w:t>
            </w:r>
            <w:r w:rsidR="00BC0512" w:rsidRPr="000229AD">
              <w:rPr>
                <w:lang w:val="fr-FR"/>
              </w:rPr>
              <w:t>,</w:t>
            </w:r>
            <w:r w:rsidR="00642741" w:rsidRPr="000229AD">
              <w:rPr>
                <w:lang w:val="fr-FR"/>
              </w:rPr>
              <w:t xml:space="preserve"> </w:t>
            </w:r>
            <w:r w:rsidRPr="000229AD">
              <w:rPr>
                <w:lang w:val="fr-FR"/>
              </w:rPr>
              <w:t>r</w:t>
            </w:r>
            <w:r w:rsidR="00642741" w:rsidRPr="000229AD">
              <w:rPr>
                <w:lang w:val="fr-FR"/>
              </w:rPr>
              <w:t xml:space="preserve">enforcement des capacités des petits entrepreneurs </w:t>
            </w:r>
            <w:r w:rsidR="00642741" w:rsidRPr="000229AD">
              <w:rPr>
                <w:b/>
                <w:bCs/>
                <w:lang w:val="fr-FR"/>
              </w:rPr>
              <w:t>de la République dominicaine, d</w:t>
            </w:r>
            <w:r w:rsidR="00125408" w:rsidRPr="000229AD">
              <w:rPr>
                <w:b/>
                <w:bCs/>
                <w:lang w:val="fr-FR"/>
              </w:rPr>
              <w:t>'</w:t>
            </w:r>
            <w:r w:rsidR="00642741" w:rsidRPr="000229AD">
              <w:rPr>
                <w:b/>
                <w:bCs/>
                <w:lang w:val="fr-FR"/>
              </w:rPr>
              <w:t>El Salvador, du Guatemala et du Panama</w:t>
            </w:r>
            <w:r w:rsidR="00642741" w:rsidRPr="000229AD">
              <w:rPr>
                <w:lang w:val="fr-FR"/>
              </w:rPr>
              <w:t xml:space="preserve"> grâce à l</w:t>
            </w:r>
            <w:r w:rsidR="00125408" w:rsidRPr="000229AD">
              <w:rPr>
                <w:lang w:val="fr-FR"/>
              </w:rPr>
              <w:t>'</w:t>
            </w:r>
            <w:r w:rsidR="00642741" w:rsidRPr="000229AD">
              <w:rPr>
                <w:lang w:val="fr-FR"/>
              </w:rPr>
              <w:t>organisation d</w:t>
            </w:r>
            <w:r w:rsidR="00125408" w:rsidRPr="000229AD">
              <w:rPr>
                <w:lang w:val="fr-FR"/>
              </w:rPr>
              <w:t>'</w:t>
            </w:r>
            <w:r w:rsidR="00642741" w:rsidRPr="000229AD">
              <w:rPr>
                <w:lang w:val="fr-FR"/>
              </w:rPr>
              <w:t>ateliers sur la transformation numérique, auxquels ont participé</w:t>
            </w:r>
            <w:r w:rsidRPr="000229AD">
              <w:rPr>
                <w:lang w:val="fr-FR"/>
              </w:rPr>
              <w:t> </w:t>
            </w:r>
            <w:r w:rsidR="00642741" w:rsidRPr="000229AD">
              <w:rPr>
                <w:lang w:val="fr-FR"/>
              </w:rPr>
              <w:t>150 femmes et jeunes. Ces activités s</w:t>
            </w:r>
            <w:r w:rsidR="00125408" w:rsidRPr="000229AD">
              <w:rPr>
                <w:lang w:val="fr-FR"/>
              </w:rPr>
              <w:t>'</w:t>
            </w:r>
            <w:r w:rsidR="00642741" w:rsidRPr="000229AD">
              <w:rPr>
                <w:lang w:val="fr-FR"/>
              </w:rPr>
              <w:t>inscrivent dans le cadre de l</w:t>
            </w:r>
            <w:r w:rsidR="00125408" w:rsidRPr="000229AD">
              <w:rPr>
                <w:lang w:val="fr-FR"/>
              </w:rPr>
              <w:t>'</w:t>
            </w:r>
            <w:r w:rsidR="00642741" w:rsidRPr="000229AD">
              <w:rPr>
                <w:lang w:val="fr-FR"/>
              </w:rPr>
              <w:t xml:space="preserve">initiative </w:t>
            </w:r>
            <w:hyperlink r:id="rId42" w:history="1">
              <w:r w:rsidR="00642741" w:rsidRPr="000229AD">
                <w:rPr>
                  <w:rStyle w:val="Hyperlink"/>
                  <w:lang w:val="fr-FR"/>
                </w:rPr>
                <w:t>KIT numérique pour la transformation numérique</w:t>
              </w:r>
            </w:hyperlink>
            <w:r w:rsidR="00642741" w:rsidRPr="000229AD">
              <w:rPr>
                <w:lang w:val="fr-FR"/>
              </w:rPr>
              <w:t xml:space="preserve">. Cette initiative est actuellement mise en œuvre dans le cadre du </w:t>
            </w:r>
            <w:r w:rsidR="00642741" w:rsidRPr="000229AD">
              <w:rPr>
                <w:b/>
                <w:bCs/>
                <w:lang w:val="fr-FR"/>
              </w:rPr>
              <w:t>projet conjoint entre l</w:t>
            </w:r>
            <w:r w:rsidR="00125408" w:rsidRPr="000229AD">
              <w:rPr>
                <w:b/>
                <w:bCs/>
                <w:lang w:val="fr-FR"/>
              </w:rPr>
              <w:t>'</w:t>
            </w:r>
            <w:r w:rsidR="00642741" w:rsidRPr="000229AD">
              <w:rPr>
                <w:b/>
                <w:bCs/>
                <w:lang w:val="fr-FR"/>
              </w:rPr>
              <w:t xml:space="preserve">UIT et Huawei </w:t>
            </w:r>
            <w:r w:rsidR="00642741" w:rsidRPr="000229AD">
              <w:rPr>
                <w:lang w:val="fr-FR"/>
              </w:rPr>
              <w:t>visant à appuyer les initiatives régionales pour les Amériques.</w:t>
            </w:r>
          </w:p>
          <w:p w14:paraId="31D6421F" w14:textId="120DBBCF" w:rsidR="00642741" w:rsidRPr="000229AD" w:rsidRDefault="007D07A7" w:rsidP="00716C22">
            <w:pPr>
              <w:pStyle w:val="Tabletext"/>
              <w:pageBreakBefore/>
              <w:tabs>
                <w:tab w:val="clear" w:pos="284"/>
              </w:tabs>
              <w:spacing w:before="80" w:after="0"/>
              <w:ind w:left="311" w:hanging="311"/>
              <w:rPr>
                <w:lang w:val="fr-FR"/>
              </w:rPr>
            </w:pPr>
            <w:r w:rsidRPr="000229AD">
              <w:rPr>
                <w:lang w:val="fr-FR"/>
              </w:rPr>
              <w:tab/>
            </w:r>
            <w:r w:rsidR="00642741" w:rsidRPr="000229AD">
              <w:rPr>
                <w:lang w:val="fr-FR"/>
              </w:rPr>
              <w:t xml:space="preserve">Le BDT a également renforcé les </w:t>
            </w:r>
            <w:r w:rsidR="00642741" w:rsidRPr="000229AD">
              <w:rPr>
                <w:b/>
                <w:bCs/>
                <w:lang w:val="fr-FR"/>
              </w:rPr>
              <w:t xml:space="preserve">compétences des populations autochtones et des communautés rurales en matière de gestion de projets </w:t>
            </w:r>
            <w:r w:rsidR="00642741" w:rsidRPr="000229AD">
              <w:rPr>
                <w:lang w:val="fr-FR"/>
              </w:rPr>
              <w:t>grâce à une formation en ligne en cinq modules dispensée à travers l</w:t>
            </w:r>
            <w:r w:rsidR="00125408" w:rsidRPr="000229AD">
              <w:rPr>
                <w:lang w:val="fr-FR"/>
              </w:rPr>
              <w:t>'</w:t>
            </w:r>
            <w:r w:rsidR="00642741" w:rsidRPr="000229AD">
              <w:rPr>
                <w:lang w:val="fr-FR"/>
              </w:rPr>
              <w:t>Académie de l</w:t>
            </w:r>
            <w:r w:rsidR="00125408" w:rsidRPr="000229AD">
              <w:rPr>
                <w:lang w:val="fr-FR"/>
              </w:rPr>
              <w:t>'</w:t>
            </w:r>
            <w:r w:rsidR="00642741" w:rsidRPr="000229AD">
              <w:rPr>
                <w:lang w:val="fr-FR"/>
              </w:rPr>
              <w:t xml:space="preserve">UIT, et </w:t>
            </w:r>
            <w:r w:rsidR="00642741" w:rsidRPr="000229AD">
              <w:rPr>
                <w:b/>
                <w:bCs/>
                <w:lang w:val="fr-FR"/>
              </w:rPr>
              <w:t>amélioré les connaissances dans le domaine de l</w:t>
            </w:r>
            <w:r w:rsidR="00125408" w:rsidRPr="000229AD">
              <w:rPr>
                <w:b/>
                <w:bCs/>
                <w:lang w:val="fr-FR"/>
              </w:rPr>
              <w:t>'</w:t>
            </w:r>
            <w:r w:rsidR="00642741" w:rsidRPr="000229AD">
              <w:rPr>
                <w:b/>
                <w:bCs/>
                <w:lang w:val="fr-FR"/>
              </w:rPr>
              <w:t>accessibilité des TIC</w:t>
            </w:r>
            <w:r w:rsidR="00642741" w:rsidRPr="000229AD">
              <w:rPr>
                <w:lang w:val="fr-FR"/>
              </w:rPr>
              <w:t xml:space="preserve"> grâce à la formation des cadres dispensée à l</w:t>
            </w:r>
            <w:r w:rsidR="00125408" w:rsidRPr="000229AD">
              <w:rPr>
                <w:lang w:val="fr-FR"/>
              </w:rPr>
              <w:t>'</w:t>
            </w:r>
            <w:r w:rsidR="00642741" w:rsidRPr="000229AD">
              <w:rPr>
                <w:lang w:val="fr-FR"/>
              </w:rPr>
              <w:t>occasion du</w:t>
            </w:r>
            <w:r w:rsidRPr="000229AD">
              <w:rPr>
                <w:lang w:val="fr-FR"/>
              </w:rPr>
              <w:t> </w:t>
            </w:r>
            <w:r w:rsidR="00642741" w:rsidRPr="000229AD">
              <w:rPr>
                <w:lang w:val="fr-FR"/>
              </w:rPr>
              <w:t>10</w:t>
            </w:r>
            <w:r w:rsidRPr="000229AD">
              <w:rPr>
                <w:lang w:val="fr-FR"/>
              </w:rPr>
              <w:t>ème</w:t>
            </w:r>
            <w:r w:rsidR="00642741" w:rsidRPr="000229AD">
              <w:rPr>
                <w:lang w:val="fr-FR"/>
              </w:rPr>
              <w:t> anniversaire de la manifestation "Amériques accessibles" qui s</w:t>
            </w:r>
            <w:r w:rsidR="00125408" w:rsidRPr="000229AD">
              <w:rPr>
                <w:lang w:val="fr-FR"/>
              </w:rPr>
              <w:t>'</w:t>
            </w:r>
            <w:r w:rsidR="00642741" w:rsidRPr="000229AD">
              <w:rPr>
                <w:lang w:val="fr-FR"/>
              </w:rPr>
              <w:t>est tenue à Cuba en novembre 2023.</w:t>
            </w:r>
          </w:p>
          <w:p w14:paraId="03B372E3" w14:textId="7C24FF2F" w:rsidR="00642741" w:rsidRPr="000229AD" w:rsidRDefault="007D07A7" w:rsidP="00716C22">
            <w:pPr>
              <w:pStyle w:val="Tabletext"/>
              <w:pageBreakBefore/>
              <w:tabs>
                <w:tab w:val="clear" w:pos="284"/>
              </w:tabs>
              <w:spacing w:before="80" w:after="0"/>
              <w:ind w:left="311" w:hanging="311"/>
              <w:rPr>
                <w:lang w:val="fr-FR"/>
              </w:rPr>
            </w:pPr>
            <w:r w:rsidRPr="000229AD">
              <w:rPr>
                <w:lang w:val="fr-FR"/>
              </w:rPr>
              <w:t>•</w:t>
            </w:r>
            <w:r w:rsidRPr="000229AD">
              <w:rPr>
                <w:lang w:val="fr-FR"/>
              </w:rPr>
              <w:tab/>
            </w:r>
            <w:r w:rsidR="00642741" w:rsidRPr="000229AD">
              <w:rPr>
                <w:b/>
                <w:bCs/>
                <w:lang w:val="fr-FR"/>
              </w:rPr>
              <w:t xml:space="preserve">Dans la région </w:t>
            </w:r>
            <w:r w:rsidR="00792196" w:rsidRPr="000229AD">
              <w:rPr>
                <w:b/>
                <w:bCs/>
                <w:lang w:val="fr-FR"/>
              </w:rPr>
              <w:t xml:space="preserve">des </w:t>
            </w:r>
            <w:r w:rsidR="00642741" w:rsidRPr="000229AD">
              <w:rPr>
                <w:b/>
                <w:bCs/>
                <w:lang w:val="fr-FR"/>
              </w:rPr>
              <w:t>États arabes</w:t>
            </w:r>
            <w:r w:rsidR="00D81AA6" w:rsidRPr="000229AD">
              <w:rPr>
                <w:lang w:val="fr-FR"/>
              </w:rPr>
              <w:t>,</w:t>
            </w:r>
            <w:r w:rsidR="00642741" w:rsidRPr="000229AD">
              <w:rPr>
                <w:lang w:val="fr-FR"/>
              </w:rPr>
              <w:t xml:space="preserve"> </w:t>
            </w:r>
            <w:r w:rsidRPr="000229AD">
              <w:rPr>
                <w:lang w:val="fr-FR"/>
              </w:rPr>
              <w:t>a</w:t>
            </w:r>
            <w:r w:rsidR="00642741" w:rsidRPr="000229AD">
              <w:rPr>
                <w:lang w:val="fr-FR"/>
              </w:rPr>
              <w:t xml:space="preserve">fin de </w:t>
            </w:r>
            <w:r w:rsidR="00642741" w:rsidRPr="000229AD">
              <w:rPr>
                <w:b/>
                <w:bCs/>
                <w:lang w:val="fr-FR"/>
              </w:rPr>
              <w:t>développer et de renforcer les compétences en matière de gestion du spectre</w:t>
            </w:r>
            <w:r w:rsidR="00642741" w:rsidRPr="000229AD">
              <w:rPr>
                <w:lang w:val="fr-FR"/>
              </w:rPr>
              <w:t>, une formation mixte des formateurs sur le programme de formation à la qualité de service et le programme de formation à la gestion du spectre a été dispensée en ligne sur la plate-forme de l</w:t>
            </w:r>
            <w:r w:rsidR="00125408" w:rsidRPr="000229AD">
              <w:rPr>
                <w:lang w:val="fr-FR"/>
              </w:rPr>
              <w:t>'</w:t>
            </w:r>
            <w:r w:rsidR="00642741" w:rsidRPr="000229AD">
              <w:rPr>
                <w:lang w:val="fr-FR"/>
              </w:rPr>
              <w:t>Académie de l</w:t>
            </w:r>
            <w:r w:rsidR="00125408" w:rsidRPr="000229AD">
              <w:rPr>
                <w:lang w:val="fr-FR"/>
              </w:rPr>
              <w:t>'</w:t>
            </w:r>
            <w:r w:rsidR="00642741" w:rsidRPr="000229AD">
              <w:rPr>
                <w:lang w:val="fr-FR"/>
              </w:rPr>
              <w:t>UIT et à Amman (Jordanie). La Commission de régulation des télécommunications de Jordanie a accueilli les participants de cette formation organisée de manière collaborative, qui visait à doter les participants des connaissances et des compétences nécessaires pour former efficacement à leur tour d</w:t>
            </w:r>
            <w:r w:rsidR="00125408" w:rsidRPr="000229AD">
              <w:rPr>
                <w:lang w:val="fr-FR"/>
              </w:rPr>
              <w:t>'</w:t>
            </w:r>
            <w:r w:rsidR="00642741" w:rsidRPr="000229AD">
              <w:rPr>
                <w:lang w:val="fr-FR"/>
              </w:rPr>
              <w:t>autres personnes.</w:t>
            </w:r>
          </w:p>
          <w:p w14:paraId="164B16DB" w14:textId="75CC460D" w:rsidR="00642741" w:rsidRPr="000229AD" w:rsidRDefault="007D07A7" w:rsidP="00716C22">
            <w:pPr>
              <w:pStyle w:val="Tabletext"/>
              <w:pageBreakBefore/>
              <w:tabs>
                <w:tab w:val="clear" w:pos="284"/>
              </w:tabs>
              <w:spacing w:before="80" w:after="0"/>
              <w:ind w:left="311" w:hanging="311"/>
              <w:rPr>
                <w:lang w:val="fr-FR"/>
              </w:rPr>
            </w:pPr>
            <w:r w:rsidRPr="000229AD">
              <w:rPr>
                <w:lang w:val="fr-FR"/>
              </w:rPr>
              <w:tab/>
            </w:r>
            <w:r w:rsidR="00642741" w:rsidRPr="000229AD">
              <w:rPr>
                <w:lang w:val="fr-FR"/>
              </w:rPr>
              <w:t>Dans le cadre de l</w:t>
            </w:r>
            <w:r w:rsidR="00125408" w:rsidRPr="000229AD">
              <w:rPr>
                <w:lang w:val="fr-FR"/>
              </w:rPr>
              <w:t>'</w:t>
            </w:r>
            <w:r w:rsidR="00642741" w:rsidRPr="000229AD">
              <w:rPr>
                <w:lang w:val="fr-FR"/>
              </w:rPr>
              <w:t>appui fourni aux pays en matière de gestion du spectre, une assistance axée sur la valorisation du spectre et le dividende numérique a été fournie aux Comores au titre des activités du projet PRIDA. Une mission de cadrage a été menée dans le but de rencontrer les parties prenantes concernées, et le rapport final a été remis et validé.</w:t>
            </w:r>
          </w:p>
          <w:p w14:paraId="15FAE848" w14:textId="0BA6024B" w:rsidR="00642741" w:rsidRPr="000229AD" w:rsidRDefault="007D07A7" w:rsidP="00716C22">
            <w:pPr>
              <w:pStyle w:val="Tabletext"/>
              <w:pageBreakBefore/>
              <w:tabs>
                <w:tab w:val="clear" w:pos="284"/>
              </w:tabs>
              <w:spacing w:before="80" w:after="0"/>
              <w:ind w:left="311" w:hanging="311"/>
              <w:rPr>
                <w:lang w:val="fr-FR"/>
              </w:rPr>
            </w:pPr>
            <w:r w:rsidRPr="000229AD">
              <w:rPr>
                <w:lang w:val="fr-FR"/>
              </w:rPr>
              <w:t>•</w:t>
            </w:r>
            <w:r w:rsidRPr="000229AD">
              <w:rPr>
                <w:lang w:val="fr-FR"/>
              </w:rPr>
              <w:tab/>
            </w:r>
            <w:r w:rsidR="00642741" w:rsidRPr="000229AD">
              <w:rPr>
                <w:b/>
                <w:bCs/>
                <w:lang w:val="fr-FR"/>
              </w:rPr>
              <w:t>Dans la région Asie-Pacifique</w:t>
            </w:r>
            <w:r w:rsidR="00BC0512" w:rsidRPr="000229AD">
              <w:rPr>
                <w:lang w:val="fr-FR"/>
              </w:rPr>
              <w:t>,</w:t>
            </w:r>
            <w:r w:rsidR="00642741" w:rsidRPr="000229AD">
              <w:rPr>
                <w:lang w:val="fr-FR"/>
              </w:rPr>
              <w:t xml:space="preserve"> </w:t>
            </w:r>
            <w:r w:rsidRPr="000229AD">
              <w:rPr>
                <w:lang w:val="fr-FR"/>
              </w:rPr>
              <w:t>l</w:t>
            </w:r>
            <w:r w:rsidR="00642741" w:rsidRPr="000229AD">
              <w:rPr>
                <w:lang w:val="fr-FR"/>
              </w:rPr>
              <w:t>e BDT a renforcé les compétences de 158 formateurs en Indonésie, en</w:t>
            </w:r>
            <w:r w:rsidRPr="000229AD">
              <w:rPr>
                <w:lang w:val="fr-FR"/>
              </w:rPr>
              <w:t> </w:t>
            </w:r>
            <w:r w:rsidR="00642741" w:rsidRPr="000229AD">
              <w:rPr>
                <w:lang w:val="fr-FR"/>
              </w:rPr>
              <w:t>Papouasie</w:t>
            </w:r>
            <w:r w:rsidRPr="000229AD">
              <w:rPr>
                <w:lang w:val="fr-FR"/>
              </w:rPr>
              <w:noBreakHyphen/>
            </w:r>
            <w:r w:rsidR="00642741" w:rsidRPr="000229AD">
              <w:rPr>
                <w:lang w:val="fr-FR"/>
              </w:rPr>
              <w:t>Nouvelle</w:t>
            </w:r>
            <w:r w:rsidRPr="000229AD">
              <w:rPr>
                <w:lang w:val="fr-FR"/>
              </w:rPr>
              <w:noBreakHyphen/>
            </w:r>
            <w:r w:rsidR="00642741" w:rsidRPr="000229AD">
              <w:rPr>
                <w:lang w:val="fr-FR"/>
              </w:rPr>
              <w:t>Guinée et aux Philippines en matière de formation aux outils numériques, en utilisant les supports de connaissance disponibles dans le cadre de l</w:t>
            </w:r>
            <w:r w:rsidR="00125408" w:rsidRPr="000229AD">
              <w:rPr>
                <w:lang w:val="fr-FR"/>
              </w:rPr>
              <w:t>'</w:t>
            </w:r>
            <w:r w:rsidR="00642741" w:rsidRPr="000229AD">
              <w:rPr>
                <w:lang w:val="fr-FR"/>
              </w:rPr>
              <w:t>initiative Centres de transformation numérique de l</w:t>
            </w:r>
            <w:r w:rsidR="00125408" w:rsidRPr="000229AD">
              <w:rPr>
                <w:lang w:val="fr-FR"/>
              </w:rPr>
              <w:t>'</w:t>
            </w:r>
            <w:r w:rsidR="00642741" w:rsidRPr="000229AD">
              <w:rPr>
                <w:lang w:val="fr-FR"/>
              </w:rPr>
              <w:t>UIT. Le BDT a également renforcé sa collaboration avec l</w:t>
            </w:r>
            <w:r w:rsidR="00125408" w:rsidRPr="000229AD">
              <w:rPr>
                <w:lang w:val="fr-FR"/>
              </w:rPr>
              <w:t>'</w:t>
            </w:r>
            <w:r w:rsidR="00642741" w:rsidRPr="000229AD">
              <w:rPr>
                <w:lang w:val="fr-FR"/>
              </w:rPr>
              <w:t>Organisation internationale pour les migrations (OIM) et produit un rapport d</w:t>
            </w:r>
            <w:r w:rsidR="00125408" w:rsidRPr="000229AD">
              <w:rPr>
                <w:lang w:val="fr-FR"/>
              </w:rPr>
              <w:t>'</w:t>
            </w:r>
            <w:r w:rsidR="00642741" w:rsidRPr="000229AD">
              <w:rPr>
                <w:lang w:val="fr-FR"/>
              </w:rPr>
              <w:t>évaluation sur les compétences numériques des migrants en Thaïlande intitulé "</w:t>
            </w:r>
            <w:r w:rsidR="00642741" w:rsidRPr="000229AD">
              <w:rPr>
                <w:b/>
                <w:bCs/>
                <w:lang w:val="fr-FR"/>
              </w:rPr>
              <w:t xml:space="preserve">Réduire la fracture numérique: </w:t>
            </w:r>
            <w:r w:rsidR="007512BA" w:rsidRPr="000229AD">
              <w:rPr>
                <w:b/>
                <w:bCs/>
                <w:lang w:val="fr-FR"/>
              </w:rPr>
              <w:t>É</w:t>
            </w:r>
            <w:r w:rsidR="00642741" w:rsidRPr="000229AD">
              <w:rPr>
                <w:b/>
                <w:bCs/>
                <w:lang w:val="fr-FR"/>
              </w:rPr>
              <w:t>valuation des compétences numériques des travailleurs migrants et perspectives des employeurs en Thaïlande</w:t>
            </w:r>
            <w:r w:rsidR="00642741" w:rsidRPr="000229AD">
              <w:rPr>
                <w:lang w:val="fr-FR"/>
              </w:rPr>
              <w:t>".</w:t>
            </w:r>
          </w:p>
          <w:p w14:paraId="07F678D8" w14:textId="6CED859B" w:rsidR="00642741" w:rsidRPr="000229AD" w:rsidRDefault="007D07A7" w:rsidP="00716C22">
            <w:pPr>
              <w:pStyle w:val="Tabletext"/>
              <w:pageBreakBefore/>
              <w:tabs>
                <w:tab w:val="clear" w:pos="284"/>
              </w:tabs>
              <w:spacing w:before="80" w:after="0"/>
              <w:ind w:left="311" w:hanging="311"/>
              <w:rPr>
                <w:rFonts w:cs="Calibri"/>
                <w:lang w:val="fr-FR"/>
              </w:rPr>
            </w:pPr>
            <w:r w:rsidRPr="000229AD">
              <w:rPr>
                <w:lang w:val="fr-FR"/>
              </w:rPr>
              <w:tab/>
            </w:r>
            <w:r w:rsidR="00642741" w:rsidRPr="000229AD">
              <w:rPr>
                <w:lang w:val="fr-FR"/>
              </w:rPr>
              <w:t>La collaboration entre l</w:t>
            </w:r>
            <w:r w:rsidR="00125408" w:rsidRPr="000229AD">
              <w:rPr>
                <w:lang w:val="fr-FR"/>
              </w:rPr>
              <w:t>'</w:t>
            </w:r>
            <w:r w:rsidR="00642741" w:rsidRPr="000229AD">
              <w:rPr>
                <w:lang w:val="fr-FR"/>
              </w:rPr>
              <w:t>UIT, la Commission nationale de la radiodiffusion et des télécommunications de Thaïlande et l</w:t>
            </w:r>
            <w:r w:rsidR="00125408" w:rsidRPr="000229AD">
              <w:rPr>
                <w:lang w:val="fr-FR"/>
              </w:rPr>
              <w:t>'</w:t>
            </w:r>
            <w:r w:rsidR="00642741" w:rsidRPr="000229AD">
              <w:rPr>
                <w:lang w:val="fr-FR"/>
              </w:rPr>
              <w:t>Infocomm Media Development Authority de Singapour a été essentielle pour faire progresser le développement des compétences numériques parmi les membres des PEID, des PMA et des PDSL. En Thaïlande, la formation conjointe entre l</w:t>
            </w:r>
            <w:r w:rsidR="00125408" w:rsidRPr="000229AD">
              <w:rPr>
                <w:lang w:val="fr-FR"/>
              </w:rPr>
              <w:t>'</w:t>
            </w:r>
            <w:r w:rsidR="00642741" w:rsidRPr="000229AD">
              <w:rPr>
                <w:lang w:val="fr-FR"/>
              </w:rPr>
              <w:t xml:space="preserve">UIT </w:t>
            </w:r>
            <w:r w:rsidR="00642741" w:rsidRPr="000229AD">
              <w:rPr>
                <w:lang w:val="fr-FR"/>
              </w:rPr>
              <w:lastRenderedPageBreak/>
              <w:t>et la Commission nationale de la radiodiffusion et des télécommunications, organisée du 2 au 5 octobre 2023, a été axée sur les technologies émergentes telles que la chaîne de blocs, l</w:t>
            </w:r>
            <w:r w:rsidR="00125408" w:rsidRPr="000229AD">
              <w:rPr>
                <w:lang w:val="fr-FR"/>
              </w:rPr>
              <w:t>'</w:t>
            </w:r>
            <w:r w:rsidR="00642741" w:rsidRPr="000229AD">
              <w:rPr>
                <w:lang w:val="fr-FR"/>
              </w:rPr>
              <w:t>intelligence artificielle et la 5G, en utilisant une approche faisant intervenir toutes les entités publiques par l</w:t>
            </w:r>
            <w:r w:rsidR="00125408" w:rsidRPr="000229AD">
              <w:rPr>
                <w:lang w:val="fr-FR"/>
              </w:rPr>
              <w:t>'</w:t>
            </w:r>
            <w:r w:rsidR="00642741" w:rsidRPr="000229AD">
              <w:rPr>
                <w:lang w:val="fr-FR"/>
              </w:rPr>
              <w:t xml:space="preserve">intermédiaire de GovStack pour améliorer le transfert de connaissances dans la région. </w:t>
            </w:r>
          </w:p>
          <w:p w14:paraId="6AF311EB" w14:textId="4AB72511" w:rsidR="00642741" w:rsidRPr="000229AD" w:rsidRDefault="007D07A7" w:rsidP="00716C22">
            <w:pPr>
              <w:pStyle w:val="Tabletext"/>
              <w:pageBreakBefore/>
              <w:tabs>
                <w:tab w:val="clear" w:pos="284"/>
              </w:tabs>
              <w:spacing w:before="80" w:after="0"/>
              <w:ind w:left="311" w:hanging="311"/>
              <w:rPr>
                <w:lang w:val="fr-FR"/>
              </w:rPr>
            </w:pPr>
            <w:r w:rsidRPr="000229AD">
              <w:rPr>
                <w:lang w:val="fr-FR"/>
              </w:rPr>
              <w:tab/>
            </w:r>
            <w:r w:rsidR="00642741" w:rsidRPr="000229AD">
              <w:rPr>
                <w:lang w:val="fr-FR"/>
              </w:rPr>
              <w:t>Les capacités des décideurs et des régulateurs ont été renforcées grâce à une série de webinaires régionaux sur les politiques et la réglementation, ce qui a permis aux participants de faire part des mesures prises et de l</w:t>
            </w:r>
            <w:r w:rsidR="00125408" w:rsidRPr="000229AD">
              <w:rPr>
                <w:lang w:val="fr-FR"/>
              </w:rPr>
              <w:t>'</w:t>
            </w:r>
            <w:r w:rsidR="00642741" w:rsidRPr="000229AD">
              <w:rPr>
                <w:lang w:val="fr-FR"/>
              </w:rPr>
              <w:t>expérience acquise dans le domaine de la 5G, en partenariat avec les administrations membres (mars 2024). Le Ministère des postes et des télécommunications du Cambodge et l</w:t>
            </w:r>
            <w:r w:rsidR="00125408" w:rsidRPr="000229AD">
              <w:rPr>
                <w:lang w:val="fr-FR"/>
              </w:rPr>
              <w:t>'</w:t>
            </w:r>
            <w:r w:rsidR="00642741" w:rsidRPr="000229AD">
              <w:rPr>
                <w:lang w:val="fr-FR"/>
              </w:rPr>
              <w:t xml:space="preserve">Autorité de contrôle des télécommunications du Cambodge ont accueilli la manifestation sur les </w:t>
            </w:r>
            <w:r w:rsidR="00642741" w:rsidRPr="000229AD">
              <w:rPr>
                <w:b/>
                <w:bCs/>
                <w:lang w:val="fr-FR"/>
              </w:rPr>
              <w:t>Principaux catalyseurs de l</w:t>
            </w:r>
            <w:r w:rsidR="00125408" w:rsidRPr="000229AD">
              <w:rPr>
                <w:b/>
                <w:bCs/>
                <w:lang w:val="fr-FR"/>
              </w:rPr>
              <w:t>'</w:t>
            </w:r>
            <w:r w:rsidR="00642741" w:rsidRPr="000229AD">
              <w:rPr>
                <w:b/>
                <w:bCs/>
                <w:lang w:val="fr-FR"/>
              </w:rPr>
              <w:t>adoption de la 5G dans les pays de la région Asie-Pacifique</w:t>
            </w:r>
            <w:r w:rsidR="00642741" w:rsidRPr="000229AD">
              <w:rPr>
                <w:lang w:val="fr-FR"/>
              </w:rPr>
              <w:t>, dans le cadre de laquelle le rapport d</w:t>
            </w:r>
            <w:r w:rsidR="00125408" w:rsidRPr="000229AD">
              <w:rPr>
                <w:lang w:val="fr-FR"/>
              </w:rPr>
              <w:t>'</w:t>
            </w:r>
            <w:r w:rsidR="00642741" w:rsidRPr="000229AD">
              <w:rPr>
                <w:lang w:val="fr-FR"/>
              </w:rPr>
              <w:t>une analyse économétrique réalisée par le Bureau régional pour l</w:t>
            </w:r>
            <w:r w:rsidR="00125408" w:rsidRPr="000229AD">
              <w:rPr>
                <w:lang w:val="fr-FR"/>
              </w:rPr>
              <w:t>'</w:t>
            </w:r>
            <w:r w:rsidR="00642741" w:rsidRPr="000229AD">
              <w:rPr>
                <w:lang w:val="fr-FR"/>
              </w:rPr>
              <w:t>Asie et le Pacifique de l</w:t>
            </w:r>
            <w:r w:rsidR="00125408" w:rsidRPr="000229AD">
              <w:rPr>
                <w:lang w:val="fr-FR"/>
              </w:rPr>
              <w:t>'</w:t>
            </w:r>
            <w:r w:rsidR="00642741" w:rsidRPr="000229AD">
              <w:rPr>
                <w:lang w:val="fr-FR"/>
              </w:rPr>
              <w:t xml:space="preserve">UIT portant sur les enjeux liés au déploiement de la 5G rencontrés par le Ministère a été présenté. La deuxième séance portait sur les </w:t>
            </w:r>
            <w:r w:rsidR="00642741" w:rsidRPr="000229AD">
              <w:rPr>
                <w:b/>
                <w:bCs/>
                <w:lang w:val="fr-FR"/>
              </w:rPr>
              <w:t>cas d</w:t>
            </w:r>
            <w:r w:rsidR="00125408" w:rsidRPr="000229AD">
              <w:rPr>
                <w:b/>
                <w:bCs/>
                <w:lang w:val="fr-FR"/>
              </w:rPr>
              <w:t>'</w:t>
            </w:r>
            <w:r w:rsidR="00642741" w:rsidRPr="000229AD">
              <w:rPr>
                <w:b/>
                <w:bCs/>
                <w:lang w:val="fr-FR"/>
              </w:rPr>
              <w:t>utilisation de la 5G</w:t>
            </w:r>
            <w:r w:rsidR="00642741" w:rsidRPr="000229AD">
              <w:rPr>
                <w:lang w:val="fr-FR"/>
              </w:rPr>
              <w:t xml:space="preserve"> et a été organisée conjointement avec l</w:t>
            </w:r>
            <w:r w:rsidR="00125408" w:rsidRPr="000229AD">
              <w:rPr>
                <w:lang w:val="fr-FR"/>
              </w:rPr>
              <w:t>'</w:t>
            </w:r>
            <w:r w:rsidR="00642741" w:rsidRPr="000229AD">
              <w:rPr>
                <w:lang w:val="fr-FR"/>
              </w:rPr>
              <w:t>Académie chinoise des technologies de l</w:t>
            </w:r>
            <w:r w:rsidR="00125408" w:rsidRPr="000229AD">
              <w:rPr>
                <w:lang w:val="fr-FR"/>
              </w:rPr>
              <w:t>'</w:t>
            </w:r>
            <w:r w:rsidR="00642741" w:rsidRPr="000229AD">
              <w:rPr>
                <w:lang w:val="fr-FR"/>
              </w:rPr>
              <w:t>information et de la communication. Des membres experts ont présenté les possibilités d</w:t>
            </w:r>
            <w:r w:rsidR="00125408" w:rsidRPr="000229AD">
              <w:rPr>
                <w:lang w:val="fr-FR"/>
              </w:rPr>
              <w:t>'</w:t>
            </w:r>
            <w:r w:rsidR="00642741" w:rsidRPr="000229AD">
              <w:rPr>
                <w:lang w:val="fr-FR"/>
              </w:rPr>
              <w:t>exploitation intelligente de la 5G dans les usines, le secteur de l</w:t>
            </w:r>
            <w:r w:rsidR="00125408" w:rsidRPr="000229AD">
              <w:rPr>
                <w:lang w:val="fr-FR"/>
              </w:rPr>
              <w:t>'</w:t>
            </w:r>
            <w:r w:rsidR="00642741" w:rsidRPr="000229AD">
              <w:rPr>
                <w:lang w:val="fr-FR"/>
              </w:rPr>
              <w:t>électricité, la santé, la culture, le tourisme et l</w:t>
            </w:r>
            <w:r w:rsidR="00125408" w:rsidRPr="000229AD">
              <w:rPr>
                <w:lang w:val="fr-FR"/>
              </w:rPr>
              <w:t>'</w:t>
            </w:r>
            <w:r w:rsidR="00642741" w:rsidRPr="000229AD">
              <w:rPr>
                <w:lang w:val="fr-FR"/>
              </w:rPr>
              <w:t>éducation, mettant en avant les gains de productivité et l</w:t>
            </w:r>
            <w:r w:rsidR="00125408" w:rsidRPr="000229AD">
              <w:rPr>
                <w:lang w:val="fr-FR"/>
              </w:rPr>
              <w:t>'</w:t>
            </w:r>
            <w:r w:rsidR="00642741" w:rsidRPr="000229AD">
              <w:rPr>
                <w:lang w:val="fr-FR"/>
              </w:rPr>
              <w:t>incidence de l</w:t>
            </w:r>
            <w:r w:rsidR="00125408" w:rsidRPr="000229AD">
              <w:rPr>
                <w:lang w:val="fr-FR"/>
              </w:rPr>
              <w:t>'</w:t>
            </w:r>
            <w:r w:rsidR="00642741" w:rsidRPr="000229AD">
              <w:rPr>
                <w:lang w:val="fr-FR"/>
              </w:rPr>
              <w:t>adoption de la 5G dans les secteurs respectifs. Les activités et les politiques des pouvoirs publics en faveur des applications 5G ont également été présentées. Plus de 80 participants de 18 États Membres et parties prenantes y ont participé.</w:t>
            </w:r>
          </w:p>
          <w:p w14:paraId="17BC5EFE" w14:textId="5F99EB04" w:rsidR="00EA2FD3" w:rsidRPr="000229AD" w:rsidRDefault="00C627A0" w:rsidP="00716C22">
            <w:pPr>
              <w:pStyle w:val="Tabletext"/>
              <w:spacing w:before="80" w:after="0"/>
              <w:ind w:left="284" w:hanging="284"/>
              <w:rPr>
                <w:lang w:val="fr-FR"/>
              </w:rPr>
            </w:pPr>
            <w:r w:rsidRPr="000229AD">
              <w:rPr>
                <w:lang w:val="fr-FR"/>
              </w:rPr>
              <w:tab/>
            </w:r>
            <w:r w:rsidR="00EA2FD3" w:rsidRPr="000229AD">
              <w:rPr>
                <w:lang w:val="fr-FR"/>
              </w:rPr>
              <w:t>Dans le cadre du projet conjoint entre l</w:t>
            </w:r>
            <w:r w:rsidR="00125408" w:rsidRPr="000229AD">
              <w:rPr>
                <w:lang w:val="fr-FR"/>
              </w:rPr>
              <w:t>'</w:t>
            </w:r>
            <w:r w:rsidR="00EA2FD3" w:rsidRPr="000229AD">
              <w:rPr>
                <w:lang w:val="fr-FR"/>
              </w:rPr>
              <w:t>UIT et le Ministère des affaires étrangères, du Commonwealth et du développement du Royaume-Uni (UIT-FCDO), une formation a été dispensée en présence du personnel de l</w:t>
            </w:r>
            <w:r w:rsidR="00125408" w:rsidRPr="000229AD">
              <w:rPr>
                <w:lang w:val="fr-FR"/>
              </w:rPr>
              <w:t>'</w:t>
            </w:r>
            <w:r w:rsidR="00EA2FD3" w:rsidRPr="000229AD">
              <w:rPr>
                <w:lang w:val="fr-FR"/>
              </w:rPr>
              <w:t>Agence indonésienne pour l</w:t>
            </w:r>
            <w:r w:rsidR="00125408" w:rsidRPr="000229AD">
              <w:rPr>
                <w:lang w:val="fr-FR"/>
              </w:rPr>
              <w:t>'</w:t>
            </w:r>
            <w:r w:rsidR="00EA2FD3" w:rsidRPr="000229AD">
              <w:rPr>
                <w:lang w:val="fr-FR"/>
              </w:rPr>
              <w:t>accessibilité des télécommunications et de l</w:t>
            </w:r>
            <w:r w:rsidR="00125408" w:rsidRPr="000229AD">
              <w:rPr>
                <w:lang w:val="fr-FR"/>
              </w:rPr>
              <w:t>'</w:t>
            </w:r>
            <w:r w:rsidR="00EA2FD3" w:rsidRPr="000229AD">
              <w:rPr>
                <w:lang w:val="fr-FR"/>
              </w:rPr>
              <w:t>information (BAKTI) sur le Kit pratique sur l</w:t>
            </w:r>
            <w:r w:rsidR="00125408" w:rsidRPr="000229AD">
              <w:rPr>
                <w:lang w:val="fr-FR"/>
              </w:rPr>
              <w:t>'</w:t>
            </w:r>
            <w:r w:rsidR="00EA2FD3" w:rsidRPr="000229AD">
              <w:rPr>
                <w:lang w:val="fr-FR"/>
              </w:rPr>
              <w:t>efficacité du financement du service universel.</w:t>
            </w:r>
          </w:p>
          <w:p w14:paraId="3094EE9F" w14:textId="3E1C17AD" w:rsidR="00EA2FD3" w:rsidRPr="000229AD" w:rsidRDefault="00C627A0" w:rsidP="00716C22">
            <w:pPr>
              <w:pStyle w:val="Tabletext"/>
              <w:spacing w:before="80" w:after="0"/>
              <w:ind w:left="284" w:hanging="284"/>
              <w:rPr>
                <w:lang w:val="fr-FR"/>
              </w:rPr>
            </w:pPr>
            <w:r w:rsidRPr="000229AD">
              <w:rPr>
                <w:lang w:val="fr-FR"/>
              </w:rPr>
              <w:tab/>
            </w:r>
            <w:r w:rsidR="00EA2FD3" w:rsidRPr="000229AD">
              <w:rPr>
                <w:lang w:val="fr-FR"/>
              </w:rPr>
              <w:t>En collaboration avec d</w:t>
            </w:r>
            <w:r w:rsidR="00125408" w:rsidRPr="000229AD">
              <w:rPr>
                <w:lang w:val="fr-FR"/>
              </w:rPr>
              <w:t>'</w:t>
            </w:r>
            <w:r w:rsidR="00EA2FD3" w:rsidRPr="000229AD">
              <w:rPr>
                <w:lang w:val="fr-FR"/>
              </w:rPr>
              <w:t>autres organismes et partenaires, le BDT a organisé des manifestations dans le cadre de la Journée internationale des jeunes filles dans le secteur des TIC aux Fidji, en Indonésie, à Kiribati, en Micronésie, à Nauru, au Pakistan, aux Philippines, en Thaïlande, au Timor-Leste, aux Tonga et dans les pays membres de l</w:t>
            </w:r>
            <w:r w:rsidR="00125408" w:rsidRPr="000229AD">
              <w:rPr>
                <w:lang w:val="fr-FR"/>
              </w:rPr>
              <w:t>'</w:t>
            </w:r>
            <w:r w:rsidR="00EA2FD3" w:rsidRPr="000229AD">
              <w:rPr>
                <w:lang w:val="fr-FR"/>
              </w:rPr>
              <w:t>ASEAN, avec l</w:t>
            </w:r>
            <w:r w:rsidR="00125408" w:rsidRPr="000229AD">
              <w:rPr>
                <w:lang w:val="fr-FR"/>
              </w:rPr>
              <w:t>'</w:t>
            </w:r>
            <w:r w:rsidR="00EA2FD3" w:rsidRPr="000229AD">
              <w:rPr>
                <w:lang w:val="fr-FR"/>
              </w:rPr>
              <w:t>objectif de contribuer à la mise en œuvre de programmes de formation aux compétences numériques et d</w:t>
            </w:r>
            <w:r w:rsidR="00125408" w:rsidRPr="000229AD">
              <w:rPr>
                <w:lang w:val="fr-FR"/>
              </w:rPr>
              <w:t>'</w:t>
            </w:r>
            <w:r w:rsidR="00EA2FD3" w:rsidRPr="000229AD">
              <w:rPr>
                <w:lang w:val="fr-FR"/>
              </w:rPr>
              <w:t>autres activités connexes en faveur des filles et des jeunes femmes de la région. Ces manifestations ont attiré plus de 2 200 participants, dont des filles, des jeunes femmes et des enseignants, qui ont pris part à 63 programmes de formation aux compétences numériques et à des activités s</w:t>
            </w:r>
            <w:r w:rsidR="00125408" w:rsidRPr="000229AD">
              <w:rPr>
                <w:lang w:val="fr-FR"/>
              </w:rPr>
              <w:t>'</w:t>
            </w:r>
            <w:r w:rsidR="00EA2FD3" w:rsidRPr="000229AD">
              <w:rPr>
                <w:lang w:val="fr-FR"/>
              </w:rPr>
              <w:t>y rapportant dans le cadre de la Journée internationale des jeunes filles dans le secteur des TIC, qui s</w:t>
            </w:r>
            <w:r w:rsidR="00125408" w:rsidRPr="000229AD">
              <w:rPr>
                <w:lang w:val="fr-FR"/>
              </w:rPr>
              <w:t>'</w:t>
            </w:r>
            <w:r w:rsidR="00EA2FD3" w:rsidRPr="000229AD">
              <w:rPr>
                <w:lang w:val="fr-FR"/>
              </w:rPr>
              <w:t>est déroulée du 27 avril au 17 novembre 2023. Ces activités ont demandé des échanges avec les responsables des questions de genre et ont été réalisées grâce à la collaboration de plus de 100 partenaires issus des secteurs public et privé, d</w:t>
            </w:r>
            <w:r w:rsidR="00125408" w:rsidRPr="000229AD">
              <w:rPr>
                <w:lang w:val="fr-FR"/>
              </w:rPr>
              <w:t>'</w:t>
            </w:r>
            <w:r w:rsidR="00EA2FD3" w:rsidRPr="000229AD">
              <w:rPr>
                <w:lang w:val="fr-FR"/>
              </w:rPr>
              <w:t>organismes des Nations Unies, d</w:t>
            </w:r>
            <w:r w:rsidR="00125408" w:rsidRPr="000229AD">
              <w:rPr>
                <w:lang w:val="fr-FR"/>
              </w:rPr>
              <w:t>'</w:t>
            </w:r>
            <w:r w:rsidR="00EA2FD3" w:rsidRPr="000229AD">
              <w:rPr>
                <w:lang w:val="fr-FR"/>
              </w:rPr>
              <w:t>universités et d</w:t>
            </w:r>
            <w:r w:rsidR="00125408" w:rsidRPr="000229AD">
              <w:rPr>
                <w:lang w:val="fr-FR"/>
              </w:rPr>
              <w:t>'</w:t>
            </w:r>
            <w:r w:rsidR="00EA2FD3" w:rsidRPr="000229AD">
              <w:rPr>
                <w:lang w:val="fr-FR"/>
              </w:rPr>
              <w:t>organisations de la société civile.</w:t>
            </w:r>
          </w:p>
          <w:p w14:paraId="5C931404" w14:textId="344C385D" w:rsidR="00EA2FD3" w:rsidRPr="000229AD" w:rsidRDefault="00EA2FD3" w:rsidP="00716C22">
            <w:pPr>
              <w:pStyle w:val="enumlev1"/>
              <w:ind w:left="312" w:hanging="312"/>
              <w:rPr>
                <w:sz w:val="22"/>
                <w:lang w:val="fr-FR"/>
              </w:rPr>
            </w:pPr>
            <w:r w:rsidRPr="000229AD">
              <w:rPr>
                <w:lang w:val="fr-FR"/>
              </w:rPr>
              <w:t>•</w:t>
            </w:r>
            <w:r w:rsidRPr="000229AD">
              <w:rPr>
                <w:sz w:val="22"/>
                <w:lang w:val="fr-FR"/>
              </w:rPr>
              <w:tab/>
            </w:r>
            <w:r w:rsidRPr="000229AD">
              <w:rPr>
                <w:b/>
                <w:bCs/>
                <w:sz w:val="22"/>
                <w:lang w:val="fr-FR"/>
              </w:rPr>
              <w:t>Dans la région de la CEI</w:t>
            </w:r>
            <w:r w:rsidR="00BC0512" w:rsidRPr="000229AD">
              <w:rPr>
                <w:sz w:val="22"/>
                <w:lang w:val="fr-FR"/>
              </w:rPr>
              <w:t>,</w:t>
            </w:r>
            <w:r w:rsidRPr="000229AD">
              <w:rPr>
                <w:sz w:val="22"/>
                <w:lang w:val="fr-FR"/>
              </w:rPr>
              <w:t xml:space="preserve"> le BDT a aidé l</w:t>
            </w:r>
            <w:r w:rsidR="00125408" w:rsidRPr="000229AD">
              <w:rPr>
                <w:sz w:val="22"/>
                <w:lang w:val="fr-FR"/>
              </w:rPr>
              <w:t>'</w:t>
            </w:r>
            <w:r w:rsidRPr="000229AD">
              <w:rPr>
                <w:sz w:val="22"/>
                <w:lang w:val="fr-FR"/>
              </w:rPr>
              <w:t>Azerbaïdjan à réaliser une évaluation de la maîtrise des outils numériques sur l</w:t>
            </w:r>
            <w:r w:rsidR="00125408" w:rsidRPr="000229AD">
              <w:rPr>
                <w:sz w:val="22"/>
                <w:lang w:val="fr-FR"/>
              </w:rPr>
              <w:t>'</w:t>
            </w:r>
            <w:r w:rsidRPr="000229AD">
              <w:rPr>
                <w:sz w:val="22"/>
                <w:lang w:val="fr-FR"/>
              </w:rPr>
              <w:t>ensemble de son territoire à travers une enquête auprès des ménages, couvrant des catégories bien définies (étudiants et universitaires, secteur privé, secteur public). L</w:t>
            </w:r>
            <w:r w:rsidR="00125408" w:rsidRPr="000229AD">
              <w:rPr>
                <w:sz w:val="22"/>
                <w:lang w:val="fr-FR"/>
              </w:rPr>
              <w:t>'</w:t>
            </w:r>
            <w:r w:rsidRPr="000229AD">
              <w:rPr>
                <w:sz w:val="22"/>
                <w:lang w:val="fr-FR"/>
              </w:rPr>
              <w:t>enquête a porté sur près de 35 000 personnes faisant partie d</w:t>
            </w:r>
            <w:r w:rsidR="00125408" w:rsidRPr="000229AD">
              <w:rPr>
                <w:sz w:val="22"/>
                <w:lang w:val="fr-FR"/>
              </w:rPr>
              <w:t>'</w:t>
            </w:r>
            <w:r w:rsidRPr="000229AD">
              <w:rPr>
                <w:sz w:val="22"/>
                <w:lang w:val="fr-FR"/>
              </w:rPr>
              <w:t xml:space="preserve">un échantillon </w:t>
            </w:r>
            <w:r w:rsidRPr="000229AD">
              <w:rPr>
                <w:sz w:val="22"/>
                <w:lang w:val="fr-FR"/>
              </w:rPr>
              <w:lastRenderedPageBreak/>
              <w:t>aléatoire de ménages issus de 13 régions économiques de l</w:t>
            </w:r>
            <w:r w:rsidR="00125408" w:rsidRPr="000229AD">
              <w:rPr>
                <w:sz w:val="22"/>
                <w:lang w:val="fr-FR"/>
              </w:rPr>
              <w:t>'</w:t>
            </w:r>
            <w:r w:rsidRPr="000229AD">
              <w:rPr>
                <w:sz w:val="22"/>
                <w:lang w:val="fr-FR"/>
              </w:rPr>
              <w:t>Azerbaïdjan. En outre, des enquêtes en ligne distinctes ont été menées auprès de groupes cibles tels que le personnel des entreprises privées (1 116) et des organismes publics (679), ainsi que les étudiants (6 372) et le personnel enseignant (886) des établissements d</w:t>
            </w:r>
            <w:r w:rsidR="00125408" w:rsidRPr="000229AD">
              <w:rPr>
                <w:sz w:val="22"/>
                <w:lang w:val="fr-FR"/>
              </w:rPr>
              <w:t>'</w:t>
            </w:r>
            <w:r w:rsidRPr="000229AD">
              <w:rPr>
                <w:sz w:val="22"/>
                <w:lang w:val="fr-FR"/>
              </w:rPr>
              <w:t>enseignement supérieur. Cette évaluation avait pour but d</w:t>
            </w:r>
            <w:r w:rsidR="00125408" w:rsidRPr="000229AD">
              <w:rPr>
                <w:sz w:val="22"/>
                <w:lang w:val="fr-FR"/>
              </w:rPr>
              <w:t>'</w:t>
            </w:r>
            <w:r w:rsidRPr="000229AD">
              <w:rPr>
                <w:sz w:val="22"/>
                <w:lang w:val="fr-FR"/>
              </w:rPr>
              <w:t>alimenter la conception d</w:t>
            </w:r>
            <w:r w:rsidR="00125408" w:rsidRPr="000229AD">
              <w:rPr>
                <w:sz w:val="22"/>
                <w:lang w:val="fr-FR"/>
              </w:rPr>
              <w:t>'</w:t>
            </w:r>
            <w:r w:rsidRPr="000229AD">
              <w:rPr>
                <w:sz w:val="22"/>
                <w:lang w:val="fr-FR"/>
              </w:rPr>
              <w:t>interventions ciblées et fondées sur des données visant à améliorer les habiletés numériques pour répondre aux besoins des pouvoirs publics. L</w:t>
            </w:r>
            <w:r w:rsidR="00125408" w:rsidRPr="000229AD">
              <w:rPr>
                <w:sz w:val="22"/>
                <w:lang w:val="fr-FR"/>
              </w:rPr>
              <w:t>'</w:t>
            </w:r>
            <w:r w:rsidRPr="000229AD">
              <w:rPr>
                <w:sz w:val="22"/>
                <w:lang w:val="fr-FR"/>
              </w:rPr>
              <w:t>enquête peut également servir de modèle pour une évaluation plus fréquente de la culture numérique des citoyens azerbaïdjanais et pourrait être reproduite. Les Recommandations issues de l</w:t>
            </w:r>
            <w:r w:rsidR="00125408" w:rsidRPr="000229AD">
              <w:rPr>
                <w:sz w:val="22"/>
                <w:lang w:val="fr-FR"/>
              </w:rPr>
              <w:t>'</w:t>
            </w:r>
            <w:r w:rsidRPr="000229AD">
              <w:rPr>
                <w:b/>
                <w:bCs/>
                <w:sz w:val="22"/>
                <w:lang w:val="fr-FR"/>
              </w:rPr>
              <w:t>enquête</w:t>
            </w:r>
            <w:r w:rsidRPr="000229AD">
              <w:rPr>
                <w:sz w:val="22"/>
                <w:lang w:val="fr-FR"/>
              </w:rPr>
              <w:t xml:space="preserve"> permettront au Gouvernement azerbaïdjanais de concevoir et de planifier des interventions, des politiques ou des stratégies pertinentes au niveau national ou régional, y compris des activités spécifiques selon les secteurs, des campagnes de sensibilisation et des activités de plaidoyer. Le rapport d</w:t>
            </w:r>
            <w:r w:rsidR="00125408" w:rsidRPr="000229AD">
              <w:rPr>
                <w:sz w:val="22"/>
                <w:lang w:val="fr-FR"/>
              </w:rPr>
              <w:t>'</w:t>
            </w:r>
            <w:r w:rsidRPr="000229AD">
              <w:rPr>
                <w:sz w:val="22"/>
                <w:lang w:val="fr-FR"/>
              </w:rPr>
              <w:t>évaluation devant être achevé début mai 2024, l</w:t>
            </w:r>
            <w:r w:rsidR="00125408" w:rsidRPr="000229AD">
              <w:rPr>
                <w:sz w:val="22"/>
                <w:lang w:val="fr-FR"/>
              </w:rPr>
              <w:t>'</w:t>
            </w:r>
            <w:r w:rsidRPr="000229AD">
              <w:rPr>
                <w:sz w:val="22"/>
                <w:lang w:val="fr-FR"/>
              </w:rPr>
              <w:t>Azerbaïdjan sera le premier pays de la région à avoir adopté la nouvelle méthodologie de l</w:t>
            </w:r>
            <w:r w:rsidR="00125408" w:rsidRPr="000229AD">
              <w:rPr>
                <w:sz w:val="22"/>
                <w:lang w:val="fr-FR"/>
              </w:rPr>
              <w:t>'</w:t>
            </w:r>
            <w:r w:rsidRPr="000229AD">
              <w:rPr>
                <w:sz w:val="22"/>
                <w:lang w:val="fr-FR"/>
              </w:rPr>
              <w:t>UIT sur les compétences numériques.</w:t>
            </w:r>
          </w:p>
          <w:p w14:paraId="1173B785" w14:textId="09BAD640" w:rsidR="00EA2FD3" w:rsidRPr="000229AD" w:rsidRDefault="00EA2FD3" w:rsidP="00716C22">
            <w:pPr>
              <w:pStyle w:val="enumlev1"/>
              <w:ind w:left="312" w:hanging="312"/>
              <w:rPr>
                <w:sz w:val="22"/>
                <w:lang w:val="fr-FR"/>
              </w:rPr>
            </w:pPr>
            <w:r w:rsidRPr="000229AD">
              <w:rPr>
                <w:sz w:val="22"/>
                <w:lang w:val="fr-FR"/>
              </w:rPr>
              <w:t>•</w:t>
            </w:r>
            <w:r w:rsidRPr="000229AD">
              <w:rPr>
                <w:sz w:val="22"/>
                <w:lang w:val="fr-FR"/>
              </w:rPr>
              <w:tab/>
            </w:r>
            <w:r w:rsidRPr="000229AD">
              <w:rPr>
                <w:b/>
                <w:bCs/>
                <w:sz w:val="22"/>
                <w:lang w:val="fr-FR"/>
              </w:rPr>
              <w:t>Dans la région Europe</w:t>
            </w:r>
            <w:r w:rsidR="00BC0512" w:rsidRPr="000229AD">
              <w:rPr>
                <w:sz w:val="22"/>
                <w:lang w:val="fr-FR"/>
              </w:rPr>
              <w:t>,</w:t>
            </w:r>
            <w:r w:rsidRPr="000229AD">
              <w:rPr>
                <w:sz w:val="22"/>
                <w:lang w:val="fr-FR"/>
              </w:rPr>
              <w:t xml:space="preserve"> en Albanie, l</w:t>
            </w:r>
            <w:r w:rsidR="00125408" w:rsidRPr="000229AD">
              <w:rPr>
                <w:sz w:val="22"/>
                <w:lang w:val="fr-FR"/>
              </w:rPr>
              <w:t>'</w:t>
            </w:r>
            <w:r w:rsidRPr="000229AD">
              <w:rPr>
                <w:sz w:val="22"/>
                <w:lang w:val="fr-FR"/>
              </w:rPr>
              <w:t>évaluation des compétences numériques axée sur les personnes âgées a fourni des informations précieuses sur le niveau de compétence et les défis de cette population et a permis de définir les formations techniques nécessaires. Cette initiative a mobilisé 467 participants et a permis d</w:t>
            </w:r>
            <w:r w:rsidR="00125408" w:rsidRPr="000229AD">
              <w:rPr>
                <w:sz w:val="22"/>
                <w:lang w:val="fr-FR"/>
              </w:rPr>
              <w:t>'</w:t>
            </w:r>
            <w:r w:rsidRPr="000229AD">
              <w:rPr>
                <w:sz w:val="22"/>
                <w:lang w:val="fr-FR"/>
              </w:rPr>
              <w:t>éclairer les décisions politiques et les stratégies d</w:t>
            </w:r>
            <w:r w:rsidR="00125408" w:rsidRPr="000229AD">
              <w:rPr>
                <w:sz w:val="22"/>
                <w:lang w:val="fr-FR"/>
              </w:rPr>
              <w:t>'</w:t>
            </w:r>
            <w:r w:rsidRPr="000229AD">
              <w:rPr>
                <w:sz w:val="22"/>
                <w:lang w:val="fr-FR"/>
              </w:rPr>
              <w:t>intervention visant à réduire la fracture numérique, en particulier en ce qui concerne les facteurs liés à l</w:t>
            </w:r>
            <w:r w:rsidR="00125408" w:rsidRPr="000229AD">
              <w:rPr>
                <w:sz w:val="22"/>
                <w:lang w:val="fr-FR"/>
              </w:rPr>
              <w:t>'</w:t>
            </w:r>
            <w:r w:rsidRPr="000229AD">
              <w:rPr>
                <w:sz w:val="22"/>
                <w:lang w:val="fr-FR"/>
              </w:rPr>
              <w:t>âge. En outre, il a renforcé l</w:t>
            </w:r>
            <w:r w:rsidR="00125408" w:rsidRPr="000229AD">
              <w:rPr>
                <w:sz w:val="22"/>
                <w:lang w:val="fr-FR"/>
              </w:rPr>
              <w:t>'</w:t>
            </w:r>
            <w:r w:rsidRPr="000229AD">
              <w:rPr>
                <w:sz w:val="22"/>
                <w:lang w:val="fr-FR"/>
              </w:rPr>
              <w:t>engagement du Gouvernement à l</w:t>
            </w:r>
            <w:r w:rsidR="00125408" w:rsidRPr="000229AD">
              <w:rPr>
                <w:sz w:val="22"/>
                <w:lang w:val="fr-FR"/>
              </w:rPr>
              <w:t>'</w:t>
            </w:r>
            <w:r w:rsidRPr="000229AD">
              <w:rPr>
                <w:sz w:val="22"/>
                <w:lang w:val="fr-FR"/>
              </w:rPr>
              <w:t>égard de l</w:t>
            </w:r>
            <w:r w:rsidR="00125408" w:rsidRPr="000229AD">
              <w:rPr>
                <w:sz w:val="22"/>
                <w:lang w:val="fr-FR"/>
              </w:rPr>
              <w:t>'</w:t>
            </w:r>
            <w:r w:rsidRPr="000229AD">
              <w:rPr>
                <w:sz w:val="22"/>
                <w:lang w:val="fr-FR"/>
              </w:rPr>
              <w:t>inclusion en mettant l</w:t>
            </w:r>
            <w:r w:rsidR="00125408" w:rsidRPr="000229AD">
              <w:rPr>
                <w:sz w:val="22"/>
                <w:lang w:val="fr-FR"/>
              </w:rPr>
              <w:t>'</w:t>
            </w:r>
            <w:r w:rsidRPr="000229AD">
              <w:rPr>
                <w:sz w:val="22"/>
                <w:lang w:val="fr-FR"/>
              </w:rPr>
              <w:t>accent sur le soutien à tous les segments de la société.</w:t>
            </w:r>
          </w:p>
          <w:p w14:paraId="2D3383B2" w14:textId="33D1FC3A" w:rsidR="00642741" w:rsidRPr="000229AD" w:rsidRDefault="00C627A0" w:rsidP="00716C22">
            <w:pPr>
              <w:pStyle w:val="Tabletext"/>
              <w:spacing w:before="80"/>
              <w:ind w:left="284" w:hanging="284"/>
              <w:rPr>
                <w:rFonts w:eastAsia="Times New Roman"/>
                <w:lang w:val="fr-FR"/>
              </w:rPr>
            </w:pPr>
            <w:r w:rsidRPr="000229AD">
              <w:rPr>
                <w:lang w:val="fr-FR"/>
              </w:rPr>
              <w:tab/>
            </w:r>
            <w:r w:rsidR="00EA2FD3" w:rsidRPr="000229AD">
              <w:rPr>
                <w:lang w:val="fr-FR"/>
              </w:rPr>
              <w:t>Un recueil de connaissances, d</w:t>
            </w:r>
            <w:r w:rsidR="00125408" w:rsidRPr="000229AD">
              <w:rPr>
                <w:lang w:val="fr-FR"/>
              </w:rPr>
              <w:t>'</w:t>
            </w:r>
            <w:r w:rsidR="00EA2FD3" w:rsidRPr="000229AD">
              <w:rPr>
                <w:lang w:val="fr-FR"/>
              </w:rPr>
              <w:t>éducation et de compétences numériques pour l</w:t>
            </w:r>
            <w:r w:rsidR="00125408" w:rsidRPr="000229AD">
              <w:rPr>
                <w:lang w:val="fr-FR"/>
              </w:rPr>
              <w:t>'</w:t>
            </w:r>
            <w:r w:rsidR="00EA2FD3" w:rsidRPr="000229AD">
              <w:rPr>
                <w:lang w:val="fr-FR"/>
              </w:rPr>
              <w:t>Europe et l</w:t>
            </w:r>
            <w:r w:rsidR="00125408" w:rsidRPr="000229AD">
              <w:rPr>
                <w:lang w:val="fr-FR"/>
              </w:rPr>
              <w:t>'</w:t>
            </w:r>
            <w:r w:rsidR="00EA2FD3" w:rsidRPr="000229AD">
              <w:rPr>
                <w:lang w:val="fr-FR"/>
              </w:rPr>
              <w:t>Asie centrale a été créé avec l</w:t>
            </w:r>
            <w:r w:rsidR="00125408" w:rsidRPr="000229AD">
              <w:rPr>
                <w:lang w:val="fr-FR"/>
              </w:rPr>
              <w:t>'</w:t>
            </w:r>
            <w:r w:rsidR="00EA2FD3" w:rsidRPr="000229AD">
              <w:rPr>
                <w:lang w:val="fr-FR"/>
              </w:rPr>
              <w:t>appui et les contributions du Groupe de la transformation numérique pour l</w:t>
            </w:r>
            <w:r w:rsidR="00125408" w:rsidRPr="000229AD">
              <w:rPr>
                <w:lang w:val="fr-FR"/>
              </w:rPr>
              <w:t>'</w:t>
            </w:r>
            <w:r w:rsidR="00EA2FD3" w:rsidRPr="000229AD">
              <w:rPr>
                <w:lang w:val="fr-FR"/>
              </w:rPr>
              <w:t>Europe et l</w:t>
            </w:r>
            <w:r w:rsidR="00125408" w:rsidRPr="000229AD">
              <w:rPr>
                <w:lang w:val="fr-FR"/>
              </w:rPr>
              <w:t>'</w:t>
            </w:r>
            <w:r w:rsidR="00EA2FD3" w:rsidRPr="000229AD">
              <w:rPr>
                <w:lang w:val="fr-FR"/>
              </w:rPr>
              <w:t>Asie centrale, en coopération avec le BDT à travers le Bureau de l</w:t>
            </w:r>
            <w:r w:rsidR="00125408" w:rsidRPr="000229AD">
              <w:rPr>
                <w:lang w:val="fr-FR"/>
              </w:rPr>
              <w:t>'</w:t>
            </w:r>
            <w:r w:rsidR="00EA2FD3" w:rsidRPr="000229AD">
              <w:rPr>
                <w:lang w:val="fr-FR"/>
              </w:rPr>
              <w:t>UIT pour l</w:t>
            </w:r>
            <w:r w:rsidR="00125408" w:rsidRPr="000229AD">
              <w:rPr>
                <w:lang w:val="fr-FR"/>
              </w:rPr>
              <w:t>'</w:t>
            </w:r>
            <w:r w:rsidR="00EA2FD3" w:rsidRPr="000229AD">
              <w:rPr>
                <w:lang w:val="fr-FR"/>
              </w:rPr>
              <w:t>Europe, dans le cadre de l</w:t>
            </w:r>
            <w:r w:rsidR="00125408" w:rsidRPr="000229AD">
              <w:rPr>
                <w:lang w:val="fr-FR"/>
              </w:rPr>
              <w:t>'</w:t>
            </w:r>
            <w:r w:rsidR="00EA2FD3" w:rsidRPr="000229AD">
              <w:rPr>
                <w:lang w:val="fr-FR"/>
              </w:rPr>
              <w:t>Initiative régionale de l</w:t>
            </w:r>
            <w:r w:rsidR="00125408" w:rsidRPr="000229AD">
              <w:rPr>
                <w:lang w:val="fr-FR"/>
              </w:rPr>
              <w:t>'</w:t>
            </w:r>
            <w:r w:rsidR="00EA2FD3" w:rsidRPr="000229AD">
              <w:rPr>
                <w:lang w:val="fr-FR"/>
              </w:rPr>
              <w:t>UIT pour l</w:t>
            </w:r>
            <w:r w:rsidR="00125408" w:rsidRPr="000229AD">
              <w:rPr>
                <w:lang w:val="fr-FR"/>
              </w:rPr>
              <w:t>'</w:t>
            </w:r>
            <w:r w:rsidR="00EA2FD3" w:rsidRPr="000229AD">
              <w:rPr>
                <w:lang w:val="fr-FR"/>
              </w:rPr>
              <w:t>Europe intitulée "Accessibilité, y</w:t>
            </w:r>
            <w:r w:rsidRPr="000229AD">
              <w:rPr>
                <w:lang w:val="fr-FR"/>
              </w:rPr>
              <w:t> </w:t>
            </w:r>
            <w:r w:rsidR="00EA2FD3" w:rsidRPr="000229AD">
              <w:rPr>
                <w:lang w:val="fr-FR"/>
              </w:rPr>
              <w:t>compris financière, et renforcement des capacités pour tous dans l</w:t>
            </w:r>
            <w:r w:rsidR="00125408" w:rsidRPr="000229AD">
              <w:rPr>
                <w:lang w:val="fr-FR"/>
              </w:rPr>
              <w:t>'</w:t>
            </w:r>
            <w:r w:rsidR="00EA2FD3" w:rsidRPr="000229AD">
              <w:rPr>
                <w:lang w:val="fr-FR"/>
              </w:rPr>
              <w:t>optique de l</w:t>
            </w:r>
            <w:r w:rsidR="00125408" w:rsidRPr="000229AD">
              <w:rPr>
                <w:lang w:val="fr-FR"/>
              </w:rPr>
              <w:t>'</w:t>
            </w:r>
            <w:r w:rsidR="00EA2FD3" w:rsidRPr="000229AD">
              <w:rPr>
                <w:lang w:val="fr-FR"/>
              </w:rPr>
              <w:t>inclusion numérique et du développement durable".</w:t>
            </w:r>
          </w:p>
        </w:tc>
        <w:tc>
          <w:tcPr>
            <w:tcW w:w="2970" w:type="dxa"/>
          </w:tcPr>
          <w:p w14:paraId="2C500082" w14:textId="7CD7BFF2" w:rsidR="00613FEE" w:rsidRPr="000229AD" w:rsidRDefault="00642741" w:rsidP="00716C22">
            <w:pPr>
              <w:pStyle w:val="Tabletext"/>
              <w:spacing w:before="120"/>
              <w:rPr>
                <w:b/>
                <w:bCs/>
                <w:lang w:val="fr-FR"/>
              </w:rPr>
            </w:pPr>
            <w:r w:rsidRPr="000229AD">
              <w:rPr>
                <w:b/>
                <w:bCs/>
                <w:lang w:val="fr-FR"/>
              </w:rPr>
              <w:lastRenderedPageBreak/>
              <w:t>Renforcement des capacités:</w:t>
            </w:r>
          </w:p>
        </w:tc>
      </w:tr>
      <w:tr w:rsidR="00642741" w:rsidRPr="000229AD" w14:paraId="6C269AC3" w14:textId="77777777" w:rsidTr="00565E7A">
        <w:tc>
          <w:tcPr>
            <w:tcW w:w="11880" w:type="dxa"/>
            <w:gridSpan w:val="2"/>
            <w:vMerge/>
          </w:tcPr>
          <w:p w14:paraId="1A50E07A" w14:textId="77777777" w:rsidR="00642741" w:rsidRPr="000229AD" w:rsidRDefault="00642741" w:rsidP="00716C22">
            <w:pPr>
              <w:pStyle w:val="Tabletext"/>
              <w:spacing w:before="120"/>
              <w:rPr>
                <w:rFonts w:cs="Calibri"/>
                <w:lang w:val="fr-FR"/>
              </w:rPr>
            </w:pPr>
          </w:p>
        </w:tc>
        <w:tc>
          <w:tcPr>
            <w:tcW w:w="2970" w:type="dxa"/>
            <w:shd w:val="clear" w:color="auto" w:fill="auto"/>
          </w:tcPr>
          <w:p w14:paraId="18CAAEFE" w14:textId="5BBAE4BC" w:rsidR="00613FEE" w:rsidRPr="000229AD" w:rsidRDefault="00642741" w:rsidP="00716C22">
            <w:pPr>
              <w:pStyle w:val="Tabletext"/>
              <w:spacing w:before="120"/>
              <w:rPr>
                <w:b/>
                <w:bCs/>
                <w:lang w:val="fr-FR"/>
              </w:rPr>
            </w:pPr>
            <w:r w:rsidRPr="000229AD">
              <w:rPr>
                <w:b/>
                <w:bCs/>
                <w:lang w:val="fr-FR"/>
              </w:rPr>
              <w:t>Académie de l</w:t>
            </w:r>
            <w:r w:rsidR="00125408" w:rsidRPr="000229AD">
              <w:rPr>
                <w:b/>
                <w:bCs/>
                <w:lang w:val="fr-FR"/>
              </w:rPr>
              <w:t>'</w:t>
            </w:r>
            <w:r w:rsidRPr="000229AD">
              <w:rPr>
                <w:b/>
                <w:bCs/>
                <w:lang w:val="fr-FR"/>
              </w:rPr>
              <w:t>UIT:</w:t>
            </w:r>
          </w:p>
          <w:p w14:paraId="27453E12" w14:textId="16908C4E" w:rsidR="00642741" w:rsidRPr="000229AD" w:rsidRDefault="00613FEE" w:rsidP="00716C22">
            <w:pPr>
              <w:pStyle w:val="Tabletext"/>
              <w:keepLines/>
              <w:pageBreakBefore/>
              <w:tabs>
                <w:tab w:val="clear" w:pos="284"/>
              </w:tabs>
              <w:spacing w:before="80" w:after="0"/>
              <w:ind w:left="312" w:hanging="312"/>
              <w:rPr>
                <w:lang w:val="fr-FR"/>
              </w:rPr>
            </w:pPr>
            <w:r w:rsidRPr="000229AD">
              <w:rPr>
                <w:lang w:val="fr-FR"/>
              </w:rPr>
              <w:t>–</w:t>
            </w:r>
            <w:r w:rsidRPr="000229AD">
              <w:rPr>
                <w:lang w:val="fr-FR"/>
              </w:rPr>
              <w:tab/>
            </w:r>
            <w:r w:rsidR="00642741" w:rsidRPr="000229AD">
              <w:rPr>
                <w:lang w:val="fr-FR"/>
              </w:rPr>
              <w:t>Plus de 7</w:t>
            </w:r>
            <w:r w:rsidRPr="000229AD">
              <w:rPr>
                <w:lang w:val="fr-FR"/>
              </w:rPr>
              <w:t> </w:t>
            </w:r>
            <w:r w:rsidR="00642741" w:rsidRPr="000229AD">
              <w:rPr>
                <w:lang w:val="fr-FR"/>
              </w:rPr>
              <w:t>800 nouveaux utilisateurs.</w:t>
            </w:r>
          </w:p>
          <w:p w14:paraId="266AFEC0" w14:textId="42634282" w:rsidR="00642741" w:rsidRPr="000229AD" w:rsidRDefault="00613FEE" w:rsidP="00716C22">
            <w:pPr>
              <w:pStyle w:val="Tabletext"/>
              <w:keepLines/>
              <w:pageBreakBefore/>
              <w:tabs>
                <w:tab w:val="clear" w:pos="284"/>
              </w:tabs>
              <w:spacing w:before="80" w:after="0"/>
              <w:ind w:left="312" w:hanging="312"/>
              <w:rPr>
                <w:lang w:val="fr-FR"/>
              </w:rPr>
            </w:pPr>
            <w:r w:rsidRPr="000229AD">
              <w:rPr>
                <w:lang w:val="fr-FR"/>
              </w:rPr>
              <w:t>–</w:t>
            </w:r>
            <w:r w:rsidRPr="000229AD">
              <w:rPr>
                <w:lang w:val="fr-FR"/>
              </w:rPr>
              <w:tab/>
            </w:r>
            <w:r w:rsidR="00642741" w:rsidRPr="000229AD">
              <w:rPr>
                <w:lang w:val="fr-FR"/>
              </w:rPr>
              <w:t>Plus de 130 cours dispensés.</w:t>
            </w:r>
          </w:p>
          <w:p w14:paraId="71BBC6CA" w14:textId="2AEA8D67" w:rsidR="00642741" w:rsidRPr="000229AD" w:rsidRDefault="00613FEE" w:rsidP="00716C22">
            <w:pPr>
              <w:pStyle w:val="Tabletext"/>
              <w:keepLines/>
              <w:pageBreakBefore/>
              <w:tabs>
                <w:tab w:val="clear" w:pos="284"/>
              </w:tabs>
              <w:spacing w:before="80" w:after="0"/>
              <w:ind w:left="312" w:hanging="312"/>
              <w:rPr>
                <w:lang w:val="fr-FR"/>
              </w:rPr>
            </w:pPr>
            <w:r w:rsidRPr="000229AD">
              <w:rPr>
                <w:lang w:val="fr-FR"/>
              </w:rPr>
              <w:t>–</w:t>
            </w:r>
            <w:r w:rsidRPr="000229AD">
              <w:rPr>
                <w:lang w:val="fr-FR"/>
              </w:rPr>
              <w:tab/>
            </w:r>
            <w:r w:rsidR="00642741" w:rsidRPr="000229AD">
              <w:rPr>
                <w:lang w:val="fr-FR"/>
              </w:rPr>
              <w:t>13 centres de formation de l</w:t>
            </w:r>
            <w:r w:rsidR="00125408" w:rsidRPr="000229AD">
              <w:rPr>
                <w:lang w:val="fr-FR"/>
              </w:rPr>
              <w:t>'</w:t>
            </w:r>
            <w:r w:rsidR="00642741" w:rsidRPr="000229AD">
              <w:rPr>
                <w:lang w:val="fr-FR"/>
              </w:rPr>
              <w:t>Académie de l</w:t>
            </w:r>
            <w:r w:rsidR="00125408" w:rsidRPr="000229AD">
              <w:rPr>
                <w:lang w:val="fr-FR"/>
              </w:rPr>
              <w:t>'</w:t>
            </w:r>
            <w:r w:rsidR="00642741" w:rsidRPr="000229AD">
              <w:rPr>
                <w:lang w:val="fr-FR"/>
              </w:rPr>
              <w:t>UIT offrant des cours de haute qualité dans toutes les régions.</w:t>
            </w:r>
          </w:p>
          <w:p w14:paraId="4BC638AE" w14:textId="31AC66BE" w:rsidR="00642741" w:rsidRPr="000229AD" w:rsidRDefault="00613FEE" w:rsidP="00716C22">
            <w:pPr>
              <w:pStyle w:val="Tabletext"/>
              <w:keepLines/>
              <w:pageBreakBefore/>
              <w:tabs>
                <w:tab w:val="clear" w:pos="284"/>
              </w:tabs>
              <w:spacing w:before="80" w:after="0"/>
              <w:ind w:left="312" w:hanging="312"/>
              <w:rPr>
                <w:lang w:val="fr-FR"/>
              </w:rPr>
            </w:pPr>
            <w:r w:rsidRPr="000229AD">
              <w:rPr>
                <w:lang w:val="fr-FR"/>
              </w:rPr>
              <w:t>–</w:t>
            </w:r>
            <w:r w:rsidRPr="000229AD">
              <w:rPr>
                <w:lang w:val="fr-FR"/>
              </w:rPr>
              <w:tab/>
            </w:r>
            <w:r w:rsidR="00642741" w:rsidRPr="000229AD">
              <w:rPr>
                <w:lang w:val="fr-FR"/>
              </w:rPr>
              <w:t>Tous les États Membres de l</w:t>
            </w:r>
            <w:r w:rsidR="00125408" w:rsidRPr="000229AD">
              <w:rPr>
                <w:lang w:val="fr-FR"/>
              </w:rPr>
              <w:t>'</w:t>
            </w:r>
            <w:r w:rsidR="00642741" w:rsidRPr="000229AD">
              <w:rPr>
                <w:lang w:val="fr-FR"/>
              </w:rPr>
              <w:t>UIT ont bénéficié de cours de formation.</w:t>
            </w:r>
          </w:p>
          <w:p w14:paraId="0E794A73" w14:textId="7B234209" w:rsidR="00642741" w:rsidRPr="000229AD" w:rsidRDefault="00613FEE" w:rsidP="00716C22">
            <w:pPr>
              <w:pStyle w:val="Tabletext"/>
              <w:keepLines/>
              <w:pageBreakBefore/>
              <w:tabs>
                <w:tab w:val="clear" w:pos="284"/>
              </w:tabs>
              <w:spacing w:before="80" w:after="0"/>
              <w:ind w:left="312" w:hanging="312"/>
              <w:rPr>
                <w:lang w:val="fr-FR"/>
              </w:rPr>
            </w:pPr>
            <w:r w:rsidRPr="000229AD">
              <w:rPr>
                <w:lang w:val="fr-FR"/>
              </w:rPr>
              <w:t>–</w:t>
            </w:r>
            <w:r w:rsidRPr="000229AD">
              <w:rPr>
                <w:lang w:val="fr-FR"/>
              </w:rPr>
              <w:tab/>
            </w:r>
            <w:r w:rsidR="00642741" w:rsidRPr="000229AD">
              <w:rPr>
                <w:lang w:val="fr-FR"/>
              </w:rPr>
              <w:t>Très grande satisfaction de la part des participants.</w:t>
            </w:r>
          </w:p>
          <w:p w14:paraId="04872536" w14:textId="11F1AA66" w:rsidR="00642741" w:rsidRPr="000229AD" w:rsidRDefault="00642741" w:rsidP="00716C22">
            <w:pPr>
              <w:pStyle w:val="Tabletext"/>
              <w:keepNext/>
              <w:keepLines/>
              <w:spacing w:before="0"/>
              <w:rPr>
                <w:b/>
                <w:bCs/>
                <w:lang w:val="fr-FR"/>
              </w:rPr>
            </w:pPr>
            <w:r w:rsidRPr="000229AD">
              <w:rPr>
                <w:b/>
                <w:bCs/>
                <w:lang w:val="fr-FR"/>
              </w:rPr>
              <w:lastRenderedPageBreak/>
              <w:t>Centres de formation de l</w:t>
            </w:r>
            <w:r w:rsidR="00125408" w:rsidRPr="000229AD">
              <w:rPr>
                <w:b/>
                <w:bCs/>
                <w:lang w:val="fr-FR"/>
              </w:rPr>
              <w:t>'</w:t>
            </w:r>
            <w:r w:rsidRPr="000229AD">
              <w:rPr>
                <w:b/>
                <w:bCs/>
                <w:lang w:val="fr-FR"/>
              </w:rPr>
              <w:t>Académie de l</w:t>
            </w:r>
            <w:r w:rsidR="00125408" w:rsidRPr="000229AD">
              <w:rPr>
                <w:b/>
                <w:bCs/>
                <w:lang w:val="fr-FR"/>
              </w:rPr>
              <w:t>'</w:t>
            </w:r>
            <w:r w:rsidRPr="000229AD">
              <w:rPr>
                <w:b/>
                <w:bCs/>
                <w:lang w:val="fr-FR"/>
              </w:rPr>
              <w:t>UIT:</w:t>
            </w:r>
          </w:p>
          <w:p w14:paraId="797A7BE0" w14:textId="399AC212" w:rsidR="00642741" w:rsidRPr="000229AD" w:rsidRDefault="00613FEE" w:rsidP="00716C22">
            <w:pPr>
              <w:pStyle w:val="Tabletext"/>
              <w:keepNext/>
              <w:keepLines/>
              <w:tabs>
                <w:tab w:val="clear" w:pos="284"/>
              </w:tabs>
              <w:spacing w:before="80" w:after="0"/>
              <w:ind w:left="312" w:hanging="312"/>
              <w:rPr>
                <w:lang w:val="fr-FR"/>
              </w:rPr>
            </w:pPr>
            <w:r w:rsidRPr="000229AD">
              <w:rPr>
                <w:lang w:val="fr-FR"/>
              </w:rPr>
              <w:t>–</w:t>
            </w:r>
            <w:r w:rsidRPr="000229AD">
              <w:rPr>
                <w:lang w:val="fr-FR"/>
              </w:rPr>
              <w:tab/>
            </w:r>
            <w:r w:rsidR="00642741" w:rsidRPr="000229AD">
              <w:rPr>
                <w:lang w:val="fr-FR"/>
              </w:rPr>
              <w:t>13 entités issues de toutes les régions.</w:t>
            </w:r>
          </w:p>
          <w:p w14:paraId="6AEF3F4D" w14:textId="140FEB56" w:rsidR="00642741" w:rsidRPr="000229AD" w:rsidRDefault="00613FEE" w:rsidP="00716C22">
            <w:pPr>
              <w:pStyle w:val="Tabletext"/>
              <w:keepNext/>
              <w:keepLines/>
              <w:tabs>
                <w:tab w:val="clear" w:pos="284"/>
              </w:tabs>
              <w:spacing w:before="80" w:after="0"/>
              <w:ind w:left="312" w:hanging="312"/>
              <w:rPr>
                <w:lang w:val="fr-FR"/>
              </w:rPr>
            </w:pPr>
            <w:r w:rsidRPr="000229AD">
              <w:rPr>
                <w:lang w:val="fr-FR"/>
              </w:rPr>
              <w:t>–</w:t>
            </w:r>
            <w:r w:rsidRPr="000229AD">
              <w:rPr>
                <w:lang w:val="fr-FR"/>
              </w:rPr>
              <w:tab/>
            </w:r>
            <w:r w:rsidR="00642741" w:rsidRPr="000229AD">
              <w:rPr>
                <w:lang w:val="fr-FR"/>
              </w:rPr>
              <w:t>45 formations et</w:t>
            </w:r>
            <w:r w:rsidR="00D7552F" w:rsidRPr="000229AD">
              <w:rPr>
                <w:lang w:val="fr-FR"/>
              </w:rPr>
              <w:t> </w:t>
            </w:r>
            <w:r w:rsidR="00642741" w:rsidRPr="000229AD">
              <w:rPr>
                <w:lang w:val="fr-FR"/>
              </w:rPr>
              <w:t>2 900 participants sur les thèmes suivants:</w:t>
            </w:r>
          </w:p>
          <w:p w14:paraId="775C61C8" w14:textId="7524BFDB" w:rsidR="00642741" w:rsidRPr="000229AD" w:rsidRDefault="00613FEE" w:rsidP="00716C22">
            <w:pPr>
              <w:pStyle w:val="Tabletext"/>
              <w:keepNext/>
              <w:keepLines/>
              <w:tabs>
                <w:tab w:val="clear" w:pos="284"/>
                <w:tab w:val="clear" w:pos="567"/>
                <w:tab w:val="clear" w:pos="851"/>
              </w:tabs>
              <w:spacing w:before="0" w:after="0"/>
              <w:ind w:left="633" w:hanging="321"/>
              <w:rPr>
                <w:lang w:val="fr-FR"/>
              </w:rPr>
            </w:pPr>
            <w:r w:rsidRPr="000229AD">
              <w:rPr>
                <w:lang w:val="fr-FR"/>
              </w:rPr>
              <w:t>•</w:t>
            </w:r>
            <w:r w:rsidRPr="000229AD">
              <w:rPr>
                <w:lang w:val="fr-FR"/>
              </w:rPr>
              <w:tab/>
            </w:r>
            <w:r w:rsidR="00642741" w:rsidRPr="000229AD">
              <w:rPr>
                <w:lang w:val="fr-FR"/>
              </w:rPr>
              <w:t>amélioration des compétences numériques dans le domaine de l</w:t>
            </w:r>
            <w:r w:rsidR="00125408" w:rsidRPr="000229AD">
              <w:rPr>
                <w:lang w:val="fr-FR"/>
              </w:rPr>
              <w:t>'</w:t>
            </w:r>
            <w:r w:rsidR="00642741" w:rsidRPr="000229AD">
              <w:rPr>
                <w:lang w:val="fr-FR"/>
              </w:rPr>
              <w:t>élaboration des politiques et de la réglementation;</w:t>
            </w:r>
          </w:p>
          <w:p w14:paraId="2E203CC1" w14:textId="7629FBD9" w:rsidR="00642741" w:rsidRPr="000229AD" w:rsidRDefault="00613FEE" w:rsidP="00716C22">
            <w:pPr>
              <w:pStyle w:val="Tabletext"/>
              <w:tabs>
                <w:tab w:val="clear" w:pos="284"/>
                <w:tab w:val="clear" w:pos="567"/>
                <w:tab w:val="clear" w:pos="851"/>
              </w:tabs>
              <w:spacing w:before="80" w:after="0"/>
              <w:ind w:left="633" w:hanging="321"/>
              <w:rPr>
                <w:lang w:val="fr-FR"/>
              </w:rPr>
            </w:pPr>
            <w:r w:rsidRPr="000229AD">
              <w:rPr>
                <w:lang w:val="fr-FR"/>
              </w:rPr>
              <w:t>•</w:t>
            </w:r>
            <w:r w:rsidRPr="000229AD">
              <w:rPr>
                <w:lang w:val="fr-FR"/>
              </w:rPr>
              <w:tab/>
            </w:r>
            <w:r w:rsidR="00642741" w:rsidRPr="000229AD">
              <w:rPr>
                <w:lang w:val="fr-FR"/>
              </w:rPr>
              <w:t>réseau et infrastructure;</w:t>
            </w:r>
          </w:p>
          <w:p w14:paraId="25C77EC6" w14:textId="43AF9FE1" w:rsidR="00642741" w:rsidRPr="000229AD" w:rsidRDefault="00613FEE" w:rsidP="00716C22">
            <w:pPr>
              <w:pStyle w:val="Tabletext"/>
              <w:tabs>
                <w:tab w:val="clear" w:pos="284"/>
                <w:tab w:val="clear" w:pos="567"/>
                <w:tab w:val="clear" w:pos="851"/>
              </w:tabs>
              <w:spacing w:before="80" w:after="0"/>
              <w:ind w:left="633" w:hanging="321"/>
              <w:rPr>
                <w:lang w:val="fr-FR"/>
              </w:rPr>
            </w:pPr>
            <w:r w:rsidRPr="000229AD">
              <w:rPr>
                <w:lang w:val="fr-FR"/>
              </w:rPr>
              <w:t>•</w:t>
            </w:r>
            <w:r w:rsidRPr="000229AD">
              <w:rPr>
                <w:lang w:val="fr-FR"/>
              </w:rPr>
              <w:tab/>
            </w:r>
            <w:r w:rsidR="00642741" w:rsidRPr="000229AD">
              <w:rPr>
                <w:lang w:val="fr-FR"/>
              </w:rPr>
              <w:t>gestion du spectre;</w:t>
            </w:r>
          </w:p>
          <w:p w14:paraId="7157306B" w14:textId="439551E1" w:rsidR="00642741" w:rsidRPr="000229AD" w:rsidRDefault="00613FEE" w:rsidP="00716C22">
            <w:pPr>
              <w:pStyle w:val="Tabletext"/>
              <w:tabs>
                <w:tab w:val="clear" w:pos="284"/>
                <w:tab w:val="clear" w:pos="567"/>
                <w:tab w:val="clear" w:pos="851"/>
              </w:tabs>
              <w:spacing w:before="80" w:after="0"/>
              <w:ind w:left="633" w:hanging="321"/>
              <w:rPr>
                <w:lang w:val="fr-FR"/>
              </w:rPr>
            </w:pPr>
            <w:r w:rsidRPr="000229AD">
              <w:rPr>
                <w:lang w:val="fr-FR"/>
              </w:rPr>
              <w:t>•</w:t>
            </w:r>
            <w:r w:rsidRPr="000229AD">
              <w:rPr>
                <w:lang w:val="fr-FR"/>
              </w:rPr>
              <w:tab/>
            </w:r>
            <w:r w:rsidR="00642741" w:rsidRPr="000229AD">
              <w:rPr>
                <w:lang w:val="fr-FR"/>
              </w:rPr>
              <w:t>cybersécurité;</w:t>
            </w:r>
          </w:p>
          <w:p w14:paraId="38E96571" w14:textId="52730818" w:rsidR="00642741" w:rsidRPr="000229AD" w:rsidRDefault="00613FEE" w:rsidP="00716C22">
            <w:pPr>
              <w:pStyle w:val="Tabletext"/>
              <w:tabs>
                <w:tab w:val="clear" w:pos="284"/>
                <w:tab w:val="clear" w:pos="567"/>
                <w:tab w:val="clear" w:pos="851"/>
              </w:tabs>
              <w:spacing w:before="80" w:after="0"/>
              <w:ind w:left="633" w:hanging="321"/>
              <w:rPr>
                <w:lang w:val="fr-FR"/>
              </w:rPr>
            </w:pPr>
            <w:r w:rsidRPr="000229AD">
              <w:rPr>
                <w:lang w:val="fr-FR"/>
              </w:rPr>
              <w:t>•</w:t>
            </w:r>
            <w:r w:rsidRPr="000229AD">
              <w:rPr>
                <w:lang w:val="fr-FR"/>
              </w:rPr>
              <w:tab/>
            </w:r>
            <w:r w:rsidR="00642741" w:rsidRPr="000229AD">
              <w:rPr>
                <w:lang w:val="fr-FR"/>
              </w:rPr>
              <w:t>inclusion numérique;</w:t>
            </w:r>
          </w:p>
          <w:p w14:paraId="3BA7244F" w14:textId="220A5504" w:rsidR="00642741" w:rsidRPr="000229AD" w:rsidRDefault="00613FEE" w:rsidP="00716C22">
            <w:pPr>
              <w:pStyle w:val="Tabletext"/>
              <w:tabs>
                <w:tab w:val="clear" w:pos="284"/>
                <w:tab w:val="clear" w:pos="567"/>
                <w:tab w:val="clear" w:pos="851"/>
              </w:tabs>
              <w:spacing w:before="80" w:after="0"/>
              <w:ind w:left="633" w:hanging="321"/>
              <w:rPr>
                <w:lang w:val="fr-FR"/>
              </w:rPr>
            </w:pPr>
            <w:r w:rsidRPr="000229AD">
              <w:rPr>
                <w:lang w:val="fr-FR"/>
              </w:rPr>
              <w:t>•</w:t>
            </w:r>
            <w:r w:rsidRPr="000229AD">
              <w:rPr>
                <w:lang w:val="fr-FR"/>
              </w:rPr>
              <w:tab/>
            </w:r>
            <w:r w:rsidR="00642741" w:rsidRPr="000229AD">
              <w:rPr>
                <w:lang w:val="fr-FR"/>
              </w:rPr>
              <w:t>services numériques.</w:t>
            </w:r>
          </w:p>
          <w:p w14:paraId="1628C5BD" w14:textId="79D79ACA" w:rsidR="00642741" w:rsidRPr="000229AD" w:rsidRDefault="00642741" w:rsidP="00716C22">
            <w:pPr>
              <w:pStyle w:val="Tabletext"/>
              <w:spacing w:before="120"/>
              <w:rPr>
                <w:b/>
                <w:bCs/>
                <w:lang w:val="fr-FR"/>
              </w:rPr>
            </w:pPr>
            <w:r w:rsidRPr="000229AD">
              <w:rPr>
                <w:b/>
                <w:bCs/>
                <w:lang w:val="fr-FR"/>
              </w:rPr>
              <w:t>Centres de transformation numérique:</w:t>
            </w:r>
          </w:p>
          <w:p w14:paraId="0E4D5D7B" w14:textId="227819C3" w:rsidR="00642741" w:rsidRPr="000229AD" w:rsidRDefault="00613FEE" w:rsidP="00716C22">
            <w:pPr>
              <w:pStyle w:val="Tabletext"/>
              <w:tabs>
                <w:tab w:val="clear" w:pos="284"/>
              </w:tabs>
              <w:spacing w:before="80" w:after="0"/>
              <w:ind w:left="312" w:hanging="312"/>
              <w:rPr>
                <w:lang w:val="fr-FR"/>
              </w:rPr>
            </w:pPr>
            <w:r w:rsidRPr="000229AD">
              <w:rPr>
                <w:lang w:val="fr-FR"/>
              </w:rPr>
              <w:t>–</w:t>
            </w:r>
            <w:r w:rsidRPr="000229AD">
              <w:rPr>
                <w:lang w:val="fr-FR"/>
              </w:rPr>
              <w:tab/>
            </w:r>
            <w:r w:rsidR="00642741" w:rsidRPr="000229AD">
              <w:rPr>
                <w:lang w:val="fr-FR"/>
              </w:rPr>
              <w:t>Plus de 120 cours dispensés dans 14 centres répartis dans toutes les régions.</w:t>
            </w:r>
          </w:p>
          <w:p w14:paraId="4907E58A" w14:textId="63F12BBD" w:rsidR="00642741" w:rsidRPr="000229AD" w:rsidRDefault="00613FEE" w:rsidP="00716C22">
            <w:pPr>
              <w:pStyle w:val="Tabletext"/>
              <w:tabs>
                <w:tab w:val="clear" w:pos="284"/>
              </w:tabs>
              <w:spacing w:before="80" w:after="0"/>
              <w:ind w:left="312" w:hanging="312"/>
              <w:rPr>
                <w:lang w:val="fr-FR"/>
              </w:rPr>
            </w:pPr>
            <w:r w:rsidRPr="000229AD">
              <w:rPr>
                <w:lang w:val="fr-FR"/>
              </w:rPr>
              <w:t>–</w:t>
            </w:r>
            <w:r w:rsidRPr="000229AD">
              <w:rPr>
                <w:lang w:val="fr-FR"/>
              </w:rPr>
              <w:tab/>
            </w:r>
            <w:r w:rsidR="00642741" w:rsidRPr="000229AD">
              <w:rPr>
                <w:lang w:val="fr-FR"/>
              </w:rPr>
              <w:t>68</w:t>
            </w:r>
            <w:r w:rsidRPr="000229AD">
              <w:rPr>
                <w:lang w:val="fr-FR"/>
              </w:rPr>
              <w:t> </w:t>
            </w:r>
            <w:r w:rsidR="00642741" w:rsidRPr="000229AD">
              <w:rPr>
                <w:lang w:val="fr-FR"/>
              </w:rPr>
              <w:t>836 participants issus de l</w:t>
            </w:r>
            <w:r w:rsidR="00125408" w:rsidRPr="000229AD">
              <w:rPr>
                <w:lang w:val="fr-FR"/>
              </w:rPr>
              <w:t>'</w:t>
            </w:r>
            <w:r w:rsidR="00642741" w:rsidRPr="000229AD">
              <w:rPr>
                <w:lang w:val="fr-FR"/>
              </w:rPr>
              <w:t>ensemble des États Membres, touchant à leur tour les apprenants des communautés rurales et isolées.</w:t>
            </w:r>
          </w:p>
          <w:p w14:paraId="3A7C5C32" w14:textId="007ABBFE" w:rsidR="00642741" w:rsidRPr="000229AD" w:rsidRDefault="00642741" w:rsidP="00716C22">
            <w:pPr>
              <w:pStyle w:val="Tabletext"/>
              <w:spacing w:before="0"/>
              <w:rPr>
                <w:b/>
                <w:bCs/>
                <w:lang w:val="fr-FR"/>
              </w:rPr>
            </w:pPr>
            <w:r w:rsidRPr="000229AD">
              <w:rPr>
                <w:b/>
                <w:bCs/>
                <w:lang w:val="fr-FR"/>
              </w:rPr>
              <w:lastRenderedPageBreak/>
              <w:t>Développement des compétences numériques ayant une incidence sur:</w:t>
            </w:r>
          </w:p>
          <w:p w14:paraId="4FE9B192" w14:textId="080C3503" w:rsidR="00642741" w:rsidRPr="000229AD" w:rsidRDefault="00613FEE" w:rsidP="00716C22">
            <w:pPr>
              <w:pStyle w:val="Tabletext"/>
              <w:tabs>
                <w:tab w:val="clear" w:pos="284"/>
              </w:tabs>
              <w:spacing w:before="80" w:after="0"/>
              <w:ind w:left="312" w:hanging="312"/>
              <w:rPr>
                <w:lang w:val="fr-FR"/>
              </w:rPr>
            </w:pPr>
            <w:r w:rsidRPr="000229AD">
              <w:rPr>
                <w:lang w:val="fr-FR"/>
              </w:rPr>
              <w:t>–</w:t>
            </w:r>
            <w:r w:rsidRPr="000229AD">
              <w:rPr>
                <w:lang w:val="fr-FR"/>
              </w:rPr>
              <w:tab/>
            </w:r>
            <w:r w:rsidR="00642741" w:rsidRPr="000229AD">
              <w:rPr>
                <w:lang w:val="fr-FR"/>
              </w:rPr>
              <w:t>les professionnels des TIC;</w:t>
            </w:r>
          </w:p>
          <w:p w14:paraId="534E0BD9" w14:textId="575A66AA" w:rsidR="00642741" w:rsidRPr="000229AD" w:rsidRDefault="00613FEE" w:rsidP="00716C22">
            <w:pPr>
              <w:pStyle w:val="Tabletext"/>
              <w:tabs>
                <w:tab w:val="clear" w:pos="284"/>
              </w:tabs>
              <w:spacing w:before="80" w:after="0"/>
              <w:ind w:left="312" w:hanging="312"/>
              <w:rPr>
                <w:lang w:val="fr-FR"/>
              </w:rPr>
            </w:pPr>
            <w:r w:rsidRPr="000229AD">
              <w:rPr>
                <w:lang w:val="fr-FR"/>
              </w:rPr>
              <w:t>–</w:t>
            </w:r>
            <w:r w:rsidRPr="000229AD">
              <w:rPr>
                <w:lang w:val="fr-FR"/>
              </w:rPr>
              <w:tab/>
            </w:r>
            <w:r w:rsidR="00642741" w:rsidRPr="000229AD">
              <w:rPr>
                <w:lang w:val="fr-FR"/>
              </w:rPr>
              <w:t>les peuples autochtones et les communautés isolées;</w:t>
            </w:r>
          </w:p>
          <w:p w14:paraId="74296D8E" w14:textId="422178E6" w:rsidR="00642741" w:rsidRPr="000229AD" w:rsidRDefault="00613FEE" w:rsidP="00716C22">
            <w:pPr>
              <w:pStyle w:val="Tabletext"/>
              <w:tabs>
                <w:tab w:val="clear" w:pos="284"/>
              </w:tabs>
              <w:spacing w:before="80" w:after="0"/>
              <w:ind w:left="312" w:hanging="312"/>
              <w:rPr>
                <w:lang w:val="fr-FR"/>
              </w:rPr>
            </w:pPr>
            <w:r w:rsidRPr="000229AD">
              <w:rPr>
                <w:lang w:val="fr-FR"/>
              </w:rPr>
              <w:t>–</w:t>
            </w:r>
            <w:r w:rsidRPr="000229AD">
              <w:rPr>
                <w:lang w:val="fr-FR"/>
              </w:rPr>
              <w:tab/>
            </w:r>
            <w:r w:rsidR="00642741" w:rsidRPr="000229AD">
              <w:rPr>
                <w:lang w:val="fr-FR"/>
              </w:rPr>
              <w:t>les femmes et les filles;</w:t>
            </w:r>
          </w:p>
          <w:p w14:paraId="745CC5BC" w14:textId="1927F409" w:rsidR="00642741" w:rsidRPr="000229AD" w:rsidRDefault="00613FEE" w:rsidP="00716C22">
            <w:pPr>
              <w:pStyle w:val="Tabletext"/>
              <w:tabs>
                <w:tab w:val="clear" w:pos="284"/>
              </w:tabs>
              <w:spacing w:before="80" w:after="0"/>
              <w:ind w:left="312" w:hanging="312"/>
              <w:rPr>
                <w:lang w:val="fr-FR"/>
              </w:rPr>
            </w:pPr>
            <w:r w:rsidRPr="000229AD">
              <w:rPr>
                <w:lang w:val="fr-FR"/>
              </w:rPr>
              <w:t>–</w:t>
            </w:r>
            <w:r w:rsidRPr="000229AD">
              <w:rPr>
                <w:lang w:val="fr-FR"/>
              </w:rPr>
              <w:tab/>
            </w:r>
            <w:r w:rsidR="00642741" w:rsidRPr="000229AD">
              <w:rPr>
                <w:lang w:val="fr-FR"/>
              </w:rPr>
              <w:t>les jeunes;</w:t>
            </w:r>
          </w:p>
          <w:p w14:paraId="261AC5E5" w14:textId="2CC9C700" w:rsidR="00642741" w:rsidRPr="000229AD" w:rsidRDefault="00613FEE" w:rsidP="00716C22">
            <w:pPr>
              <w:pStyle w:val="Tabletext"/>
              <w:tabs>
                <w:tab w:val="clear" w:pos="284"/>
              </w:tabs>
              <w:spacing w:before="80" w:after="0"/>
              <w:ind w:left="312" w:hanging="312"/>
              <w:rPr>
                <w:lang w:val="fr-FR"/>
              </w:rPr>
            </w:pPr>
            <w:r w:rsidRPr="000229AD">
              <w:rPr>
                <w:lang w:val="fr-FR"/>
              </w:rPr>
              <w:t>–</w:t>
            </w:r>
            <w:r w:rsidRPr="000229AD">
              <w:rPr>
                <w:lang w:val="fr-FR"/>
              </w:rPr>
              <w:tab/>
            </w:r>
            <w:r w:rsidR="00642741" w:rsidRPr="000229AD">
              <w:rPr>
                <w:lang w:val="fr-FR"/>
              </w:rPr>
              <w:t>les personnes handicapées.</w:t>
            </w:r>
          </w:p>
        </w:tc>
      </w:tr>
      <w:tr w:rsidR="00EA2FD3" w:rsidRPr="000229AD" w14:paraId="52191F96" w14:textId="77777777" w:rsidTr="00774480">
        <w:tc>
          <w:tcPr>
            <w:tcW w:w="14850" w:type="dxa"/>
            <w:gridSpan w:val="3"/>
            <w:shd w:val="clear" w:color="auto" w:fill="E5DFEC" w:themeFill="accent4" w:themeFillTint="33"/>
          </w:tcPr>
          <w:p w14:paraId="2C4E477C" w14:textId="3459E9C3" w:rsidR="00EA2FD3" w:rsidRPr="000229AD" w:rsidRDefault="00EA2FD3" w:rsidP="00716C22">
            <w:pPr>
              <w:pStyle w:val="Tabletext"/>
              <w:spacing w:before="120"/>
              <w:rPr>
                <w:i/>
                <w:iCs/>
                <w:lang w:val="fr-FR"/>
              </w:rPr>
            </w:pPr>
            <w:r w:rsidRPr="000229AD">
              <w:rPr>
                <w:b/>
                <w:bCs/>
                <w:i/>
                <w:iCs/>
                <w:lang w:val="fr-FR"/>
              </w:rPr>
              <w:lastRenderedPageBreak/>
              <w:t>Réalisation</w:t>
            </w:r>
            <w:r w:rsidRPr="000229AD">
              <w:rPr>
                <w:i/>
                <w:iCs/>
                <w:lang w:val="fr-FR"/>
              </w:rPr>
              <w:t>: renforcement de la capacité des États Membres d</w:t>
            </w:r>
            <w:r w:rsidR="00125408" w:rsidRPr="000229AD">
              <w:rPr>
                <w:i/>
                <w:iCs/>
                <w:lang w:val="fr-FR"/>
              </w:rPr>
              <w:t>'</w:t>
            </w:r>
            <w:r w:rsidRPr="000229AD">
              <w:rPr>
                <w:i/>
                <w:iCs/>
                <w:lang w:val="fr-FR"/>
              </w:rPr>
              <w:t>améliorer leurs cadres politiques, juridiques et réglementaires en matière de télécommunication/TIC propices au développement durable et à la transformation numérique.</w:t>
            </w:r>
          </w:p>
        </w:tc>
      </w:tr>
      <w:tr w:rsidR="00EA2FD3" w:rsidRPr="000229AD" w14:paraId="01B4D82B" w14:textId="77777777" w:rsidTr="00774480">
        <w:tc>
          <w:tcPr>
            <w:tcW w:w="11880" w:type="dxa"/>
            <w:gridSpan w:val="2"/>
          </w:tcPr>
          <w:p w14:paraId="28DD9888" w14:textId="77777777" w:rsidR="00EA2FD3" w:rsidRPr="000229AD" w:rsidRDefault="00EA2FD3" w:rsidP="00716C22">
            <w:pPr>
              <w:pStyle w:val="Tabletext"/>
              <w:spacing w:before="120" w:after="120"/>
              <w:rPr>
                <w:b/>
                <w:bCs/>
                <w:lang w:val="fr-FR"/>
              </w:rPr>
            </w:pPr>
            <w:r w:rsidRPr="000229AD">
              <w:rPr>
                <w:b/>
                <w:bCs/>
                <w:lang w:val="fr-FR"/>
              </w:rPr>
              <w:t>Politique et réglementation</w:t>
            </w:r>
          </w:p>
          <w:p w14:paraId="5831677B" w14:textId="088D98D9" w:rsidR="00EA2FD3" w:rsidRPr="000229AD" w:rsidRDefault="00EA2FD3" w:rsidP="00716C22">
            <w:pPr>
              <w:pStyle w:val="Tabletext"/>
              <w:spacing w:after="120"/>
              <w:rPr>
                <w:b/>
                <w:bCs/>
                <w:lang w:val="fr-FR"/>
              </w:rPr>
            </w:pPr>
            <w:r w:rsidRPr="000229AD">
              <w:rPr>
                <w:b/>
                <w:bCs/>
                <w:lang w:val="fr-FR"/>
              </w:rPr>
              <w:t>Renforcement de la capacité des membres de l</w:t>
            </w:r>
            <w:r w:rsidR="00125408" w:rsidRPr="000229AD">
              <w:rPr>
                <w:b/>
                <w:bCs/>
                <w:lang w:val="fr-FR"/>
              </w:rPr>
              <w:t>'</w:t>
            </w:r>
            <w:r w:rsidRPr="000229AD">
              <w:rPr>
                <w:b/>
                <w:bCs/>
                <w:lang w:val="fr-FR"/>
              </w:rPr>
              <w:t>UIT à améliorer les cadres politiques, juridiques et réglementaires</w:t>
            </w:r>
          </w:p>
          <w:p w14:paraId="7A5BBDDC" w14:textId="77777777" w:rsidR="00EA2FD3" w:rsidRPr="000229AD" w:rsidRDefault="00EA2FD3" w:rsidP="00716C22">
            <w:pPr>
              <w:pStyle w:val="Tabletext"/>
              <w:rPr>
                <w:b/>
                <w:bCs/>
                <w:lang w:val="fr-FR"/>
              </w:rPr>
            </w:pPr>
            <w:r w:rsidRPr="000229AD">
              <w:rPr>
                <w:b/>
                <w:bCs/>
                <w:lang w:val="fr-FR"/>
              </w:rPr>
              <w:t>Dans le cadre des activités mondiales, les produits suivants ont été livrés en 2023:</w:t>
            </w:r>
          </w:p>
          <w:p w14:paraId="2C8F9B82" w14:textId="40DFEC6E" w:rsidR="00EA2FD3" w:rsidRPr="000229AD" w:rsidRDefault="00EA2FD3" w:rsidP="00716C22">
            <w:pPr>
              <w:pStyle w:val="enumlev1"/>
              <w:ind w:left="312" w:hanging="312"/>
              <w:rPr>
                <w:sz w:val="22"/>
                <w:lang w:val="fr-FR"/>
              </w:rPr>
            </w:pPr>
            <w:r w:rsidRPr="000229AD">
              <w:rPr>
                <w:sz w:val="22"/>
                <w:lang w:val="fr-FR"/>
              </w:rPr>
              <w:t>–</w:t>
            </w:r>
            <w:r w:rsidRPr="000229AD">
              <w:rPr>
                <w:sz w:val="22"/>
                <w:lang w:val="fr-FR"/>
              </w:rPr>
              <w:tab/>
              <w:t xml:space="preserve">Cinq nouvelles études de la </w:t>
            </w:r>
            <w:hyperlink r:id="rId43" w:history="1">
              <w:r w:rsidRPr="000229AD">
                <w:rPr>
                  <w:rStyle w:val="Hyperlink"/>
                  <w:sz w:val="22"/>
                  <w:lang w:val="fr-FR"/>
                </w:rPr>
                <w:t>série d</w:t>
              </w:r>
              <w:r w:rsidR="00125408" w:rsidRPr="000229AD">
                <w:rPr>
                  <w:rStyle w:val="Hyperlink"/>
                  <w:sz w:val="22"/>
                  <w:lang w:val="fr-FR"/>
                </w:rPr>
                <w:t>'</w:t>
              </w:r>
              <w:r w:rsidRPr="000229AD">
                <w:rPr>
                  <w:rStyle w:val="Hyperlink"/>
                  <w:sz w:val="22"/>
                  <w:lang w:val="fr-FR"/>
                </w:rPr>
                <w:t>analyses collaboratives sur la réglementation nationale en matière de numérique</w:t>
              </w:r>
            </w:hyperlink>
            <w:r w:rsidRPr="000229AD">
              <w:rPr>
                <w:sz w:val="22"/>
                <w:lang w:val="fr-FR"/>
              </w:rPr>
              <w:t xml:space="preserve"> ont été publiées au cours de cette période, au Brésil, en Colombie et en Égypte, ainsi qu</w:t>
            </w:r>
            <w:r w:rsidR="00125408" w:rsidRPr="000229AD">
              <w:rPr>
                <w:sz w:val="22"/>
                <w:lang w:val="fr-FR"/>
              </w:rPr>
              <w:t>'</w:t>
            </w:r>
            <w:r w:rsidRPr="000229AD">
              <w:rPr>
                <w:sz w:val="22"/>
                <w:lang w:val="fr-FR"/>
              </w:rPr>
              <w:t>au Kenya et au Nigéria dans le cadre du projet conjoint entre l</w:t>
            </w:r>
            <w:r w:rsidR="00125408" w:rsidRPr="000229AD">
              <w:rPr>
                <w:sz w:val="22"/>
                <w:lang w:val="fr-FR"/>
              </w:rPr>
              <w:t>'</w:t>
            </w:r>
            <w:r w:rsidRPr="000229AD">
              <w:rPr>
                <w:sz w:val="22"/>
                <w:lang w:val="fr-FR"/>
              </w:rPr>
              <w:t xml:space="preserve">UIT et le Ministère des affaires étrangères, du Commonwealth et du développement du Royaume-Uni. Toutes les analyses par pays suivent une méthodologie type et regroupent un ensemble de recommandations pratiques. </w:t>
            </w:r>
          </w:p>
          <w:p w14:paraId="1C4D8400" w14:textId="2491D63E" w:rsidR="00EA2FD3" w:rsidRPr="000229AD" w:rsidRDefault="00EA2FD3" w:rsidP="00716C22">
            <w:pPr>
              <w:pStyle w:val="enumlev1"/>
              <w:ind w:left="312" w:hanging="312"/>
              <w:rPr>
                <w:sz w:val="22"/>
                <w:lang w:val="fr-FR"/>
              </w:rPr>
            </w:pPr>
            <w:r w:rsidRPr="000229AD">
              <w:rPr>
                <w:sz w:val="22"/>
                <w:lang w:val="fr-FR"/>
              </w:rPr>
              <w:t>–</w:t>
            </w:r>
            <w:r w:rsidRPr="000229AD">
              <w:rPr>
                <w:sz w:val="22"/>
                <w:lang w:val="fr-FR"/>
              </w:rPr>
              <w:tab/>
              <w:t>Le Colloque mondial des régulateurs de 2023 (GSR-23) a adopté les Lignes directrices relatives aux meilleures pratiques, qui ont été publiées sous le titre "Mesures d</w:t>
            </w:r>
            <w:r w:rsidR="00125408" w:rsidRPr="000229AD">
              <w:rPr>
                <w:sz w:val="22"/>
                <w:lang w:val="fr-FR"/>
              </w:rPr>
              <w:t>'</w:t>
            </w:r>
            <w:r w:rsidRPr="000229AD">
              <w:rPr>
                <w:sz w:val="22"/>
                <w:lang w:val="fr-FR"/>
              </w:rPr>
              <w:t>incitation réglementaires et économiques pour un avenir numérique durable et inclusif".</w:t>
            </w:r>
          </w:p>
          <w:p w14:paraId="64CDA932" w14:textId="4298EE06" w:rsidR="00EA2FD3" w:rsidRPr="000229AD" w:rsidRDefault="00EA2FD3" w:rsidP="00716C22">
            <w:pPr>
              <w:pStyle w:val="enumlev1"/>
              <w:ind w:left="312" w:hanging="312"/>
              <w:rPr>
                <w:sz w:val="22"/>
                <w:lang w:val="fr-FR"/>
              </w:rPr>
            </w:pPr>
            <w:r w:rsidRPr="000229AD">
              <w:rPr>
                <w:sz w:val="22"/>
                <w:lang w:val="fr-FR"/>
              </w:rPr>
              <w:lastRenderedPageBreak/>
              <w:t>–</w:t>
            </w:r>
            <w:r w:rsidRPr="000229AD">
              <w:rPr>
                <w:sz w:val="22"/>
                <w:lang w:val="fr-FR"/>
              </w:rPr>
              <w:tab/>
              <w:t>Sept nouveaux documents et articles visant à améliorer les capacités humaines et institutionnelles des membres de l</w:t>
            </w:r>
            <w:r w:rsidR="00125408" w:rsidRPr="000229AD">
              <w:rPr>
                <w:sz w:val="22"/>
                <w:lang w:val="fr-FR"/>
              </w:rPr>
              <w:t>'</w:t>
            </w:r>
            <w:r w:rsidRPr="000229AD">
              <w:rPr>
                <w:sz w:val="22"/>
                <w:lang w:val="fr-FR"/>
              </w:rPr>
              <w:t>UIT ont été publiés sur la plate-forme sur la réglementation du numérique.</w:t>
            </w:r>
          </w:p>
          <w:p w14:paraId="40E0E205" w14:textId="7A812C1C" w:rsidR="00EA2FD3" w:rsidRPr="000229AD" w:rsidRDefault="00EA2FD3" w:rsidP="00716C22">
            <w:pPr>
              <w:pStyle w:val="enumlev1"/>
              <w:ind w:left="312" w:hanging="312"/>
              <w:rPr>
                <w:sz w:val="22"/>
                <w:lang w:val="fr-FR"/>
              </w:rPr>
            </w:pPr>
            <w:r w:rsidRPr="000229AD">
              <w:rPr>
                <w:sz w:val="22"/>
                <w:lang w:val="fr-FR"/>
              </w:rPr>
              <w:t>•</w:t>
            </w:r>
            <w:r w:rsidRPr="000229AD">
              <w:rPr>
                <w:sz w:val="22"/>
                <w:lang w:val="fr-FR"/>
              </w:rPr>
              <w:tab/>
            </w:r>
            <w:r w:rsidRPr="000229AD">
              <w:rPr>
                <w:b/>
                <w:bCs/>
                <w:sz w:val="22"/>
                <w:lang w:val="fr-FR"/>
              </w:rPr>
              <w:t>Dans la région Afrique</w:t>
            </w:r>
            <w:r w:rsidRPr="000229AD">
              <w:rPr>
                <w:sz w:val="22"/>
                <w:lang w:val="fr-FR"/>
              </w:rPr>
              <w:t>, le projet d</w:t>
            </w:r>
            <w:r w:rsidR="00125408" w:rsidRPr="000229AD">
              <w:rPr>
                <w:sz w:val="22"/>
                <w:lang w:val="fr-FR"/>
              </w:rPr>
              <w:t>'</w:t>
            </w:r>
            <w:r w:rsidRPr="000229AD">
              <w:rPr>
                <w:sz w:val="22"/>
                <w:lang w:val="fr-FR"/>
              </w:rPr>
              <w:t>analyse comparative des TIC en Afrique centrale, mis en œuvre en collaboration avec la Cellule d</w:t>
            </w:r>
            <w:r w:rsidR="00125408" w:rsidRPr="000229AD">
              <w:rPr>
                <w:sz w:val="22"/>
                <w:lang w:val="fr-FR"/>
              </w:rPr>
              <w:t>'</w:t>
            </w:r>
            <w:r w:rsidRPr="000229AD">
              <w:rPr>
                <w:sz w:val="22"/>
                <w:lang w:val="fr-FR"/>
              </w:rPr>
              <w:t>appui à l</w:t>
            </w:r>
            <w:r w:rsidR="00125408" w:rsidRPr="000229AD">
              <w:rPr>
                <w:sz w:val="22"/>
                <w:lang w:val="fr-FR"/>
              </w:rPr>
              <w:t>'</w:t>
            </w:r>
            <w:r w:rsidRPr="000229AD">
              <w:rPr>
                <w:sz w:val="22"/>
                <w:lang w:val="fr-FR"/>
              </w:rPr>
              <w:t>ordonnateur national du Fonds européen de Développement et financé par la Commission européenne, a bénéficié à 11 pays. Pour appuyer le projet, un vaste inventaire des politiques mis en place dans le domaine des TIC et du numérique a été effectué afin de servir de base à l</w:t>
            </w:r>
            <w:r w:rsidR="00125408" w:rsidRPr="000229AD">
              <w:rPr>
                <w:sz w:val="22"/>
                <w:lang w:val="fr-FR"/>
              </w:rPr>
              <w:t>'</w:t>
            </w:r>
            <w:r w:rsidRPr="000229AD">
              <w:rPr>
                <w:sz w:val="22"/>
                <w:lang w:val="fr-FR"/>
              </w:rPr>
              <w:t>élaboration de feuilles de route en matière de réglementation nationale et d</w:t>
            </w:r>
            <w:r w:rsidR="00125408" w:rsidRPr="000229AD">
              <w:rPr>
                <w:sz w:val="22"/>
                <w:lang w:val="fr-FR"/>
              </w:rPr>
              <w:t>'</w:t>
            </w:r>
            <w:r w:rsidRPr="000229AD">
              <w:rPr>
                <w:sz w:val="22"/>
                <w:lang w:val="fr-FR"/>
              </w:rPr>
              <w:t>une feuille de route d</w:t>
            </w:r>
            <w:r w:rsidR="00125408" w:rsidRPr="000229AD">
              <w:rPr>
                <w:sz w:val="22"/>
                <w:lang w:val="fr-FR"/>
              </w:rPr>
              <w:t>'</w:t>
            </w:r>
            <w:r w:rsidRPr="000229AD">
              <w:rPr>
                <w:sz w:val="22"/>
                <w:lang w:val="fr-FR"/>
              </w:rPr>
              <w:t>harmonisation au niveau sous-régional visant à accélérer le développement du numérique et des économies numériques dans la région. Dans le cadre du projet conjoint entre l</w:t>
            </w:r>
            <w:r w:rsidR="00125408" w:rsidRPr="000229AD">
              <w:rPr>
                <w:sz w:val="22"/>
                <w:lang w:val="fr-FR"/>
              </w:rPr>
              <w:t>'</w:t>
            </w:r>
            <w:r w:rsidRPr="000229AD">
              <w:rPr>
                <w:sz w:val="22"/>
                <w:lang w:val="fr-FR"/>
              </w:rPr>
              <w:t>UIT et le Ministère des affaires étrangères, du Commonwealth et du développement du Royaume-Uni, un appui est fourni à l</w:t>
            </w:r>
            <w:r w:rsidR="00125408" w:rsidRPr="000229AD">
              <w:rPr>
                <w:sz w:val="22"/>
                <w:lang w:val="fr-FR"/>
              </w:rPr>
              <w:t>'</w:t>
            </w:r>
            <w:r w:rsidRPr="000229AD">
              <w:rPr>
                <w:sz w:val="22"/>
                <w:lang w:val="fr-FR"/>
              </w:rPr>
              <w:t>Autorité des communications du Kenya concernant l</w:t>
            </w:r>
            <w:r w:rsidR="00125408" w:rsidRPr="000229AD">
              <w:rPr>
                <w:sz w:val="22"/>
                <w:lang w:val="fr-FR"/>
              </w:rPr>
              <w:t>'</w:t>
            </w:r>
            <w:r w:rsidRPr="000229AD">
              <w:rPr>
                <w:sz w:val="22"/>
                <w:lang w:val="fr-FR"/>
              </w:rPr>
              <w:t>efficacité du financement du service universel, la connectivité durable et les réseaux d</w:t>
            </w:r>
            <w:r w:rsidR="00125408" w:rsidRPr="000229AD">
              <w:rPr>
                <w:sz w:val="22"/>
                <w:lang w:val="fr-FR"/>
              </w:rPr>
              <w:t>'</w:t>
            </w:r>
            <w:r w:rsidRPr="000229AD">
              <w:rPr>
                <w:sz w:val="22"/>
                <w:lang w:val="fr-FR"/>
              </w:rPr>
              <w:t>accès complémentaires. En outre, une séance sur le Renforcement des capacités en matière d</w:t>
            </w:r>
            <w:r w:rsidR="00125408" w:rsidRPr="000229AD">
              <w:rPr>
                <w:sz w:val="22"/>
                <w:lang w:val="fr-FR"/>
              </w:rPr>
              <w:t>'</w:t>
            </w:r>
            <w:r w:rsidRPr="000229AD">
              <w:rPr>
                <w:sz w:val="22"/>
                <w:lang w:val="fr-FR"/>
              </w:rPr>
              <w:t>environnement politique et réglementaire capable de doter les communautés de moyens nécessaires pour déployer des réseaux, organisée en collaboration avec APC et CITAD, s</w:t>
            </w:r>
            <w:r w:rsidR="00125408" w:rsidRPr="000229AD">
              <w:rPr>
                <w:sz w:val="22"/>
                <w:lang w:val="fr-FR"/>
              </w:rPr>
              <w:t>'</w:t>
            </w:r>
            <w:r w:rsidRPr="000229AD">
              <w:rPr>
                <w:sz w:val="22"/>
                <w:lang w:val="fr-FR"/>
              </w:rPr>
              <w:t>est tenue dans le cadre du Forum sur la gouvernance d</w:t>
            </w:r>
            <w:r w:rsidR="00125408" w:rsidRPr="000229AD">
              <w:rPr>
                <w:sz w:val="22"/>
                <w:lang w:val="fr-FR"/>
              </w:rPr>
              <w:t>'</w:t>
            </w:r>
            <w:r w:rsidRPr="000229AD">
              <w:rPr>
                <w:sz w:val="22"/>
                <w:lang w:val="fr-FR"/>
              </w:rPr>
              <w:t>Internet en Afrique 2023.</w:t>
            </w:r>
          </w:p>
          <w:p w14:paraId="0E4BA127" w14:textId="443571DF" w:rsidR="00EA2FD3" w:rsidRPr="000229AD" w:rsidRDefault="00EA2FD3" w:rsidP="00716C22">
            <w:pPr>
              <w:pStyle w:val="enumlev1"/>
              <w:ind w:left="312" w:hanging="312"/>
              <w:rPr>
                <w:sz w:val="22"/>
                <w:lang w:val="fr-FR"/>
              </w:rPr>
            </w:pPr>
            <w:r w:rsidRPr="000229AD">
              <w:rPr>
                <w:sz w:val="22"/>
                <w:lang w:val="fr-FR"/>
              </w:rPr>
              <w:t>•</w:t>
            </w:r>
            <w:r w:rsidRPr="000229AD">
              <w:rPr>
                <w:sz w:val="22"/>
                <w:lang w:val="fr-FR"/>
              </w:rPr>
              <w:tab/>
            </w:r>
            <w:r w:rsidRPr="000229AD">
              <w:rPr>
                <w:b/>
                <w:bCs/>
                <w:sz w:val="22"/>
                <w:lang w:val="fr-FR"/>
              </w:rPr>
              <w:t>Dans la région Amériques</w:t>
            </w:r>
            <w:r w:rsidRPr="000229AD">
              <w:rPr>
                <w:sz w:val="22"/>
                <w:lang w:val="fr-FR"/>
              </w:rPr>
              <w:t>, le BDT a fourni un appui à la République dominicaine dans le cadre d</w:t>
            </w:r>
            <w:r w:rsidR="00125408" w:rsidRPr="000229AD">
              <w:rPr>
                <w:sz w:val="22"/>
                <w:lang w:val="fr-FR"/>
              </w:rPr>
              <w:t>'</w:t>
            </w:r>
            <w:r w:rsidRPr="000229AD">
              <w:rPr>
                <w:sz w:val="22"/>
                <w:lang w:val="fr-FR"/>
              </w:rPr>
              <w:t>un projet d</w:t>
            </w:r>
            <w:r w:rsidR="00125408" w:rsidRPr="000229AD">
              <w:rPr>
                <w:sz w:val="22"/>
                <w:lang w:val="fr-FR"/>
              </w:rPr>
              <w:t>'</w:t>
            </w:r>
            <w:r w:rsidRPr="000229AD">
              <w:rPr>
                <w:sz w:val="22"/>
                <w:lang w:val="fr-FR"/>
              </w:rPr>
              <w:t>amélioration de la réglementation. Au Brésil, un appui institutionnel a été fourni à Anatel, notamment pour l</w:t>
            </w:r>
            <w:r w:rsidR="00125408" w:rsidRPr="000229AD">
              <w:rPr>
                <w:sz w:val="22"/>
                <w:lang w:val="fr-FR"/>
              </w:rPr>
              <w:t>'</w:t>
            </w:r>
            <w:r w:rsidRPr="000229AD">
              <w:rPr>
                <w:sz w:val="22"/>
                <w:lang w:val="fr-FR"/>
              </w:rPr>
              <w:t>élaboration du Plan tactique pour la période 2023-2024. Dans le cadre du projet conjoint entre l</w:t>
            </w:r>
            <w:r w:rsidR="00125408" w:rsidRPr="000229AD">
              <w:rPr>
                <w:sz w:val="22"/>
                <w:lang w:val="fr-FR"/>
              </w:rPr>
              <w:t>'</w:t>
            </w:r>
            <w:r w:rsidRPr="000229AD">
              <w:rPr>
                <w:sz w:val="22"/>
                <w:lang w:val="fr-FR"/>
              </w:rPr>
              <w:t>UIT et le Ministère des affaires étrangères, du Commonwealth et du développement du Royaume-Uni, une assistance technique a été fournie au Gouvernement brésilien pour l</w:t>
            </w:r>
            <w:r w:rsidR="00125408" w:rsidRPr="000229AD">
              <w:rPr>
                <w:sz w:val="22"/>
                <w:lang w:val="fr-FR"/>
              </w:rPr>
              <w:t>'</w:t>
            </w:r>
            <w:r w:rsidRPr="000229AD">
              <w:rPr>
                <w:sz w:val="22"/>
                <w:lang w:val="fr-FR"/>
              </w:rPr>
              <w:t>élaboration d</w:t>
            </w:r>
            <w:r w:rsidR="00125408" w:rsidRPr="000229AD">
              <w:rPr>
                <w:sz w:val="22"/>
                <w:lang w:val="fr-FR"/>
              </w:rPr>
              <w:t>'</w:t>
            </w:r>
            <w:r w:rsidRPr="000229AD">
              <w:rPr>
                <w:sz w:val="22"/>
                <w:lang w:val="fr-FR"/>
              </w:rPr>
              <w:t>un plan national de connectivité des écoles, sous la direction du Cabinet civil de la présidence. Au cours du second semestre de 2023, le Bureau régional pour les Amériques de l</w:t>
            </w:r>
            <w:r w:rsidR="00125408" w:rsidRPr="000229AD">
              <w:rPr>
                <w:sz w:val="22"/>
                <w:lang w:val="fr-FR"/>
              </w:rPr>
              <w:t>'</w:t>
            </w:r>
            <w:r w:rsidRPr="000229AD">
              <w:rPr>
                <w:sz w:val="22"/>
                <w:lang w:val="fr-FR"/>
              </w:rPr>
              <w:t>UIT a dispensé une formation aux États Membres de la Commission interaméricaine des télécommunications (CITEL) dans le cadre du Comité consultatif permanent I de la CITEL (PCC. I) au cours d</w:t>
            </w:r>
            <w:r w:rsidR="00125408" w:rsidRPr="000229AD">
              <w:rPr>
                <w:sz w:val="22"/>
                <w:lang w:val="fr-FR"/>
              </w:rPr>
              <w:t>'</w:t>
            </w:r>
            <w:r w:rsidRPr="000229AD">
              <w:rPr>
                <w:sz w:val="22"/>
                <w:lang w:val="fr-FR"/>
              </w:rPr>
              <w:t>un atelier sur la modernisation de la réglementation et les mécanismes réglementaires de substitution. Le BDT continue de fournir une assistance technique au Panama et au Honduras pour la modernisation du cadre juridique des télécommunications. Le Bureau régional pour les Amériques a contribué à l</w:t>
            </w:r>
            <w:r w:rsidR="00125408" w:rsidRPr="000229AD">
              <w:rPr>
                <w:sz w:val="22"/>
                <w:lang w:val="fr-FR"/>
              </w:rPr>
              <w:t>'</w:t>
            </w:r>
            <w:r w:rsidRPr="000229AD">
              <w:rPr>
                <w:sz w:val="22"/>
                <w:lang w:val="fr-FR"/>
              </w:rPr>
              <w:t>alliance numérique UE-Amérique latine et Caraïbes, en présentant des exposés techniques sur les différents rapports et outils de l</w:t>
            </w:r>
            <w:r w:rsidR="00125408" w:rsidRPr="000229AD">
              <w:rPr>
                <w:sz w:val="22"/>
                <w:lang w:val="fr-FR"/>
              </w:rPr>
              <w:t>'</w:t>
            </w:r>
            <w:r w:rsidRPr="000229AD">
              <w:rPr>
                <w:sz w:val="22"/>
                <w:lang w:val="fr-FR"/>
              </w:rPr>
              <w:t>UIT-D et en faisant connaître les programmes, initiatives et projets de l</w:t>
            </w:r>
            <w:r w:rsidR="00125408" w:rsidRPr="000229AD">
              <w:rPr>
                <w:sz w:val="22"/>
                <w:lang w:val="fr-FR"/>
              </w:rPr>
              <w:t>'</w:t>
            </w:r>
            <w:r w:rsidRPr="000229AD">
              <w:rPr>
                <w:sz w:val="22"/>
                <w:lang w:val="fr-FR"/>
              </w:rPr>
              <w:t>UIT. De même, conformément à la stratégie de mobilisation des ressources, un projet d</w:t>
            </w:r>
            <w:r w:rsidR="00125408" w:rsidRPr="000229AD">
              <w:rPr>
                <w:sz w:val="22"/>
                <w:lang w:val="fr-FR"/>
              </w:rPr>
              <w:t>'</w:t>
            </w:r>
            <w:r w:rsidRPr="000229AD">
              <w:rPr>
                <w:sz w:val="22"/>
                <w:lang w:val="fr-FR"/>
              </w:rPr>
              <w:t>assistance technique de 3 millions de dollars en matière d</w:t>
            </w:r>
            <w:r w:rsidR="00125408" w:rsidRPr="000229AD">
              <w:rPr>
                <w:sz w:val="22"/>
                <w:lang w:val="fr-FR"/>
              </w:rPr>
              <w:t>'</w:t>
            </w:r>
            <w:r w:rsidRPr="000229AD">
              <w:rPr>
                <w:sz w:val="22"/>
                <w:lang w:val="fr-FR"/>
              </w:rPr>
              <w:t>innovation réglementaire pour les pays d</w:t>
            </w:r>
            <w:r w:rsidR="00125408" w:rsidRPr="000229AD">
              <w:rPr>
                <w:sz w:val="22"/>
                <w:lang w:val="fr-FR"/>
              </w:rPr>
              <w:t>'</w:t>
            </w:r>
            <w:r w:rsidRPr="000229AD">
              <w:rPr>
                <w:sz w:val="22"/>
                <w:lang w:val="fr-FR"/>
              </w:rPr>
              <w:t xml:space="preserve">Amérique centrale a été approuvé et soumis à la signature en 2024. </w:t>
            </w:r>
          </w:p>
          <w:p w14:paraId="067205A7" w14:textId="20CBC1D4" w:rsidR="00EA2FD3" w:rsidRPr="000229AD" w:rsidRDefault="00EA2FD3" w:rsidP="00716C22">
            <w:pPr>
              <w:pStyle w:val="enumlev1"/>
              <w:ind w:left="312" w:hanging="312"/>
              <w:rPr>
                <w:sz w:val="22"/>
                <w:lang w:val="fr-FR"/>
              </w:rPr>
            </w:pPr>
            <w:r w:rsidRPr="000229AD">
              <w:rPr>
                <w:b/>
                <w:bCs/>
                <w:sz w:val="22"/>
                <w:lang w:val="fr-FR"/>
              </w:rPr>
              <w:tab/>
            </w:r>
            <w:r w:rsidRPr="000229AD">
              <w:rPr>
                <w:sz w:val="22"/>
                <w:lang w:val="fr-FR"/>
              </w:rPr>
              <w:t>Dans les Caraïbes, une étude de faisabilité de la création d</w:t>
            </w:r>
            <w:r w:rsidR="00125408" w:rsidRPr="000229AD">
              <w:rPr>
                <w:sz w:val="22"/>
                <w:lang w:val="fr-FR"/>
              </w:rPr>
              <w:t>'</w:t>
            </w:r>
            <w:r w:rsidRPr="000229AD">
              <w:rPr>
                <w:sz w:val="22"/>
                <w:lang w:val="fr-FR"/>
              </w:rPr>
              <w:t>une autorité de réglementation unique est en cours. Elle vise à faciliter la mise en place d</w:t>
            </w:r>
            <w:r w:rsidR="00125408" w:rsidRPr="000229AD">
              <w:rPr>
                <w:sz w:val="22"/>
                <w:lang w:val="fr-FR"/>
              </w:rPr>
              <w:t>'</w:t>
            </w:r>
            <w:r w:rsidRPr="000229AD">
              <w:rPr>
                <w:sz w:val="22"/>
                <w:lang w:val="fr-FR"/>
              </w:rPr>
              <w:t>un cadre régional de réglementation harmonisé pour la région des Caraïbes, qui pourra bénéficier à 12 pays et plus de 2 millions d</w:t>
            </w:r>
            <w:r w:rsidR="00125408" w:rsidRPr="000229AD">
              <w:rPr>
                <w:sz w:val="22"/>
                <w:lang w:val="fr-FR"/>
              </w:rPr>
              <w:t>'</w:t>
            </w:r>
            <w:r w:rsidRPr="000229AD">
              <w:rPr>
                <w:sz w:val="22"/>
                <w:lang w:val="fr-FR"/>
              </w:rPr>
              <w:t>abonnés. Parmi les effets à long terme attendus figurent l</w:t>
            </w:r>
            <w:r w:rsidR="00125408" w:rsidRPr="000229AD">
              <w:rPr>
                <w:sz w:val="22"/>
                <w:lang w:val="fr-FR"/>
              </w:rPr>
              <w:t>'</w:t>
            </w:r>
            <w:r w:rsidRPr="000229AD">
              <w:rPr>
                <w:sz w:val="22"/>
                <w:lang w:val="fr-FR"/>
              </w:rPr>
              <w:t>élaboration de cadres et le renforcement de la capacité en vue d</w:t>
            </w:r>
            <w:r w:rsidR="00125408" w:rsidRPr="000229AD">
              <w:rPr>
                <w:sz w:val="22"/>
                <w:lang w:val="fr-FR"/>
              </w:rPr>
              <w:t>'</w:t>
            </w:r>
            <w:r w:rsidRPr="000229AD">
              <w:rPr>
                <w:sz w:val="22"/>
                <w:lang w:val="fr-FR"/>
              </w:rPr>
              <w:t>améliorer le paysage politique et juridique régional des TIC, la suppression des incohérences et des obstacles à l</w:t>
            </w:r>
            <w:r w:rsidR="00125408" w:rsidRPr="000229AD">
              <w:rPr>
                <w:sz w:val="22"/>
                <w:lang w:val="fr-FR"/>
              </w:rPr>
              <w:t>'</w:t>
            </w:r>
            <w:r w:rsidRPr="000229AD">
              <w:rPr>
                <w:sz w:val="22"/>
                <w:lang w:val="fr-FR"/>
              </w:rPr>
              <w:t>entrée sur le marché en vue d</w:t>
            </w:r>
            <w:r w:rsidR="00125408" w:rsidRPr="000229AD">
              <w:rPr>
                <w:sz w:val="22"/>
                <w:lang w:val="fr-FR"/>
              </w:rPr>
              <w:t>'</w:t>
            </w:r>
            <w:r w:rsidRPr="000229AD">
              <w:rPr>
                <w:sz w:val="22"/>
                <w:lang w:val="fr-FR"/>
              </w:rPr>
              <w:t>encourager les investisseurs, ainsi que de nouvelles mesures en faveur de l</w:t>
            </w:r>
            <w:r w:rsidR="00125408" w:rsidRPr="000229AD">
              <w:rPr>
                <w:sz w:val="22"/>
                <w:lang w:val="fr-FR"/>
              </w:rPr>
              <w:t>'</w:t>
            </w:r>
            <w:r w:rsidRPr="000229AD">
              <w:rPr>
                <w:sz w:val="22"/>
                <w:lang w:val="fr-FR"/>
              </w:rPr>
              <w:t>innovation numérique et de la concurrence équitable.</w:t>
            </w:r>
          </w:p>
          <w:p w14:paraId="5F4F78C9" w14:textId="19DFC51E" w:rsidR="00EA2FD3" w:rsidRPr="000229AD" w:rsidRDefault="00EA2FD3" w:rsidP="00716C22">
            <w:pPr>
              <w:pStyle w:val="enumlev1"/>
              <w:ind w:left="312" w:hanging="312"/>
              <w:rPr>
                <w:sz w:val="22"/>
                <w:lang w:val="fr-FR"/>
              </w:rPr>
            </w:pPr>
            <w:r w:rsidRPr="000229AD">
              <w:rPr>
                <w:sz w:val="22"/>
                <w:lang w:val="fr-FR"/>
              </w:rPr>
              <w:lastRenderedPageBreak/>
              <w:tab/>
              <w:t>À Trinité-et-Tobago, l</w:t>
            </w:r>
            <w:r w:rsidR="00125408" w:rsidRPr="000229AD">
              <w:rPr>
                <w:sz w:val="22"/>
                <w:lang w:val="fr-FR"/>
              </w:rPr>
              <w:t>'</w:t>
            </w:r>
            <w:r w:rsidRPr="000229AD">
              <w:rPr>
                <w:sz w:val="22"/>
                <w:lang w:val="fr-FR"/>
              </w:rPr>
              <w:t>élaboration d</w:t>
            </w:r>
            <w:r w:rsidR="00125408" w:rsidRPr="000229AD">
              <w:rPr>
                <w:sz w:val="22"/>
                <w:lang w:val="fr-FR"/>
              </w:rPr>
              <w:t>'</w:t>
            </w:r>
            <w:r w:rsidRPr="000229AD">
              <w:rPr>
                <w:sz w:val="22"/>
                <w:lang w:val="fr-FR"/>
              </w:rPr>
              <w:t>un cadre politique et législatif pour l</w:t>
            </w:r>
            <w:r w:rsidR="00125408" w:rsidRPr="000229AD">
              <w:rPr>
                <w:sz w:val="22"/>
                <w:lang w:val="fr-FR"/>
              </w:rPr>
              <w:t>'</w:t>
            </w:r>
            <w:r w:rsidRPr="000229AD">
              <w:rPr>
                <w:sz w:val="22"/>
                <w:lang w:val="fr-FR"/>
              </w:rPr>
              <w:t>identification électronique a permis de renforcer les compétences en matière d</w:t>
            </w:r>
            <w:r w:rsidR="00125408" w:rsidRPr="000229AD">
              <w:rPr>
                <w:sz w:val="22"/>
                <w:lang w:val="fr-FR"/>
              </w:rPr>
              <w:t>'</w:t>
            </w:r>
            <w:r w:rsidRPr="000229AD">
              <w:rPr>
                <w:sz w:val="22"/>
                <w:lang w:val="fr-FR"/>
              </w:rPr>
              <w:t>élaboration de politiques et de la réglementation, ce qui a favorisé l</w:t>
            </w:r>
            <w:r w:rsidR="00125408" w:rsidRPr="000229AD">
              <w:rPr>
                <w:sz w:val="22"/>
                <w:lang w:val="fr-FR"/>
              </w:rPr>
              <w:t>'</w:t>
            </w:r>
            <w:r w:rsidRPr="000229AD">
              <w:rPr>
                <w:sz w:val="22"/>
                <w:lang w:val="fr-FR"/>
              </w:rPr>
              <w:t>accès d</w:t>
            </w:r>
            <w:r w:rsidR="00125408" w:rsidRPr="000229AD">
              <w:rPr>
                <w:sz w:val="22"/>
                <w:lang w:val="fr-FR"/>
              </w:rPr>
              <w:t>'</w:t>
            </w:r>
            <w:r w:rsidRPr="000229AD">
              <w:rPr>
                <w:sz w:val="22"/>
                <w:lang w:val="fr-FR"/>
              </w:rPr>
              <w:t>un plus grand nombre de personnes aux applications en ligne et aux services numériques et l</w:t>
            </w:r>
            <w:r w:rsidR="00125408" w:rsidRPr="000229AD">
              <w:rPr>
                <w:sz w:val="22"/>
                <w:lang w:val="fr-FR"/>
              </w:rPr>
              <w:t>'</w:t>
            </w:r>
            <w:r w:rsidRPr="000229AD">
              <w:rPr>
                <w:sz w:val="22"/>
                <w:lang w:val="fr-FR"/>
              </w:rPr>
              <w:t>établissement d</w:t>
            </w:r>
            <w:r w:rsidR="00125408" w:rsidRPr="000229AD">
              <w:rPr>
                <w:sz w:val="22"/>
                <w:lang w:val="fr-FR"/>
              </w:rPr>
              <w:t>'</w:t>
            </w:r>
            <w:r w:rsidRPr="000229AD">
              <w:rPr>
                <w:sz w:val="22"/>
                <w:lang w:val="fr-FR"/>
              </w:rPr>
              <w:t>un sentiment de confiance quant aux compétences qu</w:t>
            </w:r>
            <w:r w:rsidR="00125408" w:rsidRPr="000229AD">
              <w:rPr>
                <w:sz w:val="22"/>
                <w:lang w:val="fr-FR"/>
              </w:rPr>
              <w:t>'</w:t>
            </w:r>
            <w:r w:rsidRPr="000229AD">
              <w:rPr>
                <w:sz w:val="22"/>
                <w:lang w:val="fr-FR"/>
              </w:rPr>
              <w:t>elles avaient acquises. À Sainte-Lucie, l</w:t>
            </w:r>
            <w:r w:rsidR="00125408" w:rsidRPr="000229AD">
              <w:rPr>
                <w:sz w:val="22"/>
                <w:lang w:val="fr-FR"/>
              </w:rPr>
              <w:t>'</w:t>
            </w:r>
            <w:r w:rsidRPr="000229AD">
              <w:rPr>
                <w:sz w:val="22"/>
                <w:lang w:val="fr-FR"/>
              </w:rPr>
              <w:t>examen de la politique nationale en matière de technologies de l</w:t>
            </w:r>
            <w:r w:rsidR="00125408" w:rsidRPr="000229AD">
              <w:rPr>
                <w:sz w:val="22"/>
                <w:lang w:val="fr-FR"/>
              </w:rPr>
              <w:t>'</w:t>
            </w:r>
            <w:r w:rsidRPr="000229AD">
              <w:rPr>
                <w:sz w:val="22"/>
                <w:lang w:val="fr-FR"/>
              </w:rPr>
              <w:t>information et des communications s</w:t>
            </w:r>
            <w:r w:rsidR="00125408" w:rsidRPr="000229AD">
              <w:rPr>
                <w:sz w:val="22"/>
                <w:lang w:val="fr-FR"/>
              </w:rPr>
              <w:t>'</w:t>
            </w:r>
            <w:r w:rsidRPr="000229AD">
              <w:rPr>
                <w:sz w:val="22"/>
                <w:lang w:val="fr-FR"/>
              </w:rPr>
              <w:t>appuie sur une sensibilisation plus importante et plus étendue du public ainsi que sur la diffusion de la politique pour faciliter l</w:t>
            </w:r>
            <w:r w:rsidR="00125408" w:rsidRPr="000229AD">
              <w:rPr>
                <w:sz w:val="22"/>
                <w:lang w:val="fr-FR"/>
              </w:rPr>
              <w:t>'</w:t>
            </w:r>
            <w:r w:rsidRPr="000229AD">
              <w:rPr>
                <w:sz w:val="22"/>
                <w:lang w:val="fr-FR"/>
              </w:rPr>
              <w:t>adhésion et l</w:t>
            </w:r>
            <w:r w:rsidR="00125408" w:rsidRPr="000229AD">
              <w:rPr>
                <w:sz w:val="22"/>
                <w:lang w:val="fr-FR"/>
              </w:rPr>
              <w:t>'</w:t>
            </w:r>
            <w:r w:rsidRPr="000229AD">
              <w:rPr>
                <w:sz w:val="22"/>
                <w:lang w:val="fr-FR"/>
              </w:rPr>
              <w:t>acceptation du public.</w:t>
            </w:r>
          </w:p>
          <w:p w14:paraId="06D99BCD" w14:textId="170CC6AD" w:rsidR="00EA2FD3" w:rsidRPr="000229AD" w:rsidRDefault="00EA2FD3" w:rsidP="00716C22">
            <w:pPr>
              <w:pStyle w:val="enumlev1"/>
              <w:ind w:left="312" w:hanging="312"/>
              <w:rPr>
                <w:sz w:val="22"/>
                <w:lang w:val="fr-FR"/>
              </w:rPr>
            </w:pPr>
            <w:r w:rsidRPr="000229AD">
              <w:rPr>
                <w:sz w:val="22"/>
                <w:lang w:val="fr-FR"/>
              </w:rPr>
              <w:t>•</w:t>
            </w:r>
            <w:r w:rsidRPr="000229AD">
              <w:rPr>
                <w:sz w:val="22"/>
                <w:lang w:val="fr-FR"/>
              </w:rPr>
              <w:tab/>
            </w:r>
            <w:r w:rsidRPr="000229AD">
              <w:rPr>
                <w:b/>
                <w:bCs/>
                <w:sz w:val="22"/>
                <w:lang w:val="fr-FR"/>
              </w:rPr>
              <w:t>Dans la région des États arabes</w:t>
            </w:r>
            <w:r w:rsidRPr="000229AD">
              <w:rPr>
                <w:sz w:val="22"/>
                <w:lang w:val="fr-FR"/>
              </w:rPr>
              <w:t>, en juin et juillet 2023, le BDT a entrepris des actions dans le cadre des initiatives spéciales de l</w:t>
            </w:r>
            <w:r w:rsidR="00125408" w:rsidRPr="000229AD">
              <w:rPr>
                <w:sz w:val="22"/>
                <w:lang w:val="fr-FR"/>
              </w:rPr>
              <w:t>'</w:t>
            </w:r>
            <w:r w:rsidRPr="000229AD">
              <w:rPr>
                <w:sz w:val="22"/>
                <w:lang w:val="fr-FR"/>
              </w:rPr>
              <w:t>UIT dans l</w:t>
            </w:r>
            <w:r w:rsidR="00125408" w:rsidRPr="000229AD">
              <w:rPr>
                <w:sz w:val="22"/>
                <w:lang w:val="fr-FR"/>
              </w:rPr>
              <w:t>'</w:t>
            </w:r>
            <w:r w:rsidRPr="000229AD">
              <w:rPr>
                <w:sz w:val="22"/>
                <w:lang w:val="fr-FR"/>
              </w:rPr>
              <w:t>État de Palestine et, en collaboration avec le Ministère de l</w:t>
            </w:r>
            <w:r w:rsidR="00125408" w:rsidRPr="000229AD">
              <w:rPr>
                <w:sz w:val="22"/>
                <w:lang w:val="fr-FR"/>
              </w:rPr>
              <w:t>'</w:t>
            </w:r>
            <w:r w:rsidRPr="000229AD">
              <w:rPr>
                <w:sz w:val="22"/>
                <w:lang w:val="fr-FR"/>
              </w:rPr>
              <w:t>informatique et de la communication, a pris des mesures en faveur de l</w:t>
            </w:r>
            <w:r w:rsidR="00125408" w:rsidRPr="000229AD">
              <w:rPr>
                <w:sz w:val="22"/>
                <w:lang w:val="fr-FR"/>
              </w:rPr>
              <w:t>'</w:t>
            </w:r>
            <w:r w:rsidRPr="000229AD">
              <w:rPr>
                <w:sz w:val="22"/>
                <w:lang w:val="fr-FR"/>
              </w:rPr>
              <w:t>élaboration d</w:t>
            </w:r>
            <w:r w:rsidR="00125408" w:rsidRPr="000229AD">
              <w:rPr>
                <w:sz w:val="22"/>
                <w:lang w:val="fr-FR"/>
              </w:rPr>
              <w:t>'</w:t>
            </w:r>
            <w:r w:rsidRPr="000229AD">
              <w:rPr>
                <w:sz w:val="22"/>
                <w:lang w:val="fr-FR"/>
              </w:rPr>
              <w:t>un cadre et d</w:t>
            </w:r>
            <w:r w:rsidR="00125408" w:rsidRPr="000229AD">
              <w:rPr>
                <w:sz w:val="22"/>
                <w:lang w:val="fr-FR"/>
              </w:rPr>
              <w:t>'</w:t>
            </w:r>
            <w:r w:rsidRPr="000229AD">
              <w:rPr>
                <w:sz w:val="22"/>
                <w:lang w:val="fr-FR"/>
              </w:rPr>
              <w:t>une réglementation de planification en matière de numérotage pour le pays. De même, en Syrie, le BDT a mené des activités en vue d</w:t>
            </w:r>
            <w:r w:rsidR="00125408" w:rsidRPr="000229AD">
              <w:rPr>
                <w:sz w:val="22"/>
                <w:lang w:val="fr-FR"/>
              </w:rPr>
              <w:t>'</w:t>
            </w:r>
            <w:r w:rsidRPr="000229AD">
              <w:rPr>
                <w:sz w:val="22"/>
                <w:lang w:val="fr-FR"/>
              </w:rPr>
              <w:t>élaborer un rapport complet d</w:t>
            </w:r>
            <w:r w:rsidR="00125408" w:rsidRPr="000229AD">
              <w:rPr>
                <w:sz w:val="22"/>
                <w:lang w:val="fr-FR"/>
              </w:rPr>
              <w:t>'</w:t>
            </w:r>
            <w:r w:rsidRPr="000229AD">
              <w:rPr>
                <w:sz w:val="22"/>
                <w:lang w:val="fr-FR"/>
              </w:rPr>
              <w:t>analyse et d</w:t>
            </w:r>
            <w:r w:rsidR="00125408" w:rsidRPr="000229AD">
              <w:rPr>
                <w:sz w:val="22"/>
                <w:lang w:val="fr-FR"/>
              </w:rPr>
              <w:t>'</w:t>
            </w:r>
            <w:r w:rsidRPr="000229AD">
              <w:rPr>
                <w:sz w:val="22"/>
                <w:lang w:val="fr-FR"/>
              </w:rPr>
              <w:t>examen du marché des TIC, en collaboration avec le Ministère des communications et l</w:t>
            </w:r>
            <w:r w:rsidR="00125408" w:rsidRPr="000229AD">
              <w:rPr>
                <w:sz w:val="22"/>
                <w:lang w:val="fr-FR"/>
              </w:rPr>
              <w:t>'</w:t>
            </w:r>
            <w:r w:rsidRPr="000229AD">
              <w:rPr>
                <w:sz w:val="22"/>
                <w:lang w:val="fr-FR"/>
              </w:rPr>
              <w:t xml:space="preserve">Autorité de régulation des postes. </w:t>
            </w:r>
          </w:p>
          <w:p w14:paraId="653AC6B6" w14:textId="0A8201FF" w:rsidR="00EA2FD3" w:rsidRPr="000229AD" w:rsidRDefault="00EA2FD3" w:rsidP="00716C22">
            <w:pPr>
              <w:pStyle w:val="enumlev1"/>
              <w:ind w:left="312" w:hanging="312"/>
              <w:rPr>
                <w:sz w:val="22"/>
                <w:lang w:val="fr-FR"/>
              </w:rPr>
            </w:pPr>
            <w:r w:rsidRPr="000229AD">
              <w:rPr>
                <w:sz w:val="22"/>
                <w:lang w:val="fr-FR"/>
              </w:rPr>
              <w:t>•</w:t>
            </w:r>
            <w:r w:rsidRPr="000229AD">
              <w:rPr>
                <w:sz w:val="22"/>
                <w:lang w:val="fr-FR"/>
              </w:rPr>
              <w:tab/>
            </w:r>
            <w:r w:rsidRPr="000229AD">
              <w:rPr>
                <w:b/>
                <w:bCs/>
                <w:sz w:val="22"/>
                <w:lang w:val="fr-FR"/>
              </w:rPr>
              <w:t>Dans la région Asie-Pacifique</w:t>
            </w:r>
            <w:r w:rsidRPr="000229AD">
              <w:rPr>
                <w:sz w:val="22"/>
                <w:lang w:val="fr-FR"/>
              </w:rPr>
              <w:t>, le BDT a créé des supports d</w:t>
            </w:r>
            <w:r w:rsidR="00125408" w:rsidRPr="000229AD">
              <w:rPr>
                <w:sz w:val="22"/>
                <w:lang w:val="fr-FR"/>
              </w:rPr>
              <w:t>'</w:t>
            </w:r>
            <w:r w:rsidRPr="000229AD">
              <w:rPr>
                <w:sz w:val="22"/>
                <w:lang w:val="fr-FR"/>
              </w:rPr>
              <w:t xml:space="preserve">information afin de </w:t>
            </w:r>
            <w:r w:rsidRPr="000229AD">
              <w:rPr>
                <w:b/>
                <w:bCs/>
                <w:sz w:val="22"/>
                <w:lang w:val="fr-FR"/>
              </w:rPr>
              <w:t>mieux faire connaître les lacunes en matière de réglementation et de politiques aux membres de l</w:t>
            </w:r>
            <w:r w:rsidR="00125408" w:rsidRPr="000229AD">
              <w:rPr>
                <w:b/>
                <w:bCs/>
                <w:sz w:val="22"/>
                <w:lang w:val="fr-FR"/>
              </w:rPr>
              <w:t>'</w:t>
            </w:r>
            <w:r w:rsidRPr="000229AD">
              <w:rPr>
                <w:b/>
                <w:bCs/>
                <w:sz w:val="22"/>
                <w:lang w:val="fr-FR"/>
              </w:rPr>
              <w:t>ASEAN</w:t>
            </w:r>
            <w:r w:rsidRPr="000229AD">
              <w:rPr>
                <w:sz w:val="22"/>
                <w:lang w:val="fr-FR"/>
              </w:rPr>
              <w:t>. En partenariat avec la Commission malaisienne des communications et du multimédia, l</w:t>
            </w:r>
            <w:r w:rsidR="00125408" w:rsidRPr="000229AD">
              <w:rPr>
                <w:sz w:val="22"/>
                <w:lang w:val="fr-FR"/>
              </w:rPr>
              <w:t>'</w:t>
            </w:r>
            <w:r w:rsidRPr="000229AD">
              <w:rPr>
                <w:sz w:val="22"/>
                <w:lang w:val="fr-FR"/>
              </w:rPr>
              <w:t xml:space="preserve">UIT a mené une étude intitulée </w:t>
            </w:r>
            <w:hyperlink r:id="rId44" w:history="1">
              <w:r w:rsidRPr="000229AD">
                <w:rPr>
                  <w:sz w:val="22"/>
                  <w:lang w:val="fr-FR"/>
                </w:rPr>
                <w:t>"Domaines d</w:t>
              </w:r>
              <w:r w:rsidR="00125408" w:rsidRPr="000229AD">
                <w:rPr>
                  <w:sz w:val="22"/>
                  <w:lang w:val="fr-FR"/>
                </w:rPr>
                <w:t>'</w:t>
              </w:r>
              <w:r w:rsidRPr="000229AD">
                <w:rPr>
                  <w:sz w:val="22"/>
                  <w:lang w:val="fr-FR"/>
                </w:rPr>
                <w:t>action en matière de politique numérique pour une ASEAN connectée"</w:t>
              </w:r>
            </w:hyperlink>
            <w:r w:rsidRPr="000229AD">
              <w:rPr>
                <w:sz w:val="22"/>
                <w:lang w:val="fr-FR"/>
              </w:rPr>
              <w:t>. Celle-ci a évalué le niveau de préparation des cadres politiques, juridiques et de gouvernance du numérique pour la transformation numérique dans les pays membres de l</w:t>
            </w:r>
            <w:r w:rsidR="00125408" w:rsidRPr="000229AD">
              <w:rPr>
                <w:sz w:val="22"/>
                <w:lang w:val="fr-FR"/>
              </w:rPr>
              <w:t>'</w:t>
            </w:r>
            <w:r w:rsidRPr="000229AD">
              <w:rPr>
                <w:sz w:val="22"/>
                <w:lang w:val="fr-FR"/>
              </w:rPr>
              <w:t>ASEAN et a proposé des domaines d</w:t>
            </w:r>
            <w:r w:rsidR="00125408" w:rsidRPr="000229AD">
              <w:rPr>
                <w:sz w:val="22"/>
                <w:lang w:val="fr-FR"/>
              </w:rPr>
              <w:t>'</w:t>
            </w:r>
            <w:r w:rsidRPr="000229AD">
              <w:rPr>
                <w:sz w:val="22"/>
                <w:lang w:val="fr-FR"/>
              </w:rPr>
              <w:t>action pour améliorer celui-ci. La collaboration avec l</w:t>
            </w:r>
            <w:r w:rsidR="00125408" w:rsidRPr="000229AD">
              <w:rPr>
                <w:sz w:val="22"/>
                <w:lang w:val="fr-FR"/>
              </w:rPr>
              <w:t>'</w:t>
            </w:r>
            <w:r w:rsidRPr="000229AD">
              <w:rPr>
                <w:sz w:val="22"/>
                <w:lang w:val="fr-FR"/>
              </w:rPr>
              <w:t>ASEAN s</w:t>
            </w:r>
            <w:r w:rsidR="00125408" w:rsidRPr="000229AD">
              <w:rPr>
                <w:sz w:val="22"/>
                <w:lang w:val="fr-FR"/>
              </w:rPr>
              <w:t>'</w:t>
            </w:r>
            <w:r w:rsidRPr="000229AD">
              <w:rPr>
                <w:sz w:val="22"/>
                <w:lang w:val="fr-FR"/>
              </w:rPr>
              <w:t>est davantage renforcée dans le cadre des domaines de coopération prioritaires, au titre duquel un cadre de référence pour la collaboration avec les membres de l</w:t>
            </w:r>
            <w:r w:rsidR="00125408" w:rsidRPr="000229AD">
              <w:rPr>
                <w:sz w:val="22"/>
                <w:lang w:val="fr-FR"/>
              </w:rPr>
              <w:t>'</w:t>
            </w:r>
            <w:r w:rsidRPr="000229AD">
              <w:rPr>
                <w:sz w:val="22"/>
                <w:lang w:val="fr-FR"/>
              </w:rPr>
              <w:t xml:space="preserve">ASEAN sur les principaux produits et services du BDT a été élaboré. Le BDT a également fourni une </w:t>
            </w:r>
            <w:r w:rsidRPr="000229AD">
              <w:rPr>
                <w:b/>
                <w:bCs/>
                <w:sz w:val="22"/>
                <w:lang w:val="fr-FR"/>
              </w:rPr>
              <w:t>assistance technique pour l</w:t>
            </w:r>
            <w:r w:rsidR="00125408" w:rsidRPr="000229AD">
              <w:rPr>
                <w:b/>
                <w:bCs/>
                <w:sz w:val="22"/>
                <w:lang w:val="fr-FR"/>
              </w:rPr>
              <w:t>'</w:t>
            </w:r>
            <w:r w:rsidRPr="000229AD">
              <w:rPr>
                <w:b/>
                <w:bCs/>
                <w:sz w:val="22"/>
                <w:lang w:val="fr-FR"/>
              </w:rPr>
              <w:t>élaboration d</w:t>
            </w:r>
            <w:r w:rsidR="00125408" w:rsidRPr="000229AD">
              <w:rPr>
                <w:b/>
                <w:bCs/>
                <w:sz w:val="22"/>
                <w:lang w:val="fr-FR"/>
              </w:rPr>
              <w:t>'</w:t>
            </w:r>
            <w:r w:rsidRPr="000229AD">
              <w:rPr>
                <w:b/>
                <w:bCs/>
                <w:sz w:val="22"/>
                <w:lang w:val="fr-FR"/>
              </w:rPr>
              <w:t>une politique de service universel et d</w:t>
            </w:r>
            <w:r w:rsidR="00125408" w:rsidRPr="000229AD">
              <w:rPr>
                <w:b/>
                <w:bCs/>
                <w:sz w:val="22"/>
                <w:lang w:val="fr-FR"/>
              </w:rPr>
              <w:t>'</w:t>
            </w:r>
            <w:r w:rsidRPr="000229AD">
              <w:rPr>
                <w:b/>
                <w:bCs/>
                <w:sz w:val="22"/>
                <w:lang w:val="fr-FR"/>
              </w:rPr>
              <w:t>une politique de partage des infrastructures</w:t>
            </w:r>
            <w:r w:rsidRPr="000229AD">
              <w:rPr>
                <w:sz w:val="22"/>
                <w:lang w:val="fr-FR"/>
              </w:rPr>
              <w:t>: des activités sont en cours aux Tonga et au Vanuatu en vue d</w:t>
            </w:r>
            <w:r w:rsidR="00125408" w:rsidRPr="000229AD">
              <w:rPr>
                <w:sz w:val="22"/>
                <w:lang w:val="fr-FR"/>
              </w:rPr>
              <w:t>'</w:t>
            </w:r>
            <w:r w:rsidRPr="000229AD">
              <w:rPr>
                <w:sz w:val="22"/>
                <w:lang w:val="fr-FR"/>
              </w:rPr>
              <w:t>améliorer la connectivité dans les zones rurales et isolées. Afin d</w:t>
            </w:r>
            <w:r w:rsidR="00125408" w:rsidRPr="000229AD">
              <w:rPr>
                <w:sz w:val="22"/>
                <w:lang w:val="fr-FR"/>
              </w:rPr>
              <w:t>'</w:t>
            </w:r>
            <w:r w:rsidRPr="000229AD">
              <w:rPr>
                <w:sz w:val="22"/>
                <w:lang w:val="fr-FR"/>
              </w:rPr>
              <w:t>aider davantage les États Membres, un répertoire des politiques et de la réglementation dans la région Asie-Pacifique est en cours d</w:t>
            </w:r>
            <w:r w:rsidR="00125408" w:rsidRPr="000229AD">
              <w:rPr>
                <w:sz w:val="22"/>
                <w:lang w:val="fr-FR"/>
              </w:rPr>
              <w:t>'</w:t>
            </w:r>
            <w:r w:rsidRPr="000229AD">
              <w:rPr>
                <w:sz w:val="22"/>
                <w:lang w:val="fr-FR"/>
              </w:rPr>
              <w:t>élaboration. Il permettra à terme aux États Membres de se référer facilement aux pratiques des pays de la région en matière de politiques.</w:t>
            </w:r>
          </w:p>
          <w:p w14:paraId="1AE619A6" w14:textId="749ADAF5" w:rsidR="00EA2FD3" w:rsidRPr="000229AD" w:rsidRDefault="00EA2FD3" w:rsidP="00716C22">
            <w:pPr>
              <w:pStyle w:val="enumlev1"/>
              <w:ind w:left="312" w:hanging="312"/>
              <w:rPr>
                <w:sz w:val="22"/>
                <w:lang w:val="fr-FR"/>
              </w:rPr>
            </w:pPr>
            <w:r w:rsidRPr="000229AD">
              <w:rPr>
                <w:sz w:val="22"/>
                <w:lang w:val="fr-FR"/>
              </w:rPr>
              <w:t>•</w:t>
            </w:r>
            <w:r w:rsidRPr="000229AD">
              <w:rPr>
                <w:sz w:val="22"/>
                <w:lang w:val="fr-FR"/>
              </w:rPr>
              <w:tab/>
            </w:r>
            <w:r w:rsidRPr="000229AD">
              <w:rPr>
                <w:b/>
                <w:bCs/>
                <w:sz w:val="22"/>
                <w:lang w:val="fr-FR"/>
              </w:rPr>
              <w:t>Dans la région de la CEI</w:t>
            </w:r>
            <w:r w:rsidRPr="000229AD">
              <w:rPr>
                <w:sz w:val="22"/>
                <w:lang w:val="fr-FR"/>
              </w:rPr>
              <w:t>, le BDT a collaboré étroitement avec l</w:t>
            </w:r>
            <w:r w:rsidR="00125408" w:rsidRPr="000229AD">
              <w:rPr>
                <w:sz w:val="22"/>
                <w:lang w:val="fr-FR"/>
              </w:rPr>
              <w:t>'</w:t>
            </w:r>
            <w:r w:rsidRPr="000229AD">
              <w:rPr>
                <w:sz w:val="22"/>
                <w:lang w:val="fr-FR"/>
              </w:rPr>
              <w:t>Ouzbékistan à l</w:t>
            </w:r>
            <w:r w:rsidR="00125408" w:rsidRPr="000229AD">
              <w:rPr>
                <w:sz w:val="22"/>
                <w:lang w:val="fr-FR"/>
              </w:rPr>
              <w:t>'</w:t>
            </w:r>
            <w:r w:rsidRPr="000229AD">
              <w:rPr>
                <w:sz w:val="22"/>
                <w:lang w:val="fr-FR"/>
              </w:rPr>
              <w:t>amélioration des données réglementaires, ce qui s</w:t>
            </w:r>
            <w:r w:rsidR="00125408" w:rsidRPr="000229AD">
              <w:rPr>
                <w:sz w:val="22"/>
                <w:lang w:val="fr-FR"/>
              </w:rPr>
              <w:t>'</w:t>
            </w:r>
            <w:r w:rsidRPr="000229AD">
              <w:rPr>
                <w:sz w:val="22"/>
                <w:lang w:val="fr-FR"/>
              </w:rPr>
              <w:t>est traduit par un renforcement de la position du pays dans l</w:t>
            </w:r>
            <w:r w:rsidR="00125408" w:rsidRPr="000229AD">
              <w:rPr>
                <w:sz w:val="22"/>
                <w:lang w:val="fr-FR"/>
              </w:rPr>
              <w:t>'</w:t>
            </w:r>
            <w:r w:rsidRPr="000229AD">
              <w:rPr>
                <w:sz w:val="22"/>
                <w:lang w:val="fr-FR"/>
              </w:rPr>
              <w:t>Outil de suivi réglementaire de l</w:t>
            </w:r>
            <w:r w:rsidR="00125408" w:rsidRPr="000229AD">
              <w:rPr>
                <w:sz w:val="22"/>
                <w:lang w:val="fr-FR"/>
              </w:rPr>
              <w:t>'</w:t>
            </w:r>
            <w:r w:rsidRPr="000229AD">
              <w:rPr>
                <w:sz w:val="22"/>
                <w:lang w:val="fr-FR"/>
              </w:rPr>
              <w:t>UIT et une amélioration de l</w:t>
            </w:r>
            <w:r w:rsidR="00125408" w:rsidRPr="000229AD">
              <w:rPr>
                <w:sz w:val="22"/>
                <w:lang w:val="fr-FR"/>
              </w:rPr>
              <w:t>'</w:t>
            </w:r>
            <w:r w:rsidRPr="000229AD">
              <w:rPr>
                <w:sz w:val="22"/>
                <w:lang w:val="fr-FR"/>
              </w:rPr>
              <w:t>environnement réglementaire et des investissements. Dans le cadre du projet Connect2Recover, une évaluation de la résilience a été réalisée au Kirghizistan afin de renforcer l</w:t>
            </w:r>
            <w:r w:rsidR="00125408" w:rsidRPr="000229AD">
              <w:rPr>
                <w:sz w:val="22"/>
                <w:lang w:val="fr-FR"/>
              </w:rPr>
              <w:t>'</w:t>
            </w:r>
            <w:r w:rsidRPr="000229AD">
              <w:rPr>
                <w:sz w:val="22"/>
                <w:lang w:val="fr-FR"/>
              </w:rPr>
              <w:t>infrastructure des télécommunications/TIC, l</w:t>
            </w:r>
            <w:r w:rsidR="00125408" w:rsidRPr="000229AD">
              <w:rPr>
                <w:sz w:val="22"/>
                <w:lang w:val="fr-FR"/>
              </w:rPr>
              <w:t>'</w:t>
            </w:r>
            <w:r w:rsidRPr="000229AD">
              <w:rPr>
                <w:sz w:val="22"/>
                <w:lang w:val="fr-FR"/>
              </w:rPr>
              <w:t xml:space="preserve">environnement politique et réglementaire et les données statistiques. Un </w:t>
            </w:r>
            <w:r w:rsidRPr="000229AD">
              <w:rPr>
                <w:b/>
                <w:bCs/>
                <w:sz w:val="22"/>
                <w:lang w:val="fr-FR"/>
              </w:rPr>
              <w:t>forum régional sur la transformation numérique</w:t>
            </w:r>
            <w:r w:rsidRPr="000229AD">
              <w:rPr>
                <w:sz w:val="22"/>
                <w:lang w:val="fr-FR"/>
              </w:rPr>
              <w:t xml:space="preserve"> a été organisé au Kirghizistan et a rassemblé les États Membres de la région qui ont pu approfondir leurs connaissances des moyens politiques et réglementaires proposés par le BDT pour développer le secteur numérique. Une autre évaluation de la résilience a été réalisée au Kirghizistan au titre du projet Connect2Recover afin de renforcer l</w:t>
            </w:r>
            <w:r w:rsidR="00125408" w:rsidRPr="000229AD">
              <w:rPr>
                <w:sz w:val="22"/>
                <w:lang w:val="fr-FR"/>
              </w:rPr>
              <w:t>'</w:t>
            </w:r>
            <w:r w:rsidRPr="000229AD">
              <w:rPr>
                <w:sz w:val="22"/>
                <w:lang w:val="fr-FR"/>
              </w:rPr>
              <w:t>infrastructure des télécommunications/TIC, l</w:t>
            </w:r>
            <w:r w:rsidR="00125408" w:rsidRPr="000229AD">
              <w:rPr>
                <w:sz w:val="22"/>
                <w:lang w:val="fr-FR"/>
              </w:rPr>
              <w:t>'</w:t>
            </w:r>
            <w:r w:rsidRPr="000229AD">
              <w:rPr>
                <w:sz w:val="22"/>
                <w:lang w:val="fr-FR"/>
              </w:rPr>
              <w:t>environnement politique et réglementaire et les données statistiques.</w:t>
            </w:r>
          </w:p>
          <w:p w14:paraId="0872AD81" w14:textId="0882A581" w:rsidR="00EA2FD3" w:rsidRPr="000229AD" w:rsidRDefault="00EA2FD3" w:rsidP="00716C22">
            <w:pPr>
              <w:pStyle w:val="enumlev1"/>
              <w:keepNext/>
              <w:keepLines/>
              <w:ind w:left="312" w:hanging="312"/>
              <w:rPr>
                <w:sz w:val="22"/>
                <w:lang w:val="fr-FR"/>
              </w:rPr>
            </w:pPr>
            <w:r w:rsidRPr="000229AD">
              <w:rPr>
                <w:sz w:val="22"/>
                <w:lang w:val="fr-FR"/>
              </w:rPr>
              <w:lastRenderedPageBreak/>
              <w:t>•</w:t>
            </w:r>
            <w:r w:rsidRPr="000229AD">
              <w:rPr>
                <w:sz w:val="22"/>
                <w:lang w:val="fr-FR"/>
              </w:rPr>
              <w:tab/>
            </w:r>
            <w:r w:rsidRPr="000229AD">
              <w:rPr>
                <w:b/>
                <w:bCs/>
                <w:sz w:val="22"/>
                <w:lang w:val="fr-FR"/>
              </w:rPr>
              <w:t>Dans la région Europe</w:t>
            </w:r>
            <w:r w:rsidRPr="000229AD">
              <w:rPr>
                <w:sz w:val="22"/>
                <w:lang w:val="fr-FR"/>
              </w:rPr>
              <w:t>, des profils de pays concernant le développement numérique ont été élaborées pour trois pays de la région Europe, à savoir la Bosnie-Herzégovine, le Monténégro et la Serbie. Ils viennent s</w:t>
            </w:r>
            <w:r w:rsidR="00125408" w:rsidRPr="000229AD">
              <w:rPr>
                <w:sz w:val="22"/>
                <w:lang w:val="fr-FR"/>
              </w:rPr>
              <w:t>'</w:t>
            </w:r>
            <w:r w:rsidRPr="000229AD">
              <w:rPr>
                <w:sz w:val="22"/>
                <w:lang w:val="fr-FR"/>
              </w:rPr>
              <w:t>ajouter à la série de monographies de pays existantes (Albanie, Géorgie, Macédoine du Nord, Moldova, Türkiye). Ces profils servent de base aux analyses comparatives et traitent de l</w:t>
            </w:r>
            <w:r w:rsidR="00125408" w:rsidRPr="000229AD">
              <w:rPr>
                <w:sz w:val="22"/>
                <w:lang w:val="fr-FR"/>
              </w:rPr>
              <w:t>'</w:t>
            </w:r>
            <w:r w:rsidRPr="000229AD">
              <w:rPr>
                <w:sz w:val="22"/>
                <w:lang w:val="fr-FR"/>
              </w:rPr>
              <w:t>état de développement numérique des pays en appliquant un cadre modulaire qui étudie la transformation numérique sous divers angles et permet de comprendre comment les diverses dimensions du développement numérique interagissent au niveau national. Ils offrent également une vue d</w:t>
            </w:r>
            <w:r w:rsidR="00125408" w:rsidRPr="000229AD">
              <w:rPr>
                <w:sz w:val="22"/>
                <w:lang w:val="fr-FR"/>
              </w:rPr>
              <w:t>'</w:t>
            </w:r>
            <w:r w:rsidRPr="000229AD">
              <w:rPr>
                <w:sz w:val="22"/>
                <w:lang w:val="fr-FR"/>
              </w:rPr>
              <w:t>ensemble des activités et des projets mis en œuvre au niveau national et dans l</w:t>
            </w:r>
            <w:r w:rsidR="00125408" w:rsidRPr="000229AD">
              <w:rPr>
                <w:sz w:val="22"/>
                <w:lang w:val="fr-FR"/>
              </w:rPr>
              <w:t>'</w:t>
            </w:r>
            <w:r w:rsidRPr="000229AD">
              <w:rPr>
                <w:sz w:val="22"/>
                <w:lang w:val="fr-FR"/>
              </w:rPr>
              <w:t>ensemble de la région. Les profils de pays reposent sur la collaboration des membres des équipes de pays des Nations Unies ainsi que d</w:t>
            </w:r>
            <w:r w:rsidR="00125408" w:rsidRPr="000229AD">
              <w:rPr>
                <w:sz w:val="22"/>
                <w:lang w:val="fr-FR"/>
              </w:rPr>
              <w:t>'</w:t>
            </w:r>
            <w:r w:rsidRPr="000229AD">
              <w:rPr>
                <w:sz w:val="22"/>
                <w:lang w:val="fr-FR"/>
              </w:rPr>
              <w:t>autres organismes des Nations Unies pour fournir une perspective globale de la situation. Ils visent à établir une référence pour les discussions sur le développement numérique au niveau des pays, à servir de guide pour préparer les échanges avec les parties prenantes nationales et à ouvrir la voie à une meilleure collaboration avec les entités des Nations Unies sur le terrain.</w:t>
            </w:r>
          </w:p>
          <w:p w14:paraId="3276EA2F" w14:textId="6B0B4A07" w:rsidR="00EA2FD3" w:rsidRPr="000229AD" w:rsidRDefault="00EA2FD3" w:rsidP="00716C22">
            <w:pPr>
              <w:pStyle w:val="Tabletext"/>
              <w:spacing w:before="120"/>
              <w:rPr>
                <w:b/>
                <w:bCs/>
                <w:lang w:val="fr-FR"/>
              </w:rPr>
            </w:pPr>
            <w:r w:rsidRPr="000229AD">
              <w:rPr>
                <w:b/>
                <w:bCs/>
                <w:lang w:val="fr-FR"/>
              </w:rPr>
              <w:t>Ces actions ont permis de renforcer les connaissances et l</w:t>
            </w:r>
            <w:r w:rsidR="00125408" w:rsidRPr="000229AD">
              <w:rPr>
                <w:b/>
                <w:bCs/>
                <w:lang w:val="fr-FR"/>
              </w:rPr>
              <w:t>'</w:t>
            </w:r>
            <w:r w:rsidRPr="000229AD">
              <w:rPr>
                <w:b/>
                <w:bCs/>
                <w:lang w:val="fr-FR"/>
              </w:rPr>
              <w:t>accessibilité des outils dans le but d</w:t>
            </w:r>
            <w:r w:rsidR="00125408" w:rsidRPr="000229AD">
              <w:rPr>
                <w:b/>
                <w:bCs/>
                <w:lang w:val="fr-FR"/>
              </w:rPr>
              <w:t>'</w:t>
            </w:r>
            <w:r w:rsidRPr="000229AD">
              <w:rPr>
                <w:b/>
                <w:bCs/>
                <w:lang w:val="fr-FR"/>
              </w:rPr>
              <w:t>aider les États Membres à comprendre l</w:t>
            </w:r>
            <w:r w:rsidR="00125408" w:rsidRPr="000229AD">
              <w:rPr>
                <w:b/>
                <w:bCs/>
                <w:lang w:val="fr-FR"/>
              </w:rPr>
              <w:t>'</w:t>
            </w:r>
            <w:r w:rsidRPr="000229AD">
              <w:rPr>
                <w:b/>
                <w:bCs/>
                <w:lang w:val="fr-FR"/>
              </w:rPr>
              <w:t>évolution rapide du paysage, à relever les nouveaux défis de l</w:t>
            </w:r>
            <w:r w:rsidR="00125408" w:rsidRPr="000229AD">
              <w:rPr>
                <w:b/>
                <w:bCs/>
                <w:lang w:val="fr-FR"/>
              </w:rPr>
              <w:t>'</w:t>
            </w:r>
            <w:r w:rsidRPr="000229AD">
              <w:rPr>
                <w:b/>
                <w:bCs/>
                <w:lang w:val="fr-FR"/>
              </w:rPr>
              <w:t>écosystème numérique, à stimuler l</w:t>
            </w:r>
            <w:r w:rsidR="00125408" w:rsidRPr="000229AD">
              <w:rPr>
                <w:b/>
                <w:bCs/>
                <w:lang w:val="fr-FR"/>
              </w:rPr>
              <w:t>'</w:t>
            </w:r>
            <w:r w:rsidRPr="000229AD">
              <w:rPr>
                <w:b/>
                <w:bCs/>
                <w:lang w:val="fr-FR"/>
              </w:rPr>
              <w:t>investissement et à permettre une croissance plus forte du marché.</w:t>
            </w:r>
          </w:p>
          <w:p w14:paraId="1702C905" w14:textId="77777777" w:rsidR="00EA2FD3" w:rsidRPr="000229AD" w:rsidRDefault="00EA2FD3" w:rsidP="00716C22">
            <w:pPr>
              <w:pStyle w:val="Tabletext"/>
              <w:spacing w:before="120"/>
              <w:rPr>
                <w:b/>
                <w:bCs/>
                <w:lang w:val="fr-FR"/>
              </w:rPr>
            </w:pPr>
            <w:r w:rsidRPr="000229AD">
              <w:rPr>
                <w:b/>
                <w:bCs/>
                <w:lang w:val="fr-FR"/>
              </w:rPr>
              <w:t>Amélioration de la fourniture de données et de statistiques réglementaires et économiques:</w:t>
            </w:r>
          </w:p>
          <w:p w14:paraId="60E68447" w14:textId="30572F6F" w:rsidR="00EA2FD3" w:rsidRPr="000229AD" w:rsidRDefault="00EA2FD3" w:rsidP="00716C22">
            <w:pPr>
              <w:pStyle w:val="enumlev1"/>
              <w:ind w:left="312" w:hanging="312"/>
              <w:rPr>
                <w:sz w:val="22"/>
                <w:lang w:val="fr-FR"/>
              </w:rPr>
            </w:pPr>
            <w:r w:rsidRPr="000229AD">
              <w:rPr>
                <w:sz w:val="22"/>
                <w:lang w:val="fr-FR"/>
              </w:rPr>
              <w:t>•</w:t>
            </w:r>
            <w:r w:rsidRPr="000229AD">
              <w:rPr>
                <w:sz w:val="22"/>
                <w:lang w:val="fr-FR"/>
              </w:rPr>
              <w:tab/>
              <w:t>L</w:t>
            </w:r>
            <w:r w:rsidR="00125408" w:rsidRPr="000229AD">
              <w:rPr>
                <w:sz w:val="22"/>
                <w:lang w:val="fr-FR"/>
              </w:rPr>
              <w:t>'</w:t>
            </w:r>
            <w:hyperlink r:id="rId45" w:history="1">
              <w:r w:rsidRPr="000229AD">
                <w:rPr>
                  <w:rStyle w:val="Hyperlink"/>
                  <w:sz w:val="22"/>
                  <w:lang w:val="fr-FR"/>
                </w:rPr>
                <w:t>édition 2023 des critères de référence pour la réglementation de cinquième génération</w:t>
              </w:r>
            </w:hyperlink>
            <w:r w:rsidRPr="000229AD">
              <w:rPr>
                <w:sz w:val="22"/>
                <w:lang w:val="fr-FR"/>
              </w:rPr>
              <w:t xml:space="preserve"> a fourni une évaluation de l</w:t>
            </w:r>
            <w:r w:rsidR="00125408" w:rsidRPr="000229AD">
              <w:rPr>
                <w:sz w:val="22"/>
                <w:lang w:val="fr-FR"/>
              </w:rPr>
              <w:t>'</w:t>
            </w:r>
            <w:r w:rsidRPr="000229AD">
              <w:rPr>
                <w:sz w:val="22"/>
                <w:lang w:val="fr-FR"/>
              </w:rPr>
              <w:t xml:space="preserve">état de préparation des cadres nationaux politiques, juridiques et de gouvernance pour la transformation numérique. Les nouveaux outils de visualisation disponibles sur la </w:t>
            </w:r>
            <w:hyperlink r:id="rId46" w:history="1">
              <w:r w:rsidRPr="000229AD">
                <w:rPr>
                  <w:lang w:val="fr-FR"/>
                </w:rPr>
                <w:t>plate-forme G5 Accelerator</w:t>
              </w:r>
            </w:hyperlink>
            <w:r w:rsidRPr="000229AD">
              <w:rPr>
                <w:sz w:val="22"/>
                <w:lang w:val="fr-FR"/>
              </w:rPr>
              <w:t xml:space="preserve"> permettent une analyse personnalisée et approfondie des 54 indicateurs retenus par région ou pays.</w:t>
            </w:r>
          </w:p>
          <w:p w14:paraId="066D923B" w14:textId="1138B63A" w:rsidR="00EA2FD3" w:rsidRPr="000229AD" w:rsidRDefault="00EA2FD3" w:rsidP="00716C22">
            <w:pPr>
              <w:pStyle w:val="enumlev1"/>
              <w:keepNext/>
              <w:keepLines/>
              <w:ind w:left="312" w:hanging="312"/>
              <w:rPr>
                <w:sz w:val="22"/>
                <w:lang w:val="fr-FR"/>
              </w:rPr>
            </w:pPr>
            <w:r w:rsidRPr="000229AD">
              <w:rPr>
                <w:sz w:val="22"/>
                <w:lang w:val="fr-FR"/>
              </w:rPr>
              <w:t>•</w:t>
            </w:r>
            <w:r w:rsidRPr="000229AD">
              <w:rPr>
                <w:sz w:val="22"/>
                <w:lang w:val="fr-FR"/>
              </w:rPr>
              <w:tab/>
              <w:t>Le document technique "Critères de référence pour la réglementation collaborative de cinquième génération 2023: tendances mondiales et régionales", qui accompagne l</w:t>
            </w:r>
            <w:r w:rsidR="00125408" w:rsidRPr="000229AD">
              <w:rPr>
                <w:sz w:val="22"/>
                <w:lang w:val="fr-FR"/>
              </w:rPr>
              <w:t>'</w:t>
            </w:r>
            <w:r w:rsidRPr="000229AD">
              <w:rPr>
                <w:sz w:val="22"/>
                <w:lang w:val="fr-FR"/>
              </w:rPr>
              <w:t>ensemble de données des critères de référence, met en évidence les tendances de l</w:t>
            </w:r>
            <w:r w:rsidR="00125408" w:rsidRPr="000229AD">
              <w:rPr>
                <w:sz w:val="22"/>
                <w:lang w:val="fr-FR"/>
              </w:rPr>
              <w:t>'</w:t>
            </w:r>
            <w:r w:rsidRPr="000229AD">
              <w:rPr>
                <w:sz w:val="22"/>
                <w:lang w:val="fr-FR"/>
              </w:rPr>
              <w:t xml:space="preserve">évolution des cadres nationaux juridiques, politiques et de gouvernance pour la transformation numérique dans les régions et les groupes de pays vulnérables (PMA, PDSL et PEID). </w:t>
            </w:r>
          </w:p>
          <w:p w14:paraId="348F8D45" w14:textId="30A1313D" w:rsidR="00EA2FD3" w:rsidRPr="000229AD" w:rsidRDefault="00EA2FD3" w:rsidP="00716C22">
            <w:pPr>
              <w:pStyle w:val="enumlev1"/>
              <w:ind w:left="312" w:hanging="312"/>
              <w:rPr>
                <w:sz w:val="22"/>
                <w:lang w:val="fr-FR"/>
              </w:rPr>
            </w:pPr>
            <w:r w:rsidRPr="000229AD">
              <w:rPr>
                <w:sz w:val="22"/>
                <w:lang w:val="fr-FR"/>
              </w:rPr>
              <w:t>•</w:t>
            </w:r>
            <w:r w:rsidRPr="000229AD">
              <w:rPr>
                <w:sz w:val="22"/>
                <w:lang w:val="fr-FR"/>
              </w:rPr>
              <w:tab/>
              <w:t>Les analyses économétriques comprennent des études et des recommandations sur l</w:t>
            </w:r>
            <w:r w:rsidR="00125408" w:rsidRPr="000229AD">
              <w:rPr>
                <w:sz w:val="22"/>
                <w:lang w:val="fr-FR"/>
              </w:rPr>
              <w:t>'</w:t>
            </w:r>
            <w:r w:rsidRPr="000229AD">
              <w:rPr>
                <w:sz w:val="22"/>
                <w:lang w:val="fr-FR"/>
              </w:rPr>
              <w:t>accessibilité économique de l</w:t>
            </w:r>
            <w:r w:rsidR="00125408" w:rsidRPr="000229AD">
              <w:rPr>
                <w:sz w:val="22"/>
                <w:lang w:val="fr-FR"/>
              </w:rPr>
              <w:t>'</w:t>
            </w:r>
            <w:r w:rsidRPr="000229AD">
              <w:rPr>
                <w:sz w:val="22"/>
                <w:lang w:val="fr-FR"/>
              </w:rPr>
              <w:t>adoption des TIC dans le monde entier.</w:t>
            </w:r>
          </w:p>
          <w:p w14:paraId="022B4D83" w14:textId="6CCC122D" w:rsidR="00EA2FD3" w:rsidRPr="000229AD" w:rsidRDefault="00EA2FD3" w:rsidP="00716C22">
            <w:pPr>
              <w:pStyle w:val="Tabletext"/>
              <w:spacing w:before="120"/>
              <w:rPr>
                <w:b/>
                <w:bCs/>
                <w:lang w:val="fr-FR"/>
              </w:rPr>
            </w:pPr>
            <w:r w:rsidRPr="000229AD">
              <w:rPr>
                <w:b/>
                <w:bCs/>
                <w:lang w:val="fr-FR"/>
              </w:rPr>
              <w:t>Les activités présentées plus haut ont permis d</w:t>
            </w:r>
            <w:r w:rsidR="00125408" w:rsidRPr="000229AD">
              <w:rPr>
                <w:b/>
                <w:bCs/>
                <w:lang w:val="fr-FR"/>
              </w:rPr>
              <w:t>'</w:t>
            </w:r>
            <w:r w:rsidRPr="000229AD">
              <w:rPr>
                <w:b/>
                <w:bCs/>
                <w:lang w:val="fr-FR"/>
              </w:rPr>
              <w:t>accroître la sensibilisation et l</w:t>
            </w:r>
            <w:r w:rsidR="00125408" w:rsidRPr="000229AD">
              <w:rPr>
                <w:b/>
                <w:bCs/>
                <w:lang w:val="fr-FR"/>
              </w:rPr>
              <w:t>'</w:t>
            </w:r>
            <w:r w:rsidRPr="000229AD">
              <w:rPr>
                <w:b/>
                <w:bCs/>
                <w:lang w:val="fr-FR"/>
              </w:rPr>
              <w:t>accès aux données et analyses réglementaires et économiques afin d</w:t>
            </w:r>
            <w:r w:rsidR="00125408" w:rsidRPr="000229AD">
              <w:rPr>
                <w:b/>
                <w:bCs/>
                <w:lang w:val="fr-FR"/>
              </w:rPr>
              <w:t>'</w:t>
            </w:r>
            <w:r w:rsidRPr="000229AD">
              <w:rPr>
                <w:b/>
                <w:bCs/>
                <w:lang w:val="fr-FR"/>
              </w:rPr>
              <w:t>appuyer la prise de décisions fondées sur des données factuelles.</w:t>
            </w:r>
          </w:p>
          <w:p w14:paraId="52494BF8" w14:textId="77777777" w:rsidR="00EA2FD3" w:rsidRPr="000229AD" w:rsidRDefault="00EA2FD3" w:rsidP="00716C22">
            <w:pPr>
              <w:pStyle w:val="Tabletext"/>
              <w:spacing w:before="120"/>
              <w:rPr>
                <w:b/>
                <w:bCs/>
                <w:lang w:val="fr-FR"/>
              </w:rPr>
            </w:pPr>
            <w:r w:rsidRPr="000229AD">
              <w:rPr>
                <w:b/>
                <w:bCs/>
                <w:lang w:val="fr-FR"/>
              </w:rPr>
              <w:t>Renforcement des capacités des personnes et des entités</w:t>
            </w:r>
          </w:p>
          <w:p w14:paraId="60F43778" w14:textId="1C78885D" w:rsidR="00EA2FD3" w:rsidRPr="000229AD" w:rsidRDefault="00EA2FD3" w:rsidP="00716C22">
            <w:pPr>
              <w:pStyle w:val="enumlev1"/>
              <w:spacing w:after="40"/>
              <w:ind w:left="312" w:hanging="312"/>
              <w:rPr>
                <w:sz w:val="22"/>
                <w:lang w:val="fr-FR"/>
              </w:rPr>
            </w:pPr>
            <w:r w:rsidRPr="000229AD">
              <w:rPr>
                <w:sz w:val="22"/>
                <w:lang w:val="fr-FR"/>
              </w:rPr>
              <w:t>•</w:t>
            </w:r>
            <w:r w:rsidRPr="000229AD">
              <w:rPr>
                <w:sz w:val="22"/>
                <w:lang w:val="fr-FR"/>
              </w:rPr>
              <w:tab/>
            </w:r>
            <w:r w:rsidRPr="000229AD">
              <w:rPr>
                <w:b/>
                <w:bCs/>
                <w:sz w:val="22"/>
                <w:lang w:val="fr-FR"/>
              </w:rPr>
              <w:t>À l</w:t>
            </w:r>
            <w:r w:rsidR="00125408" w:rsidRPr="000229AD">
              <w:rPr>
                <w:b/>
                <w:bCs/>
                <w:sz w:val="22"/>
                <w:lang w:val="fr-FR"/>
              </w:rPr>
              <w:t>'</w:t>
            </w:r>
            <w:r w:rsidRPr="000229AD">
              <w:rPr>
                <w:b/>
                <w:bCs/>
                <w:sz w:val="22"/>
                <w:lang w:val="fr-FR"/>
              </w:rPr>
              <w:t>échelle mondiale</w:t>
            </w:r>
            <w:r w:rsidRPr="000229AD">
              <w:rPr>
                <w:sz w:val="22"/>
                <w:lang w:val="fr-FR"/>
              </w:rPr>
              <w:t>, l</w:t>
            </w:r>
            <w:r w:rsidR="00125408" w:rsidRPr="000229AD">
              <w:rPr>
                <w:sz w:val="22"/>
                <w:lang w:val="fr-FR"/>
              </w:rPr>
              <w:t>'</w:t>
            </w:r>
            <w:r w:rsidRPr="000229AD">
              <w:rPr>
                <w:sz w:val="22"/>
                <w:lang w:val="fr-FR"/>
              </w:rPr>
              <w:t xml:space="preserve">UIT a organisé deux </w:t>
            </w:r>
            <w:r w:rsidRPr="000229AD">
              <w:rPr>
                <w:b/>
                <w:bCs/>
                <w:sz w:val="22"/>
                <w:lang w:val="fr-FR"/>
              </w:rPr>
              <w:t>formations sur la réglementation numérique mondiale</w:t>
            </w:r>
            <w:r w:rsidRPr="000229AD">
              <w:rPr>
                <w:sz w:val="22"/>
                <w:lang w:val="fr-FR"/>
              </w:rPr>
              <w:t xml:space="preserve"> avec l</w:t>
            </w:r>
            <w:r w:rsidR="00125408" w:rsidRPr="000229AD">
              <w:rPr>
                <w:sz w:val="22"/>
                <w:lang w:val="fr-FR"/>
              </w:rPr>
              <w:t>'</w:t>
            </w:r>
            <w:r w:rsidRPr="000229AD">
              <w:rPr>
                <w:sz w:val="22"/>
                <w:lang w:val="fr-FR"/>
              </w:rPr>
              <w:t xml:space="preserve">appui financier de CST Saudi Arabia. Elles ont porté sur les cadres politiques, juridiques et réglementaires efficaces, et ont enregistré la participation de 910 personnes de 134 pays, dont 310 ont reçu un certificat. </w:t>
            </w:r>
          </w:p>
          <w:p w14:paraId="1400E74A" w14:textId="001443FD" w:rsidR="00EA2FD3" w:rsidRPr="000229AD" w:rsidRDefault="00EA2FD3" w:rsidP="00716C22">
            <w:pPr>
              <w:pStyle w:val="enumlev1"/>
              <w:ind w:left="312" w:hanging="312"/>
              <w:rPr>
                <w:sz w:val="22"/>
                <w:lang w:val="fr-FR"/>
              </w:rPr>
            </w:pPr>
            <w:r w:rsidRPr="000229AD">
              <w:rPr>
                <w:sz w:val="22"/>
                <w:lang w:val="fr-FR"/>
              </w:rPr>
              <w:lastRenderedPageBreak/>
              <w:tab/>
              <w:t>La formation des cadres de l</w:t>
            </w:r>
            <w:r w:rsidR="00125408" w:rsidRPr="000229AD">
              <w:rPr>
                <w:sz w:val="22"/>
                <w:lang w:val="fr-FR"/>
              </w:rPr>
              <w:t>'</w:t>
            </w:r>
            <w:r w:rsidRPr="000229AD">
              <w:rPr>
                <w:sz w:val="22"/>
                <w:lang w:val="fr-FR"/>
              </w:rPr>
              <w:t>Infocomm Media Development Authority, tenue à Singapour du 19 au 25 septembre 2023, a mis en évidence l</w:t>
            </w:r>
            <w:r w:rsidR="00125408" w:rsidRPr="000229AD">
              <w:rPr>
                <w:sz w:val="22"/>
                <w:lang w:val="fr-FR"/>
              </w:rPr>
              <w:t>'</w:t>
            </w:r>
            <w:r w:rsidRPr="000229AD">
              <w:rPr>
                <w:sz w:val="22"/>
                <w:lang w:val="fr-FR"/>
              </w:rPr>
              <w:t>engagement en faveur de la transformation numérique dans les petits États dans le cadre de l</w:t>
            </w:r>
            <w:r w:rsidR="00125408" w:rsidRPr="000229AD">
              <w:rPr>
                <w:sz w:val="22"/>
                <w:lang w:val="fr-FR"/>
              </w:rPr>
              <w:t>'</w:t>
            </w:r>
            <w:r w:rsidRPr="000229AD">
              <w:rPr>
                <w:sz w:val="22"/>
                <w:lang w:val="fr-FR"/>
              </w:rPr>
              <w:t>initiative </w:t>
            </w:r>
            <w:r w:rsidRPr="000229AD">
              <w:rPr>
                <w:b/>
                <w:bCs/>
                <w:sz w:val="22"/>
                <w:lang w:val="fr-FR"/>
              </w:rPr>
              <w:t>Coalition pour le numérique Partner2Connect</w:t>
            </w:r>
            <w:r w:rsidRPr="000229AD">
              <w:rPr>
                <w:sz w:val="22"/>
                <w:lang w:val="fr-FR"/>
              </w:rPr>
              <w:t xml:space="preserve"> au profit des membres du monde entier. Cette formation a permis de renforcer les capacités des décideurs et des régulateurs des petits États dans le domaine de la réglementation numérique, et a enregistré la participation de 19 personnes.</w:t>
            </w:r>
          </w:p>
          <w:p w14:paraId="01B5BC8E" w14:textId="02DE83A0" w:rsidR="00EA2FD3" w:rsidRPr="000229AD" w:rsidRDefault="00EA2FD3" w:rsidP="00716C22">
            <w:pPr>
              <w:pStyle w:val="enumlev1"/>
              <w:ind w:left="312" w:hanging="312"/>
              <w:rPr>
                <w:sz w:val="22"/>
                <w:lang w:val="fr-FR"/>
              </w:rPr>
            </w:pPr>
            <w:r w:rsidRPr="000229AD">
              <w:rPr>
                <w:sz w:val="22"/>
                <w:lang w:val="fr-FR"/>
              </w:rPr>
              <w:t>•</w:t>
            </w:r>
            <w:r w:rsidRPr="000229AD">
              <w:rPr>
                <w:sz w:val="22"/>
                <w:lang w:val="fr-FR"/>
              </w:rPr>
              <w:tab/>
            </w:r>
            <w:r w:rsidRPr="000229AD">
              <w:rPr>
                <w:b/>
                <w:bCs/>
                <w:sz w:val="22"/>
                <w:lang w:val="fr-FR"/>
              </w:rPr>
              <w:t>Dans la région Amériques</w:t>
            </w:r>
            <w:r w:rsidRPr="000229AD">
              <w:rPr>
                <w:sz w:val="22"/>
                <w:lang w:val="fr-FR"/>
              </w:rPr>
              <w:t>, le BDT a dispensé une formation aux États Membres de la CITEL dans le cadre du Comité consultatif permanent I (PCC. I) au cours d</w:t>
            </w:r>
            <w:r w:rsidR="00125408" w:rsidRPr="000229AD">
              <w:rPr>
                <w:sz w:val="22"/>
                <w:lang w:val="fr-FR"/>
              </w:rPr>
              <w:t>'</w:t>
            </w:r>
            <w:r w:rsidRPr="000229AD">
              <w:rPr>
                <w:sz w:val="22"/>
                <w:lang w:val="fr-FR"/>
              </w:rPr>
              <w:t xml:space="preserve">un </w:t>
            </w:r>
            <w:r w:rsidRPr="000229AD">
              <w:rPr>
                <w:b/>
                <w:bCs/>
                <w:sz w:val="22"/>
                <w:lang w:val="fr-FR"/>
              </w:rPr>
              <w:t>atelier sur la modernisation de la réglementation</w:t>
            </w:r>
            <w:r w:rsidRPr="000229AD">
              <w:rPr>
                <w:sz w:val="22"/>
                <w:lang w:val="fr-FR"/>
              </w:rPr>
              <w:t xml:space="preserve"> et les mécanismes réglementaires de substitution. En Haïti, une </w:t>
            </w:r>
            <w:r w:rsidRPr="000229AD">
              <w:rPr>
                <w:b/>
                <w:bCs/>
                <w:sz w:val="22"/>
                <w:lang w:val="fr-FR"/>
              </w:rPr>
              <w:t>évaluation de la résilience des réseaux</w:t>
            </w:r>
            <w:r w:rsidRPr="000229AD">
              <w:rPr>
                <w:sz w:val="22"/>
                <w:lang w:val="fr-FR"/>
              </w:rPr>
              <w:t>, soutenue par le projet Connect2Recover, a renforcé les compétences des participants formés à élaborer de nouvelles politiques et réglementations, à prendre de meilleures décisions en matière de gestion des risques de catastrophe et à mieux utiliser les services numériques.</w:t>
            </w:r>
          </w:p>
          <w:p w14:paraId="340F4FAE" w14:textId="23AF1C5E" w:rsidR="00EA2FD3" w:rsidRPr="000229AD" w:rsidRDefault="00EA2FD3" w:rsidP="00716C22">
            <w:pPr>
              <w:pStyle w:val="enumlev1"/>
              <w:ind w:left="312" w:hanging="312"/>
              <w:rPr>
                <w:sz w:val="22"/>
                <w:lang w:val="fr-FR"/>
              </w:rPr>
            </w:pPr>
            <w:r w:rsidRPr="000229AD">
              <w:rPr>
                <w:sz w:val="22"/>
                <w:lang w:val="fr-FR"/>
              </w:rPr>
              <w:t>•</w:t>
            </w:r>
            <w:r w:rsidRPr="000229AD">
              <w:rPr>
                <w:sz w:val="22"/>
                <w:lang w:val="fr-FR"/>
              </w:rPr>
              <w:tab/>
            </w:r>
            <w:r w:rsidRPr="000229AD">
              <w:rPr>
                <w:b/>
                <w:bCs/>
                <w:sz w:val="22"/>
                <w:lang w:val="fr-FR"/>
              </w:rPr>
              <w:t>Dans la région des États arabes</w:t>
            </w:r>
            <w:r w:rsidRPr="000229AD">
              <w:rPr>
                <w:sz w:val="22"/>
                <w:lang w:val="fr-FR"/>
              </w:rPr>
              <w:t>, en 2023, avec l</w:t>
            </w:r>
            <w:r w:rsidR="00125408" w:rsidRPr="000229AD">
              <w:rPr>
                <w:sz w:val="22"/>
                <w:lang w:val="fr-FR"/>
              </w:rPr>
              <w:t>'</w:t>
            </w:r>
            <w:r w:rsidRPr="000229AD">
              <w:rPr>
                <w:sz w:val="22"/>
                <w:lang w:val="fr-FR"/>
              </w:rPr>
              <w:t xml:space="preserve">appui généreux du CST Saudi Arabia, une </w:t>
            </w:r>
            <w:r w:rsidRPr="000229AD">
              <w:rPr>
                <w:b/>
                <w:bCs/>
                <w:sz w:val="22"/>
                <w:lang w:val="fr-FR"/>
              </w:rPr>
              <w:t>série de séances de formation à la réglementation numérique</w:t>
            </w:r>
            <w:r w:rsidRPr="000229AD">
              <w:rPr>
                <w:sz w:val="22"/>
                <w:lang w:val="fr-FR"/>
              </w:rPr>
              <w:t xml:space="preserve"> a été organisée avec succès, dont un atelier régional de formation sur la réglementation numérique pour les États arabes et trois formations nationales sur la réglementation numérique adaptées à l</w:t>
            </w:r>
            <w:r w:rsidR="00125408" w:rsidRPr="000229AD">
              <w:rPr>
                <w:sz w:val="22"/>
                <w:lang w:val="fr-FR"/>
              </w:rPr>
              <w:t>'</w:t>
            </w:r>
            <w:r w:rsidRPr="000229AD">
              <w:rPr>
                <w:sz w:val="22"/>
                <w:lang w:val="fr-FR"/>
              </w:rPr>
              <w:t>Arabie saoudite. Les formations ont enregistré une large participation, avec plus de 300 participants des États Membres de l</w:t>
            </w:r>
            <w:r w:rsidR="00125408" w:rsidRPr="000229AD">
              <w:rPr>
                <w:sz w:val="22"/>
                <w:lang w:val="fr-FR"/>
              </w:rPr>
              <w:t>'</w:t>
            </w:r>
            <w:r w:rsidRPr="000229AD">
              <w:rPr>
                <w:sz w:val="22"/>
                <w:lang w:val="fr-FR"/>
              </w:rPr>
              <w:t>UIT. En 2024, l</w:t>
            </w:r>
            <w:r w:rsidR="00125408" w:rsidRPr="000229AD">
              <w:rPr>
                <w:sz w:val="22"/>
                <w:lang w:val="fr-FR"/>
              </w:rPr>
              <w:t>'</w:t>
            </w:r>
            <w:r w:rsidRPr="000229AD">
              <w:rPr>
                <w:sz w:val="22"/>
                <w:lang w:val="fr-FR"/>
              </w:rPr>
              <w:t>UIT a organisé en collaboration avec l</w:t>
            </w:r>
            <w:r w:rsidR="00125408" w:rsidRPr="000229AD">
              <w:rPr>
                <w:sz w:val="22"/>
                <w:lang w:val="fr-FR"/>
              </w:rPr>
              <w:t>'</w:t>
            </w:r>
            <w:r w:rsidRPr="000229AD">
              <w:rPr>
                <w:sz w:val="22"/>
                <w:lang w:val="fr-FR"/>
              </w:rPr>
              <w:t>Autorité de régulation des télécommunications d</w:t>
            </w:r>
            <w:r w:rsidR="00125408" w:rsidRPr="000229AD">
              <w:rPr>
                <w:sz w:val="22"/>
                <w:lang w:val="fr-FR"/>
              </w:rPr>
              <w:t>'</w:t>
            </w:r>
            <w:r w:rsidRPr="000229AD">
              <w:rPr>
                <w:sz w:val="22"/>
                <w:lang w:val="fr-FR"/>
              </w:rPr>
              <w:t xml:space="preserve">Oman un atelier national sur la réglementation numérique collaborative afin de renforcer les capacités du personnel sur les outils nécessaires pour une réglementation collaborative. </w:t>
            </w:r>
          </w:p>
          <w:p w14:paraId="4A70939D" w14:textId="62CDD63B" w:rsidR="00EA2FD3" w:rsidRPr="000229AD" w:rsidRDefault="00EA2FD3" w:rsidP="00716C22">
            <w:pPr>
              <w:pStyle w:val="enumlev1"/>
              <w:spacing w:after="40"/>
              <w:ind w:left="312" w:hanging="312"/>
              <w:rPr>
                <w:sz w:val="22"/>
                <w:lang w:val="fr-FR"/>
              </w:rPr>
            </w:pPr>
            <w:r w:rsidRPr="000229AD">
              <w:rPr>
                <w:sz w:val="22"/>
                <w:lang w:val="fr-FR"/>
              </w:rPr>
              <w:t>•</w:t>
            </w:r>
            <w:r w:rsidRPr="000229AD">
              <w:rPr>
                <w:sz w:val="22"/>
                <w:lang w:val="fr-FR"/>
              </w:rPr>
              <w:tab/>
            </w:r>
            <w:r w:rsidRPr="000229AD">
              <w:rPr>
                <w:b/>
                <w:bCs/>
                <w:sz w:val="22"/>
                <w:lang w:val="fr-FR"/>
              </w:rPr>
              <w:t>Dans la région de la CEI</w:t>
            </w:r>
            <w:r w:rsidRPr="000229AD">
              <w:rPr>
                <w:sz w:val="22"/>
                <w:lang w:val="fr-FR"/>
              </w:rPr>
              <w:t xml:space="preserve">, le Bureau régional pour les pays de la CEI a organisé un </w:t>
            </w:r>
            <w:r w:rsidRPr="000229AD">
              <w:rPr>
                <w:b/>
                <w:bCs/>
                <w:sz w:val="22"/>
                <w:lang w:val="fr-FR"/>
              </w:rPr>
              <w:t>forum régional sur la transformation numérique</w:t>
            </w:r>
            <w:r w:rsidRPr="000229AD">
              <w:rPr>
                <w:sz w:val="22"/>
                <w:lang w:val="fr-FR"/>
              </w:rPr>
              <w:t xml:space="preserve"> dans le but de contribuer au renforcement des capacités des administrations des télécommunications et des instituts nationaux de statistique en vue d</w:t>
            </w:r>
            <w:r w:rsidR="00125408" w:rsidRPr="000229AD">
              <w:rPr>
                <w:sz w:val="22"/>
                <w:lang w:val="fr-FR"/>
              </w:rPr>
              <w:t>'</w:t>
            </w:r>
            <w:r w:rsidRPr="000229AD">
              <w:rPr>
                <w:sz w:val="22"/>
                <w:lang w:val="fr-FR"/>
              </w:rPr>
              <w:t>une réglementation numérique bien étayée (fondée sur les données). Hors ligne et en ligne, 150 participants, dont 51 femmes, d</w:t>
            </w:r>
            <w:r w:rsidR="00125408" w:rsidRPr="000229AD">
              <w:rPr>
                <w:sz w:val="22"/>
                <w:lang w:val="fr-FR"/>
              </w:rPr>
              <w:t>'</w:t>
            </w:r>
            <w:r w:rsidRPr="000229AD">
              <w:rPr>
                <w:sz w:val="22"/>
                <w:lang w:val="fr-FR"/>
              </w:rPr>
              <w:t>Arménie, d</w:t>
            </w:r>
            <w:r w:rsidR="00125408" w:rsidRPr="000229AD">
              <w:rPr>
                <w:sz w:val="22"/>
                <w:lang w:val="fr-FR"/>
              </w:rPr>
              <w:t>'</w:t>
            </w:r>
            <w:r w:rsidRPr="000229AD">
              <w:rPr>
                <w:sz w:val="22"/>
                <w:lang w:val="fr-FR"/>
              </w:rPr>
              <w:t>Azerbaïdjan, de Bélarus, de la Russie, du Kazakhstan, du Kirghizistan et d</w:t>
            </w:r>
            <w:r w:rsidR="00125408" w:rsidRPr="000229AD">
              <w:rPr>
                <w:sz w:val="22"/>
                <w:lang w:val="fr-FR"/>
              </w:rPr>
              <w:t>'</w:t>
            </w:r>
            <w:r w:rsidRPr="000229AD">
              <w:rPr>
                <w:sz w:val="22"/>
                <w:lang w:val="fr-FR"/>
              </w:rPr>
              <w:t>Ouzbékistan, ainsi que des représentants du Comité inter-États de statistique de la CEI et de la Communauté régionale des communications, ont participé au forum. Les participants au forum ont amélioré leurs connaissances des meilleures pratiques pour l</w:t>
            </w:r>
            <w:r w:rsidR="00125408" w:rsidRPr="000229AD">
              <w:rPr>
                <w:sz w:val="22"/>
                <w:lang w:val="fr-FR"/>
              </w:rPr>
              <w:t>'</w:t>
            </w:r>
            <w:r w:rsidRPr="000229AD">
              <w:rPr>
                <w:sz w:val="22"/>
                <w:lang w:val="fr-FR"/>
              </w:rPr>
              <w:t>élaboration de stratégies nationales de transformation numérique, des outils et indicateurs de l</w:t>
            </w:r>
            <w:r w:rsidR="00125408" w:rsidRPr="000229AD">
              <w:rPr>
                <w:sz w:val="22"/>
                <w:lang w:val="fr-FR"/>
              </w:rPr>
              <w:t>'</w:t>
            </w:r>
            <w:r w:rsidRPr="000229AD">
              <w:rPr>
                <w:sz w:val="22"/>
                <w:lang w:val="fr-FR"/>
              </w:rPr>
              <w:t>UIT pour évaluer la maturité de la réglementation, ainsi que des questionnaires correspondants de l</w:t>
            </w:r>
            <w:r w:rsidR="00125408" w:rsidRPr="000229AD">
              <w:rPr>
                <w:sz w:val="22"/>
                <w:lang w:val="fr-FR"/>
              </w:rPr>
              <w:t>'</w:t>
            </w:r>
            <w:r w:rsidRPr="000229AD">
              <w:rPr>
                <w:sz w:val="22"/>
                <w:lang w:val="fr-FR"/>
              </w:rPr>
              <w:t>UIT. À l</w:t>
            </w:r>
            <w:r w:rsidR="00125408" w:rsidRPr="000229AD">
              <w:rPr>
                <w:sz w:val="22"/>
                <w:lang w:val="fr-FR"/>
              </w:rPr>
              <w:t>'</w:t>
            </w:r>
            <w:r w:rsidRPr="000229AD">
              <w:rPr>
                <w:sz w:val="22"/>
                <w:lang w:val="fr-FR"/>
              </w:rPr>
              <w:t>intention des participants chargés de la collecte des indicateurs statistiques sur les TIC, des experts du siège de l</w:t>
            </w:r>
            <w:r w:rsidR="00125408" w:rsidRPr="000229AD">
              <w:rPr>
                <w:sz w:val="22"/>
                <w:lang w:val="fr-FR"/>
              </w:rPr>
              <w:t>'</w:t>
            </w:r>
            <w:r w:rsidRPr="000229AD">
              <w:rPr>
                <w:sz w:val="22"/>
                <w:lang w:val="fr-FR"/>
              </w:rPr>
              <w:t>UIT et de la région de la CEI ont dispensé une formation sur l</w:t>
            </w:r>
            <w:r w:rsidR="00125408" w:rsidRPr="000229AD">
              <w:rPr>
                <w:sz w:val="22"/>
                <w:lang w:val="fr-FR"/>
              </w:rPr>
              <w:t>'</w:t>
            </w:r>
            <w:r w:rsidRPr="000229AD">
              <w:rPr>
                <w:sz w:val="22"/>
                <w:lang w:val="fr-FR"/>
              </w:rPr>
              <w:t>utilisation des statistiques nationales pour établir des classements internationaux ainsi que sur l</w:t>
            </w:r>
            <w:r w:rsidR="00125408" w:rsidRPr="000229AD">
              <w:rPr>
                <w:sz w:val="22"/>
                <w:lang w:val="fr-FR"/>
              </w:rPr>
              <w:t>'</w:t>
            </w:r>
            <w:r w:rsidRPr="000229AD">
              <w:rPr>
                <w:sz w:val="22"/>
                <w:lang w:val="fr-FR"/>
              </w:rPr>
              <w:t>utilisation du portail de la plate-forme de données de l</w:t>
            </w:r>
            <w:r w:rsidR="00125408" w:rsidRPr="000229AD">
              <w:rPr>
                <w:sz w:val="22"/>
                <w:lang w:val="fr-FR"/>
              </w:rPr>
              <w:t>'</w:t>
            </w:r>
            <w:r w:rsidRPr="000229AD">
              <w:rPr>
                <w:sz w:val="22"/>
                <w:lang w:val="fr-FR"/>
              </w:rPr>
              <w:t>UIT pour établir des rapports et des plans au niveau des pays. Le forum a contribué à mieux faire connaître dans la région l</w:t>
            </w:r>
            <w:r w:rsidR="00125408" w:rsidRPr="000229AD">
              <w:rPr>
                <w:sz w:val="22"/>
                <w:lang w:val="fr-FR"/>
              </w:rPr>
              <w:t>'</w:t>
            </w:r>
            <w:r w:rsidRPr="000229AD">
              <w:rPr>
                <w:sz w:val="22"/>
                <w:lang w:val="fr-FR"/>
              </w:rPr>
              <w:t>importance des données statistiques et des informations collectées sur les politiques réglementaires, ainsi que les modalités d</w:t>
            </w:r>
            <w:r w:rsidR="00125408" w:rsidRPr="000229AD">
              <w:rPr>
                <w:sz w:val="22"/>
                <w:lang w:val="fr-FR"/>
              </w:rPr>
              <w:t>'</w:t>
            </w:r>
            <w:r w:rsidRPr="000229AD">
              <w:rPr>
                <w:sz w:val="22"/>
                <w:lang w:val="fr-FR"/>
              </w:rPr>
              <w:t>utilisation, d</w:t>
            </w:r>
            <w:r w:rsidR="00125408" w:rsidRPr="000229AD">
              <w:rPr>
                <w:sz w:val="22"/>
                <w:lang w:val="fr-FR"/>
              </w:rPr>
              <w:t>'</w:t>
            </w:r>
            <w:r w:rsidRPr="000229AD">
              <w:rPr>
                <w:sz w:val="22"/>
                <w:lang w:val="fr-FR"/>
              </w:rPr>
              <w:t>analyse et de diffusion de ces dernières.</w:t>
            </w:r>
          </w:p>
          <w:p w14:paraId="5BDBD0DD" w14:textId="7688B85F" w:rsidR="00EA2FD3" w:rsidRPr="000229AD" w:rsidRDefault="00EA2FD3" w:rsidP="00716C22">
            <w:pPr>
              <w:pStyle w:val="enumlev1"/>
              <w:keepNext/>
              <w:keepLines/>
              <w:ind w:left="312" w:hanging="312"/>
              <w:rPr>
                <w:sz w:val="22"/>
                <w:lang w:val="fr-FR"/>
              </w:rPr>
            </w:pPr>
            <w:r w:rsidRPr="000229AD">
              <w:rPr>
                <w:sz w:val="22"/>
                <w:lang w:val="fr-FR"/>
              </w:rPr>
              <w:lastRenderedPageBreak/>
              <w:t>•</w:t>
            </w:r>
            <w:r w:rsidRPr="000229AD">
              <w:rPr>
                <w:sz w:val="22"/>
                <w:lang w:val="fr-FR"/>
              </w:rPr>
              <w:tab/>
            </w:r>
            <w:r w:rsidRPr="000229AD">
              <w:rPr>
                <w:b/>
                <w:bCs/>
                <w:sz w:val="22"/>
                <w:lang w:val="fr-FR"/>
              </w:rPr>
              <w:t>Dans la région Europe</w:t>
            </w:r>
            <w:r w:rsidRPr="000229AD">
              <w:rPr>
                <w:sz w:val="22"/>
                <w:lang w:val="fr-FR"/>
              </w:rPr>
              <w:t>, dans le souci de réduire l</w:t>
            </w:r>
            <w:r w:rsidR="00125408" w:rsidRPr="000229AD">
              <w:rPr>
                <w:sz w:val="22"/>
                <w:lang w:val="fr-FR"/>
              </w:rPr>
              <w:t>'</w:t>
            </w:r>
            <w:r w:rsidRPr="000229AD">
              <w:rPr>
                <w:sz w:val="22"/>
                <w:lang w:val="fr-FR"/>
              </w:rPr>
              <w:t xml:space="preserve">écart réglementaire dans le domaine du numérique, </w:t>
            </w:r>
            <w:r w:rsidRPr="000229AD">
              <w:rPr>
                <w:b/>
                <w:bCs/>
                <w:sz w:val="22"/>
                <w:lang w:val="fr-FR"/>
              </w:rPr>
              <w:t>l</w:t>
            </w:r>
            <w:r w:rsidR="00125408" w:rsidRPr="000229AD">
              <w:rPr>
                <w:b/>
                <w:bCs/>
                <w:sz w:val="22"/>
                <w:lang w:val="fr-FR"/>
              </w:rPr>
              <w:t>'</w:t>
            </w:r>
            <w:r w:rsidRPr="000229AD">
              <w:rPr>
                <w:b/>
                <w:bCs/>
                <w:sz w:val="22"/>
                <w:lang w:val="fr-FR"/>
              </w:rPr>
              <w:t>UIT, EMERG et EaPeReg ont organisé une formation sur la réglementation de la transformation numérique</w:t>
            </w:r>
            <w:r w:rsidRPr="000229AD">
              <w:rPr>
                <w:sz w:val="22"/>
                <w:lang w:val="fr-FR"/>
              </w:rPr>
              <w:t xml:space="preserve"> du 10 avril au 30 mai 2024. Celle-ci a permis à plus de 100 professionnels de mieux comprendre les stratégies de réglementation numérique, la prise de décision fondée sur des données factuelles et les dernières évolutions réglementaires en la matière. La formation en ligne était ouverte aux pays européens et du monde entier.</w:t>
            </w:r>
          </w:p>
          <w:p w14:paraId="1AE89E88" w14:textId="77777777" w:rsidR="00EA2FD3" w:rsidRPr="000229AD" w:rsidRDefault="00EA2FD3" w:rsidP="00716C22">
            <w:pPr>
              <w:pStyle w:val="Tabletext"/>
              <w:spacing w:before="120"/>
              <w:rPr>
                <w:b/>
                <w:bCs/>
                <w:lang w:val="fr-FR"/>
              </w:rPr>
            </w:pPr>
            <w:r w:rsidRPr="000229AD">
              <w:rPr>
                <w:b/>
                <w:bCs/>
                <w:lang w:val="fr-FR"/>
              </w:rPr>
              <w:t>Les activités présentées plus haut ont permis de renforcer le partage des connaissances ainsi que la capacité à traiter les problèmes et les possibilités que présente la transformation numérique.</w:t>
            </w:r>
          </w:p>
          <w:p w14:paraId="69167EA0" w14:textId="44FAE6B2" w:rsidR="00EA2FD3" w:rsidRPr="000229AD" w:rsidRDefault="00EA2FD3" w:rsidP="00716C22">
            <w:pPr>
              <w:pStyle w:val="Tabletext"/>
              <w:spacing w:before="120"/>
              <w:rPr>
                <w:b/>
                <w:bCs/>
                <w:lang w:val="fr-FR"/>
              </w:rPr>
            </w:pPr>
            <w:r w:rsidRPr="000229AD">
              <w:rPr>
                <w:b/>
                <w:bCs/>
                <w:lang w:val="fr-FR"/>
              </w:rPr>
              <w:t>Fourniture d</w:t>
            </w:r>
            <w:r w:rsidR="00125408" w:rsidRPr="000229AD">
              <w:rPr>
                <w:b/>
                <w:bCs/>
                <w:lang w:val="fr-FR"/>
              </w:rPr>
              <w:t>'</w:t>
            </w:r>
            <w:r w:rsidRPr="000229AD">
              <w:rPr>
                <w:b/>
                <w:bCs/>
                <w:lang w:val="fr-FR"/>
              </w:rPr>
              <w:t>une assistance technique</w:t>
            </w:r>
          </w:p>
          <w:p w14:paraId="1F04BB4F" w14:textId="0DD68AD4" w:rsidR="00EA2FD3" w:rsidRPr="000229AD" w:rsidRDefault="00EA2FD3" w:rsidP="00716C22">
            <w:pPr>
              <w:pStyle w:val="enumlev1"/>
              <w:ind w:left="312" w:hanging="312"/>
              <w:rPr>
                <w:sz w:val="22"/>
                <w:lang w:val="fr-FR"/>
              </w:rPr>
            </w:pPr>
            <w:r w:rsidRPr="000229AD">
              <w:rPr>
                <w:sz w:val="22"/>
                <w:lang w:val="fr-FR"/>
              </w:rPr>
              <w:t>•</w:t>
            </w:r>
            <w:r w:rsidRPr="000229AD">
              <w:rPr>
                <w:sz w:val="22"/>
                <w:lang w:val="fr-FR"/>
              </w:rPr>
              <w:tab/>
            </w:r>
            <w:r w:rsidRPr="000229AD">
              <w:rPr>
                <w:b/>
                <w:bCs/>
                <w:sz w:val="22"/>
                <w:lang w:val="fr-FR"/>
              </w:rPr>
              <w:t>Dans la région Afrique</w:t>
            </w:r>
            <w:r w:rsidRPr="000229AD">
              <w:rPr>
                <w:sz w:val="22"/>
                <w:lang w:val="fr-FR"/>
              </w:rPr>
              <w:t>, une évaluation du marché sur l</w:t>
            </w:r>
            <w:r w:rsidR="00125408" w:rsidRPr="000229AD">
              <w:rPr>
                <w:sz w:val="22"/>
                <w:lang w:val="fr-FR"/>
              </w:rPr>
              <w:t>'</w:t>
            </w:r>
            <w:r w:rsidRPr="000229AD">
              <w:rPr>
                <w:sz w:val="22"/>
                <w:lang w:val="fr-FR"/>
              </w:rPr>
              <w:t>accessibilité financière des TIC a été entreprise en Zambie dans l</w:t>
            </w:r>
            <w:r w:rsidR="00125408" w:rsidRPr="000229AD">
              <w:rPr>
                <w:sz w:val="22"/>
                <w:lang w:val="fr-FR"/>
              </w:rPr>
              <w:t>'</w:t>
            </w:r>
            <w:r w:rsidRPr="000229AD">
              <w:rPr>
                <w:sz w:val="22"/>
                <w:lang w:val="fr-FR"/>
              </w:rPr>
              <w:t>objectif de permettre un meilleur accès et une plus grande utilisation de ces dernières, à un prix abordable, grâce à des tarifs transparents, fondés sur les coûts et non discriminatoires. Une assistance technique a été fournie pour l</w:t>
            </w:r>
            <w:r w:rsidR="00125408" w:rsidRPr="000229AD">
              <w:rPr>
                <w:sz w:val="22"/>
                <w:lang w:val="fr-FR"/>
              </w:rPr>
              <w:t>'</w:t>
            </w:r>
            <w:r w:rsidRPr="000229AD">
              <w:rPr>
                <w:sz w:val="22"/>
                <w:lang w:val="fr-FR"/>
              </w:rPr>
              <w:t>élaboration d</w:t>
            </w:r>
            <w:r w:rsidR="00125408" w:rsidRPr="000229AD">
              <w:rPr>
                <w:sz w:val="22"/>
                <w:lang w:val="fr-FR"/>
              </w:rPr>
              <w:t>'</w:t>
            </w:r>
            <w:r w:rsidRPr="000229AD">
              <w:rPr>
                <w:sz w:val="22"/>
                <w:lang w:val="fr-FR"/>
              </w:rPr>
              <w:t>orientations générales concernant la connectivité sur le dernier kilomètre ainsi que les applications et l</w:t>
            </w:r>
            <w:r w:rsidR="00125408" w:rsidRPr="000229AD">
              <w:rPr>
                <w:sz w:val="22"/>
                <w:lang w:val="fr-FR"/>
              </w:rPr>
              <w:t>'</w:t>
            </w:r>
            <w:r w:rsidRPr="000229AD">
              <w:rPr>
                <w:sz w:val="22"/>
                <w:lang w:val="fr-FR"/>
              </w:rPr>
              <w:t>utilisation des mégadonnées en vue de créer un environnement réglementaire propice au large bande et à la 5G en Ouganda, dans le cadre du projet de transformation numérique en cours mené conjointement par le Gouvernement ougandais et l</w:t>
            </w:r>
            <w:r w:rsidR="00125408" w:rsidRPr="000229AD">
              <w:rPr>
                <w:sz w:val="22"/>
                <w:lang w:val="fr-FR"/>
              </w:rPr>
              <w:t>'</w:t>
            </w:r>
            <w:r w:rsidRPr="000229AD">
              <w:rPr>
                <w:sz w:val="22"/>
                <w:lang w:val="fr-FR"/>
              </w:rPr>
              <w:t>UIT avec l</w:t>
            </w:r>
            <w:r w:rsidR="00125408" w:rsidRPr="000229AD">
              <w:rPr>
                <w:sz w:val="22"/>
                <w:lang w:val="fr-FR"/>
              </w:rPr>
              <w:t>'</w:t>
            </w:r>
            <w:r w:rsidRPr="000229AD">
              <w:rPr>
                <w:sz w:val="22"/>
                <w:lang w:val="fr-FR"/>
              </w:rPr>
              <w:t>appui financier du Fonds d</w:t>
            </w:r>
            <w:r w:rsidR="00125408" w:rsidRPr="000229AD">
              <w:rPr>
                <w:sz w:val="22"/>
                <w:lang w:val="fr-FR"/>
              </w:rPr>
              <w:t>'</w:t>
            </w:r>
            <w:r w:rsidRPr="000229AD">
              <w:rPr>
                <w:sz w:val="22"/>
                <w:lang w:val="fr-FR"/>
              </w:rPr>
              <w:t>assistance pour la coopération Sud-Sud de la Chine. Une assistance technique a en outre été fournie à la Namibie pour l</w:t>
            </w:r>
            <w:r w:rsidR="00125408" w:rsidRPr="000229AD">
              <w:rPr>
                <w:sz w:val="22"/>
                <w:lang w:val="fr-FR"/>
              </w:rPr>
              <w:t>'</w:t>
            </w:r>
            <w:r w:rsidRPr="000229AD">
              <w:rPr>
                <w:sz w:val="22"/>
                <w:lang w:val="fr-FR"/>
              </w:rPr>
              <w:t>élaboration d</w:t>
            </w:r>
            <w:r w:rsidR="00125408" w:rsidRPr="000229AD">
              <w:rPr>
                <w:sz w:val="22"/>
                <w:lang w:val="fr-FR"/>
              </w:rPr>
              <w:t>'</w:t>
            </w:r>
            <w:r w:rsidRPr="000229AD">
              <w:rPr>
                <w:sz w:val="22"/>
                <w:lang w:val="fr-FR"/>
              </w:rPr>
              <w:t>une politique nationale en matière de TIC et au Lesotho pour l</w:t>
            </w:r>
            <w:r w:rsidR="00125408" w:rsidRPr="000229AD">
              <w:rPr>
                <w:sz w:val="22"/>
                <w:lang w:val="fr-FR"/>
              </w:rPr>
              <w:t>'</w:t>
            </w:r>
            <w:r w:rsidRPr="000229AD">
              <w:rPr>
                <w:sz w:val="22"/>
                <w:lang w:val="fr-FR"/>
              </w:rPr>
              <w:t>élaboration d</w:t>
            </w:r>
            <w:r w:rsidR="00125408" w:rsidRPr="000229AD">
              <w:rPr>
                <w:sz w:val="22"/>
                <w:lang w:val="fr-FR"/>
              </w:rPr>
              <w:t>'</w:t>
            </w:r>
            <w:r w:rsidRPr="000229AD">
              <w:rPr>
                <w:sz w:val="22"/>
                <w:lang w:val="fr-FR"/>
              </w:rPr>
              <w:t>une stratégie de transformation numérique (en cours). Une assistance technique est actuellement fournie à la CRASA pour la mise à jour de son kit pratique sur le service universel (en cours, dans le cadre du projet conjoint entre l</w:t>
            </w:r>
            <w:r w:rsidR="00125408" w:rsidRPr="000229AD">
              <w:rPr>
                <w:sz w:val="22"/>
                <w:lang w:val="fr-FR"/>
              </w:rPr>
              <w:t>'</w:t>
            </w:r>
            <w:r w:rsidRPr="000229AD">
              <w:rPr>
                <w:sz w:val="22"/>
                <w:lang w:val="fr-FR"/>
              </w:rPr>
              <w:t>UIT et le Ministère des affaires étrangères, du Commonwealth et du développement du Royaume-Uni).</w:t>
            </w:r>
          </w:p>
          <w:p w14:paraId="139290DB" w14:textId="24583697" w:rsidR="00EA2FD3" w:rsidRPr="000229AD" w:rsidRDefault="00EA2FD3" w:rsidP="00716C22">
            <w:pPr>
              <w:pStyle w:val="enumlev1"/>
              <w:ind w:left="312" w:hanging="312"/>
              <w:rPr>
                <w:sz w:val="22"/>
                <w:lang w:val="fr-FR"/>
              </w:rPr>
            </w:pPr>
            <w:r w:rsidRPr="000229AD">
              <w:rPr>
                <w:sz w:val="22"/>
                <w:lang w:val="fr-FR"/>
              </w:rPr>
              <w:t>•</w:t>
            </w:r>
            <w:r w:rsidRPr="000229AD">
              <w:rPr>
                <w:sz w:val="22"/>
                <w:lang w:val="fr-FR"/>
              </w:rPr>
              <w:tab/>
            </w:r>
            <w:r w:rsidRPr="000229AD">
              <w:rPr>
                <w:b/>
                <w:bCs/>
                <w:sz w:val="22"/>
                <w:lang w:val="fr-FR"/>
              </w:rPr>
              <w:t>Dans la région Amériques</w:t>
            </w:r>
            <w:r w:rsidRPr="000229AD">
              <w:rPr>
                <w:sz w:val="22"/>
                <w:lang w:val="fr-FR"/>
              </w:rPr>
              <w:t>, en Haïti et à la Grenade, dans le cadre de l</w:t>
            </w:r>
            <w:r w:rsidR="00125408" w:rsidRPr="000229AD">
              <w:rPr>
                <w:sz w:val="22"/>
                <w:lang w:val="fr-FR"/>
              </w:rPr>
              <w:t>'</w:t>
            </w:r>
            <w:r w:rsidRPr="000229AD">
              <w:rPr>
                <w:sz w:val="22"/>
                <w:lang w:val="fr-FR"/>
              </w:rPr>
              <w:t>initiative Connect2Recover, l</w:t>
            </w:r>
            <w:r w:rsidR="00125408" w:rsidRPr="000229AD">
              <w:rPr>
                <w:sz w:val="22"/>
                <w:lang w:val="fr-FR"/>
              </w:rPr>
              <w:t>'</w:t>
            </w:r>
            <w:r w:rsidRPr="000229AD">
              <w:rPr>
                <w:b/>
                <w:bCs/>
                <w:sz w:val="22"/>
                <w:lang w:val="fr-FR"/>
              </w:rPr>
              <w:t>évaluation de la résilience des réseaux</w:t>
            </w:r>
            <w:r w:rsidRPr="000229AD">
              <w:rPr>
                <w:sz w:val="22"/>
                <w:lang w:val="fr-FR"/>
              </w:rPr>
              <w:t xml:space="preserve"> a contribué à accroître le déploiement et la couverture des réseaux de communication électronique pour répondre à la demande croissante de données et autres services, et à créer des réseaux plus sûrs en cas de catastrophe afin de faciliter la continuité des activités et de sauver davantage de vies.</w:t>
            </w:r>
          </w:p>
          <w:p w14:paraId="78CBDC26" w14:textId="29A12BE1" w:rsidR="00EA2FD3" w:rsidRPr="000229AD" w:rsidRDefault="00EA2FD3" w:rsidP="00716C22">
            <w:pPr>
              <w:pStyle w:val="enumlev1"/>
              <w:ind w:left="312" w:hanging="312"/>
              <w:rPr>
                <w:sz w:val="22"/>
                <w:lang w:val="fr-FR"/>
              </w:rPr>
            </w:pPr>
            <w:r w:rsidRPr="000229AD">
              <w:rPr>
                <w:sz w:val="22"/>
                <w:lang w:val="fr-FR"/>
              </w:rPr>
              <w:t>•</w:t>
            </w:r>
            <w:r w:rsidRPr="000229AD">
              <w:rPr>
                <w:sz w:val="22"/>
                <w:lang w:val="fr-FR"/>
              </w:rPr>
              <w:tab/>
            </w:r>
            <w:r w:rsidRPr="000229AD">
              <w:rPr>
                <w:b/>
                <w:bCs/>
                <w:sz w:val="22"/>
                <w:lang w:val="fr-FR"/>
              </w:rPr>
              <w:t>Dans la région Europe</w:t>
            </w:r>
            <w:r w:rsidRPr="000229AD">
              <w:rPr>
                <w:sz w:val="22"/>
                <w:lang w:val="fr-FR"/>
              </w:rPr>
              <w:t>, le personnel de l</w:t>
            </w:r>
            <w:r w:rsidR="00125408" w:rsidRPr="000229AD">
              <w:rPr>
                <w:sz w:val="22"/>
                <w:lang w:val="fr-FR"/>
              </w:rPr>
              <w:t>'</w:t>
            </w:r>
            <w:r w:rsidRPr="000229AD">
              <w:rPr>
                <w:sz w:val="22"/>
                <w:lang w:val="fr-FR"/>
              </w:rPr>
              <w:t xml:space="preserve">autorité nationale de réglementation de Bosnie-Herzégovine a reçu une formation sur les dernières tendances en matière de réglementation, y compris la réglementation de cinquième génération. </w:t>
            </w:r>
          </w:p>
          <w:p w14:paraId="3FC99FA8" w14:textId="77777777" w:rsidR="00EA2FD3" w:rsidRPr="000229AD" w:rsidRDefault="00EA2FD3" w:rsidP="00716C22">
            <w:pPr>
              <w:pStyle w:val="Tabletext"/>
              <w:spacing w:before="120"/>
              <w:rPr>
                <w:b/>
                <w:bCs/>
                <w:lang w:val="fr-FR"/>
              </w:rPr>
            </w:pPr>
            <w:r w:rsidRPr="000229AD">
              <w:rPr>
                <w:b/>
                <w:bCs/>
                <w:lang w:val="fr-FR"/>
              </w:rPr>
              <w:t>Plates-formes fédératrices</w:t>
            </w:r>
          </w:p>
          <w:p w14:paraId="34FEC1A1" w14:textId="0D667BD9" w:rsidR="00EA2FD3" w:rsidRPr="000229AD" w:rsidRDefault="00EA2FD3" w:rsidP="00716C22">
            <w:pPr>
              <w:pStyle w:val="enumlev1"/>
              <w:spacing w:after="40"/>
              <w:ind w:left="312" w:hanging="312"/>
              <w:rPr>
                <w:sz w:val="22"/>
                <w:lang w:val="fr-FR"/>
              </w:rPr>
            </w:pPr>
            <w:r w:rsidRPr="000229AD">
              <w:rPr>
                <w:sz w:val="22"/>
                <w:lang w:val="fr-FR"/>
              </w:rPr>
              <w:t>•</w:t>
            </w:r>
            <w:r w:rsidRPr="000229AD">
              <w:rPr>
                <w:sz w:val="22"/>
                <w:lang w:val="fr-FR"/>
              </w:rPr>
              <w:tab/>
            </w:r>
            <w:r w:rsidRPr="000229AD">
              <w:rPr>
                <w:b/>
                <w:bCs/>
                <w:sz w:val="22"/>
                <w:lang w:val="fr-FR"/>
              </w:rPr>
              <w:t>À l</w:t>
            </w:r>
            <w:r w:rsidR="00125408" w:rsidRPr="000229AD">
              <w:rPr>
                <w:b/>
                <w:bCs/>
                <w:sz w:val="22"/>
                <w:lang w:val="fr-FR"/>
              </w:rPr>
              <w:t>'</w:t>
            </w:r>
            <w:r w:rsidRPr="000229AD">
              <w:rPr>
                <w:b/>
                <w:bCs/>
                <w:sz w:val="22"/>
                <w:lang w:val="fr-FR"/>
              </w:rPr>
              <w:t>échelle mondiale</w:t>
            </w:r>
            <w:r w:rsidRPr="000229AD">
              <w:rPr>
                <w:sz w:val="22"/>
                <w:lang w:val="fr-FR"/>
              </w:rPr>
              <w:t>, le GSR-23 a réuni plus de 750 participants de plus de 100 pays, parmi lesquels des ministres, des responsables d</w:t>
            </w:r>
            <w:r w:rsidR="00125408" w:rsidRPr="000229AD">
              <w:rPr>
                <w:sz w:val="22"/>
                <w:lang w:val="fr-FR"/>
              </w:rPr>
              <w:t>'</w:t>
            </w:r>
            <w:r w:rsidRPr="000229AD">
              <w:rPr>
                <w:sz w:val="22"/>
                <w:lang w:val="fr-FR"/>
              </w:rPr>
              <w:t>autorités chargées de la réglementation et des dirigeants d</w:t>
            </w:r>
            <w:r w:rsidR="00125408" w:rsidRPr="000229AD">
              <w:rPr>
                <w:sz w:val="22"/>
                <w:lang w:val="fr-FR"/>
              </w:rPr>
              <w:t>'</w:t>
            </w:r>
            <w:r w:rsidRPr="000229AD">
              <w:rPr>
                <w:sz w:val="22"/>
                <w:lang w:val="fr-FR"/>
              </w:rPr>
              <w:t>entreprises. À cette occasion, le BDT a lancé le Réseau des régulateurs du numérique, une nouvelle initiative visant à définir des approches communes en matière de politique, de réglementation et de gouvernance numériques collaboratives dans tous les secteurs économiques et entre les pays.</w:t>
            </w:r>
          </w:p>
          <w:p w14:paraId="2C570FE9" w14:textId="5F338695" w:rsidR="00EA2FD3" w:rsidRPr="000229AD" w:rsidRDefault="00EA2FD3" w:rsidP="00716C22">
            <w:pPr>
              <w:pStyle w:val="enumlev1"/>
              <w:ind w:left="312" w:hanging="312"/>
              <w:rPr>
                <w:sz w:val="22"/>
                <w:lang w:val="fr-FR"/>
              </w:rPr>
            </w:pPr>
            <w:r w:rsidRPr="000229AD">
              <w:rPr>
                <w:sz w:val="22"/>
                <w:lang w:val="fr-FR"/>
              </w:rPr>
              <w:lastRenderedPageBreak/>
              <w:t>•</w:t>
            </w:r>
            <w:r w:rsidRPr="000229AD">
              <w:rPr>
                <w:sz w:val="22"/>
                <w:lang w:val="fr-FR"/>
              </w:rPr>
              <w:tab/>
            </w:r>
            <w:r w:rsidRPr="000229AD">
              <w:rPr>
                <w:b/>
                <w:bCs/>
                <w:sz w:val="22"/>
                <w:lang w:val="fr-FR"/>
              </w:rPr>
              <w:t>Dans la région Amériques</w:t>
            </w:r>
            <w:r w:rsidRPr="000229AD">
              <w:rPr>
                <w:sz w:val="22"/>
                <w:lang w:val="fr-FR"/>
              </w:rPr>
              <w:t>, le Colloque de l</w:t>
            </w:r>
            <w:r w:rsidR="00125408" w:rsidRPr="000229AD">
              <w:rPr>
                <w:sz w:val="22"/>
                <w:lang w:val="fr-FR"/>
              </w:rPr>
              <w:t>'</w:t>
            </w:r>
            <w:r w:rsidRPr="000229AD">
              <w:rPr>
                <w:sz w:val="22"/>
                <w:lang w:val="fr-FR"/>
              </w:rPr>
              <w:t>UIT sur les politiques générales et l</w:t>
            </w:r>
            <w:r w:rsidR="00125408" w:rsidRPr="000229AD">
              <w:rPr>
                <w:sz w:val="22"/>
                <w:lang w:val="fr-FR"/>
              </w:rPr>
              <w:t>'</w:t>
            </w:r>
            <w:r w:rsidRPr="000229AD">
              <w:rPr>
                <w:sz w:val="22"/>
                <w:lang w:val="fr-FR"/>
              </w:rPr>
              <w:t>économie (IPEC-23) a réuni plus de 192 délégués de 16 pays de la région. Au cours de celui-ci, des discussions ont été menées dans le cadre du Dialogue économique régional et ont porté sur les possibilités et les défis de la transformation numérique dans la région. En outre, une formation a été dispensée sur la planification des activités pour le développement des infrastructures visant à permettre une évaluation économique précise des plans d</w:t>
            </w:r>
            <w:r w:rsidR="00125408" w:rsidRPr="000229AD">
              <w:rPr>
                <w:sz w:val="22"/>
                <w:lang w:val="fr-FR"/>
              </w:rPr>
              <w:t>'</w:t>
            </w:r>
            <w:r w:rsidRPr="000229AD">
              <w:rPr>
                <w:sz w:val="22"/>
                <w:lang w:val="fr-FR"/>
              </w:rPr>
              <w:t>installation et de déploiement de l</w:t>
            </w:r>
            <w:r w:rsidR="00125408" w:rsidRPr="000229AD">
              <w:rPr>
                <w:sz w:val="22"/>
                <w:lang w:val="fr-FR"/>
              </w:rPr>
              <w:t>'</w:t>
            </w:r>
            <w:r w:rsidRPr="000229AD">
              <w:rPr>
                <w:sz w:val="22"/>
                <w:lang w:val="fr-FR"/>
              </w:rPr>
              <w:t>infrastructure large bande dans les zones urbaines et rurales s</w:t>
            </w:r>
            <w:r w:rsidR="00125408" w:rsidRPr="000229AD">
              <w:rPr>
                <w:sz w:val="22"/>
                <w:lang w:val="fr-FR"/>
              </w:rPr>
              <w:t>'</w:t>
            </w:r>
            <w:r w:rsidRPr="000229AD">
              <w:rPr>
                <w:sz w:val="22"/>
                <w:lang w:val="fr-FR"/>
              </w:rPr>
              <w:t>appuyant sur des technologies de réseaux 5G.</w:t>
            </w:r>
          </w:p>
          <w:p w14:paraId="230A2FFE" w14:textId="4F7CC9F8" w:rsidR="00EA2FD3" w:rsidRPr="000229AD" w:rsidRDefault="00EA2FD3" w:rsidP="00716C22">
            <w:pPr>
              <w:pStyle w:val="enumlev1"/>
              <w:ind w:left="312" w:hanging="312"/>
              <w:rPr>
                <w:sz w:val="22"/>
                <w:lang w:val="fr-FR"/>
              </w:rPr>
            </w:pPr>
            <w:r w:rsidRPr="000229AD">
              <w:rPr>
                <w:sz w:val="22"/>
                <w:lang w:val="fr-FR"/>
              </w:rPr>
              <w:t>•</w:t>
            </w:r>
            <w:r w:rsidRPr="000229AD">
              <w:rPr>
                <w:sz w:val="22"/>
                <w:lang w:val="fr-FR"/>
              </w:rPr>
              <w:tab/>
            </w:r>
            <w:r w:rsidRPr="000229AD">
              <w:rPr>
                <w:b/>
                <w:bCs/>
                <w:sz w:val="22"/>
                <w:lang w:val="fr-FR"/>
              </w:rPr>
              <w:t>Dans la région Europe</w:t>
            </w:r>
            <w:r w:rsidRPr="000229AD">
              <w:rPr>
                <w:sz w:val="22"/>
                <w:lang w:val="fr-FR"/>
              </w:rPr>
              <w:t>, le Forum régional UIT-EKIP sur la réglementation a été organisé et a permis à plus de 150 parties prenantes de plus de 40 pays de se familiariser avec les dernières tendances mondiales et régionales et d</w:t>
            </w:r>
            <w:r w:rsidR="00125408" w:rsidRPr="000229AD">
              <w:rPr>
                <w:sz w:val="22"/>
                <w:lang w:val="fr-FR"/>
              </w:rPr>
              <w:t>'</w:t>
            </w:r>
            <w:r w:rsidRPr="000229AD">
              <w:rPr>
                <w:sz w:val="22"/>
                <w:lang w:val="fr-FR"/>
              </w:rPr>
              <w:t>échanger des données d</w:t>
            </w:r>
            <w:r w:rsidR="00125408" w:rsidRPr="000229AD">
              <w:rPr>
                <w:sz w:val="22"/>
                <w:lang w:val="fr-FR"/>
              </w:rPr>
              <w:t>'</w:t>
            </w:r>
            <w:r w:rsidRPr="000229AD">
              <w:rPr>
                <w:sz w:val="22"/>
                <w:lang w:val="fr-FR"/>
              </w:rPr>
              <w:t xml:space="preserve">expérience nationales. </w:t>
            </w:r>
          </w:p>
          <w:p w14:paraId="58DFEEA6" w14:textId="77777777" w:rsidR="00EA2FD3" w:rsidRPr="000229AD" w:rsidRDefault="00EA2FD3" w:rsidP="00716C22">
            <w:pPr>
              <w:pStyle w:val="Tabletext"/>
              <w:spacing w:before="120"/>
              <w:rPr>
                <w:lang w:val="fr-FR"/>
              </w:rPr>
            </w:pPr>
            <w:r w:rsidRPr="000229AD">
              <w:rPr>
                <w:b/>
                <w:bCs/>
                <w:lang w:val="fr-FR"/>
              </w:rPr>
              <w:t>Les résultats présentés plus haut ont permis de renforcer les partenariats ainsi que la mobilisation et la collaboration des régulateurs, des associations de régulateurs, du secteur privé et des décideurs de différents secteurs, enrichissant les discussions dans le domaine et mettant en valeur la collaboration entre les secteurs visant à accélérer la transformation numérique.</w:t>
            </w:r>
          </w:p>
        </w:tc>
        <w:tc>
          <w:tcPr>
            <w:tcW w:w="2970" w:type="dxa"/>
            <w:shd w:val="clear" w:color="auto" w:fill="auto"/>
          </w:tcPr>
          <w:p w14:paraId="21D34C2B" w14:textId="77777777" w:rsidR="00EA2FD3" w:rsidRPr="000229AD" w:rsidRDefault="00EA2FD3" w:rsidP="00716C22">
            <w:pPr>
              <w:pStyle w:val="Tabletext"/>
              <w:spacing w:before="120"/>
              <w:rPr>
                <w:b/>
                <w:bCs/>
                <w:lang w:val="fr-FR"/>
              </w:rPr>
            </w:pPr>
            <w:r w:rsidRPr="000229AD">
              <w:rPr>
                <w:b/>
                <w:bCs/>
                <w:lang w:val="fr-FR"/>
              </w:rPr>
              <w:lastRenderedPageBreak/>
              <w:t>Amélioration de la politique et de la réglementation nationales</w:t>
            </w:r>
          </w:p>
          <w:p w14:paraId="421DDCBF" w14:textId="77777777" w:rsidR="00EA2FD3" w:rsidRPr="000229AD" w:rsidRDefault="00EA2FD3" w:rsidP="00716C22">
            <w:pPr>
              <w:pStyle w:val="Tabletext"/>
              <w:spacing w:before="120"/>
              <w:rPr>
                <w:b/>
                <w:bCs/>
                <w:lang w:val="fr-FR"/>
              </w:rPr>
            </w:pPr>
            <w:r w:rsidRPr="000229AD">
              <w:rPr>
                <w:b/>
                <w:bCs/>
                <w:lang w:val="fr-FR"/>
              </w:rPr>
              <w:t xml:space="preserve">Niveau mondial: </w:t>
            </w:r>
          </w:p>
          <w:p w14:paraId="0EAA5E09" w14:textId="6ABC1884" w:rsidR="00EA2FD3" w:rsidRPr="000229AD" w:rsidRDefault="00EA2FD3" w:rsidP="00716C22">
            <w:pPr>
              <w:pStyle w:val="enumlev1"/>
              <w:ind w:left="312" w:hanging="312"/>
              <w:rPr>
                <w:sz w:val="22"/>
                <w:lang w:val="fr-FR"/>
              </w:rPr>
            </w:pPr>
            <w:r w:rsidRPr="000229AD">
              <w:rPr>
                <w:sz w:val="22"/>
                <w:lang w:val="fr-FR"/>
              </w:rPr>
              <w:t>–</w:t>
            </w:r>
            <w:r w:rsidRPr="000229AD">
              <w:rPr>
                <w:sz w:val="22"/>
                <w:lang w:val="fr-FR"/>
              </w:rPr>
              <w:tab/>
            </w:r>
            <w:hyperlink r:id="rId47" w:history="1">
              <w:r w:rsidRPr="000229AD">
                <w:rPr>
                  <w:rStyle w:val="Hyperlink"/>
                  <w:sz w:val="22"/>
                  <w:lang w:val="fr-FR"/>
                </w:rPr>
                <w:t>Série d</w:t>
              </w:r>
              <w:r w:rsidR="00125408" w:rsidRPr="000229AD">
                <w:rPr>
                  <w:rStyle w:val="Hyperlink"/>
                  <w:sz w:val="22"/>
                  <w:lang w:val="fr-FR"/>
                </w:rPr>
                <w:t>'</w:t>
              </w:r>
              <w:r w:rsidRPr="000229AD">
                <w:rPr>
                  <w:rStyle w:val="Hyperlink"/>
                  <w:sz w:val="22"/>
                  <w:lang w:val="fr-FR"/>
                </w:rPr>
                <w:t>analyses par pays sur la réglementation numérique collaborative</w:t>
              </w:r>
            </w:hyperlink>
            <w:r w:rsidRPr="000229AD">
              <w:rPr>
                <w:sz w:val="22"/>
                <w:lang w:val="fr-FR"/>
              </w:rPr>
              <w:t xml:space="preserve"> (Brésil, Colombie, Égypte, Nigéria, Kenya).</w:t>
            </w:r>
          </w:p>
          <w:p w14:paraId="38E64028" w14:textId="77777777" w:rsidR="00EA2FD3" w:rsidRPr="000229AD" w:rsidRDefault="00EA2FD3" w:rsidP="00716C22">
            <w:pPr>
              <w:pStyle w:val="enumlev1"/>
              <w:ind w:left="312" w:hanging="312"/>
              <w:rPr>
                <w:sz w:val="22"/>
                <w:lang w:val="fr-FR"/>
              </w:rPr>
            </w:pPr>
            <w:r w:rsidRPr="000229AD">
              <w:rPr>
                <w:sz w:val="22"/>
                <w:lang w:val="fr-FR"/>
              </w:rPr>
              <w:lastRenderedPageBreak/>
              <w:t>–</w:t>
            </w:r>
            <w:r w:rsidRPr="000229AD">
              <w:rPr>
                <w:sz w:val="22"/>
                <w:lang w:val="fr-FR"/>
              </w:rPr>
              <w:tab/>
              <w:t>Lignes directrices relatives aux bonnes pratiques du GSR.</w:t>
            </w:r>
          </w:p>
          <w:p w14:paraId="743823E8" w14:textId="6765B7EA" w:rsidR="00EA2FD3" w:rsidRPr="000229AD" w:rsidRDefault="00EA2FD3" w:rsidP="00716C22">
            <w:pPr>
              <w:pStyle w:val="enumlev1"/>
              <w:ind w:left="312" w:hanging="312"/>
              <w:rPr>
                <w:sz w:val="22"/>
                <w:lang w:val="fr-FR"/>
              </w:rPr>
            </w:pPr>
            <w:r w:rsidRPr="000229AD">
              <w:rPr>
                <w:sz w:val="22"/>
                <w:lang w:val="fr-FR"/>
              </w:rPr>
              <w:t>–</w:t>
            </w:r>
            <w:r w:rsidRPr="000229AD">
              <w:rPr>
                <w:sz w:val="22"/>
                <w:lang w:val="fr-FR"/>
              </w:rPr>
              <w:tab/>
              <w:t>Articles publiés sur la plate-forme sur la réglementation du numérique portant sur des sujets d</w:t>
            </w:r>
            <w:r w:rsidR="00125408" w:rsidRPr="000229AD">
              <w:rPr>
                <w:sz w:val="22"/>
                <w:lang w:val="fr-FR"/>
              </w:rPr>
              <w:t>'</w:t>
            </w:r>
            <w:r w:rsidRPr="000229AD">
              <w:rPr>
                <w:sz w:val="22"/>
                <w:lang w:val="fr-FR"/>
              </w:rPr>
              <w:t>actualité.</w:t>
            </w:r>
          </w:p>
          <w:p w14:paraId="28C67245" w14:textId="77777777" w:rsidR="00EA2FD3" w:rsidRPr="000229AD" w:rsidRDefault="00EA2FD3" w:rsidP="00716C22">
            <w:pPr>
              <w:pStyle w:val="enumlev1"/>
              <w:ind w:left="312" w:hanging="312"/>
              <w:rPr>
                <w:lang w:val="fr-FR"/>
              </w:rPr>
            </w:pPr>
            <w:r w:rsidRPr="000229AD">
              <w:rPr>
                <w:sz w:val="22"/>
                <w:lang w:val="fr-FR"/>
              </w:rPr>
              <w:t>–</w:t>
            </w:r>
            <w:r w:rsidRPr="000229AD">
              <w:rPr>
                <w:sz w:val="22"/>
                <w:lang w:val="fr-FR"/>
              </w:rPr>
              <w:tab/>
              <w:t>Formations mondiales et régionales sur la réglementation numérique.</w:t>
            </w:r>
          </w:p>
          <w:p w14:paraId="601A85A0" w14:textId="77777777" w:rsidR="00EA2FD3" w:rsidRPr="000229AD" w:rsidRDefault="00EA2FD3" w:rsidP="00716C22">
            <w:pPr>
              <w:pStyle w:val="Tabletext"/>
              <w:spacing w:before="120"/>
              <w:rPr>
                <w:b/>
                <w:bCs/>
                <w:lang w:val="fr-FR"/>
              </w:rPr>
            </w:pPr>
            <w:r w:rsidRPr="000229AD">
              <w:rPr>
                <w:b/>
                <w:bCs/>
                <w:lang w:val="fr-FR"/>
              </w:rPr>
              <w:t xml:space="preserve">Afrique: </w:t>
            </w:r>
          </w:p>
          <w:p w14:paraId="74852CAE" w14:textId="6C1A5B88" w:rsidR="00EA2FD3" w:rsidRPr="000229AD" w:rsidRDefault="00EA2FD3" w:rsidP="00716C22">
            <w:pPr>
              <w:pStyle w:val="enumlev1"/>
              <w:ind w:left="312" w:hanging="312"/>
              <w:rPr>
                <w:sz w:val="22"/>
                <w:lang w:val="fr-FR"/>
              </w:rPr>
            </w:pPr>
            <w:r w:rsidRPr="000229AD">
              <w:rPr>
                <w:sz w:val="22"/>
                <w:lang w:val="fr-FR"/>
              </w:rPr>
              <w:t>–</w:t>
            </w:r>
            <w:r w:rsidRPr="000229AD">
              <w:rPr>
                <w:sz w:val="22"/>
                <w:lang w:val="fr-FR"/>
              </w:rPr>
              <w:tab/>
              <w:t>Projet d</w:t>
            </w:r>
            <w:r w:rsidR="00125408" w:rsidRPr="000229AD">
              <w:rPr>
                <w:sz w:val="22"/>
                <w:lang w:val="fr-FR"/>
              </w:rPr>
              <w:t>'</w:t>
            </w:r>
            <w:r w:rsidRPr="000229AD">
              <w:rPr>
                <w:sz w:val="22"/>
                <w:lang w:val="fr-FR"/>
              </w:rPr>
              <w:t>analyse comparative des TIC en Afrique centrale. Angola, Burundi, Cameroun, Congo, Gabon, Guinée équatoriale, République centrafricaine, République démocratique du Congo, Rwanda, Sao Tomé</w:t>
            </w:r>
            <w:r w:rsidRPr="000229AD">
              <w:rPr>
                <w:sz w:val="22"/>
                <w:lang w:val="fr-FR"/>
              </w:rPr>
              <w:noBreakHyphen/>
              <w:t>et</w:t>
            </w:r>
            <w:r w:rsidRPr="000229AD">
              <w:rPr>
                <w:sz w:val="22"/>
                <w:lang w:val="fr-FR"/>
              </w:rPr>
              <w:noBreakHyphen/>
              <w:t>Principe, Tchad.</w:t>
            </w:r>
          </w:p>
          <w:p w14:paraId="340FFC15" w14:textId="77777777" w:rsidR="00EA2FD3" w:rsidRPr="000229AD" w:rsidRDefault="00EA2FD3" w:rsidP="00716C22">
            <w:pPr>
              <w:pStyle w:val="Tabletext"/>
              <w:keepNext/>
              <w:keepLines/>
              <w:spacing w:before="80"/>
              <w:rPr>
                <w:b/>
                <w:bCs/>
                <w:lang w:val="fr-FR"/>
              </w:rPr>
            </w:pPr>
            <w:r w:rsidRPr="000229AD">
              <w:rPr>
                <w:b/>
                <w:bCs/>
                <w:lang w:val="fr-FR"/>
              </w:rPr>
              <w:lastRenderedPageBreak/>
              <w:t xml:space="preserve">Amériques: </w:t>
            </w:r>
          </w:p>
          <w:p w14:paraId="6446889E" w14:textId="227745DB" w:rsidR="00EA2FD3" w:rsidRPr="000229AD" w:rsidRDefault="00EA2FD3" w:rsidP="00716C22">
            <w:pPr>
              <w:pStyle w:val="enumlev1"/>
              <w:keepNext/>
              <w:keepLines/>
              <w:ind w:left="312" w:hanging="312"/>
              <w:rPr>
                <w:sz w:val="22"/>
                <w:lang w:val="fr-FR"/>
              </w:rPr>
            </w:pPr>
            <w:r w:rsidRPr="000229AD">
              <w:rPr>
                <w:sz w:val="22"/>
                <w:lang w:val="fr-FR"/>
              </w:rPr>
              <w:t>–</w:t>
            </w:r>
            <w:r w:rsidRPr="000229AD">
              <w:rPr>
                <w:sz w:val="22"/>
                <w:lang w:val="fr-FR"/>
              </w:rPr>
              <w:tab/>
              <w:t>Appui à l</w:t>
            </w:r>
            <w:r w:rsidR="00125408" w:rsidRPr="000229AD">
              <w:rPr>
                <w:sz w:val="22"/>
                <w:lang w:val="fr-FR"/>
              </w:rPr>
              <w:t>'</w:t>
            </w:r>
            <w:r w:rsidRPr="000229AD">
              <w:rPr>
                <w:sz w:val="22"/>
                <w:lang w:val="fr-FR"/>
              </w:rPr>
              <w:t>amélioration de la réglementation en République dominicaine, au Panama et au Honduras. Aux Caraïbes, un appui a été fourni à la Grenade, à Haïti, à Sainte</w:t>
            </w:r>
            <w:r w:rsidRPr="000229AD">
              <w:rPr>
                <w:sz w:val="22"/>
                <w:lang w:val="fr-FR"/>
              </w:rPr>
              <w:noBreakHyphen/>
              <w:t>Lucie et à Trinité</w:t>
            </w:r>
            <w:r w:rsidRPr="000229AD">
              <w:rPr>
                <w:sz w:val="22"/>
                <w:lang w:val="fr-FR"/>
              </w:rPr>
              <w:noBreakHyphen/>
              <w:t>et</w:t>
            </w:r>
            <w:r w:rsidRPr="000229AD">
              <w:rPr>
                <w:sz w:val="22"/>
                <w:lang w:val="fr-FR"/>
              </w:rPr>
              <w:noBreakHyphen/>
              <w:t>Tobago.</w:t>
            </w:r>
          </w:p>
          <w:p w14:paraId="00F4112F" w14:textId="2B75396E" w:rsidR="00EA2FD3" w:rsidRPr="000229AD" w:rsidRDefault="00EA2FD3" w:rsidP="00716C22">
            <w:pPr>
              <w:pStyle w:val="enumlev1"/>
              <w:ind w:left="312" w:hanging="312"/>
              <w:rPr>
                <w:sz w:val="22"/>
                <w:lang w:val="fr-FR"/>
              </w:rPr>
            </w:pPr>
            <w:r w:rsidRPr="000229AD">
              <w:rPr>
                <w:sz w:val="22"/>
                <w:lang w:val="fr-FR"/>
              </w:rPr>
              <w:t>–</w:t>
            </w:r>
            <w:r w:rsidRPr="000229AD">
              <w:rPr>
                <w:sz w:val="22"/>
                <w:lang w:val="fr-FR"/>
              </w:rPr>
              <w:tab/>
              <w:t>Approbation d</w:t>
            </w:r>
            <w:r w:rsidR="00125408" w:rsidRPr="000229AD">
              <w:rPr>
                <w:sz w:val="22"/>
                <w:lang w:val="fr-FR"/>
              </w:rPr>
              <w:t>'</w:t>
            </w:r>
            <w:r w:rsidRPr="000229AD">
              <w:rPr>
                <w:sz w:val="22"/>
                <w:lang w:val="fr-FR"/>
              </w:rPr>
              <w:t>un projet de 3 millions USD pour l</w:t>
            </w:r>
            <w:r w:rsidR="00125408" w:rsidRPr="000229AD">
              <w:rPr>
                <w:sz w:val="22"/>
                <w:lang w:val="fr-FR"/>
              </w:rPr>
              <w:t>'</w:t>
            </w:r>
            <w:r w:rsidRPr="000229AD">
              <w:rPr>
                <w:sz w:val="22"/>
                <w:lang w:val="fr-FR"/>
              </w:rPr>
              <w:t>innovation réglementaire dans les pays d</w:t>
            </w:r>
            <w:r w:rsidR="00125408" w:rsidRPr="000229AD">
              <w:rPr>
                <w:sz w:val="22"/>
                <w:lang w:val="fr-FR"/>
              </w:rPr>
              <w:t>'</w:t>
            </w:r>
            <w:r w:rsidRPr="000229AD">
              <w:rPr>
                <w:sz w:val="22"/>
                <w:lang w:val="fr-FR"/>
              </w:rPr>
              <w:t>Amérique centrale.</w:t>
            </w:r>
          </w:p>
          <w:p w14:paraId="2E43EE40" w14:textId="77777777" w:rsidR="00EA2FD3" w:rsidRPr="000229AD" w:rsidRDefault="00EA2FD3" w:rsidP="00716C22">
            <w:pPr>
              <w:pStyle w:val="Tabletext"/>
              <w:spacing w:before="120"/>
              <w:rPr>
                <w:b/>
                <w:bCs/>
                <w:lang w:val="fr-FR"/>
              </w:rPr>
            </w:pPr>
            <w:r w:rsidRPr="000229AD">
              <w:rPr>
                <w:b/>
                <w:bCs/>
                <w:lang w:val="fr-FR"/>
              </w:rPr>
              <w:t xml:space="preserve">États arabes: </w:t>
            </w:r>
          </w:p>
          <w:p w14:paraId="7F17CD3D" w14:textId="7C5FFC61" w:rsidR="00EA2FD3" w:rsidRPr="000229AD" w:rsidRDefault="00EA2FD3" w:rsidP="00716C22">
            <w:pPr>
              <w:pStyle w:val="enumlev1"/>
              <w:ind w:left="312" w:hanging="312"/>
              <w:rPr>
                <w:sz w:val="22"/>
                <w:lang w:val="fr-FR"/>
              </w:rPr>
            </w:pPr>
            <w:r w:rsidRPr="000229AD">
              <w:rPr>
                <w:sz w:val="22"/>
                <w:lang w:val="fr-FR"/>
              </w:rPr>
              <w:t>–</w:t>
            </w:r>
            <w:r w:rsidRPr="000229AD">
              <w:rPr>
                <w:sz w:val="22"/>
                <w:lang w:val="fr-FR"/>
              </w:rPr>
              <w:tab/>
              <w:t>Les pays ont bénéficié d</w:t>
            </w:r>
            <w:r w:rsidR="00125408" w:rsidRPr="000229AD">
              <w:rPr>
                <w:sz w:val="22"/>
                <w:lang w:val="fr-FR"/>
              </w:rPr>
              <w:t>'</w:t>
            </w:r>
            <w:r w:rsidRPr="000229AD">
              <w:rPr>
                <w:sz w:val="22"/>
                <w:lang w:val="fr-FR"/>
              </w:rPr>
              <w:t>un appui dans le cadre des initiatives spéciales du BDT (Connect2Recover).</w:t>
            </w:r>
          </w:p>
          <w:p w14:paraId="4F298725" w14:textId="77777777" w:rsidR="00EA2FD3" w:rsidRPr="000229AD" w:rsidRDefault="00EA2FD3" w:rsidP="00716C22">
            <w:pPr>
              <w:pStyle w:val="Tabletext"/>
              <w:spacing w:before="120"/>
              <w:rPr>
                <w:b/>
                <w:bCs/>
                <w:lang w:val="fr-FR"/>
              </w:rPr>
            </w:pPr>
            <w:r w:rsidRPr="000229AD">
              <w:rPr>
                <w:b/>
                <w:bCs/>
                <w:lang w:val="fr-FR"/>
              </w:rPr>
              <w:t xml:space="preserve">Asie-Pacifique: </w:t>
            </w:r>
          </w:p>
          <w:p w14:paraId="073280EB" w14:textId="1330BDFA" w:rsidR="00EA2FD3" w:rsidRPr="000229AD" w:rsidRDefault="00EA2FD3" w:rsidP="00716C22">
            <w:pPr>
              <w:pStyle w:val="enumlev1"/>
              <w:ind w:left="312" w:hanging="312"/>
              <w:rPr>
                <w:sz w:val="22"/>
                <w:lang w:val="fr-FR"/>
              </w:rPr>
            </w:pPr>
            <w:r w:rsidRPr="000229AD">
              <w:rPr>
                <w:sz w:val="22"/>
                <w:lang w:val="fr-FR"/>
              </w:rPr>
              <w:t>–</w:t>
            </w:r>
            <w:r w:rsidRPr="000229AD">
              <w:rPr>
                <w:sz w:val="22"/>
                <w:lang w:val="fr-FR"/>
              </w:rPr>
              <w:tab/>
              <w:t>Étude sur les domaines d</w:t>
            </w:r>
            <w:r w:rsidR="00125408" w:rsidRPr="000229AD">
              <w:rPr>
                <w:sz w:val="22"/>
                <w:lang w:val="fr-FR"/>
              </w:rPr>
              <w:t>'</w:t>
            </w:r>
            <w:r w:rsidRPr="000229AD">
              <w:rPr>
                <w:sz w:val="22"/>
                <w:lang w:val="fr-FR"/>
              </w:rPr>
              <w:t>action en matière de politique numérique en Asie du Sud-Est.</w:t>
            </w:r>
          </w:p>
          <w:p w14:paraId="37886F1E" w14:textId="77777777" w:rsidR="00EA2FD3" w:rsidRPr="000229AD" w:rsidRDefault="00EA2FD3" w:rsidP="00716C22">
            <w:pPr>
              <w:pStyle w:val="Tabletext"/>
              <w:spacing w:before="120"/>
              <w:rPr>
                <w:b/>
                <w:bCs/>
                <w:lang w:val="fr-FR"/>
              </w:rPr>
            </w:pPr>
            <w:r w:rsidRPr="000229AD">
              <w:rPr>
                <w:b/>
                <w:bCs/>
                <w:lang w:val="fr-FR"/>
              </w:rPr>
              <w:t xml:space="preserve">CEI: </w:t>
            </w:r>
          </w:p>
          <w:p w14:paraId="081BB123" w14:textId="77777777" w:rsidR="00EA2FD3" w:rsidRPr="000229AD" w:rsidRDefault="00EA2FD3" w:rsidP="00716C22">
            <w:pPr>
              <w:pStyle w:val="enumlev1"/>
              <w:ind w:left="312" w:hanging="312"/>
              <w:rPr>
                <w:sz w:val="22"/>
                <w:lang w:val="fr-FR"/>
              </w:rPr>
            </w:pPr>
            <w:r w:rsidRPr="000229AD">
              <w:rPr>
                <w:sz w:val="22"/>
                <w:lang w:val="fr-FR"/>
              </w:rPr>
              <w:t>–</w:t>
            </w:r>
            <w:r w:rsidRPr="000229AD">
              <w:rPr>
                <w:sz w:val="22"/>
                <w:lang w:val="fr-FR"/>
              </w:rPr>
              <w:tab/>
              <w:t>Arménie</w:t>
            </w:r>
          </w:p>
          <w:p w14:paraId="29673A06" w14:textId="77777777" w:rsidR="00EA2FD3" w:rsidRPr="000229AD" w:rsidRDefault="00EA2FD3" w:rsidP="00716C22">
            <w:pPr>
              <w:pStyle w:val="enumlev1"/>
              <w:ind w:left="312" w:hanging="312"/>
              <w:rPr>
                <w:sz w:val="22"/>
                <w:lang w:val="fr-FR"/>
              </w:rPr>
            </w:pPr>
            <w:r w:rsidRPr="000229AD">
              <w:rPr>
                <w:sz w:val="22"/>
                <w:lang w:val="fr-FR"/>
              </w:rPr>
              <w:t>–</w:t>
            </w:r>
            <w:r w:rsidRPr="000229AD">
              <w:rPr>
                <w:sz w:val="22"/>
                <w:lang w:val="fr-FR"/>
              </w:rPr>
              <w:tab/>
              <w:t>Azerbaïdjan</w:t>
            </w:r>
          </w:p>
          <w:p w14:paraId="7829B565" w14:textId="77777777" w:rsidR="00EA2FD3" w:rsidRPr="000229AD" w:rsidRDefault="00EA2FD3" w:rsidP="00716C22">
            <w:pPr>
              <w:pStyle w:val="enumlev1"/>
              <w:ind w:left="312" w:hanging="312"/>
              <w:rPr>
                <w:sz w:val="22"/>
                <w:lang w:val="fr-FR"/>
              </w:rPr>
            </w:pPr>
            <w:r w:rsidRPr="000229AD">
              <w:rPr>
                <w:sz w:val="22"/>
                <w:lang w:val="fr-FR"/>
              </w:rPr>
              <w:t>–</w:t>
            </w:r>
            <w:r w:rsidRPr="000229AD">
              <w:rPr>
                <w:sz w:val="22"/>
                <w:lang w:val="fr-FR"/>
              </w:rPr>
              <w:tab/>
              <w:t>Bélarus</w:t>
            </w:r>
          </w:p>
          <w:p w14:paraId="7320CCE3" w14:textId="77777777" w:rsidR="00EA2FD3" w:rsidRPr="000229AD" w:rsidRDefault="00EA2FD3" w:rsidP="00716C22">
            <w:pPr>
              <w:pStyle w:val="enumlev1"/>
              <w:ind w:left="312" w:hanging="312"/>
              <w:rPr>
                <w:sz w:val="22"/>
                <w:lang w:val="fr-FR"/>
              </w:rPr>
            </w:pPr>
            <w:r w:rsidRPr="000229AD">
              <w:rPr>
                <w:sz w:val="22"/>
                <w:lang w:val="fr-FR"/>
              </w:rPr>
              <w:t>–</w:t>
            </w:r>
            <w:r w:rsidRPr="000229AD">
              <w:rPr>
                <w:sz w:val="22"/>
                <w:lang w:val="fr-FR"/>
              </w:rPr>
              <w:tab/>
              <w:t>Kazakhstan</w:t>
            </w:r>
          </w:p>
          <w:p w14:paraId="4C612191" w14:textId="77777777" w:rsidR="00EA2FD3" w:rsidRPr="000229AD" w:rsidRDefault="00EA2FD3" w:rsidP="00716C22">
            <w:pPr>
              <w:pStyle w:val="enumlev1"/>
              <w:spacing w:after="40"/>
              <w:ind w:left="312" w:hanging="312"/>
              <w:rPr>
                <w:sz w:val="22"/>
                <w:lang w:val="fr-FR"/>
              </w:rPr>
            </w:pPr>
            <w:r w:rsidRPr="000229AD">
              <w:rPr>
                <w:sz w:val="22"/>
                <w:lang w:val="fr-FR"/>
              </w:rPr>
              <w:t>–</w:t>
            </w:r>
            <w:r w:rsidRPr="000229AD">
              <w:rPr>
                <w:sz w:val="22"/>
                <w:lang w:val="fr-FR"/>
              </w:rPr>
              <w:tab/>
              <w:t>Kirghizistan</w:t>
            </w:r>
          </w:p>
          <w:p w14:paraId="45519051" w14:textId="77777777" w:rsidR="00EA2FD3" w:rsidRPr="000229AD" w:rsidRDefault="00EA2FD3" w:rsidP="00716C22">
            <w:pPr>
              <w:pStyle w:val="enumlev1"/>
              <w:ind w:left="312" w:hanging="312"/>
              <w:rPr>
                <w:sz w:val="22"/>
                <w:lang w:val="fr-FR"/>
              </w:rPr>
            </w:pPr>
            <w:r w:rsidRPr="000229AD">
              <w:rPr>
                <w:sz w:val="22"/>
                <w:lang w:val="fr-FR"/>
              </w:rPr>
              <w:lastRenderedPageBreak/>
              <w:t>–</w:t>
            </w:r>
            <w:r w:rsidRPr="000229AD">
              <w:rPr>
                <w:sz w:val="22"/>
                <w:lang w:val="fr-FR"/>
              </w:rPr>
              <w:tab/>
              <w:t>Ouzbékistan</w:t>
            </w:r>
          </w:p>
          <w:p w14:paraId="651A48B1" w14:textId="77777777" w:rsidR="00EA2FD3" w:rsidRPr="000229AD" w:rsidRDefault="00EA2FD3" w:rsidP="00716C22">
            <w:pPr>
              <w:pStyle w:val="enumlev1"/>
              <w:ind w:left="312" w:hanging="312"/>
              <w:rPr>
                <w:sz w:val="22"/>
                <w:lang w:val="fr-FR"/>
              </w:rPr>
            </w:pPr>
            <w:r w:rsidRPr="000229AD">
              <w:rPr>
                <w:sz w:val="22"/>
                <w:lang w:val="fr-FR"/>
              </w:rPr>
              <w:t>–</w:t>
            </w:r>
            <w:r w:rsidRPr="000229AD">
              <w:rPr>
                <w:sz w:val="22"/>
                <w:lang w:val="fr-FR"/>
              </w:rPr>
              <w:tab/>
              <w:t>Russie</w:t>
            </w:r>
          </w:p>
          <w:p w14:paraId="3C63A344" w14:textId="77777777" w:rsidR="00EA2FD3" w:rsidRPr="000229AD" w:rsidRDefault="00EA2FD3" w:rsidP="00716C22">
            <w:pPr>
              <w:pStyle w:val="Tabletext"/>
              <w:spacing w:before="120"/>
              <w:rPr>
                <w:b/>
                <w:bCs/>
                <w:lang w:val="fr-FR"/>
              </w:rPr>
            </w:pPr>
            <w:r w:rsidRPr="000229AD">
              <w:rPr>
                <w:b/>
                <w:bCs/>
                <w:lang w:val="fr-FR"/>
              </w:rPr>
              <w:t xml:space="preserve">Europe: </w:t>
            </w:r>
          </w:p>
          <w:p w14:paraId="557B2FEF" w14:textId="77777777" w:rsidR="00EA2FD3" w:rsidRPr="000229AD" w:rsidRDefault="00EA2FD3" w:rsidP="00716C22">
            <w:pPr>
              <w:pStyle w:val="enumlev1"/>
              <w:ind w:left="312" w:hanging="312"/>
              <w:rPr>
                <w:sz w:val="22"/>
                <w:lang w:val="fr-FR"/>
              </w:rPr>
            </w:pPr>
            <w:r w:rsidRPr="000229AD">
              <w:rPr>
                <w:sz w:val="22"/>
                <w:lang w:val="fr-FR"/>
              </w:rPr>
              <w:t>–</w:t>
            </w:r>
            <w:r w:rsidRPr="000229AD">
              <w:rPr>
                <w:sz w:val="22"/>
                <w:lang w:val="fr-FR"/>
              </w:rPr>
              <w:tab/>
              <w:t>Albanie</w:t>
            </w:r>
          </w:p>
          <w:p w14:paraId="71EAC18F" w14:textId="77777777" w:rsidR="00EA2FD3" w:rsidRPr="000229AD" w:rsidRDefault="00EA2FD3" w:rsidP="00716C22">
            <w:pPr>
              <w:pStyle w:val="enumlev1"/>
              <w:ind w:left="312" w:hanging="312"/>
              <w:rPr>
                <w:sz w:val="22"/>
                <w:lang w:val="fr-FR"/>
              </w:rPr>
            </w:pPr>
            <w:r w:rsidRPr="000229AD">
              <w:rPr>
                <w:sz w:val="22"/>
                <w:lang w:val="fr-FR"/>
              </w:rPr>
              <w:t>–</w:t>
            </w:r>
            <w:r w:rsidRPr="000229AD">
              <w:rPr>
                <w:sz w:val="22"/>
                <w:lang w:val="fr-FR"/>
              </w:rPr>
              <w:tab/>
              <w:t>Bosnie-Herzégovine</w:t>
            </w:r>
          </w:p>
          <w:p w14:paraId="56106DB4" w14:textId="77777777" w:rsidR="00EA2FD3" w:rsidRPr="000229AD" w:rsidRDefault="00EA2FD3" w:rsidP="00716C22">
            <w:pPr>
              <w:pStyle w:val="enumlev1"/>
              <w:ind w:left="312" w:hanging="312"/>
              <w:rPr>
                <w:sz w:val="22"/>
                <w:lang w:val="fr-FR"/>
              </w:rPr>
            </w:pPr>
            <w:r w:rsidRPr="000229AD">
              <w:rPr>
                <w:sz w:val="22"/>
                <w:lang w:val="fr-FR"/>
              </w:rPr>
              <w:t>–</w:t>
            </w:r>
            <w:r w:rsidRPr="000229AD">
              <w:rPr>
                <w:sz w:val="22"/>
                <w:lang w:val="fr-FR"/>
              </w:rPr>
              <w:tab/>
              <w:t>Géorgie</w:t>
            </w:r>
          </w:p>
          <w:p w14:paraId="4F4D7BD0" w14:textId="77777777" w:rsidR="00EA2FD3" w:rsidRPr="000229AD" w:rsidRDefault="00EA2FD3" w:rsidP="00716C22">
            <w:pPr>
              <w:pStyle w:val="enumlev1"/>
              <w:ind w:left="312" w:hanging="312"/>
              <w:rPr>
                <w:sz w:val="22"/>
                <w:lang w:val="fr-FR"/>
              </w:rPr>
            </w:pPr>
            <w:r w:rsidRPr="000229AD">
              <w:rPr>
                <w:sz w:val="22"/>
                <w:lang w:val="fr-FR"/>
              </w:rPr>
              <w:t>–</w:t>
            </w:r>
            <w:r w:rsidRPr="000229AD">
              <w:rPr>
                <w:sz w:val="22"/>
                <w:lang w:val="fr-FR"/>
              </w:rPr>
              <w:tab/>
              <w:t>Moldova</w:t>
            </w:r>
          </w:p>
          <w:p w14:paraId="6A93CA34" w14:textId="77777777" w:rsidR="00EA2FD3" w:rsidRPr="000229AD" w:rsidRDefault="00EA2FD3" w:rsidP="00716C22">
            <w:pPr>
              <w:pStyle w:val="enumlev1"/>
              <w:ind w:left="312" w:hanging="312"/>
              <w:rPr>
                <w:sz w:val="22"/>
                <w:lang w:val="fr-FR"/>
              </w:rPr>
            </w:pPr>
            <w:r w:rsidRPr="000229AD">
              <w:rPr>
                <w:sz w:val="22"/>
                <w:lang w:val="fr-FR"/>
              </w:rPr>
              <w:t>–</w:t>
            </w:r>
            <w:r w:rsidRPr="000229AD">
              <w:rPr>
                <w:sz w:val="22"/>
                <w:lang w:val="fr-FR"/>
              </w:rPr>
              <w:tab/>
              <w:t>Monténégro</w:t>
            </w:r>
          </w:p>
          <w:p w14:paraId="42C11F75" w14:textId="77777777" w:rsidR="00EA2FD3" w:rsidRPr="000229AD" w:rsidRDefault="00EA2FD3" w:rsidP="00716C22">
            <w:pPr>
              <w:pStyle w:val="enumlev1"/>
              <w:ind w:left="312" w:hanging="312"/>
              <w:rPr>
                <w:sz w:val="22"/>
                <w:lang w:val="fr-FR"/>
              </w:rPr>
            </w:pPr>
            <w:r w:rsidRPr="000229AD">
              <w:rPr>
                <w:sz w:val="22"/>
                <w:lang w:val="fr-FR"/>
              </w:rPr>
              <w:t>–</w:t>
            </w:r>
            <w:r w:rsidRPr="000229AD">
              <w:rPr>
                <w:sz w:val="22"/>
                <w:lang w:val="fr-FR"/>
              </w:rPr>
              <w:tab/>
              <w:t>Macédoine du Nord</w:t>
            </w:r>
          </w:p>
          <w:p w14:paraId="05E09AEF" w14:textId="77777777" w:rsidR="00EA2FD3" w:rsidRPr="000229AD" w:rsidRDefault="00EA2FD3" w:rsidP="00716C22">
            <w:pPr>
              <w:pStyle w:val="enumlev1"/>
              <w:ind w:left="312" w:hanging="312"/>
              <w:rPr>
                <w:sz w:val="22"/>
                <w:lang w:val="fr-FR"/>
              </w:rPr>
            </w:pPr>
            <w:r w:rsidRPr="000229AD">
              <w:rPr>
                <w:sz w:val="22"/>
                <w:lang w:val="fr-FR"/>
              </w:rPr>
              <w:t>–</w:t>
            </w:r>
            <w:r w:rsidRPr="000229AD">
              <w:rPr>
                <w:sz w:val="22"/>
                <w:lang w:val="fr-FR"/>
              </w:rPr>
              <w:tab/>
              <w:t>Serbie</w:t>
            </w:r>
          </w:p>
          <w:p w14:paraId="14A4649F" w14:textId="77777777" w:rsidR="00EA2FD3" w:rsidRPr="000229AD" w:rsidRDefault="00EA2FD3" w:rsidP="00716C22">
            <w:pPr>
              <w:pStyle w:val="enumlev1"/>
              <w:ind w:left="312" w:hanging="312"/>
              <w:rPr>
                <w:sz w:val="22"/>
                <w:lang w:val="fr-FR"/>
              </w:rPr>
            </w:pPr>
            <w:r w:rsidRPr="000229AD">
              <w:rPr>
                <w:sz w:val="22"/>
                <w:lang w:val="fr-FR"/>
              </w:rPr>
              <w:t>–</w:t>
            </w:r>
            <w:r w:rsidRPr="000229AD">
              <w:rPr>
                <w:sz w:val="22"/>
                <w:lang w:val="fr-FR"/>
              </w:rPr>
              <w:tab/>
              <w:t>Ukraine</w:t>
            </w:r>
          </w:p>
        </w:tc>
      </w:tr>
      <w:tr w:rsidR="00EA2FD3" w:rsidRPr="000229AD" w14:paraId="4CECC341" w14:textId="77777777" w:rsidTr="00774480">
        <w:tc>
          <w:tcPr>
            <w:tcW w:w="14850" w:type="dxa"/>
            <w:gridSpan w:val="3"/>
            <w:shd w:val="clear" w:color="auto" w:fill="E5DFEC" w:themeFill="accent4" w:themeFillTint="33"/>
          </w:tcPr>
          <w:p w14:paraId="11D5AA23" w14:textId="7DA004AF" w:rsidR="00EA2FD3" w:rsidRPr="000229AD" w:rsidRDefault="00EA2FD3" w:rsidP="00716C22">
            <w:pPr>
              <w:pStyle w:val="Tabletext"/>
              <w:spacing w:before="120"/>
              <w:rPr>
                <w:lang w:val="fr-FR"/>
              </w:rPr>
            </w:pPr>
            <w:r w:rsidRPr="000229AD">
              <w:rPr>
                <w:b/>
                <w:bCs/>
                <w:i/>
                <w:iCs/>
                <w:lang w:val="fr-FR"/>
              </w:rPr>
              <w:lastRenderedPageBreak/>
              <w:t>Réalisation</w:t>
            </w:r>
            <w:r w:rsidRPr="000229AD">
              <w:rPr>
                <w:i/>
                <w:iCs/>
                <w:lang w:val="fr-FR"/>
              </w:rPr>
              <w:t>: renforcement de la capacité des États Membres de produire et de recueillir des statistiques de qualité et comparables au niveau international, qui tiennent compte de l</w:t>
            </w:r>
            <w:r w:rsidR="00125408" w:rsidRPr="000229AD">
              <w:rPr>
                <w:i/>
                <w:iCs/>
                <w:lang w:val="fr-FR"/>
              </w:rPr>
              <w:t>'</w:t>
            </w:r>
            <w:r w:rsidRPr="000229AD">
              <w:rPr>
                <w:i/>
                <w:iCs/>
                <w:lang w:val="fr-FR"/>
              </w:rPr>
              <w:t>évolution et des tendances dans le secteur des télécommunications/TIC rendues possibles grâce aux technologies et aux services nouveaux et émergents, à partir de normes et de méthodologies convenues.</w:t>
            </w:r>
          </w:p>
        </w:tc>
      </w:tr>
      <w:tr w:rsidR="00EA2FD3" w:rsidRPr="000229AD" w14:paraId="68DB286B" w14:textId="77777777" w:rsidTr="00774480">
        <w:tc>
          <w:tcPr>
            <w:tcW w:w="11880" w:type="dxa"/>
            <w:gridSpan w:val="2"/>
          </w:tcPr>
          <w:p w14:paraId="320B6A7B" w14:textId="77777777" w:rsidR="00EA2FD3" w:rsidRPr="000229AD" w:rsidRDefault="00EA2FD3" w:rsidP="00716C22">
            <w:pPr>
              <w:pStyle w:val="Tabletext"/>
              <w:spacing w:before="120"/>
              <w:rPr>
                <w:b/>
                <w:bCs/>
                <w:lang w:val="fr-FR"/>
              </w:rPr>
            </w:pPr>
            <w:r w:rsidRPr="000229AD">
              <w:rPr>
                <w:b/>
                <w:bCs/>
                <w:lang w:val="fr-FR"/>
              </w:rPr>
              <w:t>Statistiques</w:t>
            </w:r>
          </w:p>
          <w:p w14:paraId="7B00D0AA" w14:textId="35E34551" w:rsidR="00EA2FD3" w:rsidRPr="000229AD" w:rsidRDefault="00EA2FD3" w:rsidP="00716C22">
            <w:pPr>
              <w:pStyle w:val="Tabletext"/>
              <w:spacing w:before="120"/>
              <w:rPr>
                <w:lang w:val="fr-FR"/>
              </w:rPr>
            </w:pPr>
            <w:r w:rsidRPr="000229AD">
              <w:rPr>
                <w:lang w:val="fr-FR"/>
              </w:rPr>
              <w:t xml:space="preserve">Le </w:t>
            </w:r>
            <w:hyperlink r:id="rId48" w:history="1">
              <w:r w:rsidRPr="000229AD">
                <w:rPr>
                  <w:rStyle w:val="Hyperlink"/>
                  <w:lang w:val="fr-FR"/>
                </w:rPr>
                <w:t>service de la statistique</w:t>
              </w:r>
            </w:hyperlink>
            <w:r w:rsidRPr="000229AD">
              <w:rPr>
                <w:lang w:val="fr-FR"/>
              </w:rPr>
              <w:t xml:space="preserve"> de l</w:t>
            </w:r>
            <w:r w:rsidR="00125408" w:rsidRPr="000229AD">
              <w:rPr>
                <w:lang w:val="fr-FR"/>
              </w:rPr>
              <w:t>'</w:t>
            </w:r>
            <w:r w:rsidRPr="000229AD">
              <w:rPr>
                <w:lang w:val="fr-FR"/>
              </w:rPr>
              <w:t>UIT occupe le rôle de chef de file mondial en matière de statistiques sur les TIC. Il recueille et diffuse des informations cruciales et mène des recherches de niveau international pour soutenir la prise de décisions pour atteindre une connectivité universelle et efficace et réaliser une transformation numérique durable. En 2023, des activités couvrant l</w:t>
            </w:r>
            <w:r w:rsidR="00125408" w:rsidRPr="000229AD">
              <w:rPr>
                <w:lang w:val="fr-FR"/>
              </w:rPr>
              <w:t>'</w:t>
            </w:r>
            <w:r w:rsidRPr="000229AD">
              <w:rPr>
                <w:lang w:val="fr-FR"/>
              </w:rPr>
              <w:t>ensemble du cycle de vie des données, dont des manifestations et le lancement de nouveaux produits et de nouveaux outils, ont concouru à la réalisation de cet objectif.</w:t>
            </w:r>
          </w:p>
          <w:p w14:paraId="6951FDBF" w14:textId="77777777" w:rsidR="00EA2FD3" w:rsidRPr="000229AD" w:rsidRDefault="00EA2FD3" w:rsidP="00716C22">
            <w:pPr>
              <w:pStyle w:val="Tabletext"/>
              <w:keepNext/>
              <w:keepLines/>
              <w:spacing w:before="120"/>
              <w:rPr>
                <w:b/>
                <w:bCs/>
                <w:lang w:val="fr-FR"/>
              </w:rPr>
            </w:pPr>
            <w:r w:rsidRPr="000229AD">
              <w:rPr>
                <w:b/>
                <w:bCs/>
                <w:lang w:val="fr-FR"/>
              </w:rPr>
              <w:t>Élaboration de cadres politiques et de supports de connaissance</w:t>
            </w:r>
          </w:p>
          <w:p w14:paraId="0980691F" w14:textId="3CF9F8CA" w:rsidR="00EA2FD3" w:rsidRPr="000229AD" w:rsidRDefault="00EA2FD3" w:rsidP="00716C22">
            <w:pPr>
              <w:pStyle w:val="Tabletext"/>
              <w:keepNext/>
              <w:keepLines/>
              <w:spacing w:after="120"/>
              <w:rPr>
                <w:lang w:val="fr-FR"/>
              </w:rPr>
            </w:pPr>
            <w:r w:rsidRPr="000229AD">
              <w:rPr>
                <w:lang w:val="fr-FR"/>
              </w:rPr>
              <w:t>Sensibilisation accrue des États Membres et des décideurs à l</w:t>
            </w:r>
            <w:r w:rsidR="00125408" w:rsidRPr="000229AD">
              <w:rPr>
                <w:lang w:val="fr-FR"/>
              </w:rPr>
              <w:t>'</w:t>
            </w:r>
            <w:r w:rsidRPr="000229AD">
              <w:rPr>
                <w:lang w:val="fr-FR"/>
              </w:rPr>
              <w:t>importance de faire de la connectivité universelle et efficace un impératif de l</w:t>
            </w:r>
            <w:r w:rsidR="00125408" w:rsidRPr="000229AD">
              <w:rPr>
                <w:lang w:val="fr-FR"/>
              </w:rPr>
              <w:t>'</w:t>
            </w:r>
            <w:r w:rsidRPr="000229AD">
              <w:rPr>
                <w:lang w:val="fr-FR"/>
              </w:rPr>
              <w:t>action des pouvoirs publics. Renforcement de la capacité des décideurs à évaluer le niveau de connectivité ainsi que les progrès réalisés vers une connectivité universelle et efficace et à élaborer des politiques fondées sur des données factuelles.</w:t>
            </w:r>
          </w:p>
          <w:p w14:paraId="1E4D90D9" w14:textId="080C4D52" w:rsidR="00EA2FD3" w:rsidRPr="000229AD" w:rsidRDefault="00EA2FD3" w:rsidP="00716C22">
            <w:pPr>
              <w:pStyle w:val="enumlev1"/>
              <w:ind w:left="312" w:hanging="312"/>
              <w:rPr>
                <w:sz w:val="22"/>
                <w:lang w:val="fr-FR"/>
              </w:rPr>
            </w:pPr>
            <w:r w:rsidRPr="000229AD">
              <w:rPr>
                <w:sz w:val="22"/>
                <w:lang w:val="fr-FR"/>
              </w:rPr>
              <w:t>•</w:t>
            </w:r>
            <w:r w:rsidRPr="000229AD">
              <w:rPr>
                <w:sz w:val="22"/>
                <w:lang w:val="fr-FR"/>
              </w:rPr>
              <w:tab/>
              <w:t>L</w:t>
            </w:r>
            <w:r w:rsidR="00125408" w:rsidRPr="000229AD">
              <w:rPr>
                <w:sz w:val="22"/>
                <w:lang w:val="fr-FR"/>
              </w:rPr>
              <w:t>'</w:t>
            </w:r>
            <w:hyperlink r:id="rId49" w:history="1">
              <w:r w:rsidRPr="000229AD">
                <w:rPr>
                  <w:rStyle w:val="Hyperlink"/>
                  <w:sz w:val="22"/>
                  <w:lang w:val="fr-FR"/>
                </w:rPr>
                <w:t>édition 2023 du rapport Faits et chiffres</w:t>
              </w:r>
            </w:hyperlink>
            <w:r w:rsidRPr="000229AD">
              <w:rPr>
                <w:sz w:val="22"/>
                <w:lang w:val="fr-FR"/>
              </w:rPr>
              <w:t xml:space="preserve"> et l</w:t>
            </w:r>
            <w:r w:rsidR="00125408" w:rsidRPr="000229AD">
              <w:rPr>
                <w:sz w:val="22"/>
                <w:lang w:val="fr-FR"/>
              </w:rPr>
              <w:t>'</w:t>
            </w:r>
            <w:hyperlink r:id="rId50" w:history="1">
              <w:r w:rsidRPr="000229AD">
                <w:rPr>
                  <w:rStyle w:val="Hyperlink"/>
                  <w:sz w:val="22"/>
                  <w:lang w:val="fr-FR"/>
                </w:rPr>
                <w:t>édition spéciale de ce même rapport consacrée aux pays les moins avancés</w:t>
              </w:r>
            </w:hyperlink>
            <w:r w:rsidRPr="000229AD">
              <w:rPr>
                <w:sz w:val="22"/>
                <w:lang w:val="fr-FR"/>
              </w:rPr>
              <w:t xml:space="preserve"> et publiée à l</w:t>
            </w:r>
            <w:r w:rsidR="00125408" w:rsidRPr="000229AD">
              <w:rPr>
                <w:sz w:val="22"/>
                <w:lang w:val="fr-FR"/>
              </w:rPr>
              <w:t>'</w:t>
            </w:r>
            <w:r w:rsidRPr="000229AD">
              <w:rPr>
                <w:sz w:val="22"/>
                <w:lang w:val="fr-FR"/>
              </w:rPr>
              <w:t>occasion de la cinquième Conférence des Nations Unies sur les pays les moins avancés ont fourni une évaluation en temps opportun de l</w:t>
            </w:r>
            <w:r w:rsidR="00125408" w:rsidRPr="000229AD">
              <w:rPr>
                <w:sz w:val="22"/>
                <w:lang w:val="fr-FR"/>
              </w:rPr>
              <w:t>'</w:t>
            </w:r>
            <w:r w:rsidRPr="000229AD">
              <w:rPr>
                <w:sz w:val="22"/>
                <w:lang w:val="fr-FR"/>
              </w:rPr>
              <w:t xml:space="preserve">état de la connectivité dans le monde, dans des régions clés et pour des groupes particuliers. </w:t>
            </w:r>
          </w:p>
          <w:p w14:paraId="20BA8C5B" w14:textId="443FD02A" w:rsidR="00EA2FD3" w:rsidRPr="000229AD" w:rsidRDefault="00EA2FD3" w:rsidP="00716C22">
            <w:pPr>
              <w:pStyle w:val="enumlev1"/>
              <w:spacing w:after="40"/>
              <w:ind w:left="312" w:hanging="312"/>
              <w:rPr>
                <w:sz w:val="22"/>
                <w:lang w:val="fr-FR"/>
              </w:rPr>
            </w:pPr>
            <w:r w:rsidRPr="000229AD">
              <w:rPr>
                <w:sz w:val="22"/>
                <w:lang w:val="fr-FR"/>
              </w:rPr>
              <w:t>•</w:t>
            </w:r>
            <w:r w:rsidRPr="000229AD">
              <w:rPr>
                <w:sz w:val="22"/>
                <w:lang w:val="fr-FR"/>
              </w:rPr>
              <w:tab/>
              <w:t xml:space="preserve">Le </w:t>
            </w:r>
            <w:hyperlink r:id="rId51" w:history="1">
              <w:r w:rsidRPr="000229AD">
                <w:rPr>
                  <w:rStyle w:val="Hyperlink"/>
                  <w:sz w:val="22"/>
                  <w:lang w:val="fr-FR"/>
                </w:rPr>
                <w:t>rapport de synthèse sur l</w:t>
              </w:r>
              <w:r w:rsidR="00125408" w:rsidRPr="000229AD">
                <w:rPr>
                  <w:rStyle w:val="Hyperlink"/>
                  <w:sz w:val="22"/>
                  <w:lang w:val="fr-FR"/>
                </w:rPr>
                <w:t>'</w:t>
              </w:r>
              <w:r w:rsidRPr="000229AD">
                <w:rPr>
                  <w:rStyle w:val="Hyperlink"/>
                  <w:sz w:val="22"/>
                  <w:lang w:val="fr-FR"/>
                </w:rPr>
                <w:t>accessibilité financière des services TIC en 2022</w:t>
              </w:r>
            </w:hyperlink>
            <w:r w:rsidRPr="000229AD">
              <w:rPr>
                <w:sz w:val="22"/>
                <w:lang w:val="fr-FR"/>
              </w:rPr>
              <w:t xml:space="preserve"> a présenté de façon concise les informations clés sur l</w:t>
            </w:r>
            <w:r w:rsidR="00125408" w:rsidRPr="000229AD">
              <w:rPr>
                <w:sz w:val="22"/>
                <w:lang w:val="fr-FR"/>
              </w:rPr>
              <w:t>'</w:t>
            </w:r>
            <w:hyperlink r:id="rId52" w:history="1">
              <w:r w:rsidRPr="000229AD">
                <w:rPr>
                  <w:rStyle w:val="Hyperlink"/>
                  <w:sz w:val="22"/>
                  <w:lang w:val="fr-FR"/>
                </w:rPr>
                <w:t>ensemble de données sur les prix des TIC en 2022</w:t>
              </w:r>
            </w:hyperlink>
            <w:r w:rsidRPr="000229AD">
              <w:rPr>
                <w:sz w:val="22"/>
                <w:lang w:val="fr-FR"/>
              </w:rPr>
              <w:t>.</w:t>
            </w:r>
          </w:p>
          <w:p w14:paraId="2FA74964" w14:textId="77777777" w:rsidR="00EA2FD3" w:rsidRPr="000229AD" w:rsidRDefault="00EA2FD3" w:rsidP="00716C22">
            <w:pPr>
              <w:pStyle w:val="enumlev1"/>
              <w:ind w:left="312" w:hanging="312"/>
              <w:rPr>
                <w:sz w:val="22"/>
                <w:lang w:val="fr-FR"/>
              </w:rPr>
            </w:pPr>
            <w:r w:rsidRPr="000229AD">
              <w:rPr>
                <w:sz w:val="22"/>
                <w:lang w:val="fr-FR"/>
              </w:rPr>
              <w:lastRenderedPageBreak/>
              <w:t>•</w:t>
            </w:r>
            <w:r w:rsidRPr="000229AD">
              <w:rPr>
                <w:sz w:val="22"/>
                <w:lang w:val="fr-FR"/>
              </w:rPr>
              <w:tab/>
              <w:t xml:space="preserve">En juillet 2023, le </w:t>
            </w:r>
            <w:hyperlink r:id="rId53" w:history="1">
              <w:r w:rsidRPr="000229AD">
                <w:rPr>
                  <w:rStyle w:val="Hyperlink"/>
                  <w:sz w:val="22"/>
                  <w:lang w:val="fr-FR"/>
                </w:rPr>
                <w:t>tableau de bord sur la connectivité universelle et efficace</w:t>
              </w:r>
            </w:hyperlink>
            <w:r w:rsidRPr="000229AD">
              <w:rPr>
                <w:sz w:val="22"/>
                <w:lang w:val="fr-FR"/>
              </w:rPr>
              <w:t xml:space="preserve"> a été lancé afin de mettre en évidence les progrès accomplis dans la réalisation des cibles dans ce domaine. </w:t>
            </w:r>
          </w:p>
          <w:p w14:paraId="3FB73BFF" w14:textId="516491C4" w:rsidR="00EA2FD3" w:rsidRPr="000229AD" w:rsidRDefault="00EA2FD3" w:rsidP="00716C22">
            <w:pPr>
              <w:pStyle w:val="enumlev1"/>
              <w:spacing w:after="120"/>
              <w:ind w:left="312" w:hanging="312"/>
              <w:rPr>
                <w:sz w:val="22"/>
                <w:lang w:val="fr-FR"/>
              </w:rPr>
            </w:pPr>
            <w:r w:rsidRPr="000229AD">
              <w:rPr>
                <w:sz w:val="22"/>
                <w:lang w:val="fr-FR"/>
              </w:rPr>
              <w:t>•</w:t>
            </w:r>
            <w:r w:rsidRPr="000229AD">
              <w:rPr>
                <w:sz w:val="22"/>
                <w:lang w:val="fr-FR"/>
              </w:rPr>
              <w:tab/>
              <w:t>Après une interruption de six ans, l</w:t>
            </w:r>
            <w:r w:rsidR="00125408" w:rsidRPr="000229AD">
              <w:rPr>
                <w:sz w:val="22"/>
                <w:lang w:val="fr-FR"/>
              </w:rPr>
              <w:t>'</w:t>
            </w:r>
            <w:hyperlink r:id="rId54" w:history="1">
              <w:r w:rsidRPr="000229AD">
                <w:rPr>
                  <w:rStyle w:val="Hyperlink"/>
                  <w:sz w:val="22"/>
                  <w:lang w:val="fr-FR"/>
                </w:rPr>
                <w:t>Indice de développement des TIC</w:t>
              </w:r>
            </w:hyperlink>
            <w:r w:rsidRPr="000229AD">
              <w:rPr>
                <w:sz w:val="22"/>
                <w:lang w:val="fr-FR"/>
              </w:rPr>
              <w:t xml:space="preserve"> a de nouveau été publié. Il s</w:t>
            </w:r>
            <w:r w:rsidR="00125408" w:rsidRPr="000229AD">
              <w:rPr>
                <w:sz w:val="22"/>
                <w:lang w:val="fr-FR"/>
              </w:rPr>
              <w:t>'</w:t>
            </w:r>
            <w:r w:rsidRPr="000229AD">
              <w:rPr>
                <w:sz w:val="22"/>
                <w:lang w:val="fr-FR"/>
              </w:rPr>
              <w:t xml:space="preserve">appuie désormais sur une nouvelle méthodologie </w:t>
            </w:r>
            <w:hyperlink r:id="rId55" w:history="1">
              <w:r w:rsidRPr="000229AD">
                <w:rPr>
                  <w:rStyle w:val="Hyperlink"/>
                  <w:sz w:val="22"/>
                  <w:lang w:val="fr-FR"/>
                </w:rPr>
                <w:t>élaborée</w:t>
              </w:r>
            </w:hyperlink>
            <w:r w:rsidRPr="000229AD">
              <w:rPr>
                <w:sz w:val="22"/>
                <w:lang w:val="fr-FR"/>
              </w:rPr>
              <w:t xml:space="preserve"> dans le cadre des travaux du Groupe d</w:t>
            </w:r>
            <w:r w:rsidR="00125408" w:rsidRPr="000229AD">
              <w:rPr>
                <w:sz w:val="22"/>
                <w:lang w:val="fr-FR"/>
              </w:rPr>
              <w:t>'</w:t>
            </w:r>
            <w:r w:rsidRPr="000229AD">
              <w:rPr>
                <w:sz w:val="22"/>
                <w:lang w:val="fr-FR"/>
              </w:rPr>
              <w:t>experts sur les indicateurs des télécommunications/TIC (EGTI) et du Groupe d</w:t>
            </w:r>
            <w:r w:rsidR="00125408" w:rsidRPr="000229AD">
              <w:rPr>
                <w:sz w:val="22"/>
                <w:lang w:val="fr-FR"/>
              </w:rPr>
              <w:t>'</w:t>
            </w:r>
            <w:r w:rsidRPr="000229AD">
              <w:rPr>
                <w:sz w:val="22"/>
                <w:lang w:val="fr-FR"/>
              </w:rPr>
              <w:t>experts sur les indicateurs relatifs à l</w:t>
            </w:r>
            <w:r w:rsidR="00125408" w:rsidRPr="000229AD">
              <w:rPr>
                <w:sz w:val="22"/>
                <w:lang w:val="fr-FR"/>
              </w:rPr>
              <w:t>'</w:t>
            </w:r>
            <w:r w:rsidRPr="000229AD">
              <w:rPr>
                <w:sz w:val="22"/>
                <w:lang w:val="fr-FR"/>
              </w:rPr>
              <w:t xml:space="preserve">utilisation des TIC par les ménages (EGH), qui accorde une place centrale à la connectivité universelle et efficace. </w:t>
            </w:r>
          </w:p>
          <w:p w14:paraId="73858817" w14:textId="177E7BE6" w:rsidR="00EA2FD3" w:rsidRPr="000229AD" w:rsidRDefault="00EA2FD3" w:rsidP="00716C22">
            <w:pPr>
              <w:pStyle w:val="Tabletext"/>
              <w:spacing w:before="120"/>
              <w:rPr>
                <w:b/>
                <w:bCs/>
                <w:lang w:val="fr-FR"/>
              </w:rPr>
            </w:pPr>
            <w:r w:rsidRPr="000229AD">
              <w:rPr>
                <w:b/>
                <w:bCs/>
                <w:lang w:val="fr-FR"/>
              </w:rPr>
              <w:t>Amélioration de l</w:t>
            </w:r>
            <w:r w:rsidR="00125408" w:rsidRPr="000229AD">
              <w:rPr>
                <w:b/>
                <w:bCs/>
                <w:lang w:val="fr-FR"/>
              </w:rPr>
              <w:t>'</w:t>
            </w:r>
            <w:r w:rsidRPr="000229AD">
              <w:rPr>
                <w:b/>
                <w:bCs/>
                <w:lang w:val="fr-FR"/>
              </w:rPr>
              <w:t>accès des États Membres et des autres parties prenantes aux données critiques et aux informations réglementaires</w:t>
            </w:r>
          </w:p>
          <w:p w14:paraId="64C2CE1E" w14:textId="6C796BF7" w:rsidR="00EA2FD3" w:rsidRPr="000229AD" w:rsidRDefault="00EA2FD3" w:rsidP="00716C22">
            <w:pPr>
              <w:pStyle w:val="enumlev1"/>
              <w:ind w:left="312" w:hanging="312"/>
              <w:rPr>
                <w:sz w:val="22"/>
                <w:lang w:val="fr-FR"/>
              </w:rPr>
            </w:pPr>
            <w:r w:rsidRPr="000229AD">
              <w:rPr>
                <w:sz w:val="22"/>
                <w:lang w:val="fr-FR"/>
              </w:rPr>
              <w:t>•</w:t>
            </w:r>
            <w:r w:rsidRPr="000229AD">
              <w:rPr>
                <w:sz w:val="22"/>
                <w:lang w:val="fr-FR"/>
              </w:rPr>
              <w:tab/>
              <w:t xml:space="preserve">De nouvelles fonctionnalités ont été ajoutées au </w:t>
            </w:r>
            <w:hyperlink r:id="rId56" w:history="1">
              <w:r w:rsidRPr="000229AD">
                <w:rPr>
                  <w:rStyle w:val="Hyperlink"/>
                  <w:sz w:val="22"/>
                  <w:lang w:val="fr-FR"/>
                </w:rPr>
                <w:t>Centre de données de l</w:t>
              </w:r>
              <w:r w:rsidR="00125408" w:rsidRPr="000229AD">
                <w:rPr>
                  <w:rStyle w:val="Hyperlink"/>
                  <w:sz w:val="22"/>
                  <w:lang w:val="fr-FR"/>
                </w:rPr>
                <w:t>'</w:t>
              </w:r>
              <w:r w:rsidRPr="000229AD">
                <w:rPr>
                  <w:rStyle w:val="Hyperlink"/>
                  <w:sz w:val="22"/>
                  <w:lang w:val="fr-FR"/>
                </w:rPr>
                <w:t>UIT</w:t>
              </w:r>
            </w:hyperlink>
            <w:r w:rsidRPr="000229AD">
              <w:rPr>
                <w:sz w:val="22"/>
                <w:lang w:val="fr-FR"/>
              </w:rPr>
              <w:t>, une plate-forme comprenant plus de 200 indicateurs et plus de 200 profils de pays, des tableaux de bord thématiques, des requêtes de données et des téléchargements. Le nombre de visites au Centre de données a augmenté de 500% en glissement annuel (d</w:t>
            </w:r>
            <w:r w:rsidR="00125408" w:rsidRPr="000229AD">
              <w:rPr>
                <w:sz w:val="22"/>
                <w:lang w:val="fr-FR"/>
              </w:rPr>
              <w:t>'</w:t>
            </w:r>
            <w:r w:rsidRPr="000229AD">
              <w:rPr>
                <w:sz w:val="22"/>
                <w:lang w:val="fr-FR"/>
              </w:rPr>
              <w:t>octobre 2023 à octobre 2024).</w:t>
            </w:r>
          </w:p>
          <w:p w14:paraId="206A472B" w14:textId="60892D9A" w:rsidR="00EA2FD3" w:rsidRPr="000229AD" w:rsidRDefault="00EA2FD3" w:rsidP="00716C22">
            <w:pPr>
              <w:pStyle w:val="Tabletext"/>
              <w:spacing w:before="120"/>
              <w:rPr>
                <w:b/>
                <w:bCs/>
                <w:lang w:val="fr-FR"/>
              </w:rPr>
            </w:pPr>
            <w:r w:rsidRPr="000229AD">
              <w:rPr>
                <w:b/>
                <w:bCs/>
                <w:lang w:val="fr-FR"/>
              </w:rPr>
              <w:t>Amélioration de la capacité des États Membres à soumettre des données de qualité grâce à une nouvelle plate-forme d</w:t>
            </w:r>
            <w:r w:rsidR="00125408" w:rsidRPr="000229AD">
              <w:rPr>
                <w:b/>
                <w:bCs/>
                <w:lang w:val="fr-FR"/>
              </w:rPr>
              <w:t>'</w:t>
            </w:r>
            <w:r w:rsidRPr="000229AD">
              <w:rPr>
                <w:b/>
                <w:bCs/>
                <w:lang w:val="fr-FR"/>
              </w:rPr>
              <w:t>enquêtes, comme en témoigne l</w:t>
            </w:r>
            <w:r w:rsidR="00125408" w:rsidRPr="000229AD">
              <w:rPr>
                <w:b/>
                <w:bCs/>
                <w:lang w:val="fr-FR"/>
              </w:rPr>
              <w:t>'</w:t>
            </w:r>
            <w:r w:rsidRPr="000229AD">
              <w:rPr>
                <w:b/>
                <w:bCs/>
                <w:lang w:val="fr-FR"/>
              </w:rPr>
              <w:t>augmentation des taux de réponse et de la qualité des données</w:t>
            </w:r>
          </w:p>
          <w:p w14:paraId="2838F02C" w14:textId="759D6D49" w:rsidR="00EA2FD3" w:rsidRPr="000229AD" w:rsidRDefault="00EA2FD3" w:rsidP="00716C22">
            <w:pPr>
              <w:pStyle w:val="enumlev1"/>
              <w:ind w:left="312" w:hanging="312"/>
              <w:rPr>
                <w:sz w:val="22"/>
                <w:lang w:val="fr-FR"/>
              </w:rPr>
            </w:pPr>
            <w:r w:rsidRPr="000229AD">
              <w:rPr>
                <w:sz w:val="22"/>
                <w:lang w:val="fr-FR"/>
              </w:rPr>
              <w:t>•</w:t>
            </w:r>
            <w:r w:rsidRPr="000229AD">
              <w:rPr>
                <w:sz w:val="22"/>
                <w:lang w:val="fr-FR"/>
              </w:rPr>
              <w:tab/>
              <w:t>Dans une enquête menée auprès des coordonnateurs de l</w:t>
            </w:r>
            <w:r w:rsidR="00125408" w:rsidRPr="000229AD">
              <w:rPr>
                <w:sz w:val="22"/>
                <w:lang w:val="fr-FR"/>
              </w:rPr>
              <w:t>'</w:t>
            </w:r>
            <w:r w:rsidRPr="000229AD">
              <w:rPr>
                <w:sz w:val="22"/>
                <w:lang w:val="fr-FR"/>
              </w:rPr>
              <w:t>UIT chargés des statistiques dans les États Membres, 78% des personnes interrogées se sont déclarées extrêmement satisfaites ou satisfaites de la nouvelle plate-forme.</w:t>
            </w:r>
          </w:p>
          <w:p w14:paraId="2B62A0A0" w14:textId="77777777" w:rsidR="00EA2FD3" w:rsidRPr="000229AD" w:rsidRDefault="00EA2FD3" w:rsidP="00716C22">
            <w:pPr>
              <w:pStyle w:val="enumlev1"/>
              <w:ind w:left="312" w:hanging="312"/>
              <w:rPr>
                <w:sz w:val="22"/>
                <w:lang w:val="fr-FR"/>
              </w:rPr>
            </w:pPr>
            <w:r w:rsidRPr="000229AD">
              <w:rPr>
                <w:sz w:val="22"/>
                <w:lang w:val="fr-FR"/>
              </w:rPr>
              <w:t>•</w:t>
            </w:r>
            <w:r w:rsidRPr="000229AD">
              <w:rPr>
                <w:sz w:val="22"/>
                <w:lang w:val="fr-FR"/>
              </w:rPr>
              <w:tab/>
              <w:t xml:space="preserve">Une assistance a été fournie par des experts au Kirghizistan afin de renforcer la capacité des autorités nationales à localiser les lacunes existantes dans la méthodologie et la collecte de données. </w:t>
            </w:r>
          </w:p>
          <w:p w14:paraId="01B8EF66" w14:textId="77777777" w:rsidR="00EA2FD3" w:rsidRPr="000229AD" w:rsidRDefault="00EA2FD3" w:rsidP="00716C22">
            <w:pPr>
              <w:pStyle w:val="Tabletext"/>
              <w:spacing w:before="120"/>
              <w:rPr>
                <w:b/>
                <w:bCs/>
                <w:lang w:val="fr-FR"/>
              </w:rPr>
            </w:pPr>
            <w:r w:rsidRPr="000229AD">
              <w:rPr>
                <w:b/>
                <w:bCs/>
                <w:lang w:val="fr-FR"/>
              </w:rPr>
              <w:t>Collecte de données et production de statistiques</w:t>
            </w:r>
          </w:p>
          <w:p w14:paraId="2EC4C44B" w14:textId="6549530E" w:rsidR="00EA2FD3" w:rsidRPr="000229AD" w:rsidRDefault="00EA2FD3" w:rsidP="00716C22">
            <w:pPr>
              <w:pStyle w:val="enumlev1"/>
              <w:ind w:left="312" w:hanging="312"/>
              <w:rPr>
                <w:sz w:val="22"/>
                <w:lang w:val="fr-FR"/>
              </w:rPr>
            </w:pPr>
            <w:r w:rsidRPr="000229AD">
              <w:rPr>
                <w:sz w:val="22"/>
                <w:lang w:val="fr-FR"/>
              </w:rPr>
              <w:t>•</w:t>
            </w:r>
            <w:r w:rsidRPr="000229AD">
              <w:rPr>
                <w:sz w:val="22"/>
                <w:lang w:val="fr-FR"/>
              </w:rPr>
              <w:tab/>
              <w:t>Engagement accru des États Membres en faveur de la collecte de données: En 2023, les 193 États Membres ont transmis des données à l</w:t>
            </w:r>
            <w:r w:rsidR="00125408" w:rsidRPr="000229AD">
              <w:rPr>
                <w:sz w:val="22"/>
                <w:lang w:val="fr-FR"/>
              </w:rPr>
              <w:t>'</w:t>
            </w:r>
            <w:r w:rsidRPr="000229AD">
              <w:rPr>
                <w:sz w:val="22"/>
                <w:lang w:val="fr-FR"/>
              </w:rPr>
              <w:t>UIT au moyen de questionnaires statistiques.</w:t>
            </w:r>
          </w:p>
          <w:p w14:paraId="4DAB397B" w14:textId="0BB84A91" w:rsidR="00EA2FD3" w:rsidRPr="000229AD" w:rsidRDefault="00EA2FD3" w:rsidP="00716C22">
            <w:pPr>
              <w:pStyle w:val="enumlev1"/>
              <w:ind w:left="312" w:hanging="312"/>
              <w:rPr>
                <w:sz w:val="22"/>
                <w:lang w:val="fr-FR"/>
              </w:rPr>
            </w:pPr>
            <w:r w:rsidRPr="000229AD">
              <w:rPr>
                <w:sz w:val="22"/>
                <w:lang w:val="fr-FR"/>
              </w:rPr>
              <w:t>•</w:t>
            </w:r>
            <w:r w:rsidRPr="000229AD">
              <w:rPr>
                <w:sz w:val="22"/>
                <w:lang w:val="fr-FR"/>
              </w:rPr>
              <w:tab/>
              <w:t>Sensibilisation accrue à l</w:t>
            </w:r>
            <w:r w:rsidR="00125408" w:rsidRPr="000229AD">
              <w:rPr>
                <w:sz w:val="22"/>
                <w:lang w:val="fr-FR"/>
              </w:rPr>
              <w:t>'</w:t>
            </w:r>
            <w:r w:rsidRPr="000229AD">
              <w:rPr>
                <w:sz w:val="22"/>
                <w:lang w:val="fr-FR"/>
              </w:rPr>
              <w:t>importance de la science des données et de l</w:t>
            </w:r>
            <w:r w:rsidR="00125408" w:rsidRPr="000229AD">
              <w:rPr>
                <w:sz w:val="22"/>
                <w:lang w:val="fr-FR"/>
              </w:rPr>
              <w:t>'</w:t>
            </w:r>
            <w:r w:rsidRPr="000229AD">
              <w:rPr>
                <w:sz w:val="22"/>
                <w:lang w:val="fr-FR"/>
              </w:rPr>
              <w:t>utilisation des mégadonnées pour établir des statistiques sur la société de l</w:t>
            </w:r>
            <w:r w:rsidR="00125408" w:rsidRPr="000229AD">
              <w:rPr>
                <w:sz w:val="22"/>
                <w:lang w:val="fr-FR"/>
              </w:rPr>
              <w:t>'</w:t>
            </w:r>
            <w:r w:rsidRPr="000229AD">
              <w:rPr>
                <w:sz w:val="22"/>
                <w:lang w:val="fr-FR"/>
              </w:rPr>
              <w:t>information grâce aux actions de sensibilisation et à l</w:t>
            </w:r>
            <w:r w:rsidR="00125408" w:rsidRPr="000229AD">
              <w:rPr>
                <w:sz w:val="22"/>
                <w:lang w:val="fr-FR"/>
              </w:rPr>
              <w:t>'</w:t>
            </w:r>
            <w:r w:rsidRPr="000229AD">
              <w:rPr>
                <w:sz w:val="22"/>
                <w:lang w:val="fr-FR"/>
              </w:rPr>
              <w:t>assistance technique de l</w:t>
            </w:r>
            <w:r w:rsidR="00125408" w:rsidRPr="000229AD">
              <w:rPr>
                <w:sz w:val="22"/>
                <w:lang w:val="fr-FR"/>
              </w:rPr>
              <w:t>'</w:t>
            </w:r>
            <w:r w:rsidRPr="000229AD">
              <w:rPr>
                <w:sz w:val="22"/>
                <w:lang w:val="fr-FR"/>
              </w:rPr>
              <w:t>UIT. La Commission malaisienne des communications et du multimédia a lancé, avec l</w:t>
            </w:r>
            <w:r w:rsidR="00125408" w:rsidRPr="000229AD">
              <w:rPr>
                <w:sz w:val="22"/>
                <w:lang w:val="fr-FR"/>
              </w:rPr>
              <w:t>'</w:t>
            </w:r>
            <w:r w:rsidRPr="000229AD">
              <w:rPr>
                <w:sz w:val="22"/>
                <w:lang w:val="fr-FR"/>
              </w:rPr>
              <w:t>aide de l</w:t>
            </w:r>
            <w:r w:rsidR="00125408" w:rsidRPr="000229AD">
              <w:rPr>
                <w:sz w:val="22"/>
                <w:lang w:val="fr-FR"/>
              </w:rPr>
              <w:t>'</w:t>
            </w:r>
            <w:r w:rsidRPr="000229AD">
              <w:rPr>
                <w:sz w:val="22"/>
                <w:lang w:val="fr-FR"/>
              </w:rPr>
              <w:t xml:space="preserve">UIT, un projet pilote sur les mégadonnées par téléphone mobile afin de mieux mesurer la connectivité. </w:t>
            </w:r>
          </w:p>
          <w:p w14:paraId="3CC8F20F" w14:textId="64FA584F" w:rsidR="00EA2FD3" w:rsidRPr="000229AD" w:rsidRDefault="00EA2FD3" w:rsidP="00716C22">
            <w:pPr>
              <w:pStyle w:val="enumlev1"/>
              <w:ind w:left="312" w:hanging="312"/>
              <w:rPr>
                <w:sz w:val="22"/>
                <w:lang w:val="fr-FR"/>
              </w:rPr>
            </w:pPr>
            <w:r w:rsidRPr="000229AD">
              <w:rPr>
                <w:sz w:val="22"/>
                <w:lang w:val="fr-FR"/>
              </w:rPr>
              <w:t>•</w:t>
            </w:r>
            <w:r w:rsidRPr="000229AD">
              <w:rPr>
                <w:sz w:val="22"/>
                <w:lang w:val="fr-FR"/>
              </w:rPr>
              <w:tab/>
              <w:t>Amélioration de l</w:t>
            </w:r>
            <w:r w:rsidR="00125408" w:rsidRPr="000229AD">
              <w:rPr>
                <w:sz w:val="22"/>
                <w:lang w:val="fr-FR"/>
              </w:rPr>
              <w:t>'</w:t>
            </w:r>
            <w:r w:rsidRPr="000229AD">
              <w:rPr>
                <w:sz w:val="22"/>
                <w:lang w:val="fr-FR"/>
              </w:rPr>
              <w:t>infrastructure nationale de collecte des données et amélioration de la qualité des données. Grâce à l</w:t>
            </w:r>
            <w:r w:rsidR="00125408" w:rsidRPr="000229AD">
              <w:rPr>
                <w:sz w:val="22"/>
                <w:lang w:val="fr-FR"/>
              </w:rPr>
              <w:t>'</w:t>
            </w:r>
            <w:r w:rsidRPr="000229AD">
              <w:rPr>
                <w:sz w:val="22"/>
                <w:lang w:val="fr-FR"/>
              </w:rPr>
              <w:t>appui de l</w:t>
            </w:r>
            <w:r w:rsidR="00125408" w:rsidRPr="000229AD">
              <w:rPr>
                <w:sz w:val="22"/>
                <w:lang w:val="fr-FR"/>
              </w:rPr>
              <w:t>'</w:t>
            </w:r>
            <w:r w:rsidRPr="000229AD">
              <w:rPr>
                <w:sz w:val="22"/>
                <w:lang w:val="fr-FR"/>
              </w:rPr>
              <w:t>UIT, l</w:t>
            </w:r>
            <w:r w:rsidR="00125408" w:rsidRPr="000229AD">
              <w:rPr>
                <w:sz w:val="22"/>
                <w:lang w:val="fr-FR"/>
              </w:rPr>
              <w:t>'</w:t>
            </w:r>
            <w:r w:rsidRPr="000229AD">
              <w:rPr>
                <w:sz w:val="22"/>
                <w:lang w:val="fr-FR"/>
              </w:rPr>
              <w:t>INACOM (Angola) a lancé un nouvel observatoire et amélioré les statistiques concernant l</w:t>
            </w:r>
            <w:r w:rsidR="00125408" w:rsidRPr="000229AD">
              <w:rPr>
                <w:sz w:val="22"/>
                <w:lang w:val="fr-FR"/>
              </w:rPr>
              <w:t>'</w:t>
            </w:r>
            <w:r w:rsidRPr="000229AD">
              <w:rPr>
                <w:sz w:val="22"/>
                <w:lang w:val="fr-FR"/>
              </w:rPr>
              <w:t xml:space="preserve">offre. </w:t>
            </w:r>
          </w:p>
          <w:p w14:paraId="03FB0324" w14:textId="1797C2DF" w:rsidR="00EA2FD3" w:rsidRPr="000229AD" w:rsidRDefault="00EA2FD3" w:rsidP="00716C22">
            <w:pPr>
              <w:pStyle w:val="enumlev1"/>
              <w:ind w:left="312" w:hanging="312"/>
              <w:rPr>
                <w:sz w:val="22"/>
                <w:lang w:val="fr-FR"/>
              </w:rPr>
            </w:pPr>
            <w:r w:rsidRPr="000229AD">
              <w:rPr>
                <w:sz w:val="22"/>
                <w:lang w:val="fr-FR"/>
              </w:rPr>
              <w:t>•</w:t>
            </w:r>
            <w:r w:rsidRPr="000229AD">
              <w:rPr>
                <w:sz w:val="22"/>
                <w:lang w:val="fr-FR"/>
              </w:rPr>
              <w:tab/>
              <w:t>Utilisation accrue des statistiques sur les TIC pour la prise de décisions. Le Ministère de l</w:t>
            </w:r>
            <w:r w:rsidR="00125408" w:rsidRPr="000229AD">
              <w:rPr>
                <w:sz w:val="22"/>
                <w:lang w:val="fr-FR"/>
              </w:rPr>
              <w:t>'</w:t>
            </w:r>
            <w:r w:rsidRPr="000229AD">
              <w:rPr>
                <w:sz w:val="22"/>
                <w:lang w:val="fr-FR"/>
              </w:rPr>
              <w:t>économie numérique et de la transformation digitale du Togo a lancé un appel à la création d</w:t>
            </w:r>
            <w:r w:rsidR="00125408" w:rsidRPr="000229AD">
              <w:rPr>
                <w:sz w:val="22"/>
                <w:lang w:val="fr-FR"/>
              </w:rPr>
              <w:t>'</w:t>
            </w:r>
            <w:r w:rsidRPr="000229AD">
              <w:rPr>
                <w:sz w:val="22"/>
                <w:lang w:val="fr-FR"/>
              </w:rPr>
              <w:t>un observatoire national du numérique.</w:t>
            </w:r>
          </w:p>
          <w:p w14:paraId="4FB43FD0" w14:textId="77777777" w:rsidR="00EA2FD3" w:rsidRPr="000229AD" w:rsidRDefault="00EA2FD3" w:rsidP="00716C22">
            <w:pPr>
              <w:pStyle w:val="Tabletext"/>
              <w:keepNext/>
              <w:keepLines/>
              <w:rPr>
                <w:b/>
                <w:bCs/>
                <w:lang w:val="fr-FR"/>
              </w:rPr>
            </w:pPr>
            <w:r w:rsidRPr="000229AD">
              <w:rPr>
                <w:b/>
                <w:bCs/>
                <w:lang w:val="fr-FR"/>
              </w:rPr>
              <w:lastRenderedPageBreak/>
              <w:t>Développement des capacités et normes statistiques</w:t>
            </w:r>
          </w:p>
          <w:p w14:paraId="5100F031" w14:textId="77777777" w:rsidR="00EA2FD3" w:rsidRPr="000229AD" w:rsidRDefault="00EA2FD3" w:rsidP="00716C22">
            <w:pPr>
              <w:pStyle w:val="Tabletext"/>
              <w:keepNext/>
              <w:keepLines/>
              <w:spacing w:before="120"/>
              <w:rPr>
                <w:b/>
                <w:bCs/>
                <w:lang w:val="fr-FR"/>
              </w:rPr>
            </w:pPr>
            <w:r w:rsidRPr="000229AD">
              <w:rPr>
                <w:b/>
                <w:bCs/>
                <w:lang w:val="fr-FR"/>
              </w:rPr>
              <w:t>Renforcement de la capacité des États Membres à produire et collecter des statistiques de qualité</w:t>
            </w:r>
          </w:p>
          <w:p w14:paraId="2C0B7BA4" w14:textId="215F88F7" w:rsidR="00EA2FD3" w:rsidRPr="000229AD" w:rsidRDefault="00EA2FD3" w:rsidP="00716C22">
            <w:pPr>
              <w:pStyle w:val="enumlev1"/>
              <w:ind w:left="312" w:hanging="312"/>
              <w:rPr>
                <w:sz w:val="22"/>
                <w:lang w:val="fr-FR"/>
              </w:rPr>
            </w:pPr>
            <w:r w:rsidRPr="000229AD">
              <w:rPr>
                <w:sz w:val="22"/>
                <w:lang w:val="fr-FR"/>
              </w:rPr>
              <w:t>–</w:t>
            </w:r>
            <w:r w:rsidRPr="000229AD">
              <w:rPr>
                <w:sz w:val="22"/>
                <w:lang w:val="fr-FR"/>
              </w:rPr>
              <w:tab/>
              <w:t>En 2023, les réunions annuelles des groupes d</w:t>
            </w:r>
            <w:r w:rsidR="00125408" w:rsidRPr="000229AD">
              <w:rPr>
                <w:sz w:val="22"/>
                <w:lang w:val="fr-FR"/>
              </w:rPr>
              <w:t>'</w:t>
            </w:r>
            <w:r w:rsidRPr="000229AD">
              <w:rPr>
                <w:sz w:val="22"/>
                <w:lang w:val="fr-FR"/>
              </w:rPr>
              <w:t>experts sur les indicateurs des TIC (</w:t>
            </w:r>
            <w:hyperlink r:id="rId57" w:history="1">
              <w:r w:rsidRPr="000229AD">
                <w:rPr>
                  <w:rStyle w:val="Hyperlink"/>
                  <w:sz w:val="22"/>
                  <w:lang w:val="fr-FR"/>
                </w:rPr>
                <w:t>EGTI</w:t>
              </w:r>
            </w:hyperlink>
            <w:r w:rsidRPr="000229AD">
              <w:rPr>
                <w:sz w:val="22"/>
                <w:lang w:val="fr-FR"/>
              </w:rPr>
              <w:t xml:space="preserve"> et </w:t>
            </w:r>
            <w:hyperlink r:id="rId58" w:history="1">
              <w:r w:rsidRPr="000229AD">
                <w:rPr>
                  <w:rStyle w:val="Hyperlink"/>
                  <w:sz w:val="22"/>
                  <w:lang w:val="fr-FR"/>
                </w:rPr>
                <w:t>EGH</w:t>
              </w:r>
            </w:hyperlink>
            <w:r w:rsidRPr="000229AD">
              <w:rPr>
                <w:sz w:val="22"/>
                <w:lang w:val="fr-FR"/>
              </w:rPr>
              <w:t>) ont réuni 347 participants de 105 pays, dont près de la moitié (160) étaient des femmes. Ces derniers ont débattu, défini et adopté de nouveaux indicateurs.</w:t>
            </w:r>
          </w:p>
          <w:p w14:paraId="4F931560" w14:textId="44DE1589" w:rsidR="00EA2FD3" w:rsidRPr="000229AD" w:rsidRDefault="00EA2FD3" w:rsidP="00716C22">
            <w:pPr>
              <w:pStyle w:val="enumlev1"/>
              <w:ind w:left="312" w:hanging="312"/>
              <w:rPr>
                <w:sz w:val="22"/>
                <w:lang w:val="fr-FR"/>
              </w:rPr>
            </w:pPr>
            <w:r w:rsidRPr="000229AD">
              <w:rPr>
                <w:sz w:val="22"/>
                <w:lang w:val="fr-FR"/>
              </w:rPr>
              <w:t>–</w:t>
            </w:r>
            <w:r w:rsidRPr="000229AD">
              <w:rPr>
                <w:sz w:val="22"/>
                <w:lang w:val="fr-FR"/>
              </w:rPr>
              <w:tab/>
              <w:t>Davantage de personnes se sont inscrites aux trois cours suivants de l</w:t>
            </w:r>
            <w:r w:rsidR="00125408" w:rsidRPr="000229AD">
              <w:rPr>
                <w:sz w:val="22"/>
                <w:lang w:val="fr-FR"/>
              </w:rPr>
              <w:t>'</w:t>
            </w:r>
            <w:r w:rsidRPr="000229AD">
              <w:rPr>
                <w:sz w:val="22"/>
                <w:lang w:val="fr-FR"/>
              </w:rPr>
              <w:t>Académie de l</w:t>
            </w:r>
            <w:r w:rsidR="00125408" w:rsidRPr="000229AD">
              <w:rPr>
                <w:sz w:val="22"/>
                <w:lang w:val="fr-FR"/>
              </w:rPr>
              <w:t>'</w:t>
            </w:r>
            <w:r w:rsidRPr="000229AD">
              <w:rPr>
                <w:sz w:val="22"/>
                <w:lang w:val="fr-FR"/>
              </w:rPr>
              <w:t>UIT:</w:t>
            </w:r>
          </w:p>
          <w:p w14:paraId="58A7D2B3" w14:textId="77777777" w:rsidR="00EA2FD3" w:rsidRPr="000229AD" w:rsidRDefault="00EA2FD3" w:rsidP="00716C22">
            <w:pPr>
              <w:pStyle w:val="enumlev2"/>
              <w:tabs>
                <w:tab w:val="clear" w:pos="1191"/>
                <w:tab w:val="left" w:pos="605"/>
              </w:tabs>
              <w:ind w:left="1106" w:hanging="794"/>
              <w:rPr>
                <w:sz w:val="22"/>
                <w:lang w:val="fr-FR"/>
              </w:rPr>
            </w:pPr>
            <w:r w:rsidRPr="000229AD">
              <w:rPr>
                <w:sz w:val="22"/>
                <w:lang w:val="fr-FR"/>
              </w:rPr>
              <w:t>•</w:t>
            </w:r>
            <w:r w:rsidRPr="000229AD">
              <w:rPr>
                <w:sz w:val="22"/>
                <w:lang w:val="fr-FR"/>
              </w:rPr>
              <w:tab/>
            </w:r>
            <w:hyperlink r:id="rId59" w:history="1">
              <w:r w:rsidRPr="000229AD">
                <w:rPr>
                  <w:rStyle w:val="Hyperlink"/>
                  <w:sz w:val="22"/>
                  <w:lang w:val="fr-FR"/>
                </w:rPr>
                <w:t>Indicateurs des télécommunications/TIC</w:t>
              </w:r>
            </w:hyperlink>
            <w:r w:rsidRPr="000229AD">
              <w:rPr>
                <w:sz w:val="22"/>
                <w:lang w:val="fr-FR"/>
              </w:rPr>
              <w:t>: 26 personnes diplômées sur 311 personnes inscrites (provenant de 100 pays);</w:t>
            </w:r>
          </w:p>
          <w:p w14:paraId="394AFA2A" w14:textId="77777777" w:rsidR="00EA2FD3" w:rsidRPr="000229AD" w:rsidRDefault="00EA2FD3" w:rsidP="00716C22">
            <w:pPr>
              <w:pStyle w:val="enumlev2"/>
              <w:tabs>
                <w:tab w:val="clear" w:pos="1191"/>
              </w:tabs>
              <w:ind w:left="605" w:hanging="293"/>
              <w:rPr>
                <w:sz w:val="22"/>
                <w:lang w:val="fr-FR"/>
              </w:rPr>
            </w:pPr>
            <w:r w:rsidRPr="000229AD">
              <w:rPr>
                <w:sz w:val="22"/>
                <w:lang w:val="fr-FR"/>
              </w:rPr>
              <w:t>•</w:t>
            </w:r>
            <w:r w:rsidRPr="000229AD">
              <w:rPr>
                <w:sz w:val="22"/>
                <w:lang w:val="fr-FR"/>
              </w:rPr>
              <w:tab/>
            </w:r>
            <w:hyperlink r:id="rId60" w:history="1">
              <w:r w:rsidRPr="000229AD">
                <w:rPr>
                  <w:rStyle w:val="Hyperlink"/>
                  <w:sz w:val="22"/>
                  <w:lang w:val="fr-FR"/>
                </w:rPr>
                <w:t>Accès aux TIC et utilisation des TIC par les ménages</w:t>
              </w:r>
            </w:hyperlink>
            <w:r w:rsidRPr="000229AD">
              <w:rPr>
                <w:sz w:val="22"/>
                <w:lang w:val="fr-FR"/>
              </w:rPr>
              <w:t>: 43 personnes diplômées sur 322 personnes inscrites (provenant de 67 pays);</w:t>
            </w:r>
          </w:p>
          <w:p w14:paraId="0C6BEEA2" w14:textId="77777777" w:rsidR="00EA2FD3" w:rsidRPr="000229AD" w:rsidRDefault="00EA2FD3" w:rsidP="00716C22">
            <w:pPr>
              <w:pStyle w:val="enumlev2"/>
              <w:tabs>
                <w:tab w:val="clear" w:pos="1191"/>
                <w:tab w:val="left" w:pos="605"/>
              </w:tabs>
              <w:ind w:left="605" w:hanging="293"/>
              <w:rPr>
                <w:sz w:val="22"/>
                <w:lang w:val="fr-FR"/>
              </w:rPr>
            </w:pPr>
            <w:r w:rsidRPr="000229AD">
              <w:rPr>
                <w:sz w:val="22"/>
                <w:lang w:val="fr-FR"/>
              </w:rPr>
              <w:t>•</w:t>
            </w:r>
            <w:r w:rsidRPr="000229AD">
              <w:rPr>
                <w:sz w:val="22"/>
                <w:lang w:val="fr-FR"/>
              </w:rPr>
              <w:tab/>
            </w:r>
            <w:hyperlink r:id="rId61" w:history="1">
              <w:r w:rsidRPr="000229AD">
                <w:rPr>
                  <w:rStyle w:val="Hyperlink"/>
                  <w:sz w:val="22"/>
                  <w:lang w:val="fr-FR"/>
                </w:rPr>
                <w:t>Données de téléphonie mobile</w:t>
              </w:r>
            </w:hyperlink>
            <w:r w:rsidRPr="000229AD">
              <w:rPr>
                <w:sz w:val="22"/>
                <w:lang w:val="fr-FR"/>
              </w:rPr>
              <w:t xml:space="preserve"> (lancé en 2023): 41 personnes diplômées sur 189 personnes inscrites (provenant de 72 pays).</w:t>
            </w:r>
          </w:p>
          <w:p w14:paraId="23AE7A5F" w14:textId="77777777" w:rsidR="00EA2FD3" w:rsidRPr="000229AD" w:rsidRDefault="00EA2FD3" w:rsidP="00716C22">
            <w:pPr>
              <w:pStyle w:val="Tabletext"/>
              <w:spacing w:before="120"/>
              <w:rPr>
                <w:b/>
                <w:bCs/>
                <w:lang w:val="fr-FR"/>
              </w:rPr>
            </w:pPr>
            <w:r w:rsidRPr="000229AD">
              <w:rPr>
                <w:b/>
                <w:bCs/>
                <w:lang w:val="fr-FR"/>
              </w:rPr>
              <w:t>Plates-formes fédératrices</w:t>
            </w:r>
          </w:p>
          <w:p w14:paraId="779946DB" w14:textId="77777777" w:rsidR="00EA2FD3" w:rsidRPr="000229AD" w:rsidRDefault="00EA2FD3" w:rsidP="00716C22">
            <w:pPr>
              <w:pStyle w:val="enumlev1"/>
              <w:ind w:left="312" w:hanging="312"/>
              <w:rPr>
                <w:sz w:val="22"/>
                <w:lang w:val="fr-FR"/>
              </w:rPr>
            </w:pPr>
            <w:r w:rsidRPr="000229AD">
              <w:rPr>
                <w:sz w:val="22"/>
                <w:lang w:val="fr-FR"/>
              </w:rPr>
              <w:t>•</w:t>
            </w:r>
            <w:r w:rsidRPr="000229AD">
              <w:rPr>
                <w:sz w:val="22"/>
                <w:lang w:val="fr-FR"/>
              </w:rPr>
              <w:tab/>
              <w:t>Plus grande sensibilisation des États Membres aux dernières tendances et évolutions en matière de statistiques sur les TIC et renforcement des partenariats.</w:t>
            </w:r>
          </w:p>
          <w:p w14:paraId="4E40302D" w14:textId="1BEBFEF8" w:rsidR="00EA2FD3" w:rsidRPr="000229AD" w:rsidRDefault="00EA2FD3" w:rsidP="00716C22">
            <w:pPr>
              <w:pStyle w:val="enumlev1"/>
              <w:ind w:left="312" w:hanging="312"/>
              <w:rPr>
                <w:sz w:val="22"/>
                <w:lang w:val="fr-FR"/>
              </w:rPr>
            </w:pPr>
            <w:r w:rsidRPr="000229AD">
              <w:rPr>
                <w:sz w:val="22"/>
                <w:lang w:val="fr-FR"/>
              </w:rPr>
              <w:t>•</w:t>
            </w:r>
            <w:r w:rsidRPr="000229AD">
              <w:rPr>
                <w:sz w:val="22"/>
                <w:lang w:val="fr-FR"/>
              </w:rPr>
              <w:tab/>
              <w:t>L</w:t>
            </w:r>
            <w:r w:rsidR="00125408" w:rsidRPr="000229AD">
              <w:rPr>
                <w:sz w:val="22"/>
                <w:lang w:val="fr-FR"/>
              </w:rPr>
              <w:t>'</w:t>
            </w:r>
            <w:r w:rsidRPr="000229AD">
              <w:rPr>
                <w:sz w:val="22"/>
                <w:lang w:val="fr-FR"/>
              </w:rPr>
              <w:t xml:space="preserve">édition 2023 du </w:t>
            </w:r>
            <w:hyperlink r:id="rId62" w:history="1">
              <w:r w:rsidRPr="000229AD">
                <w:rPr>
                  <w:rStyle w:val="Hyperlink"/>
                  <w:sz w:val="22"/>
                  <w:lang w:val="fr-FR"/>
                </w:rPr>
                <w:t>Colloque sur les indicateurs des télécommunications/TIC</w:t>
              </w:r>
            </w:hyperlink>
            <w:r w:rsidRPr="000229AD">
              <w:rPr>
                <w:sz w:val="22"/>
                <w:lang w:val="fr-FR"/>
              </w:rPr>
              <w:t xml:space="preserve"> dans le monde a rassemblé quelque 300 participants sur le thème "Promouvoir le programme de mesure des indicateurs pour parvenir à une connectivité efficace et universelle".</w:t>
            </w:r>
          </w:p>
          <w:p w14:paraId="0F85087D" w14:textId="4D344CE6" w:rsidR="00EA2FD3" w:rsidRPr="000229AD" w:rsidRDefault="00EA2FD3" w:rsidP="00716C22">
            <w:pPr>
              <w:pStyle w:val="enumlev1"/>
              <w:ind w:left="312" w:hanging="312"/>
              <w:rPr>
                <w:sz w:val="22"/>
                <w:lang w:val="fr-FR"/>
              </w:rPr>
            </w:pPr>
            <w:r w:rsidRPr="000229AD">
              <w:rPr>
                <w:sz w:val="22"/>
                <w:lang w:val="fr-FR"/>
              </w:rPr>
              <w:t>•</w:t>
            </w:r>
            <w:r w:rsidRPr="000229AD">
              <w:rPr>
                <w:sz w:val="22"/>
                <w:lang w:val="fr-FR"/>
              </w:rPr>
              <w:tab/>
              <w:t xml:space="preserve">En mai, un </w:t>
            </w:r>
            <w:hyperlink r:id="rId63" w:anchor="/fr" w:history="1">
              <w:r w:rsidRPr="000229AD">
                <w:rPr>
                  <w:rStyle w:val="Hyperlink"/>
                  <w:sz w:val="22"/>
                  <w:lang w:val="fr-FR"/>
                </w:rPr>
                <w:t>projet</w:t>
              </w:r>
            </w:hyperlink>
            <w:r w:rsidRPr="000229AD">
              <w:rPr>
                <w:sz w:val="22"/>
                <w:lang w:val="fr-FR"/>
              </w:rPr>
              <w:t xml:space="preserve"> triennal visant à promouvoir une connectivité efficace et universelle et la mesurer, doté d</w:t>
            </w:r>
            <w:r w:rsidR="00125408" w:rsidRPr="000229AD">
              <w:rPr>
                <w:sz w:val="22"/>
                <w:lang w:val="fr-FR"/>
              </w:rPr>
              <w:t>'</w:t>
            </w:r>
            <w:r w:rsidRPr="000229AD">
              <w:rPr>
                <w:sz w:val="22"/>
                <w:lang w:val="fr-FR"/>
              </w:rPr>
              <w:t>un budget de 3 millions EUR et financé par l</w:t>
            </w:r>
            <w:r w:rsidR="00125408" w:rsidRPr="000229AD">
              <w:rPr>
                <w:sz w:val="22"/>
                <w:lang w:val="fr-FR"/>
              </w:rPr>
              <w:t>'</w:t>
            </w:r>
            <w:r w:rsidRPr="000229AD">
              <w:rPr>
                <w:sz w:val="22"/>
                <w:lang w:val="fr-FR"/>
              </w:rPr>
              <w:t>UE, a été lancé.</w:t>
            </w:r>
          </w:p>
          <w:p w14:paraId="7DA36A97" w14:textId="705E4346" w:rsidR="00EA2FD3" w:rsidRPr="000229AD" w:rsidRDefault="00EA2FD3" w:rsidP="00716C22">
            <w:pPr>
              <w:pStyle w:val="enumlev1"/>
              <w:spacing w:after="40"/>
              <w:ind w:left="312" w:hanging="312"/>
              <w:rPr>
                <w:sz w:val="22"/>
                <w:lang w:val="fr-FR"/>
              </w:rPr>
            </w:pPr>
            <w:r w:rsidRPr="000229AD">
              <w:rPr>
                <w:sz w:val="22"/>
                <w:lang w:val="fr-FR"/>
              </w:rPr>
              <w:t>•</w:t>
            </w:r>
            <w:r w:rsidRPr="000229AD">
              <w:rPr>
                <w:sz w:val="22"/>
                <w:lang w:val="fr-FR"/>
              </w:rPr>
              <w:tab/>
              <w:t>En juillet, l</w:t>
            </w:r>
            <w:r w:rsidR="00125408" w:rsidRPr="000229AD">
              <w:rPr>
                <w:sz w:val="22"/>
                <w:lang w:val="fr-FR"/>
              </w:rPr>
              <w:t>'</w:t>
            </w:r>
            <w:r w:rsidRPr="000229AD">
              <w:rPr>
                <w:sz w:val="22"/>
                <w:lang w:val="fr-FR"/>
              </w:rPr>
              <w:t xml:space="preserve">UIT et la Banque mondiale ont entamé une </w:t>
            </w:r>
            <w:hyperlink r:id="rId64" w:history="1">
              <w:r w:rsidRPr="000229AD">
                <w:rPr>
                  <w:rStyle w:val="Hyperlink"/>
                  <w:sz w:val="22"/>
                  <w:lang w:val="fr-FR"/>
                </w:rPr>
                <w:t>nouvelle collaboration</w:t>
              </w:r>
            </w:hyperlink>
            <w:r w:rsidRPr="000229AD">
              <w:rPr>
                <w:sz w:val="22"/>
                <w:lang w:val="fr-FR"/>
              </w:rPr>
              <w:t xml:space="preserve"> visant à mettre les mégadonnées de la téléphonie mobile au service des politiques.</w:t>
            </w:r>
          </w:p>
        </w:tc>
        <w:tc>
          <w:tcPr>
            <w:tcW w:w="2970" w:type="dxa"/>
            <w:shd w:val="clear" w:color="auto" w:fill="auto"/>
          </w:tcPr>
          <w:p w14:paraId="013D1221" w14:textId="40E393F9" w:rsidR="00EA2FD3" w:rsidRPr="000229AD" w:rsidRDefault="00EA2FD3" w:rsidP="00716C22">
            <w:pPr>
              <w:pStyle w:val="enumlev1"/>
              <w:ind w:left="312" w:hanging="312"/>
              <w:rPr>
                <w:sz w:val="22"/>
                <w:lang w:val="fr-FR"/>
              </w:rPr>
            </w:pPr>
            <w:r w:rsidRPr="000229AD">
              <w:rPr>
                <w:sz w:val="22"/>
                <w:lang w:val="fr-FR"/>
              </w:rPr>
              <w:lastRenderedPageBreak/>
              <w:t>–</w:t>
            </w:r>
            <w:r w:rsidRPr="000229AD">
              <w:rPr>
                <w:sz w:val="22"/>
                <w:lang w:val="fr-FR"/>
              </w:rPr>
              <w:tab/>
              <w:t>Lancement de l</w:t>
            </w:r>
            <w:r w:rsidR="00125408" w:rsidRPr="000229AD">
              <w:rPr>
                <w:sz w:val="22"/>
                <w:lang w:val="fr-FR"/>
              </w:rPr>
              <w:t>'</w:t>
            </w:r>
            <w:r w:rsidRPr="000229AD">
              <w:rPr>
                <w:b/>
                <w:bCs/>
                <w:sz w:val="22"/>
                <w:lang w:val="fr-FR"/>
              </w:rPr>
              <w:t>édition 2023</w:t>
            </w:r>
            <w:r w:rsidRPr="000229AD">
              <w:rPr>
                <w:sz w:val="22"/>
                <w:lang w:val="fr-FR"/>
              </w:rPr>
              <w:t xml:space="preserve"> et de l</w:t>
            </w:r>
            <w:r w:rsidR="00125408" w:rsidRPr="000229AD">
              <w:rPr>
                <w:sz w:val="22"/>
                <w:lang w:val="fr-FR"/>
              </w:rPr>
              <w:t>'</w:t>
            </w:r>
            <w:r w:rsidRPr="000229AD">
              <w:rPr>
                <w:b/>
                <w:bCs/>
                <w:sz w:val="22"/>
                <w:lang w:val="fr-FR"/>
              </w:rPr>
              <w:t>édition spéciale consacrée aux pays les moins avancés</w:t>
            </w:r>
            <w:r w:rsidRPr="000229AD">
              <w:rPr>
                <w:sz w:val="22"/>
                <w:lang w:val="fr-FR"/>
              </w:rPr>
              <w:t xml:space="preserve"> du rapport </w:t>
            </w:r>
            <w:r w:rsidRPr="000229AD">
              <w:rPr>
                <w:b/>
                <w:bCs/>
                <w:sz w:val="22"/>
                <w:lang w:val="fr-FR"/>
              </w:rPr>
              <w:t>Faits et chiffres</w:t>
            </w:r>
            <w:r w:rsidRPr="000229AD">
              <w:rPr>
                <w:sz w:val="22"/>
                <w:lang w:val="fr-FR"/>
              </w:rPr>
              <w:t>.</w:t>
            </w:r>
          </w:p>
          <w:p w14:paraId="1EED256D" w14:textId="1127A945" w:rsidR="00EA2FD3" w:rsidRPr="000229AD" w:rsidRDefault="00EA2FD3" w:rsidP="00716C22">
            <w:pPr>
              <w:pStyle w:val="enumlev1"/>
              <w:ind w:left="312" w:hanging="312"/>
              <w:rPr>
                <w:sz w:val="22"/>
                <w:lang w:val="fr-FR"/>
              </w:rPr>
            </w:pPr>
            <w:r w:rsidRPr="000229AD">
              <w:rPr>
                <w:sz w:val="22"/>
                <w:lang w:val="fr-FR"/>
              </w:rPr>
              <w:t>–</w:t>
            </w:r>
            <w:r w:rsidRPr="000229AD">
              <w:rPr>
                <w:sz w:val="22"/>
                <w:lang w:val="fr-FR"/>
              </w:rPr>
              <w:tab/>
              <w:t>Rapport de synthèse sur l</w:t>
            </w:r>
            <w:r w:rsidR="00125408" w:rsidRPr="000229AD">
              <w:rPr>
                <w:sz w:val="22"/>
                <w:lang w:val="fr-FR"/>
              </w:rPr>
              <w:t>'</w:t>
            </w:r>
            <w:r w:rsidRPr="000229AD">
              <w:rPr>
                <w:b/>
                <w:bCs/>
                <w:sz w:val="22"/>
                <w:lang w:val="fr-FR"/>
              </w:rPr>
              <w:t>accessibilité financière des services TIC</w:t>
            </w:r>
            <w:r w:rsidRPr="000229AD">
              <w:rPr>
                <w:sz w:val="22"/>
                <w:lang w:val="fr-FR"/>
              </w:rPr>
              <w:t xml:space="preserve"> en 2022. </w:t>
            </w:r>
          </w:p>
          <w:p w14:paraId="0AC18B3D" w14:textId="77777777" w:rsidR="00EA2FD3" w:rsidRPr="000229AD" w:rsidRDefault="00EA2FD3" w:rsidP="00716C22">
            <w:pPr>
              <w:pStyle w:val="enumlev1"/>
              <w:ind w:left="312" w:hanging="312"/>
              <w:rPr>
                <w:sz w:val="22"/>
                <w:lang w:val="fr-FR"/>
              </w:rPr>
            </w:pPr>
            <w:r w:rsidRPr="000229AD">
              <w:rPr>
                <w:sz w:val="22"/>
                <w:lang w:val="fr-FR"/>
              </w:rPr>
              <w:t>–</w:t>
            </w:r>
            <w:r w:rsidRPr="000229AD">
              <w:rPr>
                <w:sz w:val="22"/>
                <w:lang w:val="fr-FR"/>
              </w:rPr>
              <w:tab/>
              <w:t xml:space="preserve">Lancement du </w:t>
            </w:r>
            <w:r w:rsidRPr="000229AD">
              <w:rPr>
                <w:b/>
                <w:bCs/>
                <w:sz w:val="22"/>
                <w:lang w:val="fr-FR"/>
              </w:rPr>
              <w:t>Tableau de bord pour une connectivité universelle et efficace</w:t>
            </w:r>
            <w:r w:rsidRPr="000229AD">
              <w:rPr>
                <w:sz w:val="22"/>
                <w:lang w:val="fr-FR"/>
              </w:rPr>
              <w:t xml:space="preserve">. </w:t>
            </w:r>
          </w:p>
          <w:p w14:paraId="3E074A76" w14:textId="33AE8723" w:rsidR="00EA2FD3" w:rsidRPr="000229AD" w:rsidRDefault="00EA2FD3" w:rsidP="00716C22">
            <w:pPr>
              <w:pStyle w:val="enumlev1"/>
              <w:ind w:left="312" w:hanging="312"/>
              <w:rPr>
                <w:sz w:val="22"/>
                <w:lang w:val="fr-FR"/>
              </w:rPr>
            </w:pPr>
            <w:r w:rsidRPr="000229AD">
              <w:rPr>
                <w:sz w:val="22"/>
                <w:lang w:val="fr-FR"/>
              </w:rPr>
              <w:t>–</w:t>
            </w:r>
            <w:r w:rsidRPr="000229AD">
              <w:rPr>
                <w:sz w:val="22"/>
                <w:lang w:val="fr-FR"/>
              </w:rPr>
              <w:tab/>
              <w:t>Reprise de la publication de l</w:t>
            </w:r>
            <w:r w:rsidR="00125408" w:rsidRPr="000229AD">
              <w:rPr>
                <w:sz w:val="22"/>
                <w:lang w:val="fr-FR"/>
              </w:rPr>
              <w:t>'</w:t>
            </w:r>
            <w:r w:rsidRPr="000229AD">
              <w:rPr>
                <w:b/>
                <w:bCs/>
                <w:sz w:val="22"/>
                <w:lang w:val="fr-FR"/>
              </w:rPr>
              <w:t>Indice de développement des TIC</w:t>
            </w:r>
            <w:r w:rsidRPr="000229AD">
              <w:rPr>
                <w:sz w:val="22"/>
                <w:lang w:val="fr-FR"/>
              </w:rPr>
              <w:t xml:space="preserve">. </w:t>
            </w:r>
          </w:p>
          <w:p w14:paraId="38C061E7" w14:textId="449C2B6B" w:rsidR="00EA2FD3" w:rsidRPr="000229AD" w:rsidRDefault="00EA2FD3" w:rsidP="00716C22">
            <w:pPr>
              <w:pStyle w:val="enumlev1"/>
              <w:spacing w:before="40"/>
              <w:ind w:left="312" w:hanging="312"/>
              <w:rPr>
                <w:sz w:val="22"/>
                <w:lang w:val="fr-FR"/>
              </w:rPr>
            </w:pPr>
            <w:r w:rsidRPr="000229AD">
              <w:rPr>
                <w:sz w:val="22"/>
                <w:lang w:val="fr-FR"/>
              </w:rPr>
              <w:lastRenderedPageBreak/>
              <w:t>–</w:t>
            </w:r>
            <w:r w:rsidRPr="000229AD">
              <w:rPr>
                <w:sz w:val="22"/>
                <w:lang w:val="fr-FR"/>
              </w:rPr>
              <w:tab/>
              <w:t xml:space="preserve">Nouvelles fonctionnalités ajoutées au </w:t>
            </w:r>
            <w:r w:rsidRPr="000229AD">
              <w:rPr>
                <w:b/>
                <w:bCs/>
                <w:sz w:val="22"/>
                <w:lang w:val="fr-FR"/>
              </w:rPr>
              <w:t>Centre de données de l</w:t>
            </w:r>
            <w:r w:rsidR="00125408" w:rsidRPr="000229AD">
              <w:rPr>
                <w:b/>
                <w:bCs/>
                <w:sz w:val="22"/>
                <w:lang w:val="fr-FR"/>
              </w:rPr>
              <w:t>'</w:t>
            </w:r>
            <w:r w:rsidRPr="000229AD">
              <w:rPr>
                <w:b/>
                <w:bCs/>
                <w:sz w:val="22"/>
                <w:lang w:val="fr-FR"/>
              </w:rPr>
              <w:t>UIT, qui comprend désormais plus de 200 indicateurs et plus de 200 profils de pays</w:t>
            </w:r>
            <w:r w:rsidRPr="000229AD">
              <w:rPr>
                <w:sz w:val="22"/>
                <w:lang w:val="fr-FR"/>
              </w:rPr>
              <w:t>, des tableaux de bord thématiques, des requêtes de données et des téléchargements.</w:t>
            </w:r>
          </w:p>
          <w:p w14:paraId="4778B295" w14:textId="7AF412CA" w:rsidR="00EA2FD3" w:rsidRPr="000229AD" w:rsidRDefault="00EA2FD3" w:rsidP="00716C22">
            <w:pPr>
              <w:pStyle w:val="enumlev1"/>
              <w:ind w:left="312" w:hanging="312"/>
              <w:rPr>
                <w:sz w:val="22"/>
                <w:lang w:val="fr-FR"/>
              </w:rPr>
            </w:pPr>
            <w:r w:rsidRPr="000229AD">
              <w:rPr>
                <w:sz w:val="22"/>
                <w:lang w:val="fr-FR"/>
              </w:rPr>
              <w:t>–</w:t>
            </w:r>
            <w:r w:rsidRPr="000229AD">
              <w:rPr>
                <w:sz w:val="22"/>
                <w:lang w:val="fr-FR"/>
              </w:rPr>
              <w:tab/>
              <w:t>Le nombre de visites sur le Centre de données de l</w:t>
            </w:r>
            <w:r w:rsidR="00125408" w:rsidRPr="000229AD">
              <w:rPr>
                <w:sz w:val="22"/>
                <w:lang w:val="fr-FR"/>
              </w:rPr>
              <w:t>'</w:t>
            </w:r>
            <w:r w:rsidRPr="000229AD">
              <w:rPr>
                <w:sz w:val="22"/>
                <w:lang w:val="fr-FR"/>
              </w:rPr>
              <w:t>UIT a augmenté de 500% en 2023.</w:t>
            </w:r>
          </w:p>
          <w:p w14:paraId="7C67EBE5" w14:textId="77777777" w:rsidR="00EA2FD3" w:rsidRPr="000229AD" w:rsidRDefault="00EA2FD3" w:rsidP="00716C22">
            <w:pPr>
              <w:pStyle w:val="Tabletext"/>
              <w:spacing w:before="120"/>
              <w:rPr>
                <w:b/>
                <w:bCs/>
                <w:lang w:val="fr-FR"/>
              </w:rPr>
            </w:pPr>
            <w:r w:rsidRPr="000229AD">
              <w:rPr>
                <w:b/>
                <w:bCs/>
                <w:lang w:val="fr-FR"/>
              </w:rPr>
              <w:t>Renforcement de la capacité des États Membres à produire et collecter des statistiques de qualité:</w:t>
            </w:r>
          </w:p>
          <w:p w14:paraId="39D1B45E" w14:textId="0E814531" w:rsidR="00EA2FD3" w:rsidRPr="000229AD" w:rsidRDefault="00EA2FD3" w:rsidP="00716C22">
            <w:pPr>
              <w:pStyle w:val="enumlev1"/>
              <w:ind w:left="312" w:hanging="312"/>
              <w:rPr>
                <w:sz w:val="22"/>
                <w:lang w:val="fr-FR"/>
              </w:rPr>
            </w:pPr>
            <w:r w:rsidRPr="000229AD">
              <w:rPr>
                <w:sz w:val="22"/>
                <w:lang w:val="fr-FR"/>
              </w:rPr>
              <w:t>–</w:t>
            </w:r>
            <w:r w:rsidRPr="000229AD">
              <w:rPr>
                <w:sz w:val="22"/>
                <w:lang w:val="fr-FR"/>
              </w:rPr>
              <w:tab/>
              <w:t>Les groupes d</w:t>
            </w:r>
            <w:r w:rsidR="00125408" w:rsidRPr="000229AD">
              <w:rPr>
                <w:sz w:val="22"/>
                <w:lang w:val="fr-FR"/>
              </w:rPr>
              <w:t>'</w:t>
            </w:r>
            <w:r w:rsidRPr="000229AD">
              <w:rPr>
                <w:sz w:val="22"/>
                <w:lang w:val="fr-FR"/>
              </w:rPr>
              <w:t>experts sur les indicateurs des TIC (EGTI et EGH) ont réuni 347 participants, dont 46% de femmes, de 105 pays pour discuter, définir et adopter de nouveaux indicateurs.</w:t>
            </w:r>
          </w:p>
          <w:p w14:paraId="3D013D82" w14:textId="3A158598" w:rsidR="00EA2FD3" w:rsidRPr="000229AD" w:rsidRDefault="00EA2FD3" w:rsidP="00716C22">
            <w:pPr>
              <w:pStyle w:val="Tabletext"/>
              <w:spacing w:before="120"/>
              <w:rPr>
                <w:b/>
                <w:bCs/>
                <w:lang w:val="fr-FR"/>
              </w:rPr>
            </w:pPr>
            <w:r w:rsidRPr="000229AD">
              <w:rPr>
                <w:b/>
                <w:bCs/>
                <w:lang w:val="fr-FR"/>
              </w:rPr>
              <w:t>Renforcement des capacités (Académie de l</w:t>
            </w:r>
            <w:r w:rsidR="00125408" w:rsidRPr="000229AD">
              <w:rPr>
                <w:b/>
                <w:bCs/>
                <w:lang w:val="fr-FR"/>
              </w:rPr>
              <w:t>'</w:t>
            </w:r>
            <w:r w:rsidRPr="000229AD">
              <w:rPr>
                <w:b/>
                <w:bCs/>
                <w:lang w:val="fr-FR"/>
              </w:rPr>
              <w:t xml:space="preserve">UIT): </w:t>
            </w:r>
          </w:p>
          <w:p w14:paraId="73A18960" w14:textId="77777777" w:rsidR="00EA2FD3" w:rsidRPr="000229AD" w:rsidRDefault="00EA2FD3" w:rsidP="00716C22">
            <w:pPr>
              <w:pStyle w:val="enumlev1"/>
              <w:spacing w:after="40"/>
              <w:ind w:left="312" w:hanging="312"/>
              <w:rPr>
                <w:sz w:val="22"/>
                <w:lang w:val="fr-FR"/>
              </w:rPr>
            </w:pPr>
            <w:r w:rsidRPr="000229AD">
              <w:rPr>
                <w:sz w:val="22"/>
                <w:lang w:val="fr-FR"/>
              </w:rPr>
              <w:t>–</w:t>
            </w:r>
            <w:r w:rsidRPr="000229AD">
              <w:rPr>
                <w:sz w:val="22"/>
                <w:lang w:val="fr-FR"/>
              </w:rPr>
              <w:tab/>
              <w:t>Indicateurs des télécommunications/TIC: 26 personnes diplômées sur 311 personnes inscrites (provenant de 100 pays).</w:t>
            </w:r>
          </w:p>
          <w:p w14:paraId="17203052" w14:textId="77777777" w:rsidR="00EA2FD3" w:rsidRPr="000229AD" w:rsidRDefault="00EA2FD3" w:rsidP="00716C22">
            <w:pPr>
              <w:pStyle w:val="enumlev1"/>
              <w:spacing w:before="40"/>
              <w:ind w:left="312" w:hanging="312"/>
              <w:rPr>
                <w:sz w:val="22"/>
                <w:lang w:val="fr-FR"/>
              </w:rPr>
            </w:pPr>
            <w:r w:rsidRPr="000229AD">
              <w:rPr>
                <w:sz w:val="22"/>
                <w:lang w:val="fr-FR"/>
              </w:rPr>
              <w:lastRenderedPageBreak/>
              <w:t>–</w:t>
            </w:r>
            <w:r w:rsidRPr="000229AD">
              <w:rPr>
                <w:sz w:val="22"/>
                <w:lang w:val="fr-FR"/>
              </w:rPr>
              <w:tab/>
              <w:t>Accès aux TIC et utilisation des TIC par les ménages: 43 personnes diplômées sur 322 personnes inscrites (provenant de 67 pays).</w:t>
            </w:r>
          </w:p>
          <w:p w14:paraId="48EA8AC9" w14:textId="77777777" w:rsidR="00EA2FD3" w:rsidRPr="000229AD" w:rsidRDefault="00EA2FD3" w:rsidP="00716C22">
            <w:pPr>
              <w:pStyle w:val="enumlev1"/>
              <w:ind w:left="312" w:hanging="312"/>
              <w:rPr>
                <w:sz w:val="22"/>
                <w:lang w:val="fr-FR"/>
              </w:rPr>
            </w:pPr>
            <w:r w:rsidRPr="000229AD">
              <w:rPr>
                <w:sz w:val="22"/>
                <w:lang w:val="fr-FR"/>
              </w:rPr>
              <w:t>–</w:t>
            </w:r>
            <w:r w:rsidRPr="000229AD">
              <w:rPr>
                <w:sz w:val="22"/>
                <w:lang w:val="fr-FR"/>
              </w:rPr>
              <w:tab/>
              <w:t>Mégadonnées de téléphonie mobile (lancé en 2023): 41 personnes diplômées sur 189 personnes inscrites (provenant de 72 pays).</w:t>
            </w:r>
          </w:p>
        </w:tc>
      </w:tr>
      <w:tr w:rsidR="00EA2FD3" w:rsidRPr="000229AD" w14:paraId="57B95699" w14:textId="77777777" w:rsidTr="00C627A0">
        <w:tc>
          <w:tcPr>
            <w:tcW w:w="2977" w:type="dxa"/>
          </w:tcPr>
          <w:p w14:paraId="3AAA8430" w14:textId="77777777" w:rsidR="00EA2FD3" w:rsidRPr="000229AD" w:rsidRDefault="00EA2FD3" w:rsidP="00716C22">
            <w:pPr>
              <w:pStyle w:val="Tabletext"/>
              <w:rPr>
                <w:b/>
                <w:bCs/>
                <w:lang w:val="fr-FR"/>
              </w:rPr>
            </w:pPr>
            <w:r w:rsidRPr="000229AD">
              <w:rPr>
                <w:b/>
                <w:bCs/>
                <w:lang w:val="fr-FR"/>
              </w:rPr>
              <w:lastRenderedPageBreak/>
              <w:t>Contribution à la réalisation des cibles des ODD</w:t>
            </w:r>
          </w:p>
        </w:tc>
        <w:tc>
          <w:tcPr>
            <w:tcW w:w="11873" w:type="dxa"/>
            <w:gridSpan w:val="2"/>
          </w:tcPr>
          <w:p w14:paraId="3A9DEDD2" w14:textId="77777777" w:rsidR="00EA2FD3" w:rsidRPr="000229AD" w:rsidRDefault="00EA2FD3" w:rsidP="00716C22">
            <w:pPr>
              <w:pStyle w:val="Tabletext"/>
              <w:rPr>
                <w:lang w:val="fr-FR"/>
              </w:rPr>
            </w:pPr>
            <w:r w:rsidRPr="000229AD">
              <w:rPr>
                <w:lang w:val="fr-FR"/>
              </w:rPr>
              <w:t>1, 3, 4, 5, 8, 9, 10, 11, 16, 17</w:t>
            </w:r>
          </w:p>
        </w:tc>
      </w:tr>
      <w:tr w:rsidR="00EA2FD3" w:rsidRPr="000229AD" w14:paraId="390343C3" w14:textId="77777777" w:rsidTr="00C627A0">
        <w:tc>
          <w:tcPr>
            <w:tcW w:w="2977" w:type="dxa"/>
          </w:tcPr>
          <w:p w14:paraId="7C3C0618" w14:textId="576EC873" w:rsidR="00EA2FD3" w:rsidRPr="000229AD" w:rsidRDefault="00EA2FD3" w:rsidP="00716C22">
            <w:pPr>
              <w:pStyle w:val="Tabletext"/>
              <w:rPr>
                <w:b/>
                <w:bCs/>
                <w:lang w:val="fr-FR"/>
              </w:rPr>
            </w:pPr>
            <w:r w:rsidRPr="000229AD">
              <w:rPr>
                <w:b/>
                <w:bCs/>
                <w:lang w:val="fr-FR"/>
              </w:rPr>
              <w:t>Grandes orientations du</w:t>
            </w:r>
            <w:r w:rsidR="00C627A0" w:rsidRPr="000229AD">
              <w:rPr>
                <w:b/>
                <w:bCs/>
                <w:lang w:val="fr-FR"/>
              </w:rPr>
              <w:t xml:space="preserve"> </w:t>
            </w:r>
            <w:r w:rsidRPr="000229AD">
              <w:rPr>
                <w:b/>
                <w:bCs/>
                <w:lang w:val="fr-FR"/>
              </w:rPr>
              <w:t>SMSI</w:t>
            </w:r>
          </w:p>
        </w:tc>
        <w:tc>
          <w:tcPr>
            <w:tcW w:w="11873" w:type="dxa"/>
            <w:gridSpan w:val="2"/>
          </w:tcPr>
          <w:p w14:paraId="25C2B0BF" w14:textId="77777777" w:rsidR="00EA2FD3" w:rsidRPr="000229AD" w:rsidRDefault="00EA2FD3" w:rsidP="00716C22">
            <w:pPr>
              <w:pStyle w:val="Tabletext"/>
              <w:rPr>
                <w:lang w:val="fr-FR"/>
              </w:rPr>
            </w:pPr>
            <w:r w:rsidRPr="000229AD">
              <w:rPr>
                <w:lang w:val="fr-FR"/>
              </w:rPr>
              <w:t>C1, C2, C3, C4, C5, C6, C7, C11</w:t>
            </w:r>
          </w:p>
        </w:tc>
      </w:tr>
      <w:tr w:rsidR="00EA2FD3" w:rsidRPr="000229AD" w14:paraId="1F34F45A" w14:textId="77777777" w:rsidTr="00C627A0">
        <w:tc>
          <w:tcPr>
            <w:tcW w:w="2977" w:type="dxa"/>
          </w:tcPr>
          <w:p w14:paraId="4D4B6868" w14:textId="77777777" w:rsidR="00EA2FD3" w:rsidRPr="000229AD" w:rsidRDefault="00EA2FD3" w:rsidP="00716C22">
            <w:pPr>
              <w:pStyle w:val="Tabletext"/>
              <w:rPr>
                <w:b/>
                <w:bCs/>
                <w:lang w:val="fr-FR"/>
              </w:rPr>
            </w:pPr>
            <w:r w:rsidRPr="000229AD">
              <w:rPr>
                <w:b/>
                <w:bCs/>
                <w:lang w:val="fr-FR"/>
              </w:rPr>
              <w:t>Résolutions</w:t>
            </w:r>
          </w:p>
        </w:tc>
        <w:tc>
          <w:tcPr>
            <w:tcW w:w="11873" w:type="dxa"/>
            <w:gridSpan w:val="2"/>
          </w:tcPr>
          <w:p w14:paraId="60F12C14" w14:textId="77777777" w:rsidR="00EA2FD3" w:rsidRPr="000229AD" w:rsidRDefault="00EA2FD3" w:rsidP="00716C22">
            <w:pPr>
              <w:pStyle w:val="Tabletext"/>
              <w:rPr>
                <w:lang w:val="fr-FR"/>
              </w:rPr>
            </w:pPr>
            <w:r w:rsidRPr="000229AD">
              <w:rPr>
                <w:lang w:val="fr-FR"/>
              </w:rPr>
              <w:t>2, 8, 10, 18, 21, 22, 135, 138, 139, 174, 191, 195, 196, 201 de la PP; 16, 17, 22, 23, 25, 30, 37, 48, 64, 71, 77, 78, 79, 80, 84, 85 de la CMDT; Questions 6/1, 7/1, 5/2, 6/2, 7/2</w:t>
            </w:r>
          </w:p>
        </w:tc>
      </w:tr>
    </w:tbl>
    <w:p w14:paraId="4D8EE88D" w14:textId="4F423E43" w:rsidR="00E07F09" w:rsidRPr="000229AD" w:rsidRDefault="00E07F09" w:rsidP="00716C22">
      <w:pPr>
        <w:pStyle w:val="Tabletext"/>
        <w:rPr>
          <w:szCs w:val="22"/>
          <w:lang w:val="fr-FR"/>
        </w:rPr>
      </w:pPr>
      <w:r w:rsidRPr="000229AD">
        <w:rPr>
          <w:szCs w:val="22"/>
          <w:lang w:val="fr-FR"/>
        </w:rPr>
        <w:br w:type="page"/>
      </w:r>
    </w:p>
    <w:tbl>
      <w:tblPr>
        <w:tblStyle w:val="TableGrid5"/>
        <w:tblW w:w="14867" w:type="dxa"/>
        <w:tblBorders>
          <w:top w:val="dotted" w:sz="4" w:space="0" w:color="4F81BD" w:themeColor="accent1"/>
          <w:left w:val="dotted" w:sz="4" w:space="0" w:color="4F81BD" w:themeColor="accent1"/>
          <w:bottom w:val="dotted" w:sz="4" w:space="0" w:color="4F81BD" w:themeColor="accent1"/>
          <w:right w:val="dotted" w:sz="4" w:space="0" w:color="4F81BD" w:themeColor="accent1"/>
          <w:insideH w:val="dotted" w:sz="4" w:space="0" w:color="4F81BD" w:themeColor="accent1"/>
          <w:insideV w:val="dotted" w:sz="4" w:space="0" w:color="4F81BD" w:themeColor="accent1"/>
        </w:tblBorders>
        <w:tblLayout w:type="fixed"/>
        <w:tblLook w:val="04A0" w:firstRow="1" w:lastRow="0" w:firstColumn="1" w:lastColumn="0" w:noHBand="0" w:noVBand="1"/>
      </w:tblPr>
      <w:tblGrid>
        <w:gridCol w:w="2977"/>
        <w:gridCol w:w="8916"/>
        <w:gridCol w:w="2974"/>
      </w:tblGrid>
      <w:tr w:rsidR="00EA2FD3" w:rsidRPr="000229AD" w14:paraId="6112F7AF" w14:textId="77777777" w:rsidTr="00E07F09">
        <w:trPr>
          <w:trHeight w:val="300"/>
        </w:trPr>
        <w:tc>
          <w:tcPr>
            <w:tcW w:w="14845" w:type="dxa"/>
            <w:gridSpan w:val="3"/>
            <w:tcBorders>
              <w:top w:val="dotted" w:sz="4" w:space="0" w:color="0070C0"/>
              <w:left w:val="dotted" w:sz="4" w:space="0" w:color="0070C0"/>
              <w:bottom w:val="dotted" w:sz="4" w:space="0" w:color="0070C0"/>
              <w:right w:val="dotted" w:sz="4" w:space="0" w:color="0070C0"/>
            </w:tcBorders>
            <w:shd w:val="clear" w:color="auto" w:fill="365F91" w:themeFill="accent1" w:themeFillShade="BF"/>
          </w:tcPr>
          <w:p w14:paraId="7E7C4A7A" w14:textId="7B689AB8" w:rsidR="00EA2FD3" w:rsidRPr="000229AD" w:rsidRDefault="00EA2FD3" w:rsidP="00716C22">
            <w:pPr>
              <w:pStyle w:val="Tablehead"/>
              <w:keepLines/>
              <w:rPr>
                <w:color w:val="FFFFFF" w:themeColor="background1"/>
                <w:lang w:val="fr-FR"/>
              </w:rPr>
            </w:pPr>
            <w:r w:rsidRPr="000229AD">
              <w:rPr>
                <w:color w:val="FFFFFF" w:themeColor="background1"/>
                <w:lang w:val="fr-FR"/>
              </w:rPr>
              <w:lastRenderedPageBreak/>
              <w:t>Priorité 4 de l</w:t>
            </w:r>
            <w:r w:rsidR="00125408" w:rsidRPr="000229AD">
              <w:rPr>
                <w:color w:val="FFFFFF" w:themeColor="background1"/>
                <w:lang w:val="fr-FR"/>
              </w:rPr>
              <w:t>'</w:t>
            </w:r>
            <w:r w:rsidRPr="000229AD">
              <w:rPr>
                <w:color w:val="FFFFFF" w:themeColor="background1"/>
                <w:lang w:val="fr-FR"/>
              </w:rPr>
              <w:t>UIT-D: Télécommunications/TIC inclusives et sûres au service du développement durable</w:t>
            </w:r>
          </w:p>
          <w:p w14:paraId="014221AF" w14:textId="05371AAD" w:rsidR="00EA2FD3" w:rsidRPr="000229AD" w:rsidRDefault="00EA2FD3" w:rsidP="00716C22">
            <w:pPr>
              <w:pStyle w:val="Tablehead"/>
              <w:keepLines/>
              <w:rPr>
                <w:i/>
                <w:iCs/>
                <w:lang w:val="fr-FR"/>
              </w:rPr>
            </w:pPr>
            <w:r w:rsidRPr="000229AD">
              <w:rPr>
                <w:i/>
                <w:iCs/>
                <w:color w:val="FFFFFF" w:themeColor="background1"/>
                <w:lang w:val="fr-FR"/>
              </w:rPr>
              <w:t>Promouvoir l</w:t>
            </w:r>
            <w:r w:rsidR="00125408" w:rsidRPr="000229AD">
              <w:rPr>
                <w:i/>
                <w:iCs/>
                <w:color w:val="FFFFFF" w:themeColor="background1"/>
                <w:lang w:val="fr-FR"/>
              </w:rPr>
              <w:t>'</w:t>
            </w:r>
            <w:r w:rsidRPr="000229AD">
              <w:rPr>
                <w:i/>
                <w:iCs/>
                <w:color w:val="FFFFFF" w:themeColor="background1"/>
                <w:lang w:val="fr-FR"/>
              </w:rPr>
              <w:t>élaboration de stratégies nationales en matière de cybersécurité et renforcer les compétences numériques</w:t>
            </w:r>
          </w:p>
        </w:tc>
      </w:tr>
      <w:tr w:rsidR="00EA2FD3" w:rsidRPr="000229AD" w14:paraId="4B3C3DA5" w14:textId="77777777" w:rsidTr="00E07F09">
        <w:trPr>
          <w:trHeight w:val="300"/>
        </w:trPr>
        <w:tc>
          <w:tcPr>
            <w:tcW w:w="14845" w:type="dxa"/>
            <w:gridSpan w:val="3"/>
            <w:tcBorders>
              <w:top w:val="dotted" w:sz="4" w:space="0" w:color="0070C0"/>
              <w:left w:val="dotted" w:sz="4" w:space="0" w:color="0070C0"/>
              <w:bottom w:val="dotted" w:sz="4" w:space="0" w:color="0070C0"/>
              <w:right w:val="dotted" w:sz="4" w:space="0" w:color="0070C0"/>
            </w:tcBorders>
            <w:shd w:val="clear" w:color="auto" w:fill="E5DFEC" w:themeFill="accent4" w:themeFillTint="33"/>
          </w:tcPr>
          <w:p w14:paraId="2FB4EEDC" w14:textId="0B8B480C" w:rsidR="00EA2FD3" w:rsidRPr="000229AD" w:rsidRDefault="00EA2FD3" w:rsidP="00716C22">
            <w:pPr>
              <w:pStyle w:val="Tabletext"/>
              <w:keepNext/>
              <w:keepLines/>
              <w:spacing w:before="120"/>
              <w:rPr>
                <w:i/>
                <w:iCs/>
                <w:lang w:val="fr-FR"/>
              </w:rPr>
            </w:pPr>
            <w:r w:rsidRPr="000229AD">
              <w:rPr>
                <w:b/>
                <w:bCs/>
                <w:i/>
                <w:iCs/>
                <w:lang w:val="fr-FR"/>
              </w:rPr>
              <w:t>Réalisation</w:t>
            </w:r>
            <w:r w:rsidRPr="000229AD">
              <w:rPr>
                <w:i/>
                <w:iCs/>
                <w:lang w:val="fr-FR"/>
              </w:rPr>
              <w:t>: fourniture aux États Membres d</w:t>
            </w:r>
            <w:r w:rsidR="00125408" w:rsidRPr="000229AD">
              <w:rPr>
                <w:i/>
                <w:iCs/>
                <w:lang w:val="fr-FR"/>
              </w:rPr>
              <w:t>'</w:t>
            </w:r>
            <w:r w:rsidRPr="000229AD">
              <w:rPr>
                <w:i/>
                <w:iCs/>
                <w:lang w:val="fr-FR"/>
              </w:rPr>
              <w:t>une aide à l</w:t>
            </w:r>
            <w:r w:rsidR="00125408" w:rsidRPr="000229AD">
              <w:rPr>
                <w:i/>
                <w:iCs/>
                <w:lang w:val="fr-FR"/>
              </w:rPr>
              <w:t>'</w:t>
            </w:r>
            <w:r w:rsidRPr="000229AD">
              <w:rPr>
                <w:i/>
                <w:iCs/>
                <w:lang w:val="fr-FR"/>
              </w:rPr>
              <w:t>élaboration de stratégies nationales relatives à la cybersécurité et à la création d</w:t>
            </w:r>
            <w:r w:rsidR="00125408" w:rsidRPr="000229AD">
              <w:rPr>
                <w:i/>
                <w:iCs/>
                <w:lang w:val="fr-FR"/>
              </w:rPr>
              <w:t>'</w:t>
            </w:r>
            <w:r w:rsidRPr="000229AD">
              <w:rPr>
                <w:i/>
                <w:iCs/>
                <w:lang w:val="fr-FR"/>
              </w:rPr>
              <w:t>équipes CIRT. Développement de services en ligne sécurisés, notamment les services de protection en ligne des enfants, et mobilisation de ressources en faveur des groupes marginalisés et des personnes ayant des besoins particuliers.</w:t>
            </w:r>
          </w:p>
        </w:tc>
      </w:tr>
      <w:tr w:rsidR="00EA2FD3" w:rsidRPr="000229AD" w14:paraId="72E5AF08" w14:textId="77777777" w:rsidTr="00E07F09">
        <w:trPr>
          <w:trHeight w:val="300"/>
        </w:trPr>
        <w:tc>
          <w:tcPr>
            <w:tcW w:w="11875" w:type="dxa"/>
            <w:gridSpan w:val="2"/>
            <w:tcBorders>
              <w:top w:val="dotted" w:sz="4" w:space="0" w:color="0070C0"/>
              <w:left w:val="dotted" w:sz="4" w:space="0" w:color="0070C0"/>
              <w:bottom w:val="dotted" w:sz="4" w:space="0" w:color="0070C0"/>
              <w:right w:val="dotted" w:sz="4" w:space="0" w:color="0070C0"/>
            </w:tcBorders>
          </w:tcPr>
          <w:p w14:paraId="6115C6F8" w14:textId="77777777" w:rsidR="00EA2FD3" w:rsidRPr="000229AD" w:rsidRDefault="00EA2FD3" w:rsidP="00716C22">
            <w:pPr>
              <w:pStyle w:val="Tablehead"/>
              <w:keepNext w:val="0"/>
              <w:rPr>
                <w:lang w:val="fr-FR"/>
              </w:rPr>
            </w:pPr>
            <w:r w:rsidRPr="000229AD">
              <w:rPr>
                <w:lang w:val="fr-FR"/>
              </w:rPr>
              <w:t>Produits</w:t>
            </w:r>
          </w:p>
        </w:tc>
        <w:tc>
          <w:tcPr>
            <w:tcW w:w="2970" w:type="dxa"/>
            <w:tcBorders>
              <w:top w:val="dotted" w:sz="4" w:space="0" w:color="0070C0"/>
              <w:left w:val="dotted" w:sz="4" w:space="0" w:color="0070C0"/>
              <w:bottom w:val="dotted" w:sz="4" w:space="0" w:color="0070C0"/>
              <w:right w:val="dotted" w:sz="4" w:space="0" w:color="0070C0"/>
            </w:tcBorders>
          </w:tcPr>
          <w:p w14:paraId="1B7F04BE" w14:textId="77777777" w:rsidR="00EA2FD3" w:rsidRPr="000229AD" w:rsidRDefault="00EA2FD3" w:rsidP="00716C22">
            <w:pPr>
              <w:pStyle w:val="Tablehead"/>
              <w:keepNext w:val="0"/>
              <w:rPr>
                <w:lang w:val="fr-FR"/>
              </w:rPr>
            </w:pPr>
            <w:r w:rsidRPr="000229AD">
              <w:rPr>
                <w:lang w:val="fr-FR"/>
              </w:rPr>
              <w:t>Points clés</w:t>
            </w:r>
          </w:p>
        </w:tc>
      </w:tr>
      <w:tr w:rsidR="00EA2FD3" w:rsidRPr="000229AD" w14:paraId="303A9FDD" w14:textId="77777777" w:rsidTr="00E07F09">
        <w:trPr>
          <w:trHeight w:val="300"/>
        </w:trPr>
        <w:tc>
          <w:tcPr>
            <w:tcW w:w="11875" w:type="dxa"/>
            <w:gridSpan w:val="2"/>
            <w:tcBorders>
              <w:top w:val="dotted" w:sz="4" w:space="0" w:color="0070C0"/>
              <w:left w:val="dotted" w:sz="4" w:space="0" w:color="0070C0"/>
              <w:bottom w:val="dotted" w:sz="4" w:space="0" w:color="0070C0"/>
              <w:right w:val="dotted" w:sz="4" w:space="0" w:color="0070C0"/>
            </w:tcBorders>
          </w:tcPr>
          <w:p w14:paraId="7078C714" w14:textId="77777777" w:rsidR="00EA2FD3" w:rsidRPr="000229AD" w:rsidRDefault="00EA2FD3" w:rsidP="00716C22">
            <w:pPr>
              <w:pStyle w:val="Tabletext"/>
              <w:spacing w:before="120"/>
              <w:rPr>
                <w:b/>
                <w:bCs/>
                <w:lang w:val="fr-FR"/>
              </w:rPr>
            </w:pPr>
            <w:r w:rsidRPr="000229AD">
              <w:rPr>
                <w:b/>
                <w:bCs/>
                <w:lang w:val="fr-FR"/>
              </w:rPr>
              <w:t>Cybersécurité</w:t>
            </w:r>
          </w:p>
          <w:p w14:paraId="647A5029" w14:textId="13404B9F" w:rsidR="00EA2FD3" w:rsidRPr="000229AD" w:rsidRDefault="00EA2FD3" w:rsidP="00716C22">
            <w:pPr>
              <w:pStyle w:val="Tabletext"/>
              <w:spacing w:after="120"/>
              <w:rPr>
                <w:lang w:val="fr-FR"/>
              </w:rPr>
            </w:pPr>
            <w:r w:rsidRPr="000229AD">
              <w:rPr>
                <w:lang w:val="fr-FR"/>
              </w:rPr>
              <w:t>L</w:t>
            </w:r>
            <w:r w:rsidR="00125408" w:rsidRPr="000229AD">
              <w:rPr>
                <w:lang w:val="fr-FR"/>
              </w:rPr>
              <w:t>'</w:t>
            </w:r>
            <w:hyperlink r:id="rId65" w:history="1">
              <w:r w:rsidRPr="000229AD">
                <w:rPr>
                  <w:rStyle w:val="Hyperlink"/>
                  <w:lang w:val="fr-FR"/>
                </w:rPr>
                <w:t>indice mondial de cybersécurité</w:t>
              </w:r>
            </w:hyperlink>
            <w:r w:rsidRPr="000229AD">
              <w:rPr>
                <w:lang w:val="fr-FR"/>
              </w:rPr>
              <w:t xml:space="preserve"> mesure l</w:t>
            </w:r>
            <w:r w:rsidR="00125408" w:rsidRPr="000229AD">
              <w:rPr>
                <w:lang w:val="fr-FR"/>
              </w:rPr>
              <w:t>'</w:t>
            </w:r>
            <w:r w:rsidRPr="000229AD">
              <w:rPr>
                <w:lang w:val="fr-FR"/>
              </w:rPr>
              <w:t>engagement en faveur de la cybersécurité. Pour la cinquième édition de l</w:t>
            </w:r>
            <w:r w:rsidR="00125408" w:rsidRPr="000229AD">
              <w:rPr>
                <w:lang w:val="fr-FR"/>
              </w:rPr>
              <w:t>'</w:t>
            </w:r>
            <w:r w:rsidRPr="000229AD">
              <w:rPr>
                <w:lang w:val="fr-FR"/>
              </w:rPr>
              <w:t>indice (2023), l</w:t>
            </w:r>
            <w:r w:rsidR="00125408" w:rsidRPr="000229AD">
              <w:rPr>
                <w:lang w:val="fr-FR"/>
              </w:rPr>
              <w:t>'</w:t>
            </w:r>
            <w:r w:rsidRPr="000229AD">
              <w:rPr>
                <w:lang w:val="fr-FR"/>
              </w:rPr>
              <w:t>UIT a collecté, vérifié et validé les données en collaboration avec 173 coordonnateurs nommés par les États Membres.</w:t>
            </w:r>
          </w:p>
          <w:p w14:paraId="43622583" w14:textId="77777777" w:rsidR="00EA2FD3" w:rsidRPr="000229AD" w:rsidRDefault="00EA2FD3" w:rsidP="00716C22">
            <w:pPr>
              <w:pStyle w:val="Tabletext"/>
              <w:spacing w:before="120"/>
              <w:rPr>
                <w:b/>
                <w:bCs/>
                <w:lang w:val="fr-FR"/>
              </w:rPr>
            </w:pPr>
            <w:r w:rsidRPr="000229AD">
              <w:rPr>
                <w:b/>
                <w:bCs/>
                <w:lang w:val="fr-FR"/>
              </w:rPr>
              <w:t>Renforcement des capacités</w:t>
            </w:r>
          </w:p>
          <w:p w14:paraId="2745ECA8" w14:textId="28060960" w:rsidR="00EA2FD3" w:rsidRPr="000229AD" w:rsidRDefault="00EA2FD3" w:rsidP="00716C22">
            <w:pPr>
              <w:pStyle w:val="enumlev1"/>
              <w:ind w:left="312" w:hanging="312"/>
              <w:rPr>
                <w:sz w:val="22"/>
                <w:lang w:val="fr-FR"/>
              </w:rPr>
            </w:pPr>
            <w:r w:rsidRPr="000229AD">
              <w:rPr>
                <w:sz w:val="22"/>
                <w:lang w:val="fr-FR"/>
              </w:rPr>
              <w:t>•</w:t>
            </w:r>
            <w:r w:rsidRPr="000229AD">
              <w:rPr>
                <w:sz w:val="22"/>
                <w:lang w:val="fr-FR"/>
              </w:rPr>
              <w:tab/>
            </w:r>
            <w:r w:rsidRPr="000229AD">
              <w:rPr>
                <w:b/>
                <w:bCs/>
                <w:sz w:val="22"/>
                <w:lang w:val="fr-FR"/>
              </w:rPr>
              <w:t>À l</w:t>
            </w:r>
            <w:r w:rsidR="00125408" w:rsidRPr="000229AD">
              <w:rPr>
                <w:b/>
                <w:bCs/>
                <w:sz w:val="22"/>
                <w:lang w:val="fr-FR"/>
              </w:rPr>
              <w:t>'</w:t>
            </w:r>
            <w:r w:rsidRPr="000229AD">
              <w:rPr>
                <w:b/>
                <w:bCs/>
                <w:sz w:val="22"/>
                <w:lang w:val="fr-FR"/>
              </w:rPr>
              <w:t>échelle mondiale</w:t>
            </w:r>
            <w:r w:rsidRPr="000229AD">
              <w:rPr>
                <w:sz w:val="22"/>
                <w:lang w:val="fr-FR"/>
              </w:rPr>
              <w:t>, dans le cadre de son action dans le domaine des stratégies nationales en matière de cybersécurité, le BDT a amélioré les connaissances des parties prenantes sur l</w:t>
            </w:r>
            <w:r w:rsidR="00125408" w:rsidRPr="000229AD">
              <w:rPr>
                <w:sz w:val="22"/>
                <w:lang w:val="fr-FR"/>
              </w:rPr>
              <w:t>'</w:t>
            </w:r>
            <w:r w:rsidRPr="000229AD">
              <w:rPr>
                <w:sz w:val="22"/>
                <w:lang w:val="fr-FR"/>
              </w:rPr>
              <w:t>élaboration et la mise en œuvre de telles stratégies, par l</w:t>
            </w:r>
            <w:r w:rsidR="00125408" w:rsidRPr="000229AD">
              <w:rPr>
                <w:sz w:val="22"/>
                <w:lang w:val="fr-FR"/>
              </w:rPr>
              <w:t>'</w:t>
            </w:r>
            <w:r w:rsidRPr="000229AD">
              <w:rPr>
                <w:sz w:val="22"/>
                <w:lang w:val="fr-FR"/>
              </w:rPr>
              <w:t>intermédiaire d</w:t>
            </w:r>
            <w:r w:rsidR="00125408" w:rsidRPr="000229AD">
              <w:rPr>
                <w:sz w:val="22"/>
                <w:lang w:val="fr-FR"/>
              </w:rPr>
              <w:t>'</w:t>
            </w:r>
            <w:r w:rsidRPr="000229AD">
              <w:rPr>
                <w:sz w:val="22"/>
                <w:lang w:val="fr-FR"/>
              </w:rPr>
              <w:t>exercices théoriques d</w:t>
            </w:r>
            <w:r w:rsidR="00125408" w:rsidRPr="000229AD">
              <w:rPr>
                <w:sz w:val="22"/>
                <w:lang w:val="fr-FR"/>
              </w:rPr>
              <w:t>'</w:t>
            </w:r>
            <w:r w:rsidRPr="000229AD">
              <w:rPr>
                <w:sz w:val="22"/>
                <w:lang w:val="fr-FR"/>
              </w:rPr>
              <w:t>élaboration de stratégies avec des parties prenantes nationales, d</w:t>
            </w:r>
            <w:r w:rsidR="00125408" w:rsidRPr="000229AD">
              <w:rPr>
                <w:sz w:val="22"/>
                <w:lang w:val="fr-FR"/>
              </w:rPr>
              <w:t>'</w:t>
            </w:r>
            <w:r w:rsidRPr="000229AD">
              <w:rPr>
                <w:sz w:val="22"/>
                <w:lang w:val="fr-FR"/>
              </w:rPr>
              <w:t>ateliers d</w:t>
            </w:r>
            <w:r w:rsidR="00125408" w:rsidRPr="000229AD">
              <w:rPr>
                <w:sz w:val="22"/>
                <w:lang w:val="fr-FR"/>
              </w:rPr>
              <w:t>'</w:t>
            </w:r>
            <w:r w:rsidRPr="000229AD">
              <w:rPr>
                <w:sz w:val="22"/>
                <w:lang w:val="fr-FR"/>
              </w:rPr>
              <w:t>évaluation des besoins, ainsi que le maintien de liens de coopération à travers des échanges et des conseils réguliers en ligne. Dans le cadre d</w:t>
            </w:r>
            <w:r w:rsidR="00125408" w:rsidRPr="000229AD">
              <w:rPr>
                <w:sz w:val="22"/>
                <w:lang w:val="fr-FR"/>
              </w:rPr>
              <w:t>'</w:t>
            </w:r>
            <w:r w:rsidRPr="000229AD">
              <w:rPr>
                <w:sz w:val="22"/>
                <w:lang w:val="fr-FR"/>
              </w:rPr>
              <w:t>un programme de formation en ligne à suivre à son rythme sur le cycle de vie des stratégies nationales de cybersécurité, 730 participants provenant de 131 pays ont approfondi leurs connaissances et acquis une meilleure compréhension du sujet. Le programme Cyberexercices (CyberDrills) a eu une incidence significative à l</w:t>
            </w:r>
            <w:r w:rsidR="00125408" w:rsidRPr="000229AD">
              <w:rPr>
                <w:sz w:val="22"/>
                <w:lang w:val="fr-FR"/>
              </w:rPr>
              <w:t>'</w:t>
            </w:r>
            <w:r w:rsidRPr="000229AD">
              <w:rPr>
                <w:sz w:val="22"/>
                <w:lang w:val="fr-FR"/>
              </w:rPr>
              <w:t>échelle mondiale, puisque 140 pays ont participé à des cyberexercices et à des formations. Cela a favorisé la coopération interrégionale et a permis d</w:t>
            </w:r>
            <w:r w:rsidR="00125408" w:rsidRPr="000229AD">
              <w:rPr>
                <w:sz w:val="22"/>
                <w:lang w:val="fr-FR"/>
              </w:rPr>
              <w:t>'</w:t>
            </w:r>
            <w:r w:rsidRPr="000229AD">
              <w:rPr>
                <w:sz w:val="22"/>
                <w:lang w:val="fr-FR"/>
              </w:rPr>
              <w:t>améliorer les compétences en matière d</w:t>
            </w:r>
            <w:r w:rsidR="00125408" w:rsidRPr="000229AD">
              <w:rPr>
                <w:sz w:val="22"/>
                <w:lang w:val="fr-FR"/>
              </w:rPr>
              <w:t>'</w:t>
            </w:r>
            <w:r w:rsidRPr="000229AD">
              <w:rPr>
                <w:sz w:val="22"/>
                <w:lang w:val="fr-FR"/>
              </w:rPr>
              <w:t>intervention en cas d</w:t>
            </w:r>
            <w:r w:rsidR="00125408" w:rsidRPr="000229AD">
              <w:rPr>
                <w:sz w:val="22"/>
                <w:lang w:val="fr-FR"/>
              </w:rPr>
              <w:t>'</w:t>
            </w:r>
            <w:r w:rsidRPr="000229AD">
              <w:rPr>
                <w:sz w:val="22"/>
                <w:lang w:val="fr-FR"/>
              </w:rPr>
              <w:t>incident et l</w:t>
            </w:r>
            <w:r w:rsidR="00125408" w:rsidRPr="000229AD">
              <w:rPr>
                <w:sz w:val="22"/>
                <w:lang w:val="fr-FR"/>
              </w:rPr>
              <w:t>'</w:t>
            </w:r>
            <w:r w:rsidRPr="000229AD">
              <w:rPr>
                <w:sz w:val="22"/>
                <w:lang w:val="fr-FR"/>
              </w:rPr>
              <w:t>échange d</w:t>
            </w:r>
            <w:r w:rsidR="00125408" w:rsidRPr="000229AD">
              <w:rPr>
                <w:sz w:val="22"/>
                <w:lang w:val="fr-FR"/>
              </w:rPr>
              <w:t>'</w:t>
            </w:r>
            <w:r w:rsidRPr="000229AD">
              <w:rPr>
                <w:sz w:val="22"/>
                <w:lang w:val="fr-FR"/>
              </w:rPr>
              <w:t>informations. Le BDT a en outre organisé des formations ciblées sur les compétences techniques en matière d</w:t>
            </w:r>
            <w:r w:rsidR="00125408" w:rsidRPr="000229AD">
              <w:rPr>
                <w:sz w:val="22"/>
                <w:lang w:val="fr-FR"/>
              </w:rPr>
              <w:t>'</w:t>
            </w:r>
            <w:r w:rsidRPr="000229AD">
              <w:rPr>
                <w:sz w:val="22"/>
                <w:lang w:val="fr-FR"/>
              </w:rPr>
              <w:t>intervention en cas d</w:t>
            </w:r>
            <w:r w:rsidR="00125408" w:rsidRPr="000229AD">
              <w:rPr>
                <w:sz w:val="22"/>
                <w:lang w:val="fr-FR"/>
              </w:rPr>
              <w:t>'</w:t>
            </w:r>
            <w:r w:rsidRPr="000229AD">
              <w:rPr>
                <w:sz w:val="22"/>
                <w:lang w:val="fr-FR"/>
              </w:rPr>
              <w:t>incident à l</w:t>
            </w:r>
            <w:r w:rsidR="00125408" w:rsidRPr="000229AD">
              <w:rPr>
                <w:sz w:val="22"/>
                <w:lang w:val="fr-FR"/>
              </w:rPr>
              <w:t>'</w:t>
            </w:r>
            <w:r w:rsidRPr="000229AD">
              <w:rPr>
                <w:sz w:val="22"/>
                <w:lang w:val="fr-FR"/>
              </w:rPr>
              <w:t>intention des parties prenantes nationales de trois États Membres de l</w:t>
            </w:r>
            <w:r w:rsidR="00125408" w:rsidRPr="000229AD">
              <w:rPr>
                <w:sz w:val="22"/>
                <w:lang w:val="fr-FR"/>
              </w:rPr>
              <w:t>'</w:t>
            </w:r>
            <w:r w:rsidRPr="000229AD">
              <w:rPr>
                <w:sz w:val="22"/>
                <w:lang w:val="fr-FR"/>
              </w:rPr>
              <w:t>UIT (Bahreïn, Maldives et Émirats arabes unis) afin de renforcer ces acquis.</w:t>
            </w:r>
          </w:p>
          <w:p w14:paraId="4094A93F" w14:textId="00F94765" w:rsidR="00EA2FD3" w:rsidRPr="000229AD" w:rsidRDefault="00EA2FD3" w:rsidP="00716C22">
            <w:pPr>
              <w:pStyle w:val="enumlev1"/>
              <w:ind w:left="312" w:hanging="312"/>
              <w:rPr>
                <w:sz w:val="22"/>
                <w:lang w:val="fr-FR"/>
              </w:rPr>
            </w:pPr>
            <w:r w:rsidRPr="000229AD">
              <w:rPr>
                <w:sz w:val="22"/>
                <w:lang w:val="fr-FR"/>
              </w:rPr>
              <w:t>•</w:t>
            </w:r>
            <w:r w:rsidRPr="000229AD">
              <w:rPr>
                <w:sz w:val="22"/>
                <w:lang w:val="fr-FR"/>
              </w:rPr>
              <w:tab/>
            </w:r>
            <w:r w:rsidRPr="000229AD">
              <w:rPr>
                <w:b/>
                <w:bCs/>
                <w:sz w:val="22"/>
                <w:lang w:val="fr-FR"/>
              </w:rPr>
              <w:t>Dans la région Afrique</w:t>
            </w:r>
            <w:r w:rsidRPr="000229AD">
              <w:rPr>
                <w:sz w:val="22"/>
                <w:lang w:val="fr-FR"/>
              </w:rPr>
              <w:t>, le programme "Les femmes dans le secteur de la cybersécurité", ciblant spécifiquement les femmes intéressées par des carrières dans le domaine de la cybersécurité, a permis à 153 femmes d</w:t>
            </w:r>
            <w:r w:rsidR="00125408" w:rsidRPr="000229AD">
              <w:rPr>
                <w:sz w:val="22"/>
                <w:lang w:val="fr-FR"/>
              </w:rPr>
              <w:t>'</w:t>
            </w:r>
            <w:r w:rsidRPr="000229AD">
              <w:rPr>
                <w:sz w:val="22"/>
                <w:lang w:val="fr-FR"/>
              </w:rPr>
              <w:t>acquérir les compétences nécessaires pour prétendre à des postes dans le secteur à travers un dispositif de mentorat, des formations et des ateliers stimulants. En outre, plus de 350 participants ont participé à des ateliers techniques dans le cadre du cyberexercice réalisé au Malawi, qui a permis de renforcer les capacités d</w:t>
            </w:r>
            <w:r w:rsidR="00125408" w:rsidRPr="000229AD">
              <w:rPr>
                <w:sz w:val="22"/>
                <w:lang w:val="fr-FR"/>
              </w:rPr>
              <w:t>'</w:t>
            </w:r>
            <w:r w:rsidRPr="000229AD">
              <w:rPr>
                <w:sz w:val="22"/>
                <w:lang w:val="fr-FR"/>
              </w:rPr>
              <w:t>intervention en cas d</w:t>
            </w:r>
            <w:r w:rsidR="00125408" w:rsidRPr="000229AD">
              <w:rPr>
                <w:sz w:val="22"/>
                <w:lang w:val="fr-FR"/>
              </w:rPr>
              <w:t>'</w:t>
            </w:r>
            <w:r w:rsidRPr="000229AD">
              <w:rPr>
                <w:sz w:val="22"/>
                <w:lang w:val="fr-FR"/>
              </w:rPr>
              <w:t>incident dans plus de 20 États Membres de la région.</w:t>
            </w:r>
          </w:p>
          <w:p w14:paraId="222DA2EA" w14:textId="5BBEA44D" w:rsidR="00EA2FD3" w:rsidRPr="000229AD" w:rsidRDefault="00EA2FD3" w:rsidP="00716C22">
            <w:pPr>
              <w:pStyle w:val="enumlev1"/>
              <w:ind w:left="312" w:hanging="312"/>
              <w:rPr>
                <w:sz w:val="22"/>
                <w:lang w:val="fr-FR"/>
              </w:rPr>
            </w:pPr>
            <w:r w:rsidRPr="000229AD">
              <w:rPr>
                <w:sz w:val="22"/>
                <w:lang w:val="fr-FR"/>
              </w:rPr>
              <w:tab/>
              <w:t>Plusieurs ateliers visant à renforcer les compétences en cybersécurité et à autonomiser les femmes sur le terrain ont été organisés dans le cadre du programme. L</w:t>
            </w:r>
            <w:r w:rsidR="00125408" w:rsidRPr="000229AD">
              <w:rPr>
                <w:sz w:val="22"/>
                <w:lang w:val="fr-FR"/>
              </w:rPr>
              <w:t>'</w:t>
            </w:r>
            <w:r w:rsidRPr="000229AD">
              <w:rPr>
                <w:sz w:val="22"/>
                <w:lang w:val="fr-FR"/>
              </w:rPr>
              <w:t xml:space="preserve">initiative "HerCyberTracks", destinée plus particulièrement aux participants des régions </w:t>
            </w:r>
            <w:r w:rsidRPr="000229AD">
              <w:rPr>
                <w:b/>
                <w:bCs/>
                <w:sz w:val="22"/>
                <w:lang w:val="fr-FR"/>
              </w:rPr>
              <w:t>Afrique et Europe</w:t>
            </w:r>
            <w:r w:rsidRPr="000229AD">
              <w:rPr>
                <w:sz w:val="22"/>
                <w:lang w:val="fr-FR"/>
              </w:rPr>
              <w:t>, avait pour objectif de mieux faire connaître la cyberdiplomatie. Cent-un participants de 22 pays de ces régions ont bénéficié de cette initiative.</w:t>
            </w:r>
          </w:p>
          <w:p w14:paraId="4BCFBA5B" w14:textId="01823CD2" w:rsidR="00EA2FD3" w:rsidRPr="000229AD" w:rsidRDefault="00EA2FD3" w:rsidP="00716C22">
            <w:pPr>
              <w:pStyle w:val="enumlev1"/>
              <w:ind w:left="312" w:hanging="312"/>
              <w:rPr>
                <w:sz w:val="22"/>
                <w:lang w:val="fr-FR"/>
              </w:rPr>
            </w:pPr>
            <w:r w:rsidRPr="000229AD">
              <w:rPr>
                <w:sz w:val="22"/>
                <w:lang w:val="fr-FR"/>
              </w:rPr>
              <w:lastRenderedPageBreak/>
              <w:t>•</w:t>
            </w:r>
            <w:r w:rsidRPr="000229AD">
              <w:rPr>
                <w:sz w:val="22"/>
                <w:lang w:val="fr-FR"/>
              </w:rPr>
              <w:tab/>
            </w:r>
            <w:r w:rsidRPr="000229AD">
              <w:rPr>
                <w:b/>
                <w:bCs/>
                <w:sz w:val="22"/>
                <w:lang w:val="fr-FR"/>
              </w:rPr>
              <w:t>Dans la région Amériques</w:t>
            </w:r>
            <w:r w:rsidRPr="000229AD">
              <w:rPr>
                <w:sz w:val="22"/>
                <w:lang w:val="fr-FR"/>
              </w:rPr>
              <w:t>, le BDT a renforcé les connaissances et la collaboration entre les membres de la région ayant mis en place une équipe nationale d</w:t>
            </w:r>
            <w:r w:rsidR="00125408" w:rsidRPr="000229AD">
              <w:rPr>
                <w:sz w:val="22"/>
                <w:lang w:val="fr-FR"/>
              </w:rPr>
              <w:t>'</w:t>
            </w:r>
            <w:r w:rsidRPr="000229AD">
              <w:rPr>
                <w:sz w:val="22"/>
                <w:lang w:val="fr-FR"/>
              </w:rPr>
              <w:t>intervention en cas d</w:t>
            </w:r>
            <w:r w:rsidR="00125408" w:rsidRPr="000229AD">
              <w:rPr>
                <w:sz w:val="22"/>
                <w:lang w:val="fr-FR"/>
              </w:rPr>
              <w:t>'</w:t>
            </w:r>
            <w:r w:rsidRPr="000229AD">
              <w:rPr>
                <w:sz w:val="22"/>
                <w:lang w:val="fr-FR"/>
              </w:rPr>
              <w:t xml:space="preserve">incident informatique (CIRT) grâce à des </w:t>
            </w:r>
            <w:r w:rsidRPr="000229AD">
              <w:rPr>
                <w:b/>
                <w:bCs/>
                <w:sz w:val="22"/>
                <w:lang w:val="fr-FR"/>
              </w:rPr>
              <w:t>cyberexercices régionaux</w:t>
            </w:r>
            <w:r w:rsidRPr="000229AD">
              <w:rPr>
                <w:sz w:val="22"/>
                <w:lang w:val="fr-FR"/>
              </w:rPr>
              <w:t>. Lors du cyberexercice en République dominicaine, plus de 168 participants provenant de plus de 17 pays de la région ont participé à des ateliers techniques, en collaboration avec plus de 8 organisations régionales et internationales. En outre, lors du cyberexercice du Chili, 120 personnes provenant de 11 pays de la région Amériques ont participé à des ateliers techniques animés par 25 intervenants appartenant aux organisations partenaires et au secteur privé. Des femmes de la région ont également pris part à un dispositif de mentorat et participé à des formations et des ateliers stimulants, ce qui leur a permis d</w:t>
            </w:r>
            <w:r w:rsidR="00125408" w:rsidRPr="000229AD">
              <w:rPr>
                <w:sz w:val="22"/>
                <w:lang w:val="fr-FR"/>
              </w:rPr>
              <w:t>'</w:t>
            </w:r>
            <w:r w:rsidRPr="000229AD">
              <w:rPr>
                <w:sz w:val="22"/>
                <w:lang w:val="fr-FR"/>
              </w:rPr>
              <w:t>acquérir les compétences nécessaires pour prétendre à des postes dans le secteur de la cybersécurité dans le cadre du programme "</w:t>
            </w:r>
            <w:r w:rsidRPr="000229AD">
              <w:rPr>
                <w:b/>
                <w:bCs/>
                <w:sz w:val="22"/>
                <w:lang w:val="fr-FR"/>
              </w:rPr>
              <w:t>Les femmes dans le secteur de la cybersécurité</w:t>
            </w:r>
            <w:r w:rsidRPr="000229AD">
              <w:rPr>
                <w:sz w:val="22"/>
                <w:lang w:val="fr-FR"/>
              </w:rPr>
              <w:t xml:space="preserve">". </w:t>
            </w:r>
          </w:p>
          <w:p w14:paraId="7B2D1C9B" w14:textId="663DECEF" w:rsidR="00EA2FD3" w:rsidRPr="000229AD" w:rsidRDefault="00EA2FD3" w:rsidP="00716C22">
            <w:pPr>
              <w:pStyle w:val="enumlev1"/>
              <w:ind w:left="312" w:hanging="312"/>
              <w:rPr>
                <w:sz w:val="22"/>
                <w:lang w:val="fr-FR"/>
              </w:rPr>
            </w:pPr>
            <w:r w:rsidRPr="000229AD">
              <w:rPr>
                <w:sz w:val="22"/>
                <w:lang w:val="fr-FR"/>
              </w:rPr>
              <w:t>•</w:t>
            </w:r>
            <w:r w:rsidRPr="000229AD">
              <w:rPr>
                <w:sz w:val="22"/>
                <w:lang w:val="fr-FR"/>
              </w:rPr>
              <w:tab/>
            </w:r>
            <w:r w:rsidRPr="000229AD">
              <w:rPr>
                <w:b/>
                <w:bCs/>
                <w:sz w:val="22"/>
                <w:lang w:val="fr-FR"/>
              </w:rPr>
              <w:t>Dans la région des États arabes</w:t>
            </w:r>
            <w:r w:rsidRPr="000229AD">
              <w:rPr>
                <w:sz w:val="22"/>
                <w:lang w:val="fr-FR"/>
              </w:rPr>
              <w:t>, des formations au niveau national ont permis de mieux faire connaître l</w:t>
            </w:r>
            <w:r w:rsidR="00125408" w:rsidRPr="000229AD">
              <w:rPr>
                <w:sz w:val="22"/>
                <w:lang w:val="fr-FR"/>
              </w:rPr>
              <w:t>'</w:t>
            </w:r>
            <w:r w:rsidRPr="000229AD">
              <w:rPr>
                <w:sz w:val="22"/>
                <w:lang w:val="fr-FR"/>
              </w:rPr>
              <w:t>Indice mondial de cybersécurité et ont encouragé l</w:t>
            </w:r>
            <w:r w:rsidR="00125408" w:rsidRPr="000229AD">
              <w:rPr>
                <w:sz w:val="22"/>
                <w:lang w:val="fr-FR"/>
              </w:rPr>
              <w:t>'</w:t>
            </w:r>
            <w:r w:rsidRPr="000229AD">
              <w:rPr>
                <w:sz w:val="22"/>
                <w:lang w:val="fr-FR"/>
              </w:rPr>
              <w:t>utilisation de ce dernier pour renforcer les engagements pris en matière de cybersécurité ainsi que la coordination interne. Les compétences techniques des participants ayant suivi celles-ci ont été renforcées grâce à des ateliers pratiques qui leur ont permis d</w:t>
            </w:r>
            <w:r w:rsidR="00125408" w:rsidRPr="000229AD">
              <w:rPr>
                <w:sz w:val="22"/>
                <w:lang w:val="fr-FR"/>
              </w:rPr>
              <w:t>'</w:t>
            </w:r>
            <w:r w:rsidRPr="000229AD">
              <w:rPr>
                <w:sz w:val="22"/>
                <w:lang w:val="fr-FR"/>
              </w:rPr>
              <w:t>acquérir des connaissances et d</w:t>
            </w:r>
            <w:r w:rsidR="00125408" w:rsidRPr="000229AD">
              <w:rPr>
                <w:sz w:val="22"/>
                <w:lang w:val="fr-FR"/>
              </w:rPr>
              <w:t>'</w:t>
            </w:r>
            <w:r w:rsidRPr="000229AD">
              <w:rPr>
                <w:sz w:val="22"/>
                <w:lang w:val="fr-FR"/>
              </w:rPr>
              <w:t>établir des contacts dans le cadre de deux manifestations différentes (</w:t>
            </w:r>
            <w:r w:rsidRPr="000229AD">
              <w:rPr>
                <w:b/>
                <w:bCs/>
                <w:sz w:val="22"/>
                <w:lang w:val="fr-FR"/>
              </w:rPr>
              <w:t>cyberexercice</w:t>
            </w:r>
            <w:r w:rsidRPr="000229AD">
              <w:rPr>
                <w:sz w:val="22"/>
                <w:lang w:val="fr-FR"/>
              </w:rPr>
              <w:t xml:space="preserve"> interrégional pour les régions des États arabes et de la CEI, Sommet régional sur la cybersécurité de 2023, un atelier régional sur la gestion de la cybersécurité et un atelier sur l</w:t>
            </w:r>
            <w:r w:rsidR="00125408" w:rsidRPr="000229AD">
              <w:rPr>
                <w:sz w:val="22"/>
                <w:lang w:val="fr-FR"/>
              </w:rPr>
              <w:t>'</w:t>
            </w:r>
            <w:r w:rsidRPr="000229AD">
              <w:rPr>
                <w:sz w:val="22"/>
                <w:lang w:val="fr-FR"/>
              </w:rPr>
              <w:t>Indice mondial de cybersécurité pour Bahreïn). En outre, dans le cadre du programme "Les femmes dans le secteur de la cybersécurité", 106 femmes de la région des États arabes ont pris part à un dispositif de mentorat et participé à des formations et des ateliers stimulants, leur permettant d</w:t>
            </w:r>
            <w:r w:rsidR="00125408" w:rsidRPr="000229AD">
              <w:rPr>
                <w:sz w:val="22"/>
                <w:lang w:val="fr-FR"/>
              </w:rPr>
              <w:t>'</w:t>
            </w:r>
            <w:r w:rsidRPr="000229AD">
              <w:rPr>
                <w:sz w:val="22"/>
                <w:lang w:val="fr-FR"/>
              </w:rPr>
              <w:t xml:space="preserve">acquérir les compétences nécessaires pour prétendre à des postes dans le secteur de la cybersécurité. </w:t>
            </w:r>
          </w:p>
          <w:p w14:paraId="0CAF6790" w14:textId="7166C8FB" w:rsidR="00EA2FD3" w:rsidRPr="000229AD" w:rsidRDefault="00EA2FD3" w:rsidP="00716C22">
            <w:pPr>
              <w:pStyle w:val="enumlev1"/>
              <w:ind w:left="312" w:hanging="312"/>
              <w:rPr>
                <w:sz w:val="22"/>
                <w:lang w:val="fr-FR"/>
              </w:rPr>
            </w:pPr>
            <w:r w:rsidRPr="000229AD">
              <w:rPr>
                <w:sz w:val="22"/>
                <w:lang w:val="fr-FR"/>
              </w:rPr>
              <w:t>•</w:t>
            </w:r>
            <w:r w:rsidRPr="000229AD">
              <w:rPr>
                <w:sz w:val="22"/>
                <w:lang w:val="fr-FR"/>
              </w:rPr>
              <w:tab/>
            </w:r>
            <w:r w:rsidRPr="000229AD">
              <w:rPr>
                <w:b/>
                <w:bCs/>
                <w:sz w:val="22"/>
                <w:lang w:val="fr-FR"/>
              </w:rPr>
              <w:t>Dans la région Asie-Pacifique</w:t>
            </w:r>
            <w:r w:rsidRPr="000229AD">
              <w:rPr>
                <w:sz w:val="22"/>
                <w:lang w:val="fr-FR"/>
              </w:rPr>
              <w:t>, dans le cadre du projet "</w:t>
            </w:r>
            <w:r w:rsidRPr="000229AD">
              <w:rPr>
                <w:b/>
                <w:bCs/>
                <w:sz w:val="22"/>
                <w:lang w:val="fr-FR"/>
              </w:rPr>
              <w:t>La cybersécurité au service du bien social</w:t>
            </w:r>
            <w:r w:rsidRPr="000229AD">
              <w:rPr>
                <w:sz w:val="22"/>
                <w:lang w:val="fr-FR"/>
              </w:rPr>
              <w:t>", le BDT a collaboré avec les pays les moins avancés pour renforcer leurs capacités en matière de cybersécurité. Des partenaires (Membres du Secteur de l</w:t>
            </w:r>
            <w:r w:rsidR="00125408" w:rsidRPr="000229AD">
              <w:rPr>
                <w:sz w:val="22"/>
                <w:lang w:val="fr-FR"/>
              </w:rPr>
              <w:t>'</w:t>
            </w:r>
            <w:r w:rsidRPr="000229AD">
              <w:rPr>
                <w:sz w:val="22"/>
                <w:lang w:val="fr-FR"/>
              </w:rPr>
              <w:t>UIT-D) ont dispensé une formation à la cybersécurité au Timor-Leste, et fourni un appui technique au Bhoutan et au Timor</w:t>
            </w:r>
            <w:r w:rsidRPr="000229AD">
              <w:rPr>
                <w:sz w:val="22"/>
                <w:lang w:val="fr-FR"/>
              </w:rPr>
              <w:noBreakHyphen/>
              <w:t>Leste. Dans le cadre du "Programme d</w:t>
            </w:r>
            <w:r w:rsidR="00125408" w:rsidRPr="000229AD">
              <w:rPr>
                <w:sz w:val="22"/>
                <w:lang w:val="fr-FR"/>
              </w:rPr>
              <w:t>'</w:t>
            </w:r>
            <w:r w:rsidRPr="000229AD">
              <w:rPr>
                <w:sz w:val="22"/>
                <w:lang w:val="fr-FR"/>
              </w:rPr>
              <w:t>intervention en cas d</w:t>
            </w:r>
            <w:r w:rsidR="00125408" w:rsidRPr="000229AD">
              <w:rPr>
                <w:sz w:val="22"/>
                <w:lang w:val="fr-FR"/>
              </w:rPr>
              <w:t>'</w:t>
            </w:r>
            <w:r w:rsidRPr="000229AD">
              <w:rPr>
                <w:sz w:val="22"/>
                <w:lang w:val="fr-FR"/>
              </w:rPr>
              <w:t>incident", le BDT a fourni une assistance technique aux Maldives par l</w:t>
            </w:r>
            <w:r w:rsidR="00125408" w:rsidRPr="000229AD">
              <w:rPr>
                <w:sz w:val="22"/>
                <w:lang w:val="fr-FR"/>
              </w:rPr>
              <w:t>'</w:t>
            </w:r>
            <w:r w:rsidRPr="000229AD">
              <w:rPr>
                <w:sz w:val="22"/>
                <w:lang w:val="fr-FR"/>
              </w:rPr>
              <w:t>intermédiaire de formations et d</w:t>
            </w:r>
            <w:r w:rsidR="00125408" w:rsidRPr="000229AD">
              <w:rPr>
                <w:sz w:val="22"/>
                <w:lang w:val="fr-FR"/>
              </w:rPr>
              <w:t>'</w:t>
            </w:r>
            <w:r w:rsidRPr="000229AD">
              <w:rPr>
                <w:sz w:val="22"/>
                <w:lang w:val="fr-FR"/>
              </w:rPr>
              <w:t>un rapport sur les lacunes en matière d</w:t>
            </w:r>
            <w:r w:rsidR="00125408" w:rsidRPr="000229AD">
              <w:rPr>
                <w:sz w:val="22"/>
                <w:lang w:val="fr-FR"/>
              </w:rPr>
              <w:t>'</w:t>
            </w:r>
            <w:r w:rsidRPr="000229AD">
              <w:rPr>
                <w:sz w:val="22"/>
                <w:lang w:val="fr-FR"/>
              </w:rPr>
              <w:t>évaluation des capacités. Cette initiative a également suscité des partenariats et des discussions poussées sur les perspectives de collaboration pour améliorer les capacités d</w:t>
            </w:r>
            <w:r w:rsidR="00125408" w:rsidRPr="000229AD">
              <w:rPr>
                <w:sz w:val="22"/>
                <w:lang w:val="fr-FR"/>
              </w:rPr>
              <w:t>'</w:t>
            </w:r>
            <w:r w:rsidRPr="000229AD">
              <w:rPr>
                <w:sz w:val="22"/>
                <w:lang w:val="fr-FR"/>
              </w:rPr>
              <w:t>intervention en cas d</w:t>
            </w:r>
            <w:r w:rsidR="00125408" w:rsidRPr="000229AD">
              <w:rPr>
                <w:sz w:val="22"/>
                <w:lang w:val="fr-FR"/>
              </w:rPr>
              <w:t>'</w:t>
            </w:r>
            <w:r w:rsidRPr="000229AD">
              <w:rPr>
                <w:sz w:val="22"/>
                <w:lang w:val="fr-FR"/>
              </w:rPr>
              <w:t>incident. En outre, dans le cadre du programme "Les femmes dans le secteur de la cybersécurité", 44 femmes de la région Asie-Pacifique ont bénéficié d</w:t>
            </w:r>
            <w:r w:rsidR="00125408" w:rsidRPr="000229AD">
              <w:rPr>
                <w:sz w:val="22"/>
                <w:lang w:val="fr-FR"/>
              </w:rPr>
              <w:t>'</w:t>
            </w:r>
            <w:r w:rsidRPr="000229AD">
              <w:rPr>
                <w:sz w:val="22"/>
                <w:lang w:val="fr-FR"/>
              </w:rPr>
              <w:t>un dispositif de mentorat et participé à des formations et des ateliers stimulants, leur permettant d</w:t>
            </w:r>
            <w:r w:rsidR="00125408" w:rsidRPr="000229AD">
              <w:rPr>
                <w:sz w:val="22"/>
                <w:lang w:val="fr-FR"/>
              </w:rPr>
              <w:t>'</w:t>
            </w:r>
            <w:r w:rsidRPr="000229AD">
              <w:rPr>
                <w:sz w:val="22"/>
                <w:lang w:val="fr-FR"/>
              </w:rPr>
              <w:t>acquérir les compétences nécessaires pour prétendre à des postes dans le secteur de la cybersécurité.</w:t>
            </w:r>
          </w:p>
          <w:p w14:paraId="4024BF87" w14:textId="046BA327" w:rsidR="00EA2FD3" w:rsidRPr="000229AD" w:rsidRDefault="00EA2FD3" w:rsidP="00716C22">
            <w:pPr>
              <w:pStyle w:val="enumlev1"/>
              <w:spacing w:after="40"/>
              <w:ind w:left="312" w:hanging="312"/>
              <w:rPr>
                <w:sz w:val="22"/>
                <w:lang w:val="fr-FR"/>
              </w:rPr>
            </w:pPr>
            <w:r w:rsidRPr="000229AD">
              <w:rPr>
                <w:sz w:val="22"/>
                <w:lang w:val="fr-FR"/>
              </w:rPr>
              <w:tab/>
              <w:t>Par ailleurs, l</w:t>
            </w:r>
            <w:r w:rsidR="00125408" w:rsidRPr="000229AD">
              <w:rPr>
                <w:sz w:val="22"/>
                <w:lang w:val="fr-FR"/>
              </w:rPr>
              <w:t>'</w:t>
            </w:r>
            <w:r w:rsidRPr="000229AD">
              <w:rPr>
                <w:sz w:val="22"/>
                <w:lang w:val="fr-FR"/>
              </w:rPr>
              <w:t>UIT a lancé, avec l</w:t>
            </w:r>
            <w:r w:rsidR="00125408" w:rsidRPr="000229AD">
              <w:rPr>
                <w:sz w:val="22"/>
                <w:lang w:val="fr-FR"/>
              </w:rPr>
              <w:t>'</w:t>
            </w:r>
            <w:r w:rsidRPr="000229AD">
              <w:rPr>
                <w:sz w:val="22"/>
                <w:lang w:val="fr-FR"/>
              </w:rPr>
              <w:t>appui du Ministère japonais des affaires intérieures et des communications, le projet "</w:t>
            </w:r>
            <w:r w:rsidRPr="000229AD">
              <w:rPr>
                <w:b/>
                <w:bCs/>
                <w:sz w:val="22"/>
                <w:lang w:val="fr-FR"/>
              </w:rPr>
              <w:t>Stratégies pour la cybersécurité dans la région du Pacifique</w:t>
            </w:r>
            <w:r w:rsidRPr="000229AD">
              <w:rPr>
                <w:sz w:val="22"/>
                <w:lang w:val="fr-FR"/>
              </w:rPr>
              <w:t>", dont l</w:t>
            </w:r>
            <w:r w:rsidR="00125408" w:rsidRPr="000229AD">
              <w:rPr>
                <w:sz w:val="22"/>
                <w:lang w:val="fr-FR"/>
              </w:rPr>
              <w:t>'</w:t>
            </w:r>
            <w:r w:rsidRPr="000229AD">
              <w:rPr>
                <w:sz w:val="22"/>
                <w:lang w:val="fr-FR"/>
              </w:rPr>
              <w:t>objectif est de développer et de renforcer les capacités en matière de cybersécurité grâce à l</w:t>
            </w:r>
            <w:r w:rsidR="00125408" w:rsidRPr="000229AD">
              <w:rPr>
                <w:sz w:val="22"/>
                <w:lang w:val="fr-FR"/>
              </w:rPr>
              <w:t>'</w:t>
            </w:r>
            <w:r w:rsidRPr="000229AD">
              <w:rPr>
                <w:sz w:val="22"/>
                <w:lang w:val="fr-FR"/>
              </w:rPr>
              <w:t>élaboration d</w:t>
            </w:r>
            <w:r w:rsidR="00125408" w:rsidRPr="000229AD">
              <w:rPr>
                <w:sz w:val="22"/>
                <w:lang w:val="fr-FR"/>
              </w:rPr>
              <w:t>'</w:t>
            </w:r>
            <w:r w:rsidRPr="000229AD">
              <w:rPr>
                <w:sz w:val="22"/>
                <w:lang w:val="fr-FR"/>
              </w:rPr>
              <w:t xml:space="preserve">un programme aboutissant à une certification dans le domaine destiné aux professionnels en début de carrière. Le programme porte avant tout sur le renforcement des capacités dans les États Membres insulaires du Pacifique. </w:t>
            </w:r>
          </w:p>
          <w:p w14:paraId="5CD46B11" w14:textId="2AAFA540" w:rsidR="00EA2FD3" w:rsidRPr="000229AD" w:rsidRDefault="00EA2FD3" w:rsidP="00716C22">
            <w:pPr>
              <w:pStyle w:val="enumlev1"/>
              <w:ind w:left="312" w:hanging="312"/>
              <w:rPr>
                <w:sz w:val="22"/>
                <w:lang w:val="fr-FR"/>
              </w:rPr>
            </w:pPr>
            <w:r w:rsidRPr="000229AD">
              <w:rPr>
                <w:sz w:val="22"/>
                <w:lang w:val="fr-FR"/>
              </w:rPr>
              <w:lastRenderedPageBreak/>
              <w:t>•</w:t>
            </w:r>
            <w:r w:rsidRPr="000229AD">
              <w:rPr>
                <w:sz w:val="22"/>
                <w:lang w:val="fr-FR"/>
              </w:rPr>
              <w:tab/>
            </w:r>
            <w:r w:rsidRPr="000229AD">
              <w:rPr>
                <w:b/>
                <w:bCs/>
                <w:sz w:val="22"/>
                <w:lang w:val="fr-FR"/>
              </w:rPr>
              <w:t>Dans la région de la CEI</w:t>
            </w:r>
            <w:r w:rsidRPr="000229AD">
              <w:rPr>
                <w:sz w:val="22"/>
                <w:lang w:val="fr-FR"/>
              </w:rPr>
              <w:t>, tout au long de l</w:t>
            </w:r>
            <w:r w:rsidR="00125408" w:rsidRPr="000229AD">
              <w:rPr>
                <w:sz w:val="22"/>
                <w:lang w:val="fr-FR"/>
              </w:rPr>
              <w:t>'</w:t>
            </w:r>
            <w:r w:rsidRPr="000229AD">
              <w:rPr>
                <w:sz w:val="22"/>
                <w:lang w:val="fr-FR"/>
              </w:rPr>
              <w:t>année, un appui continu a été fourni, notamment pour la participation à des manifestations spéciales dans la région, dans le but d</w:t>
            </w:r>
            <w:r w:rsidR="00125408" w:rsidRPr="000229AD">
              <w:rPr>
                <w:sz w:val="22"/>
                <w:lang w:val="fr-FR"/>
              </w:rPr>
              <w:t>'</w:t>
            </w:r>
            <w:r w:rsidRPr="000229AD">
              <w:rPr>
                <w:sz w:val="22"/>
                <w:lang w:val="fr-FR"/>
              </w:rPr>
              <w:t>améliorer la communication et la mise en commun des connaissances et des meilleures pratiques entre les pays. Les PosiHackDays se sont appuyés sur l</w:t>
            </w:r>
            <w:r w:rsidR="00125408" w:rsidRPr="000229AD">
              <w:rPr>
                <w:sz w:val="22"/>
                <w:lang w:val="fr-FR"/>
              </w:rPr>
              <w:t>'</w:t>
            </w:r>
            <w:r w:rsidRPr="000229AD">
              <w:rPr>
                <w:sz w:val="22"/>
                <w:lang w:val="fr-FR"/>
              </w:rPr>
              <w:t>expérience des CIRT nationaux de l</w:t>
            </w:r>
            <w:r w:rsidR="00125408" w:rsidRPr="000229AD">
              <w:rPr>
                <w:sz w:val="22"/>
                <w:lang w:val="fr-FR"/>
              </w:rPr>
              <w:t>'</w:t>
            </w:r>
            <w:r w:rsidRPr="000229AD">
              <w:rPr>
                <w:sz w:val="22"/>
                <w:lang w:val="fr-FR"/>
              </w:rPr>
              <w:t>UIT pour renforcer la cyberrésilience des pays et protéger les infrastructures essentielles de l</w:t>
            </w:r>
            <w:r w:rsidR="00125408" w:rsidRPr="000229AD">
              <w:rPr>
                <w:sz w:val="22"/>
                <w:lang w:val="fr-FR"/>
              </w:rPr>
              <w:t>'</w:t>
            </w:r>
            <w:r w:rsidRPr="000229AD">
              <w:rPr>
                <w:sz w:val="22"/>
                <w:lang w:val="fr-FR"/>
              </w:rPr>
              <w:t>information. Les participants ont également étudié le rôle des stratégies et politiques nationales en matière de cybersécurité, de renforcement des capacités, de planification des interventions en cas d</w:t>
            </w:r>
            <w:r w:rsidR="00125408" w:rsidRPr="000229AD">
              <w:rPr>
                <w:sz w:val="22"/>
                <w:lang w:val="fr-FR"/>
              </w:rPr>
              <w:t>'</w:t>
            </w:r>
            <w:r w:rsidRPr="000229AD">
              <w:rPr>
                <w:sz w:val="22"/>
                <w:lang w:val="fr-FR"/>
              </w:rPr>
              <w:t xml:space="preserve">incident et de coopération internationale dans le renforcement de la cyberrésilience. </w:t>
            </w:r>
          </w:p>
          <w:p w14:paraId="5C1C60E3" w14:textId="49EC289F" w:rsidR="00EA2FD3" w:rsidRPr="000229AD" w:rsidRDefault="00EA2FD3" w:rsidP="00716C22">
            <w:pPr>
              <w:pStyle w:val="enumlev1"/>
              <w:ind w:left="312" w:hanging="312"/>
              <w:rPr>
                <w:sz w:val="22"/>
                <w:lang w:val="fr-FR"/>
              </w:rPr>
            </w:pPr>
            <w:r w:rsidRPr="000229AD">
              <w:rPr>
                <w:sz w:val="22"/>
                <w:lang w:val="fr-FR"/>
              </w:rPr>
              <w:tab/>
              <w:t>Dans le cadre du Forum international sur le numérique "Digital Almaty", qui s</w:t>
            </w:r>
            <w:r w:rsidR="00125408" w:rsidRPr="000229AD">
              <w:rPr>
                <w:sz w:val="22"/>
                <w:lang w:val="fr-FR"/>
              </w:rPr>
              <w:t>'</w:t>
            </w:r>
            <w:r w:rsidRPr="000229AD">
              <w:rPr>
                <w:sz w:val="22"/>
                <w:lang w:val="fr-FR"/>
              </w:rPr>
              <w:t>est tenu au Kazakhstan les 2 et 3 février 2023, une table ronde a été organisée sur la sécurité internationale de l</w:t>
            </w:r>
            <w:r w:rsidR="00125408" w:rsidRPr="000229AD">
              <w:rPr>
                <w:sz w:val="22"/>
                <w:lang w:val="fr-FR"/>
              </w:rPr>
              <w:t>'</w:t>
            </w:r>
            <w:r w:rsidRPr="000229AD">
              <w:rPr>
                <w:sz w:val="22"/>
                <w:lang w:val="fr-FR"/>
              </w:rPr>
              <w:t>information et comprenait des interventions sur la stratégie sectorielle, la réglementation, les technologies d</w:t>
            </w:r>
            <w:r w:rsidR="00125408" w:rsidRPr="000229AD">
              <w:rPr>
                <w:sz w:val="22"/>
                <w:lang w:val="fr-FR"/>
              </w:rPr>
              <w:t>'</w:t>
            </w:r>
            <w:r w:rsidRPr="000229AD">
              <w:rPr>
                <w:sz w:val="22"/>
                <w:lang w:val="fr-FR"/>
              </w:rPr>
              <w:t xml:space="preserve">intelligence artificielle et le travail des organisations régionales en matière de prévention des conflits dans le cyberespace grâce à la diplomatie multilatérale. </w:t>
            </w:r>
          </w:p>
          <w:p w14:paraId="47BDCC04" w14:textId="77777777" w:rsidR="00EA2FD3" w:rsidRPr="000229AD" w:rsidRDefault="00EA2FD3" w:rsidP="00716C22">
            <w:pPr>
              <w:pStyle w:val="enumlev1"/>
              <w:ind w:left="312" w:hanging="312"/>
              <w:rPr>
                <w:sz w:val="22"/>
                <w:lang w:val="fr-FR"/>
              </w:rPr>
            </w:pPr>
            <w:r w:rsidRPr="000229AD">
              <w:rPr>
                <w:sz w:val="22"/>
                <w:lang w:val="fr-FR"/>
              </w:rPr>
              <w:tab/>
              <w:t xml:space="preserve">Le 17 mai 2023, le BDT a contribué à un sommet sur la cybersécurité organisé dans le cadre de la manifestation M360 Eurasia organisée par GSMA. </w:t>
            </w:r>
          </w:p>
          <w:p w14:paraId="57489057" w14:textId="19A0BE28" w:rsidR="00EA2FD3" w:rsidRPr="000229AD" w:rsidRDefault="00EA2FD3" w:rsidP="00716C22">
            <w:pPr>
              <w:pStyle w:val="enumlev1"/>
              <w:ind w:left="312" w:hanging="312"/>
              <w:rPr>
                <w:sz w:val="22"/>
                <w:lang w:val="fr-FR"/>
              </w:rPr>
            </w:pPr>
            <w:r w:rsidRPr="000229AD">
              <w:rPr>
                <w:sz w:val="22"/>
                <w:lang w:val="fr-FR"/>
              </w:rPr>
              <w:tab/>
              <w:t>Plus de 20 représentants de la région de la CEI ont participé au cyberexercice interrégional pour les États arabes et la CEI qui s</w:t>
            </w:r>
            <w:r w:rsidR="00125408" w:rsidRPr="000229AD">
              <w:rPr>
                <w:sz w:val="22"/>
                <w:lang w:val="fr-FR"/>
              </w:rPr>
              <w:t>'</w:t>
            </w:r>
            <w:r w:rsidRPr="000229AD">
              <w:rPr>
                <w:sz w:val="22"/>
                <w:lang w:val="fr-FR"/>
              </w:rPr>
              <w:t>est tenu à Abu Dhabi (Émirats arabes unis) les 9 et 10 octobre 2023. Les représentants des CIRT nationaux ont simulé des interventions pour faire face à des cyberattaques sur la base de six scénarios réalistes et ont participé à des formations dispensées par des experts de premier plan du Centre des Nations Unies pour la lutte contre le terrorisme et de Positive Technologies, une société spécialisée dans les solutions personnalisées en matière de sécurité de l</w:t>
            </w:r>
            <w:r w:rsidR="00125408" w:rsidRPr="000229AD">
              <w:rPr>
                <w:sz w:val="22"/>
                <w:lang w:val="fr-FR"/>
              </w:rPr>
              <w:t>'</w:t>
            </w:r>
            <w:r w:rsidRPr="000229AD">
              <w:rPr>
                <w:sz w:val="22"/>
                <w:lang w:val="fr-FR"/>
              </w:rPr>
              <w:t>information. Les participants du cyberexercice comprenaient des représentants de l</w:t>
            </w:r>
            <w:r w:rsidR="00125408" w:rsidRPr="000229AD">
              <w:rPr>
                <w:sz w:val="22"/>
                <w:lang w:val="fr-FR"/>
              </w:rPr>
              <w:t>'</w:t>
            </w:r>
            <w:r w:rsidRPr="000229AD">
              <w:rPr>
                <w:sz w:val="22"/>
                <w:lang w:val="fr-FR"/>
              </w:rPr>
              <w:t>Azerbaïdjan, de l</w:t>
            </w:r>
            <w:r w:rsidR="00125408" w:rsidRPr="000229AD">
              <w:rPr>
                <w:sz w:val="22"/>
                <w:lang w:val="fr-FR"/>
              </w:rPr>
              <w:t>'</w:t>
            </w:r>
            <w:r w:rsidRPr="000229AD">
              <w:rPr>
                <w:sz w:val="22"/>
                <w:lang w:val="fr-FR"/>
              </w:rPr>
              <w:t>Arménie, du Bélarus, du Kazakhstan, du Kirghizistan, de l</w:t>
            </w:r>
            <w:r w:rsidR="00125408" w:rsidRPr="000229AD">
              <w:rPr>
                <w:sz w:val="22"/>
                <w:lang w:val="fr-FR"/>
              </w:rPr>
              <w:t>'</w:t>
            </w:r>
            <w:r w:rsidRPr="000229AD">
              <w:rPr>
                <w:sz w:val="22"/>
                <w:lang w:val="fr-FR"/>
              </w:rPr>
              <w:t>Ouzbékistan, de la Russie, du Tadjikistan et du Turkménistan.</w:t>
            </w:r>
          </w:p>
          <w:p w14:paraId="15D6401C" w14:textId="74109D80" w:rsidR="00EA2FD3" w:rsidRPr="000229AD" w:rsidRDefault="00EA2FD3" w:rsidP="00716C22">
            <w:pPr>
              <w:pStyle w:val="enumlev1"/>
              <w:ind w:left="312" w:hanging="312"/>
              <w:rPr>
                <w:sz w:val="22"/>
                <w:lang w:val="fr-FR"/>
              </w:rPr>
            </w:pPr>
            <w:r w:rsidRPr="000229AD">
              <w:rPr>
                <w:sz w:val="22"/>
                <w:lang w:val="fr-FR"/>
              </w:rPr>
              <w:t>•</w:t>
            </w:r>
            <w:r w:rsidRPr="000229AD">
              <w:rPr>
                <w:sz w:val="22"/>
                <w:lang w:val="fr-FR"/>
              </w:rPr>
              <w:tab/>
            </w:r>
            <w:r w:rsidRPr="000229AD">
              <w:rPr>
                <w:b/>
                <w:bCs/>
                <w:sz w:val="22"/>
                <w:lang w:val="fr-FR"/>
              </w:rPr>
              <w:t>Dans la région Europe</w:t>
            </w:r>
            <w:r w:rsidRPr="000229AD">
              <w:rPr>
                <w:sz w:val="22"/>
                <w:lang w:val="fr-FR"/>
              </w:rPr>
              <w:t>, le BDT a mené des activités de renforcement des capacités à Malte en collaboration avec la Fondation de Malte pour le Bien-être de la Société. Dans le cadre de celles-ci, 80 professionnels ont été formés et certifiés par l</w:t>
            </w:r>
            <w:r w:rsidR="00125408" w:rsidRPr="000229AD">
              <w:rPr>
                <w:sz w:val="22"/>
                <w:lang w:val="fr-FR"/>
              </w:rPr>
              <w:t>'</w:t>
            </w:r>
            <w:r w:rsidRPr="000229AD">
              <w:rPr>
                <w:sz w:val="22"/>
                <w:lang w:val="fr-FR"/>
              </w:rPr>
              <w:t>UIT dans le domaine de la protection en ligne des enfants. Ils peuvent désormais diffuser leurs connaissances et leurs compétences au niveau national. En outre, l</w:t>
            </w:r>
            <w:r w:rsidR="00125408" w:rsidRPr="000229AD">
              <w:rPr>
                <w:sz w:val="22"/>
                <w:lang w:val="fr-FR"/>
              </w:rPr>
              <w:t>'</w:t>
            </w:r>
            <w:r w:rsidRPr="000229AD">
              <w:rPr>
                <w:sz w:val="22"/>
                <w:lang w:val="fr-FR"/>
              </w:rPr>
              <w:t>UIT a signé une déclaration commune avec la Fondation de Malte pour le Bien-être de la Société en vue de poursuivre leur collaboration sur les questions de protection en ligne des enfants. Le BDT a également contribué à la traduction et à la diffusion en Serbie de ses lignes directrices sur la protection en ligne des enfants, en coopération avec le Ministère de l</w:t>
            </w:r>
            <w:r w:rsidR="00125408" w:rsidRPr="000229AD">
              <w:rPr>
                <w:sz w:val="22"/>
                <w:lang w:val="fr-FR"/>
              </w:rPr>
              <w:t>'</w:t>
            </w:r>
            <w:r w:rsidRPr="000229AD">
              <w:rPr>
                <w:sz w:val="22"/>
                <w:lang w:val="fr-FR"/>
              </w:rPr>
              <w:t>information et des télécommunications. En Albanie, le BDT a contribué à la fin du déploiement du "Projet mondial sur la protection en ligne des enfants". La réunion de clôture réunissant les parties prenantes a eu lieu en décembre 2023. Les lignes directrices ont également été traduites dans d</w:t>
            </w:r>
            <w:r w:rsidR="00125408" w:rsidRPr="000229AD">
              <w:rPr>
                <w:sz w:val="22"/>
                <w:lang w:val="fr-FR"/>
              </w:rPr>
              <w:t>'</w:t>
            </w:r>
            <w:r w:rsidRPr="000229AD">
              <w:rPr>
                <w:sz w:val="22"/>
                <w:lang w:val="fr-FR"/>
              </w:rPr>
              <w:t>autres langues dont: l</w:t>
            </w:r>
            <w:r w:rsidR="00125408" w:rsidRPr="000229AD">
              <w:rPr>
                <w:sz w:val="22"/>
                <w:lang w:val="fr-FR"/>
              </w:rPr>
              <w:t>'</w:t>
            </w:r>
            <w:r w:rsidRPr="000229AD">
              <w:rPr>
                <w:sz w:val="22"/>
                <w:lang w:val="fr-FR"/>
              </w:rPr>
              <w:t>albanais, l</w:t>
            </w:r>
            <w:r w:rsidR="00125408" w:rsidRPr="000229AD">
              <w:rPr>
                <w:sz w:val="22"/>
                <w:lang w:val="fr-FR"/>
              </w:rPr>
              <w:t>'</w:t>
            </w:r>
            <w:r w:rsidRPr="000229AD">
              <w:rPr>
                <w:sz w:val="22"/>
                <w:lang w:val="fr-FR"/>
              </w:rPr>
              <w:t>amazigh, l</w:t>
            </w:r>
            <w:r w:rsidR="00125408" w:rsidRPr="000229AD">
              <w:rPr>
                <w:sz w:val="22"/>
                <w:lang w:val="fr-FR"/>
              </w:rPr>
              <w:t>'</w:t>
            </w:r>
            <w:r w:rsidRPr="000229AD">
              <w:rPr>
                <w:sz w:val="22"/>
                <w:lang w:val="fr-FR"/>
              </w:rPr>
              <w:t>amharique, l</w:t>
            </w:r>
            <w:r w:rsidR="00125408" w:rsidRPr="000229AD">
              <w:rPr>
                <w:sz w:val="22"/>
                <w:lang w:val="fr-FR"/>
              </w:rPr>
              <w:t>'</w:t>
            </w:r>
            <w:r w:rsidRPr="000229AD">
              <w:rPr>
                <w:sz w:val="22"/>
                <w:lang w:val="fr-FR"/>
              </w:rPr>
              <w:t>arménien, l</w:t>
            </w:r>
            <w:r w:rsidR="00125408" w:rsidRPr="000229AD">
              <w:rPr>
                <w:sz w:val="22"/>
                <w:lang w:val="fr-FR"/>
              </w:rPr>
              <w:t>'</w:t>
            </w:r>
            <w:r w:rsidRPr="000229AD">
              <w:rPr>
                <w:sz w:val="22"/>
                <w:lang w:val="fr-FR"/>
              </w:rPr>
              <w:t>aymara, le bosniaque, le bulgare, le croate, le néerlandais, le hongrois, le bahasa indonesia, le kirghize, le lituanien, le maltais, le mongol (y compris la langue des signes), le nigérian, le quechua, le portugais du Brésil, le roumain, le serbe, le kiswahili, le thaï, le turc, l</w:t>
            </w:r>
            <w:r w:rsidR="00125408" w:rsidRPr="000229AD">
              <w:rPr>
                <w:sz w:val="22"/>
                <w:lang w:val="fr-FR"/>
              </w:rPr>
              <w:t>'</w:t>
            </w:r>
            <w:r w:rsidRPr="000229AD">
              <w:rPr>
                <w:sz w:val="22"/>
                <w:lang w:val="fr-FR"/>
              </w:rPr>
              <w:t>ukrainien et l</w:t>
            </w:r>
            <w:r w:rsidR="00125408" w:rsidRPr="000229AD">
              <w:rPr>
                <w:sz w:val="22"/>
                <w:lang w:val="fr-FR"/>
              </w:rPr>
              <w:t>'</w:t>
            </w:r>
            <w:r w:rsidRPr="000229AD">
              <w:rPr>
                <w:sz w:val="22"/>
                <w:lang w:val="fr-FR"/>
              </w:rPr>
              <w:t>ouzbek.</w:t>
            </w:r>
          </w:p>
          <w:p w14:paraId="5766383B" w14:textId="29227EBA" w:rsidR="00EA2FD3" w:rsidRPr="000229AD" w:rsidRDefault="00EA2FD3" w:rsidP="00716C22">
            <w:pPr>
              <w:pStyle w:val="enumlev1"/>
              <w:ind w:left="312" w:hanging="312"/>
              <w:rPr>
                <w:sz w:val="22"/>
                <w:lang w:val="fr-FR"/>
              </w:rPr>
            </w:pPr>
            <w:r w:rsidRPr="000229AD">
              <w:rPr>
                <w:sz w:val="22"/>
                <w:lang w:val="fr-FR"/>
              </w:rPr>
              <w:tab/>
              <w:t>Plus de 200 parties prenantes provenant de 40 pays des régions Europe et Asie-Pacifique ont participé au cyberexercice de l</w:t>
            </w:r>
            <w:r w:rsidR="00125408" w:rsidRPr="000229AD">
              <w:rPr>
                <w:sz w:val="22"/>
                <w:lang w:val="fr-FR"/>
              </w:rPr>
              <w:t>'</w:t>
            </w:r>
            <w:r w:rsidRPr="000229AD">
              <w:rPr>
                <w:sz w:val="22"/>
                <w:lang w:val="fr-FR"/>
              </w:rPr>
              <w:t>UIT organisé du 28 novembre au 1er décembre 2023 à Chypre sous l</w:t>
            </w:r>
            <w:r w:rsidR="00125408" w:rsidRPr="000229AD">
              <w:rPr>
                <w:sz w:val="22"/>
                <w:lang w:val="fr-FR"/>
              </w:rPr>
              <w:t>'</w:t>
            </w:r>
            <w:r w:rsidRPr="000229AD">
              <w:rPr>
                <w:sz w:val="22"/>
                <w:lang w:val="fr-FR"/>
              </w:rPr>
              <w:t>égide de l</w:t>
            </w:r>
            <w:r w:rsidR="00125408" w:rsidRPr="000229AD">
              <w:rPr>
                <w:sz w:val="22"/>
                <w:lang w:val="fr-FR"/>
              </w:rPr>
              <w:t>'</w:t>
            </w:r>
            <w:r w:rsidRPr="000229AD">
              <w:rPr>
                <w:sz w:val="22"/>
                <w:lang w:val="fr-FR"/>
              </w:rPr>
              <w:t>Autorité chypriote de la sécurité numérique dans le cadre de l</w:t>
            </w:r>
            <w:r w:rsidR="00125408" w:rsidRPr="000229AD">
              <w:rPr>
                <w:sz w:val="22"/>
                <w:lang w:val="fr-FR"/>
              </w:rPr>
              <w:t>'</w:t>
            </w:r>
            <w:r w:rsidRPr="000229AD">
              <w:rPr>
                <w:sz w:val="22"/>
                <w:lang w:val="fr-FR"/>
              </w:rPr>
              <w:t>initiative régionale de l</w:t>
            </w:r>
            <w:r w:rsidR="00125408" w:rsidRPr="000229AD">
              <w:rPr>
                <w:sz w:val="22"/>
                <w:lang w:val="fr-FR"/>
              </w:rPr>
              <w:t>'</w:t>
            </w:r>
            <w:r w:rsidRPr="000229AD">
              <w:rPr>
                <w:sz w:val="22"/>
                <w:lang w:val="fr-FR"/>
              </w:rPr>
              <w:t>UIT-D pour l</w:t>
            </w:r>
            <w:r w:rsidR="00125408" w:rsidRPr="000229AD">
              <w:rPr>
                <w:sz w:val="22"/>
                <w:lang w:val="fr-FR"/>
              </w:rPr>
              <w:t>'</w:t>
            </w:r>
            <w:r w:rsidRPr="000229AD">
              <w:rPr>
                <w:sz w:val="22"/>
                <w:lang w:val="fr-FR"/>
              </w:rPr>
              <w:t>Europe sur la confiance dans l</w:t>
            </w:r>
            <w:r w:rsidR="00125408" w:rsidRPr="000229AD">
              <w:rPr>
                <w:sz w:val="22"/>
                <w:lang w:val="fr-FR"/>
              </w:rPr>
              <w:t>'</w:t>
            </w:r>
            <w:r w:rsidRPr="000229AD">
              <w:rPr>
                <w:sz w:val="22"/>
                <w:lang w:val="fr-FR"/>
              </w:rPr>
              <w:t xml:space="preserve">utilisation des télécommunications/TIC. Cet </w:t>
            </w:r>
            <w:r w:rsidRPr="000229AD">
              <w:rPr>
                <w:sz w:val="22"/>
                <w:lang w:val="fr-FR"/>
              </w:rPr>
              <w:lastRenderedPageBreak/>
              <w:t>exercice a également permis à Chypre de réaffirmer sa volonté de contribuer à l</w:t>
            </w:r>
            <w:r w:rsidR="00125408" w:rsidRPr="000229AD">
              <w:rPr>
                <w:sz w:val="22"/>
                <w:lang w:val="fr-FR"/>
              </w:rPr>
              <w:t>'</w:t>
            </w:r>
            <w:r w:rsidRPr="000229AD">
              <w:rPr>
                <w:sz w:val="22"/>
                <w:lang w:val="fr-FR"/>
              </w:rPr>
              <w:t>amélioration de l</w:t>
            </w:r>
            <w:r w:rsidR="00125408" w:rsidRPr="000229AD">
              <w:rPr>
                <w:sz w:val="22"/>
                <w:lang w:val="fr-FR"/>
              </w:rPr>
              <w:t>'</w:t>
            </w:r>
            <w:r w:rsidRPr="000229AD">
              <w:rPr>
                <w:sz w:val="22"/>
                <w:lang w:val="fr-FR"/>
              </w:rPr>
              <w:t>environnement de la cybersécurité dans la région, conformément à la lettre d</w:t>
            </w:r>
            <w:r w:rsidR="00125408" w:rsidRPr="000229AD">
              <w:rPr>
                <w:sz w:val="22"/>
                <w:lang w:val="fr-FR"/>
              </w:rPr>
              <w:t>'</w:t>
            </w:r>
            <w:r w:rsidRPr="000229AD">
              <w:rPr>
                <w:sz w:val="22"/>
                <w:lang w:val="fr-FR"/>
              </w:rPr>
              <w:t>accord signée avec l</w:t>
            </w:r>
            <w:r w:rsidR="00125408" w:rsidRPr="000229AD">
              <w:rPr>
                <w:sz w:val="22"/>
                <w:lang w:val="fr-FR"/>
              </w:rPr>
              <w:t>'</w:t>
            </w:r>
            <w:r w:rsidRPr="000229AD">
              <w:rPr>
                <w:sz w:val="22"/>
                <w:lang w:val="fr-FR"/>
              </w:rPr>
              <w:t>UIT, qui a jeté les bases de futures activités de collaboration.</w:t>
            </w:r>
          </w:p>
          <w:p w14:paraId="078802E8" w14:textId="44CCFD9E" w:rsidR="00EA2FD3" w:rsidRPr="000229AD" w:rsidRDefault="00EA2FD3" w:rsidP="00716C22">
            <w:pPr>
              <w:pStyle w:val="Tabletext"/>
              <w:spacing w:before="120"/>
              <w:rPr>
                <w:b/>
                <w:bCs/>
                <w:lang w:val="fr-FR"/>
              </w:rPr>
            </w:pPr>
            <w:r w:rsidRPr="000229AD">
              <w:rPr>
                <w:b/>
                <w:bCs/>
                <w:lang w:val="fr-FR"/>
              </w:rPr>
              <w:t>Fourniture d</w:t>
            </w:r>
            <w:r w:rsidR="00125408" w:rsidRPr="000229AD">
              <w:rPr>
                <w:b/>
                <w:bCs/>
                <w:lang w:val="fr-FR"/>
              </w:rPr>
              <w:t>'</w:t>
            </w:r>
            <w:r w:rsidRPr="000229AD">
              <w:rPr>
                <w:b/>
                <w:bCs/>
                <w:lang w:val="fr-FR"/>
              </w:rPr>
              <w:t>une assistance technique</w:t>
            </w:r>
          </w:p>
          <w:p w14:paraId="07E43F19" w14:textId="7CEF9F94" w:rsidR="00EA2FD3" w:rsidRPr="000229AD" w:rsidRDefault="00EA2FD3" w:rsidP="00716C22">
            <w:pPr>
              <w:pStyle w:val="enumlev1"/>
              <w:ind w:left="312" w:hanging="312"/>
              <w:rPr>
                <w:sz w:val="22"/>
                <w:lang w:val="fr-FR"/>
              </w:rPr>
            </w:pPr>
            <w:r w:rsidRPr="000229AD">
              <w:rPr>
                <w:sz w:val="22"/>
                <w:lang w:val="fr-FR"/>
              </w:rPr>
              <w:t>•</w:t>
            </w:r>
            <w:r w:rsidRPr="000229AD">
              <w:rPr>
                <w:sz w:val="22"/>
                <w:lang w:val="fr-FR"/>
              </w:rPr>
              <w:tab/>
            </w:r>
            <w:r w:rsidRPr="000229AD">
              <w:rPr>
                <w:b/>
                <w:bCs/>
                <w:sz w:val="22"/>
                <w:lang w:val="fr-FR"/>
              </w:rPr>
              <w:t>À l</w:t>
            </w:r>
            <w:r w:rsidR="00125408" w:rsidRPr="000229AD">
              <w:rPr>
                <w:b/>
                <w:bCs/>
                <w:sz w:val="22"/>
                <w:lang w:val="fr-FR"/>
              </w:rPr>
              <w:t>'</w:t>
            </w:r>
            <w:r w:rsidRPr="000229AD">
              <w:rPr>
                <w:b/>
                <w:bCs/>
                <w:sz w:val="22"/>
                <w:lang w:val="fr-FR"/>
              </w:rPr>
              <w:t>échelle mondiale</w:t>
            </w:r>
            <w:r w:rsidRPr="000229AD">
              <w:rPr>
                <w:sz w:val="22"/>
                <w:lang w:val="fr-FR"/>
              </w:rPr>
              <w:t xml:space="preserve">, le BDT a aidé sept pays à élaborer leurs </w:t>
            </w:r>
            <w:r w:rsidRPr="000229AD">
              <w:rPr>
                <w:b/>
                <w:bCs/>
                <w:sz w:val="22"/>
                <w:lang w:val="fr-FR"/>
              </w:rPr>
              <w:t>stratégies et plans d</w:t>
            </w:r>
            <w:r w:rsidR="00125408" w:rsidRPr="000229AD">
              <w:rPr>
                <w:b/>
                <w:bCs/>
                <w:sz w:val="22"/>
                <w:lang w:val="fr-FR"/>
              </w:rPr>
              <w:t>'</w:t>
            </w:r>
            <w:r w:rsidRPr="000229AD">
              <w:rPr>
                <w:b/>
                <w:bCs/>
                <w:sz w:val="22"/>
                <w:lang w:val="fr-FR"/>
              </w:rPr>
              <w:t>action nationaux en matière de cybersécurité</w:t>
            </w:r>
            <w:r w:rsidRPr="000229AD">
              <w:rPr>
                <w:sz w:val="22"/>
                <w:lang w:val="fr-FR"/>
              </w:rPr>
              <w:t>. Lors de deux ateliers, le BDT a fourni le savoir-faire technique nécessaire pour définir les objectifs de cybersécurité pour les nouvelles stratégies, et formé 65 participants de deux États Membres à l</w:t>
            </w:r>
            <w:r w:rsidR="00125408" w:rsidRPr="000229AD">
              <w:rPr>
                <w:sz w:val="22"/>
                <w:lang w:val="fr-FR"/>
              </w:rPr>
              <w:t>'</w:t>
            </w:r>
            <w:r w:rsidRPr="000229AD">
              <w:rPr>
                <w:sz w:val="22"/>
                <w:lang w:val="fr-FR"/>
              </w:rPr>
              <w:t>élaboration et à la mise en œuvre de stratégies nationales en matière de cybersécurité. En outre, le BDT a contribué à évaluer l</w:t>
            </w:r>
            <w:r w:rsidR="00125408" w:rsidRPr="000229AD">
              <w:rPr>
                <w:sz w:val="22"/>
                <w:lang w:val="fr-FR"/>
              </w:rPr>
              <w:t>'</w:t>
            </w:r>
            <w:r w:rsidRPr="000229AD">
              <w:rPr>
                <w:sz w:val="22"/>
                <w:lang w:val="fr-FR"/>
              </w:rPr>
              <w:t>état d</w:t>
            </w:r>
            <w:r w:rsidR="00125408" w:rsidRPr="000229AD">
              <w:rPr>
                <w:sz w:val="22"/>
                <w:lang w:val="fr-FR"/>
              </w:rPr>
              <w:t>'</w:t>
            </w:r>
            <w:r w:rsidRPr="000229AD">
              <w:rPr>
                <w:sz w:val="22"/>
                <w:lang w:val="fr-FR"/>
              </w:rPr>
              <w:t>avancement et les mesures prises dans le domaine de la cybersécurité en Mauritanie, en Tanzanie, à Djibouti et au Burkina Faso, en analysant leurs plans d</w:t>
            </w:r>
            <w:r w:rsidR="00125408" w:rsidRPr="000229AD">
              <w:rPr>
                <w:sz w:val="22"/>
                <w:lang w:val="fr-FR"/>
              </w:rPr>
              <w:t>'</w:t>
            </w:r>
            <w:r w:rsidRPr="000229AD">
              <w:rPr>
                <w:sz w:val="22"/>
                <w:lang w:val="fr-FR"/>
              </w:rPr>
              <w:t xml:space="preserve">action nationaux pour la cybersécurité. Le projet </w:t>
            </w:r>
            <w:hyperlink r:id="rId66" w:history="1">
              <w:r w:rsidRPr="000229AD">
                <w:rPr>
                  <w:sz w:val="22"/>
                  <w:lang w:val="fr-FR"/>
                </w:rPr>
                <w:t>"</w:t>
              </w:r>
              <w:r w:rsidRPr="000229AD">
                <w:rPr>
                  <w:rStyle w:val="Hyperlink"/>
                  <w:b/>
                  <w:bCs/>
                  <w:sz w:val="22"/>
                  <w:lang w:val="fr-FR"/>
                </w:rPr>
                <w:t>La cybersécurité au service du bien social</w:t>
              </w:r>
              <w:r w:rsidRPr="000229AD">
                <w:rPr>
                  <w:sz w:val="22"/>
                  <w:lang w:val="fr-FR"/>
                </w:rPr>
                <w:t>"</w:t>
              </w:r>
            </w:hyperlink>
            <w:r w:rsidRPr="000229AD">
              <w:rPr>
                <w:sz w:val="22"/>
                <w:lang w:val="fr-FR"/>
              </w:rPr>
              <w:t>, qui comprenait des évaluations de la situation en matière de cybersécurité, une formation et l</w:t>
            </w:r>
            <w:r w:rsidR="00125408" w:rsidRPr="000229AD">
              <w:rPr>
                <w:sz w:val="22"/>
                <w:lang w:val="fr-FR"/>
              </w:rPr>
              <w:t>'</w:t>
            </w:r>
            <w:r w:rsidRPr="000229AD">
              <w:rPr>
                <w:sz w:val="22"/>
                <w:lang w:val="fr-FR"/>
              </w:rPr>
              <w:t>accès à des outils pour 23 pays les moins avancés, a abouti à des résultats significatifs. Les évaluations ont fourni des orientations claires pour ces pays et ont amélioré leurs stratégies de cybersécurité, en particulier en ce qui concerne la mise en œuvre de ces stratégies et la gestion des vulnérabilités. Dans l</w:t>
            </w:r>
            <w:r w:rsidR="00125408" w:rsidRPr="000229AD">
              <w:rPr>
                <w:sz w:val="22"/>
                <w:lang w:val="fr-FR"/>
              </w:rPr>
              <w:t>'</w:t>
            </w:r>
            <w:r w:rsidRPr="000229AD">
              <w:rPr>
                <w:sz w:val="22"/>
                <w:lang w:val="fr-FR"/>
              </w:rPr>
              <w:t>ensemble, le BDT a renforcé la capacité des États Membres à faire face aux cybermenaces. Des formations et des cyberexercices ont permis d</w:t>
            </w:r>
            <w:r w:rsidR="00125408" w:rsidRPr="000229AD">
              <w:rPr>
                <w:sz w:val="22"/>
                <w:lang w:val="fr-FR"/>
              </w:rPr>
              <w:t>'</w:t>
            </w:r>
            <w:r w:rsidRPr="000229AD">
              <w:rPr>
                <w:sz w:val="22"/>
                <w:lang w:val="fr-FR"/>
              </w:rPr>
              <w:t>améliorer les compétences en matière de cybersécurité de plus de 2 500 professionnels provenant de plus de 140 pays. En outre, le programme a stimulé la coopération interrégionale, ce qui a permis d</w:t>
            </w:r>
            <w:r w:rsidR="00125408" w:rsidRPr="000229AD">
              <w:rPr>
                <w:sz w:val="22"/>
                <w:lang w:val="fr-FR"/>
              </w:rPr>
              <w:t>'</w:t>
            </w:r>
            <w:r w:rsidRPr="000229AD">
              <w:rPr>
                <w:sz w:val="22"/>
                <w:lang w:val="fr-FR"/>
              </w:rPr>
              <w:t>améliorer les compétences en matière d</w:t>
            </w:r>
            <w:r w:rsidR="00125408" w:rsidRPr="000229AD">
              <w:rPr>
                <w:sz w:val="22"/>
                <w:lang w:val="fr-FR"/>
              </w:rPr>
              <w:t>'</w:t>
            </w:r>
            <w:r w:rsidRPr="000229AD">
              <w:rPr>
                <w:sz w:val="22"/>
                <w:lang w:val="fr-FR"/>
              </w:rPr>
              <w:t>intervention en cas d</w:t>
            </w:r>
            <w:r w:rsidR="00125408" w:rsidRPr="000229AD">
              <w:rPr>
                <w:sz w:val="22"/>
                <w:lang w:val="fr-FR"/>
              </w:rPr>
              <w:t>'</w:t>
            </w:r>
            <w:r w:rsidRPr="000229AD">
              <w:rPr>
                <w:sz w:val="22"/>
                <w:lang w:val="fr-FR"/>
              </w:rPr>
              <w:t>incident et le partage d</w:t>
            </w:r>
            <w:r w:rsidR="00125408" w:rsidRPr="000229AD">
              <w:rPr>
                <w:sz w:val="22"/>
                <w:lang w:val="fr-FR"/>
              </w:rPr>
              <w:t>'</w:t>
            </w:r>
            <w:r w:rsidRPr="000229AD">
              <w:rPr>
                <w:sz w:val="22"/>
                <w:lang w:val="fr-FR"/>
              </w:rPr>
              <w:t>informations entre les pays participants.</w:t>
            </w:r>
          </w:p>
          <w:p w14:paraId="5A555A21" w14:textId="2942CB18" w:rsidR="00EA2FD3" w:rsidRPr="000229AD" w:rsidRDefault="00EA2FD3" w:rsidP="00716C22">
            <w:pPr>
              <w:pStyle w:val="enumlev1"/>
              <w:spacing w:after="40"/>
              <w:ind w:left="312" w:hanging="312"/>
              <w:rPr>
                <w:sz w:val="22"/>
                <w:lang w:val="fr-FR"/>
              </w:rPr>
            </w:pPr>
            <w:r w:rsidRPr="000229AD">
              <w:rPr>
                <w:sz w:val="22"/>
                <w:lang w:val="fr-FR"/>
              </w:rPr>
              <w:t>•</w:t>
            </w:r>
            <w:r w:rsidRPr="000229AD">
              <w:rPr>
                <w:sz w:val="22"/>
                <w:lang w:val="fr-FR"/>
              </w:rPr>
              <w:tab/>
            </w:r>
            <w:r w:rsidRPr="000229AD">
              <w:rPr>
                <w:b/>
                <w:bCs/>
                <w:sz w:val="22"/>
                <w:lang w:val="fr-FR"/>
              </w:rPr>
              <w:t>Dans la région Afrique</w:t>
            </w:r>
            <w:r w:rsidRPr="000229AD">
              <w:rPr>
                <w:sz w:val="22"/>
                <w:lang w:val="fr-FR"/>
              </w:rPr>
              <w:t xml:space="preserve">, le projet "La cybersécurité au service du bien social" a considérablement amélioré les capacités de cybersécurité de 17 PMA. </w:t>
            </w:r>
            <w:r w:rsidRPr="000229AD">
              <w:rPr>
                <w:b/>
                <w:bCs/>
                <w:sz w:val="22"/>
                <w:lang w:val="fr-FR"/>
              </w:rPr>
              <w:t>La Gambie, le Lesotho, le Mozambique et la Sierra Leone</w:t>
            </w:r>
            <w:r w:rsidRPr="000229AD">
              <w:rPr>
                <w:sz w:val="22"/>
                <w:lang w:val="fr-FR"/>
              </w:rPr>
              <w:t xml:space="preserve"> ont bénéficié d</w:t>
            </w:r>
            <w:r w:rsidR="00125408" w:rsidRPr="000229AD">
              <w:rPr>
                <w:sz w:val="22"/>
                <w:lang w:val="fr-FR"/>
              </w:rPr>
              <w:t>'</w:t>
            </w:r>
            <w:r w:rsidRPr="000229AD">
              <w:rPr>
                <w:sz w:val="22"/>
                <w:lang w:val="fr-FR"/>
              </w:rPr>
              <w:t>activités de renforcement des capacités grâce à l</w:t>
            </w:r>
            <w:r w:rsidR="00125408" w:rsidRPr="000229AD">
              <w:rPr>
                <w:sz w:val="22"/>
                <w:lang w:val="fr-FR"/>
              </w:rPr>
              <w:t>'</w:t>
            </w:r>
            <w:r w:rsidRPr="000229AD">
              <w:rPr>
                <w:sz w:val="22"/>
                <w:lang w:val="fr-FR"/>
              </w:rPr>
              <w:t>assistance technique fournie par le BDT. En outre, dans le cadre du projet "La cybersécurité au service du bien social", une formation a été dispensée à 280 participants sur différents sujets liés à la cybersécurité, dont les stratégies nationales en matière de cybersécurité, la protection des données et de la vie privée, la protection en ligne des enfants, la gestion des incidents et les interventions en cas d</w:t>
            </w:r>
            <w:r w:rsidR="00125408" w:rsidRPr="000229AD">
              <w:rPr>
                <w:sz w:val="22"/>
                <w:lang w:val="fr-FR"/>
              </w:rPr>
              <w:t>'</w:t>
            </w:r>
            <w:r w:rsidRPr="000229AD">
              <w:rPr>
                <w:sz w:val="22"/>
                <w:lang w:val="fr-FR"/>
              </w:rPr>
              <w:t>incident, ainsi que la gestion et l</w:t>
            </w:r>
            <w:r w:rsidR="00125408" w:rsidRPr="000229AD">
              <w:rPr>
                <w:sz w:val="22"/>
                <w:lang w:val="fr-FR"/>
              </w:rPr>
              <w:t>'</w:t>
            </w:r>
            <w:r w:rsidRPr="000229AD">
              <w:rPr>
                <w:sz w:val="22"/>
                <w:lang w:val="fr-FR"/>
              </w:rPr>
              <w:t>organisation des opérations CIRT. Trois PMA africains ont bénéficié d</w:t>
            </w:r>
            <w:r w:rsidR="00125408" w:rsidRPr="000229AD">
              <w:rPr>
                <w:sz w:val="22"/>
                <w:lang w:val="fr-FR"/>
              </w:rPr>
              <w:t>'</w:t>
            </w:r>
            <w:r w:rsidRPr="000229AD">
              <w:rPr>
                <w:sz w:val="22"/>
                <w:lang w:val="fr-FR"/>
              </w:rPr>
              <w:t>évaluations approfondies de leurs stratégies nationales en matière de cybersécurité dans le cadre du projet. En outre, le BDT a procédé à des analyses des lacunes et produit des rapports d</w:t>
            </w:r>
            <w:r w:rsidR="00125408" w:rsidRPr="000229AD">
              <w:rPr>
                <w:sz w:val="22"/>
                <w:lang w:val="fr-FR"/>
              </w:rPr>
              <w:t>'</w:t>
            </w:r>
            <w:r w:rsidRPr="000229AD">
              <w:rPr>
                <w:sz w:val="22"/>
                <w:lang w:val="fr-FR"/>
              </w:rPr>
              <w:t>évaluation personnalisés, à savoir un rapport sur l</w:t>
            </w:r>
            <w:r w:rsidR="00125408" w:rsidRPr="000229AD">
              <w:rPr>
                <w:sz w:val="22"/>
                <w:lang w:val="fr-FR"/>
              </w:rPr>
              <w:t>'</w:t>
            </w:r>
            <w:r w:rsidRPr="000229AD">
              <w:rPr>
                <w:sz w:val="22"/>
                <w:lang w:val="fr-FR"/>
              </w:rPr>
              <w:t xml:space="preserve">état de préparation des équipes CIRT pour le </w:t>
            </w:r>
            <w:r w:rsidRPr="000229AD">
              <w:rPr>
                <w:b/>
                <w:bCs/>
                <w:sz w:val="22"/>
                <w:lang w:val="fr-FR"/>
              </w:rPr>
              <w:t>Lesotho</w:t>
            </w:r>
            <w:r w:rsidRPr="000229AD">
              <w:rPr>
                <w:sz w:val="22"/>
                <w:lang w:val="fr-FR"/>
              </w:rPr>
              <w:t xml:space="preserve"> et un rapport sur la maturité des équipes CIRT pour le </w:t>
            </w:r>
            <w:r w:rsidRPr="000229AD">
              <w:rPr>
                <w:b/>
                <w:bCs/>
                <w:sz w:val="22"/>
                <w:lang w:val="fr-FR"/>
              </w:rPr>
              <w:t>Zimbabwe</w:t>
            </w:r>
            <w:r w:rsidRPr="000229AD">
              <w:rPr>
                <w:sz w:val="22"/>
                <w:lang w:val="fr-FR"/>
              </w:rPr>
              <w:t>. Ces rapports comprenaient des plans d</w:t>
            </w:r>
            <w:r w:rsidR="00125408" w:rsidRPr="000229AD">
              <w:rPr>
                <w:sz w:val="22"/>
                <w:lang w:val="fr-FR"/>
              </w:rPr>
              <w:t>'</w:t>
            </w:r>
            <w:r w:rsidRPr="000229AD">
              <w:rPr>
                <w:sz w:val="22"/>
                <w:lang w:val="fr-FR"/>
              </w:rPr>
              <w:t>action clairs pour orienter les mesures d</w:t>
            </w:r>
            <w:r w:rsidR="00125408" w:rsidRPr="000229AD">
              <w:rPr>
                <w:sz w:val="22"/>
                <w:lang w:val="fr-FR"/>
              </w:rPr>
              <w:t>'</w:t>
            </w:r>
            <w:r w:rsidRPr="000229AD">
              <w:rPr>
                <w:sz w:val="22"/>
                <w:lang w:val="fr-FR"/>
              </w:rPr>
              <w:t>amélioration. En comblant ces lacunes, les deux pays peuvent renforcer leurs capacités d</w:t>
            </w:r>
            <w:r w:rsidR="00125408" w:rsidRPr="000229AD">
              <w:rPr>
                <w:sz w:val="22"/>
                <w:lang w:val="fr-FR"/>
              </w:rPr>
              <w:t>'</w:t>
            </w:r>
            <w:r w:rsidRPr="000229AD">
              <w:rPr>
                <w:sz w:val="22"/>
                <w:lang w:val="fr-FR"/>
              </w:rPr>
              <w:t>intervention en cas d</w:t>
            </w:r>
            <w:r w:rsidR="00125408" w:rsidRPr="000229AD">
              <w:rPr>
                <w:sz w:val="22"/>
                <w:lang w:val="fr-FR"/>
              </w:rPr>
              <w:t>'</w:t>
            </w:r>
            <w:r w:rsidRPr="000229AD">
              <w:rPr>
                <w:sz w:val="22"/>
                <w:lang w:val="fr-FR"/>
              </w:rPr>
              <w:t xml:space="preserve">incident, ce qui conduira à terme à un environnement plus sûr pour le développement numérique. En outre, le BDT a achevé la mise en œuvre de </w:t>
            </w:r>
            <w:r w:rsidRPr="000229AD">
              <w:rPr>
                <w:b/>
                <w:bCs/>
                <w:sz w:val="22"/>
                <w:lang w:val="fr-FR"/>
              </w:rPr>
              <w:t>projets CIRT au Burundi, au Kenya et au Malawi</w:t>
            </w:r>
            <w:r w:rsidRPr="000229AD">
              <w:rPr>
                <w:sz w:val="22"/>
                <w:lang w:val="fr-FR"/>
              </w:rPr>
              <w:t>. Le BDT a également fourni une assistance technique au Rwanda pour élaborer une stratégie et un plan d</w:t>
            </w:r>
            <w:r w:rsidR="00125408" w:rsidRPr="000229AD">
              <w:rPr>
                <w:sz w:val="22"/>
                <w:lang w:val="fr-FR"/>
              </w:rPr>
              <w:t>'</w:t>
            </w:r>
            <w:r w:rsidRPr="000229AD">
              <w:rPr>
                <w:sz w:val="22"/>
                <w:lang w:val="fr-FR"/>
              </w:rPr>
              <w:t>action nationaux complets en matière de cybersécurité, et aidé ce pays à renforcer son dispositif de cybersécurité et à prendre des décisions stratégiques concernant l</w:t>
            </w:r>
            <w:r w:rsidR="00125408" w:rsidRPr="000229AD">
              <w:rPr>
                <w:sz w:val="22"/>
                <w:lang w:val="fr-FR"/>
              </w:rPr>
              <w:t>'</w:t>
            </w:r>
            <w:r w:rsidRPr="000229AD">
              <w:rPr>
                <w:sz w:val="22"/>
                <w:lang w:val="fr-FR"/>
              </w:rPr>
              <w:t xml:space="preserve">affectation de ressources à de futures initiatives en matière de cybersécurité. </w:t>
            </w:r>
          </w:p>
          <w:p w14:paraId="176F78BC" w14:textId="0883AD37" w:rsidR="00EA2FD3" w:rsidRPr="000229AD" w:rsidRDefault="00EA2FD3" w:rsidP="00716C22">
            <w:pPr>
              <w:pStyle w:val="enumlev1"/>
              <w:ind w:left="312" w:hanging="312"/>
              <w:rPr>
                <w:sz w:val="22"/>
                <w:lang w:val="fr-FR"/>
              </w:rPr>
            </w:pPr>
            <w:r w:rsidRPr="000229AD">
              <w:rPr>
                <w:sz w:val="22"/>
                <w:lang w:val="fr-FR"/>
              </w:rPr>
              <w:lastRenderedPageBreak/>
              <w:tab/>
            </w:r>
            <w:r w:rsidRPr="000229AD">
              <w:rPr>
                <w:b/>
                <w:bCs/>
                <w:sz w:val="22"/>
                <w:lang w:val="fr-FR"/>
              </w:rPr>
              <w:t>Les pays suivants bénéficient d</w:t>
            </w:r>
            <w:r w:rsidR="00125408" w:rsidRPr="000229AD">
              <w:rPr>
                <w:b/>
                <w:bCs/>
                <w:sz w:val="22"/>
                <w:lang w:val="fr-FR"/>
              </w:rPr>
              <w:t>'</w:t>
            </w:r>
            <w:r w:rsidRPr="000229AD">
              <w:rPr>
                <w:b/>
                <w:bCs/>
                <w:sz w:val="22"/>
                <w:lang w:val="fr-FR"/>
              </w:rPr>
              <w:t>une assistance dans différents domaines de la cybersécurité</w:t>
            </w:r>
            <w:r w:rsidRPr="000229AD">
              <w:rPr>
                <w:sz w:val="22"/>
                <w:lang w:val="fr-FR"/>
              </w:rPr>
              <w:t>: Burkina Faso, Gambie, Guinée, Guinée-Bissau, Lesotho, Libéria, Malawi, Mali, Mozambique, Ouganda, Rwanda, Sénégal, Sierra Leone, Tchad, Tanzanie, Togo, Zambie.</w:t>
            </w:r>
          </w:p>
          <w:p w14:paraId="2A77887C" w14:textId="35A585F4" w:rsidR="00EA2FD3" w:rsidRPr="000229AD" w:rsidRDefault="00EA2FD3" w:rsidP="00716C22">
            <w:pPr>
              <w:pStyle w:val="enumlev1"/>
              <w:ind w:left="312" w:hanging="312"/>
              <w:rPr>
                <w:sz w:val="22"/>
                <w:lang w:val="fr-FR"/>
              </w:rPr>
            </w:pPr>
            <w:r w:rsidRPr="000229AD">
              <w:rPr>
                <w:sz w:val="22"/>
                <w:lang w:val="fr-FR"/>
              </w:rPr>
              <w:t>•</w:t>
            </w:r>
            <w:r w:rsidRPr="000229AD">
              <w:rPr>
                <w:sz w:val="22"/>
                <w:lang w:val="fr-FR"/>
              </w:rPr>
              <w:tab/>
            </w:r>
            <w:r w:rsidRPr="000229AD">
              <w:rPr>
                <w:b/>
                <w:bCs/>
                <w:sz w:val="22"/>
                <w:lang w:val="fr-FR"/>
              </w:rPr>
              <w:t>Dans la région Amériques</w:t>
            </w:r>
            <w:r w:rsidRPr="000229AD">
              <w:rPr>
                <w:sz w:val="22"/>
                <w:lang w:val="fr-FR"/>
              </w:rPr>
              <w:t>, le BDT a entrepris et appuyé d</w:t>
            </w:r>
            <w:r w:rsidR="00125408" w:rsidRPr="000229AD">
              <w:rPr>
                <w:sz w:val="22"/>
                <w:lang w:val="fr-FR"/>
              </w:rPr>
              <w:t>'</w:t>
            </w:r>
            <w:r w:rsidRPr="000229AD">
              <w:rPr>
                <w:sz w:val="22"/>
                <w:lang w:val="fr-FR"/>
              </w:rPr>
              <w:t>importants projets CIRT dans toute la région, en particulier aux Bahamas et à la Barbade, et a contribué à l</w:t>
            </w:r>
            <w:r w:rsidR="00125408" w:rsidRPr="000229AD">
              <w:rPr>
                <w:sz w:val="22"/>
                <w:lang w:val="fr-FR"/>
              </w:rPr>
              <w:t>'</w:t>
            </w:r>
            <w:r w:rsidRPr="000229AD">
              <w:rPr>
                <w:sz w:val="22"/>
                <w:lang w:val="fr-FR"/>
              </w:rPr>
              <w:t>élaboration de propositions de projets CIRT pour les Bermudes, Haïti, le Honduras et le Suriname, afin de renforcer l</w:t>
            </w:r>
            <w:r w:rsidR="00125408" w:rsidRPr="000229AD">
              <w:rPr>
                <w:sz w:val="22"/>
                <w:lang w:val="fr-FR"/>
              </w:rPr>
              <w:t>'</w:t>
            </w:r>
            <w:r w:rsidRPr="000229AD">
              <w:rPr>
                <w:sz w:val="22"/>
                <w:lang w:val="fr-FR"/>
              </w:rPr>
              <w:t>infrastructure de la cybersécurité et les capacités d</w:t>
            </w:r>
            <w:r w:rsidR="00125408" w:rsidRPr="000229AD">
              <w:rPr>
                <w:sz w:val="22"/>
                <w:lang w:val="fr-FR"/>
              </w:rPr>
              <w:t>'</w:t>
            </w:r>
            <w:r w:rsidRPr="000229AD">
              <w:rPr>
                <w:sz w:val="22"/>
                <w:lang w:val="fr-FR"/>
              </w:rPr>
              <w:t>intervention.</w:t>
            </w:r>
          </w:p>
          <w:p w14:paraId="46BBBBC3" w14:textId="2FE98786" w:rsidR="00EA2FD3" w:rsidRPr="000229AD" w:rsidRDefault="00EA2FD3" w:rsidP="00716C22">
            <w:pPr>
              <w:pStyle w:val="enumlev1"/>
              <w:ind w:left="312" w:hanging="312"/>
              <w:rPr>
                <w:sz w:val="22"/>
                <w:lang w:val="fr-FR"/>
              </w:rPr>
            </w:pPr>
            <w:r w:rsidRPr="000229AD">
              <w:rPr>
                <w:sz w:val="22"/>
                <w:lang w:val="fr-FR"/>
              </w:rPr>
              <w:t>•</w:t>
            </w:r>
            <w:r w:rsidRPr="000229AD">
              <w:rPr>
                <w:sz w:val="22"/>
                <w:lang w:val="fr-FR"/>
              </w:rPr>
              <w:tab/>
            </w:r>
            <w:r w:rsidRPr="000229AD">
              <w:rPr>
                <w:b/>
                <w:bCs/>
                <w:sz w:val="22"/>
                <w:lang w:val="fr-FR"/>
              </w:rPr>
              <w:t>Dans la région des États arabes</w:t>
            </w:r>
            <w:r w:rsidRPr="000229AD">
              <w:rPr>
                <w:sz w:val="22"/>
                <w:lang w:val="fr-FR"/>
              </w:rPr>
              <w:t>, le BDT a renforcé la cyberrésilience et les investissements intelligents dans la cybersécurité au Maroc en appuyant l</w:t>
            </w:r>
            <w:r w:rsidR="00125408" w:rsidRPr="000229AD">
              <w:rPr>
                <w:sz w:val="22"/>
                <w:lang w:val="fr-FR"/>
              </w:rPr>
              <w:t>'</w:t>
            </w:r>
            <w:r w:rsidRPr="000229AD">
              <w:rPr>
                <w:sz w:val="22"/>
                <w:lang w:val="fr-FR"/>
              </w:rPr>
              <w:t>élaboration d</w:t>
            </w:r>
            <w:r w:rsidR="00125408" w:rsidRPr="000229AD">
              <w:rPr>
                <w:sz w:val="22"/>
                <w:lang w:val="fr-FR"/>
              </w:rPr>
              <w:t>'</w:t>
            </w:r>
            <w:r w:rsidRPr="000229AD">
              <w:rPr>
                <w:sz w:val="22"/>
                <w:lang w:val="fr-FR"/>
              </w:rPr>
              <w:t xml:space="preserve">un projet final de </w:t>
            </w:r>
            <w:r w:rsidRPr="000229AD">
              <w:rPr>
                <w:b/>
                <w:bCs/>
                <w:sz w:val="22"/>
                <w:lang w:val="fr-FR"/>
              </w:rPr>
              <w:t>stratégie et de plan d</w:t>
            </w:r>
            <w:r w:rsidR="00125408" w:rsidRPr="000229AD">
              <w:rPr>
                <w:b/>
                <w:bCs/>
                <w:sz w:val="22"/>
                <w:lang w:val="fr-FR"/>
              </w:rPr>
              <w:t>'</w:t>
            </w:r>
            <w:r w:rsidRPr="000229AD">
              <w:rPr>
                <w:b/>
                <w:bCs/>
                <w:sz w:val="22"/>
                <w:lang w:val="fr-FR"/>
              </w:rPr>
              <w:t>action nationaux en matière de cybersécurité</w:t>
            </w:r>
            <w:r w:rsidRPr="000229AD">
              <w:rPr>
                <w:sz w:val="22"/>
                <w:lang w:val="fr-FR"/>
              </w:rPr>
              <w:t>. Le cyberexercice interrégional organisé par l</w:t>
            </w:r>
            <w:r w:rsidR="00125408" w:rsidRPr="000229AD">
              <w:rPr>
                <w:sz w:val="22"/>
                <w:lang w:val="fr-FR"/>
              </w:rPr>
              <w:t>'</w:t>
            </w:r>
            <w:r w:rsidRPr="000229AD">
              <w:rPr>
                <w:sz w:val="22"/>
                <w:lang w:val="fr-FR"/>
              </w:rPr>
              <w:t>UIT aux Émirats arabes unis a favorisé la coopération entre les pays participants des régions des États arabes et de la CEI, ce qui a permis à ces derniers d</w:t>
            </w:r>
            <w:r w:rsidR="00125408" w:rsidRPr="000229AD">
              <w:rPr>
                <w:sz w:val="22"/>
                <w:lang w:val="fr-FR"/>
              </w:rPr>
              <w:t>'</w:t>
            </w:r>
            <w:r w:rsidRPr="000229AD">
              <w:rPr>
                <w:sz w:val="22"/>
                <w:lang w:val="fr-FR"/>
              </w:rPr>
              <w:t>améliorer leurs compétences en matière d</w:t>
            </w:r>
            <w:r w:rsidR="00125408" w:rsidRPr="000229AD">
              <w:rPr>
                <w:sz w:val="22"/>
                <w:lang w:val="fr-FR"/>
              </w:rPr>
              <w:t>'</w:t>
            </w:r>
            <w:r w:rsidRPr="000229AD">
              <w:rPr>
                <w:sz w:val="22"/>
                <w:lang w:val="fr-FR"/>
              </w:rPr>
              <w:t>intervention en cas d</w:t>
            </w:r>
            <w:r w:rsidR="00125408" w:rsidRPr="000229AD">
              <w:rPr>
                <w:sz w:val="22"/>
                <w:lang w:val="fr-FR"/>
              </w:rPr>
              <w:t>'</w:t>
            </w:r>
            <w:r w:rsidRPr="000229AD">
              <w:rPr>
                <w:sz w:val="22"/>
                <w:lang w:val="fr-FR"/>
              </w:rPr>
              <w:t>incident et d</w:t>
            </w:r>
            <w:r w:rsidR="00125408" w:rsidRPr="000229AD">
              <w:rPr>
                <w:sz w:val="22"/>
                <w:lang w:val="fr-FR"/>
              </w:rPr>
              <w:t>'</w:t>
            </w:r>
            <w:r w:rsidRPr="000229AD">
              <w:rPr>
                <w:sz w:val="22"/>
                <w:lang w:val="fr-FR"/>
              </w:rPr>
              <w:t>échange d</w:t>
            </w:r>
            <w:r w:rsidR="00125408" w:rsidRPr="000229AD">
              <w:rPr>
                <w:sz w:val="22"/>
                <w:lang w:val="fr-FR"/>
              </w:rPr>
              <w:t>'</w:t>
            </w:r>
            <w:r w:rsidRPr="000229AD">
              <w:rPr>
                <w:sz w:val="22"/>
                <w:lang w:val="fr-FR"/>
              </w:rPr>
              <w:t>informations, et de former plus de 500 participants provenant de plus de 60 pays. Deux PMA, Djibouti et la Mauritanie, ont bénéficié d</w:t>
            </w:r>
            <w:r w:rsidR="00125408" w:rsidRPr="000229AD">
              <w:rPr>
                <w:sz w:val="22"/>
                <w:lang w:val="fr-FR"/>
              </w:rPr>
              <w:t>'</w:t>
            </w:r>
            <w:r w:rsidRPr="000229AD">
              <w:rPr>
                <w:sz w:val="22"/>
                <w:lang w:val="fr-FR"/>
              </w:rPr>
              <w:t>évaluations approfondies de leurs stratégies nationales en matière de cybersécurité dans le cadre du projet "La cybersécurité au service du bien social". Le BDT a également contribué à la traduction et à la diffusion des Lignes directrices relatives à la protection en ligne des enfants au Maroc, en coopération avec l</w:t>
            </w:r>
            <w:r w:rsidR="00125408" w:rsidRPr="000229AD">
              <w:rPr>
                <w:sz w:val="22"/>
                <w:lang w:val="fr-FR"/>
              </w:rPr>
              <w:t>'</w:t>
            </w:r>
            <w:r w:rsidRPr="000229AD">
              <w:rPr>
                <w:sz w:val="22"/>
                <w:lang w:val="fr-FR"/>
              </w:rPr>
              <w:t xml:space="preserve">Agence pour le développement numérique, qui a par ailleurs également organisé en partenariat avec le BDT-UIT des ateliers de formation et de sensibilisation sur les aspects liés à la protection en ligne des enfants du 18 au 20 décembre 2023 à Rabat. </w:t>
            </w:r>
          </w:p>
          <w:p w14:paraId="2B1F02F4" w14:textId="27606691" w:rsidR="00EA2FD3" w:rsidRPr="000229AD" w:rsidRDefault="00EA2FD3" w:rsidP="00716C22">
            <w:pPr>
              <w:pStyle w:val="enumlev1"/>
              <w:ind w:left="312" w:hanging="312"/>
              <w:rPr>
                <w:sz w:val="22"/>
                <w:lang w:val="fr-FR"/>
              </w:rPr>
            </w:pPr>
            <w:r w:rsidRPr="000229AD">
              <w:rPr>
                <w:sz w:val="22"/>
                <w:lang w:val="fr-FR"/>
              </w:rPr>
              <w:t>•</w:t>
            </w:r>
            <w:r w:rsidRPr="000229AD">
              <w:rPr>
                <w:sz w:val="22"/>
                <w:lang w:val="fr-FR"/>
              </w:rPr>
              <w:tab/>
            </w:r>
            <w:r w:rsidRPr="000229AD">
              <w:rPr>
                <w:b/>
                <w:bCs/>
                <w:sz w:val="22"/>
                <w:lang w:val="fr-FR"/>
              </w:rPr>
              <w:t>Dans la région Asie-Pacifique</w:t>
            </w:r>
            <w:r w:rsidRPr="000229AD">
              <w:rPr>
                <w:sz w:val="22"/>
                <w:lang w:val="fr-FR"/>
              </w:rPr>
              <w:t>, une assistance technique a été proposée et des capacités ont été renforcées grâce à des évaluations de maturité des équipes CIRT au Bhoutan et au Timor-Leste. Au Bhoutan, l</w:t>
            </w:r>
            <w:r w:rsidR="00125408" w:rsidRPr="000229AD">
              <w:rPr>
                <w:sz w:val="22"/>
                <w:lang w:val="fr-FR"/>
              </w:rPr>
              <w:t>'</w:t>
            </w:r>
            <w:r w:rsidRPr="000229AD">
              <w:rPr>
                <w:sz w:val="22"/>
                <w:lang w:val="fr-FR"/>
              </w:rPr>
              <w:t>évaluation a permis de fournir à l</w:t>
            </w:r>
            <w:r w:rsidR="00125408" w:rsidRPr="000229AD">
              <w:rPr>
                <w:sz w:val="22"/>
                <w:lang w:val="fr-FR"/>
              </w:rPr>
              <w:t>'</w:t>
            </w:r>
            <w:r w:rsidRPr="000229AD">
              <w:rPr>
                <w:sz w:val="22"/>
                <w:lang w:val="fr-FR"/>
              </w:rPr>
              <w:t>équipe CIRT du Bhoutan des informations sur la façon d</w:t>
            </w:r>
            <w:r w:rsidR="00125408" w:rsidRPr="000229AD">
              <w:rPr>
                <w:sz w:val="22"/>
                <w:lang w:val="fr-FR"/>
              </w:rPr>
              <w:t>'</w:t>
            </w:r>
            <w:r w:rsidRPr="000229AD">
              <w:rPr>
                <w:sz w:val="22"/>
                <w:lang w:val="fr-FR"/>
              </w:rPr>
              <w:t>améliorer son niveau de maturité en matière de cybersécurité. Cette évaluation s</w:t>
            </w:r>
            <w:r w:rsidR="00125408" w:rsidRPr="000229AD">
              <w:rPr>
                <w:sz w:val="22"/>
                <w:lang w:val="fr-FR"/>
              </w:rPr>
              <w:t>'</w:t>
            </w:r>
            <w:r w:rsidRPr="000229AD">
              <w:rPr>
                <w:sz w:val="22"/>
                <w:lang w:val="fr-FR"/>
              </w:rPr>
              <w:t>est appuyée sur l</w:t>
            </w:r>
            <w:r w:rsidR="00125408" w:rsidRPr="000229AD">
              <w:rPr>
                <w:sz w:val="22"/>
                <w:lang w:val="fr-FR"/>
              </w:rPr>
              <w:t>'</w:t>
            </w:r>
            <w:r w:rsidRPr="000229AD">
              <w:rPr>
                <w:sz w:val="22"/>
                <w:lang w:val="fr-FR"/>
              </w:rPr>
              <w:t>évaluation initiale de l</w:t>
            </w:r>
            <w:r w:rsidR="00125408" w:rsidRPr="000229AD">
              <w:rPr>
                <w:sz w:val="22"/>
                <w:lang w:val="fr-FR"/>
              </w:rPr>
              <w:t>'</w:t>
            </w:r>
            <w:r w:rsidRPr="000229AD">
              <w:rPr>
                <w:sz w:val="22"/>
                <w:lang w:val="fr-FR"/>
              </w:rPr>
              <w:t>UIT réalisée en 2013 et qui a conduit à la création de l</w:t>
            </w:r>
            <w:r w:rsidR="00125408" w:rsidRPr="000229AD">
              <w:rPr>
                <w:sz w:val="22"/>
                <w:lang w:val="fr-FR"/>
              </w:rPr>
              <w:t>'</w:t>
            </w:r>
            <w:r w:rsidRPr="000229AD">
              <w:rPr>
                <w:sz w:val="22"/>
                <w:lang w:val="fr-FR"/>
              </w:rPr>
              <w:t>équipe CIRT du Bhoutan. Au Timor-Leste, une évaluation a été menée pour l</w:t>
            </w:r>
            <w:r w:rsidR="00125408" w:rsidRPr="000229AD">
              <w:rPr>
                <w:sz w:val="22"/>
                <w:lang w:val="fr-FR"/>
              </w:rPr>
              <w:t>'</w:t>
            </w:r>
            <w:r w:rsidRPr="000229AD">
              <w:rPr>
                <w:sz w:val="22"/>
                <w:lang w:val="fr-FR"/>
              </w:rPr>
              <w:t>équipe d</w:t>
            </w:r>
            <w:r w:rsidR="00125408" w:rsidRPr="000229AD">
              <w:rPr>
                <w:sz w:val="22"/>
                <w:lang w:val="fr-FR"/>
              </w:rPr>
              <w:t>'</w:t>
            </w:r>
            <w:r w:rsidRPr="000229AD">
              <w:rPr>
                <w:sz w:val="22"/>
                <w:lang w:val="fr-FR"/>
              </w:rPr>
              <w:t>intervention en cas d</w:t>
            </w:r>
            <w:r w:rsidR="00125408" w:rsidRPr="000229AD">
              <w:rPr>
                <w:sz w:val="22"/>
                <w:lang w:val="fr-FR"/>
              </w:rPr>
              <w:t>'</w:t>
            </w:r>
            <w:r w:rsidRPr="000229AD">
              <w:rPr>
                <w:sz w:val="22"/>
                <w:lang w:val="fr-FR"/>
              </w:rPr>
              <w:t>incident de sécurité informatique (CSIRT) du Timor-Leste, en collaboration avec l</w:t>
            </w:r>
            <w:r w:rsidR="00125408" w:rsidRPr="000229AD">
              <w:rPr>
                <w:sz w:val="22"/>
                <w:lang w:val="fr-FR"/>
              </w:rPr>
              <w:t>'</w:t>
            </w:r>
            <w:r w:rsidRPr="000229AD">
              <w:rPr>
                <w:sz w:val="22"/>
                <w:lang w:val="fr-FR"/>
              </w:rPr>
              <w:t>Autoridade Nacional de Comunicações. Elle fournira des recommandations pour que l</w:t>
            </w:r>
            <w:r w:rsidR="00125408" w:rsidRPr="000229AD">
              <w:rPr>
                <w:sz w:val="22"/>
                <w:lang w:val="fr-FR"/>
              </w:rPr>
              <w:t>'</w:t>
            </w:r>
            <w:r w:rsidRPr="000229AD">
              <w:rPr>
                <w:sz w:val="22"/>
                <w:lang w:val="fr-FR"/>
              </w:rPr>
              <w:t>équipe CSIRT puisse améliorer son niveau de maturité en matière de cybersécurité.</w:t>
            </w:r>
          </w:p>
          <w:p w14:paraId="5FC11FAF" w14:textId="37162339" w:rsidR="00EA2FD3" w:rsidRPr="000229AD" w:rsidRDefault="00EA2FD3" w:rsidP="00716C22">
            <w:pPr>
              <w:pStyle w:val="enumlev1"/>
              <w:ind w:left="312" w:hanging="312"/>
              <w:rPr>
                <w:sz w:val="22"/>
                <w:lang w:val="fr-FR"/>
              </w:rPr>
            </w:pPr>
            <w:r w:rsidRPr="000229AD">
              <w:rPr>
                <w:sz w:val="22"/>
                <w:lang w:val="fr-FR"/>
              </w:rPr>
              <w:tab/>
              <w:t>Les capacités des pouvoirs publics en matière d</w:t>
            </w:r>
            <w:r w:rsidR="00125408" w:rsidRPr="000229AD">
              <w:rPr>
                <w:sz w:val="22"/>
                <w:lang w:val="fr-FR"/>
              </w:rPr>
              <w:t>'</w:t>
            </w:r>
            <w:r w:rsidRPr="000229AD">
              <w:rPr>
                <w:sz w:val="22"/>
                <w:lang w:val="fr-FR"/>
              </w:rPr>
              <w:t xml:space="preserve">intervention technique et de gestion de la cybersécurité ont été renforcées pour les 14 pays de la région Asie-Pacifique qui ont participé au </w:t>
            </w:r>
            <w:r w:rsidRPr="000229AD">
              <w:rPr>
                <w:b/>
                <w:bCs/>
                <w:sz w:val="22"/>
                <w:lang w:val="fr-FR"/>
              </w:rPr>
              <w:t>cyberexercice interrégional de quatre jours pour l</w:t>
            </w:r>
            <w:r w:rsidR="00125408" w:rsidRPr="000229AD">
              <w:rPr>
                <w:b/>
                <w:bCs/>
                <w:sz w:val="22"/>
                <w:lang w:val="fr-FR"/>
              </w:rPr>
              <w:t>'</w:t>
            </w:r>
            <w:r w:rsidRPr="000229AD">
              <w:rPr>
                <w:b/>
                <w:bCs/>
                <w:sz w:val="22"/>
                <w:lang w:val="fr-FR"/>
              </w:rPr>
              <w:t>Europe et l</w:t>
            </w:r>
            <w:r w:rsidR="00125408" w:rsidRPr="000229AD">
              <w:rPr>
                <w:b/>
                <w:bCs/>
                <w:sz w:val="22"/>
                <w:lang w:val="fr-FR"/>
              </w:rPr>
              <w:t>'</w:t>
            </w:r>
            <w:r w:rsidRPr="000229AD">
              <w:rPr>
                <w:b/>
                <w:bCs/>
                <w:sz w:val="22"/>
                <w:lang w:val="fr-FR"/>
              </w:rPr>
              <w:t>Asie-Pacifique qui s</w:t>
            </w:r>
            <w:r w:rsidR="00125408" w:rsidRPr="000229AD">
              <w:rPr>
                <w:b/>
                <w:bCs/>
                <w:sz w:val="22"/>
                <w:lang w:val="fr-FR"/>
              </w:rPr>
              <w:t>'</w:t>
            </w:r>
            <w:r w:rsidRPr="000229AD">
              <w:rPr>
                <w:b/>
                <w:bCs/>
                <w:sz w:val="22"/>
                <w:lang w:val="fr-FR"/>
              </w:rPr>
              <w:t>est tenu en 2023 à Chypre</w:t>
            </w:r>
            <w:r w:rsidRPr="000229AD">
              <w:rPr>
                <w:sz w:val="22"/>
                <w:lang w:val="fr-FR"/>
              </w:rPr>
              <w:t>.</w:t>
            </w:r>
          </w:p>
          <w:p w14:paraId="0EE95CA3" w14:textId="51067D6A" w:rsidR="00EA2FD3" w:rsidRPr="000229AD" w:rsidRDefault="00EA2FD3" w:rsidP="00716C22">
            <w:pPr>
              <w:pStyle w:val="enumlev1"/>
              <w:ind w:left="312" w:hanging="312"/>
              <w:rPr>
                <w:sz w:val="22"/>
                <w:lang w:val="fr-FR"/>
              </w:rPr>
            </w:pPr>
            <w:r w:rsidRPr="000229AD">
              <w:rPr>
                <w:sz w:val="22"/>
                <w:lang w:val="fr-FR"/>
              </w:rPr>
              <w:tab/>
              <w:t>L</w:t>
            </w:r>
            <w:r w:rsidR="00125408" w:rsidRPr="000229AD">
              <w:rPr>
                <w:sz w:val="22"/>
                <w:lang w:val="fr-FR"/>
              </w:rPr>
              <w:t>'</w:t>
            </w:r>
            <w:r w:rsidRPr="000229AD">
              <w:rPr>
                <w:sz w:val="22"/>
                <w:lang w:val="fr-FR"/>
              </w:rPr>
              <w:t>échange de connaissances en matière de cybersécurité entre les régions Europe et Asie-Pacifique a également été renforcé dans le cadre de cet exercice qui a rassemblé plus de 200 participants de 40 pays, dont 20 de la région Europe, autour de discussions, une formation et un exercice de simulation sur la cybersécurité.</w:t>
            </w:r>
          </w:p>
          <w:p w14:paraId="29938773" w14:textId="268A7B4E" w:rsidR="00EA2FD3" w:rsidRPr="000229AD" w:rsidRDefault="00EA2FD3" w:rsidP="00716C22">
            <w:pPr>
              <w:pStyle w:val="enumlev1"/>
              <w:ind w:left="312" w:hanging="312"/>
              <w:rPr>
                <w:sz w:val="22"/>
                <w:lang w:val="fr-FR"/>
              </w:rPr>
            </w:pPr>
            <w:r w:rsidRPr="000229AD">
              <w:rPr>
                <w:sz w:val="22"/>
                <w:lang w:val="fr-FR"/>
              </w:rPr>
              <w:t>•</w:t>
            </w:r>
            <w:r w:rsidRPr="000229AD">
              <w:rPr>
                <w:sz w:val="22"/>
                <w:lang w:val="fr-FR"/>
              </w:rPr>
              <w:tab/>
            </w:r>
            <w:r w:rsidRPr="000229AD">
              <w:rPr>
                <w:b/>
                <w:bCs/>
                <w:sz w:val="22"/>
                <w:lang w:val="fr-FR"/>
              </w:rPr>
              <w:t>Dans la région de la CEI</w:t>
            </w:r>
            <w:r w:rsidRPr="000229AD">
              <w:rPr>
                <w:sz w:val="22"/>
                <w:lang w:val="fr-FR"/>
              </w:rPr>
              <w:t>, le BDT a procédé à une évaluation de l</w:t>
            </w:r>
            <w:r w:rsidR="00125408" w:rsidRPr="000229AD">
              <w:rPr>
                <w:sz w:val="22"/>
                <w:lang w:val="fr-FR"/>
              </w:rPr>
              <w:t>'</w:t>
            </w:r>
            <w:r w:rsidRPr="000229AD">
              <w:rPr>
                <w:sz w:val="22"/>
                <w:lang w:val="fr-FR"/>
              </w:rPr>
              <w:t>état de préparation de l</w:t>
            </w:r>
            <w:r w:rsidR="00125408" w:rsidRPr="000229AD">
              <w:rPr>
                <w:sz w:val="22"/>
                <w:lang w:val="fr-FR"/>
              </w:rPr>
              <w:t>'</w:t>
            </w:r>
            <w:r w:rsidRPr="000229AD">
              <w:rPr>
                <w:sz w:val="22"/>
                <w:lang w:val="fr-FR"/>
              </w:rPr>
              <w:t>équipe CIRT de l</w:t>
            </w:r>
            <w:r w:rsidR="00125408" w:rsidRPr="000229AD">
              <w:rPr>
                <w:sz w:val="22"/>
                <w:lang w:val="fr-FR"/>
              </w:rPr>
              <w:t>'</w:t>
            </w:r>
            <w:r w:rsidRPr="000229AD">
              <w:rPr>
                <w:sz w:val="22"/>
                <w:lang w:val="fr-FR"/>
              </w:rPr>
              <w:t>Azerbaïdjan. Le principal objectif de cet exercice était d</w:t>
            </w:r>
            <w:r w:rsidR="00125408" w:rsidRPr="000229AD">
              <w:rPr>
                <w:sz w:val="22"/>
                <w:lang w:val="fr-FR"/>
              </w:rPr>
              <w:t>'</w:t>
            </w:r>
            <w:r w:rsidRPr="000229AD">
              <w:rPr>
                <w:sz w:val="22"/>
                <w:lang w:val="fr-FR"/>
              </w:rPr>
              <w:t>évaluer la maturité de l</w:t>
            </w:r>
            <w:r w:rsidR="00125408" w:rsidRPr="000229AD">
              <w:rPr>
                <w:sz w:val="22"/>
                <w:lang w:val="fr-FR"/>
              </w:rPr>
              <w:t>'</w:t>
            </w:r>
            <w:r w:rsidRPr="000229AD">
              <w:rPr>
                <w:sz w:val="22"/>
                <w:lang w:val="fr-FR"/>
              </w:rPr>
              <w:t>équipe, et d</w:t>
            </w:r>
            <w:r w:rsidR="00125408" w:rsidRPr="000229AD">
              <w:rPr>
                <w:sz w:val="22"/>
                <w:lang w:val="fr-FR"/>
              </w:rPr>
              <w:t>'</w:t>
            </w:r>
            <w:r w:rsidRPr="000229AD">
              <w:rPr>
                <w:sz w:val="22"/>
                <w:lang w:val="fr-FR"/>
              </w:rPr>
              <w:t>apporter un appui à l</w:t>
            </w:r>
            <w:r w:rsidR="00125408" w:rsidRPr="000229AD">
              <w:rPr>
                <w:sz w:val="22"/>
                <w:lang w:val="fr-FR"/>
              </w:rPr>
              <w:t>'</w:t>
            </w:r>
            <w:r w:rsidRPr="000229AD">
              <w:rPr>
                <w:sz w:val="22"/>
                <w:lang w:val="fr-FR"/>
              </w:rPr>
              <w:t>Azerbaïdjan en vue d</w:t>
            </w:r>
            <w:r w:rsidR="00125408" w:rsidRPr="000229AD">
              <w:rPr>
                <w:sz w:val="22"/>
                <w:lang w:val="fr-FR"/>
              </w:rPr>
              <w:t>'</w:t>
            </w:r>
            <w:r w:rsidRPr="000229AD">
              <w:rPr>
                <w:sz w:val="22"/>
                <w:lang w:val="fr-FR"/>
              </w:rPr>
              <w:t>améliorer l</w:t>
            </w:r>
            <w:r w:rsidR="00125408" w:rsidRPr="000229AD">
              <w:rPr>
                <w:sz w:val="22"/>
                <w:lang w:val="fr-FR"/>
              </w:rPr>
              <w:t>'</w:t>
            </w:r>
            <w:r w:rsidRPr="000229AD">
              <w:rPr>
                <w:sz w:val="22"/>
                <w:lang w:val="fr-FR"/>
              </w:rPr>
              <w:t>intégration, le fonctionnement et l</w:t>
            </w:r>
            <w:r w:rsidR="00125408" w:rsidRPr="000229AD">
              <w:rPr>
                <w:sz w:val="22"/>
                <w:lang w:val="fr-FR"/>
              </w:rPr>
              <w:t>'</w:t>
            </w:r>
            <w:r w:rsidRPr="000229AD">
              <w:rPr>
                <w:sz w:val="22"/>
                <w:lang w:val="fr-FR"/>
              </w:rPr>
              <w:t xml:space="preserve">efficacité de ce dernier, de renforcer les capacités et les compétences en matière de cybersécurité grâce à une coordination nationale, permettant ainsi de mieux faire connaître et de contribuer à </w:t>
            </w:r>
            <w:r w:rsidRPr="000229AD">
              <w:rPr>
                <w:sz w:val="22"/>
                <w:lang w:val="fr-FR"/>
              </w:rPr>
              <w:lastRenderedPageBreak/>
              <w:t>l</w:t>
            </w:r>
            <w:r w:rsidR="00125408" w:rsidRPr="000229AD">
              <w:rPr>
                <w:sz w:val="22"/>
                <w:lang w:val="fr-FR"/>
              </w:rPr>
              <w:t>'</w:t>
            </w:r>
            <w:r w:rsidRPr="000229AD">
              <w:rPr>
                <w:sz w:val="22"/>
                <w:lang w:val="fr-FR"/>
              </w:rPr>
              <w:t>élaboration et à la mise en œuvre de stratégies de lutte contre les cybermenaces. Ces activités permettront à terme d</w:t>
            </w:r>
            <w:r w:rsidR="00125408" w:rsidRPr="000229AD">
              <w:rPr>
                <w:sz w:val="22"/>
                <w:lang w:val="fr-FR"/>
              </w:rPr>
              <w:t>'</w:t>
            </w:r>
            <w:r w:rsidRPr="000229AD">
              <w:rPr>
                <w:sz w:val="22"/>
                <w:lang w:val="fr-FR"/>
              </w:rPr>
              <w:t>élargir les possibilités dont dispose l</w:t>
            </w:r>
            <w:r w:rsidR="00125408" w:rsidRPr="000229AD">
              <w:rPr>
                <w:sz w:val="22"/>
                <w:lang w:val="fr-FR"/>
              </w:rPr>
              <w:t>'</w:t>
            </w:r>
            <w:r w:rsidRPr="000229AD">
              <w:rPr>
                <w:sz w:val="22"/>
                <w:lang w:val="fr-FR"/>
              </w:rPr>
              <w:t>Azerbaïdjan pour intervenir en cas d</w:t>
            </w:r>
            <w:r w:rsidR="00125408" w:rsidRPr="000229AD">
              <w:rPr>
                <w:sz w:val="22"/>
                <w:lang w:val="fr-FR"/>
              </w:rPr>
              <w:t>'</w:t>
            </w:r>
            <w:r w:rsidRPr="000229AD">
              <w:rPr>
                <w:sz w:val="22"/>
                <w:lang w:val="fr-FR"/>
              </w:rPr>
              <w:t>incidents et aideront le pays à élaborer et à mettre en œuvre des procédures opérationnelles pour intervenir plus efficacement face à divers cyberincidents. L</w:t>
            </w:r>
            <w:r w:rsidR="00125408" w:rsidRPr="000229AD">
              <w:rPr>
                <w:sz w:val="22"/>
                <w:lang w:val="fr-FR"/>
              </w:rPr>
              <w:t>'</w:t>
            </w:r>
            <w:r w:rsidRPr="000229AD">
              <w:rPr>
                <w:sz w:val="22"/>
                <w:lang w:val="fr-FR"/>
              </w:rPr>
              <w:t>évaluation visait à recenser les forces et les faiblesses de l</w:t>
            </w:r>
            <w:r w:rsidR="00125408" w:rsidRPr="000229AD">
              <w:rPr>
                <w:sz w:val="22"/>
                <w:lang w:val="fr-FR"/>
              </w:rPr>
              <w:t>'</w:t>
            </w:r>
            <w:r w:rsidRPr="000229AD">
              <w:rPr>
                <w:sz w:val="22"/>
                <w:lang w:val="fr-FR"/>
              </w:rPr>
              <w:t>équipe CIRT de l</w:t>
            </w:r>
            <w:r w:rsidR="00125408" w:rsidRPr="000229AD">
              <w:rPr>
                <w:sz w:val="22"/>
                <w:lang w:val="fr-FR"/>
              </w:rPr>
              <w:t>'</w:t>
            </w:r>
            <w:r w:rsidRPr="000229AD">
              <w:rPr>
                <w:sz w:val="22"/>
                <w:lang w:val="fr-FR"/>
              </w:rPr>
              <w:t>Azerbaïdjan et à recommander des moyens d</w:t>
            </w:r>
            <w:r w:rsidR="00125408" w:rsidRPr="000229AD">
              <w:rPr>
                <w:sz w:val="22"/>
                <w:lang w:val="fr-FR"/>
              </w:rPr>
              <w:t>'</w:t>
            </w:r>
            <w:r w:rsidRPr="000229AD">
              <w:rPr>
                <w:sz w:val="22"/>
                <w:lang w:val="fr-FR"/>
              </w:rPr>
              <w:t>améliorer ses capacités. Elle a porté sur les politiques et la stratégie, la structure organisationnelle, les procédures et les opérations, les technologies et les outils, les ressources humaines, la coopération entre les secteurs et le partage d</w:t>
            </w:r>
            <w:r w:rsidR="00125408" w:rsidRPr="000229AD">
              <w:rPr>
                <w:sz w:val="22"/>
                <w:lang w:val="fr-FR"/>
              </w:rPr>
              <w:t>'</w:t>
            </w:r>
            <w:r w:rsidRPr="000229AD">
              <w:rPr>
                <w:sz w:val="22"/>
                <w:lang w:val="fr-FR"/>
              </w:rPr>
              <w:t>informations. Toutes ces informations permettront à l</w:t>
            </w:r>
            <w:r w:rsidR="00125408" w:rsidRPr="000229AD">
              <w:rPr>
                <w:sz w:val="22"/>
                <w:lang w:val="fr-FR"/>
              </w:rPr>
              <w:t>'</w:t>
            </w:r>
            <w:r w:rsidRPr="000229AD">
              <w:rPr>
                <w:sz w:val="22"/>
                <w:lang w:val="fr-FR"/>
              </w:rPr>
              <w:t>Azerbaïdjan de renforcer ses capacités en matière de cybersécurité et, à terme, de se protéger contre les cybermenaces et les cyberincidents.</w:t>
            </w:r>
          </w:p>
          <w:p w14:paraId="1BBFFD07" w14:textId="0BF4307D" w:rsidR="00EA2FD3" w:rsidRPr="000229AD" w:rsidRDefault="00EA2FD3" w:rsidP="00716C22">
            <w:pPr>
              <w:pStyle w:val="enumlev1"/>
              <w:spacing w:after="40"/>
              <w:ind w:left="312" w:hanging="312"/>
              <w:rPr>
                <w:sz w:val="22"/>
                <w:lang w:val="fr-FR"/>
              </w:rPr>
            </w:pPr>
            <w:r w:rsidRPr="000229AD">
              <w:rPr>
                <w:sz w:val="22"/>
                <w:lang w:val="fr-FR"/>
              </w:rPr>
              <w:tab/>
              <w:t>Au Kirghizistan, la mise en place d</w:t>
            </w:r>
            <w:r w:rsidR="00125408" w:rsidRPr="000229AD">
              <w:rPr>
                <w:sz w:val="22"/>
                <w:lang w:val="fr-FR"/>
              </w:rPr>
              <w:t>'</w:t>
            </w:r>
            <w:r w:rsidRPr="000229AD">
              <w:rPr>
                <w:sz w:val="22"/>
                <w:lang w:val="fr-FR"/>
              </w:rPr>
              <w:t>une équipe CIRT est en cours, grâce à l</w:t>
            </w:r>
            <w:r w:rsidR="00125408" w:rsidRPr="000229AD">
              <w:rPr>
                <w:sz w:val="22"/>
                <w:lang w:val="fr-FR"/>
              </w:rPr>
              <w:t>'</w:t>
            </w:r>
            <w:r w:rsidRPr="000229AD">
              <w:rPr>
                <w:sz w:val="22"/>
                <w:lang w:val="fr-FR"/>
              </w:rPr>
              <w:t>appui de l</w:t>
            </w:r>
            <w:r w:rsidR="00125408" w:rsidRPr="000229AD">
              <w:rPr>
                <w:sz w:val="22"/>
                <w:lang w:val="fr-FR"/>
              </w:rPr>
              <w:t>'</w:t>
            </w:r>
            <w:r w:rsidRPr="000229AD">
              <w:rPr>
                <w:sz w:val="22"/>
                <w:lang w:val="fr-FR"/>
              </w:rPr>
              <w:t>UIT et de la Banque mondiale.</w:t>
            </w:r>
          </w:p>
        </w:tc>
        <w:tc>
          <w:tcPr>
            <w:tcW w:w="2970" w:type="dxa"/>
            <w:tcBorders>
              <w:top w:val="dotted" w:sz="4" w:space="0" w:color="0070C0"/>
              <w:left w:val="dotted" w:sz="4" w:space="0" w:color="0070C0"/>
              <w:bottom w:val="dotted" w:sz="4" w:space="0" w:color="0070C0"/>
              <w:right w:val="dotted" w:sz="4" w:space="0" w:color="0070C0"/>
            </w:tcBorders>
            <w:shd w:val="clear" w:color="auto" w:fill="auto"/>
          </w:tcPr>
          <w:p w14:paraId="2F5ABC80" w14:textId="18A4ACD3" w:rsidR="00EA2FD3" w:rsidRPr="000229AD" w:rsidRDefault="00EA2FD3" w:rsidP="00716C22">
            <w:pPr>
              <w:pStyle w:val="Tabletext"/>
              <w:spacing w:before="120"/>
              <w:rPr>
                <w:b/>
                <w:bCs/>
                <w:lang w:val="fr-FR"/>
              </w:rPr>
            </w:pPr>
            <w:r w:rsidRPr="000229AD">
              <w:rPr>
                <w:b/>
                <w:bCs/>
                <w:lang w:val="fr-FR"/>
              </w:rPr>
              <w:lastRenderedPageBreak/>
              <w:t>Édition 2023 de l</w:t>
            </w:r>
            <w:r w:rsidR="00125408" w:rsidRPr="000229AD">
              <w:rPr>
                <w:b/>
                <w:bCs/>
                <w:lang w:val="fr-FR"/>
              </w:rPr>
              <w:t>'</w:t>
            </w:r>
            <w:r w:rsidRPr="000229AD">
              <w:rPr>
                <w:b/>
                <w:bCs/>
                <w:lang w:val="fr-FR"/>
              </w:rPr>
              <w:t>Indice mondial de cybersécurité</w:t>
            </w:r>
          </w:p>
          <w:p w14:paraId="46FE54DD" w14:textId="77777777" w:rsidR="00EA2FD3" w:rsidRPr="000229AD" w:rsidRDefault="00EA2FD3" w:rsidP="00716C22">
            <w:pPr>
              <w:pStyle w:val="Tabletext"/>
              <w:spacing w:before="120"/>
              <w:rPr>
                <w:b/>
                <w:bCs/>
                <w:lang w:val="fr-FR"/>
              </w:rPr>
            </w:pPr>
            <w:r w:rsidRPr="000229AD">
              <w:rPr>
                <w:b/>
                <w:bCs/>
                <w:lang w:val="fr-FR"/>
              </w:rPr>
              <w:t>Stratégies nationales en matière de cybersécurité:</w:t>
            </w:r>
          </w:p>
          <w:p w14:paraId="260A7E60" w14:textId="77777777" w:rsidR="00EA2FD3" w:rsidRPr="000229AD" w:rsidRDefault="00EA2FD3" w:rsidP="00716C22">
            <w:pPr>
              <w:pStyle w:val="enumlev1"/>
              <w:ind w:left="312" w:hanging="312"/>
              <w:rPr>
                <w:sz w:val="22"/>
                <w:lang w:val="fr-FR"/>
              </w:rPr>
            </w:pPr>
            <w:r w:rsidRPr="000229AD">
              <w:rPr>
                <w:sz w:val="22"/>
                <w:lang w:val="fr-FR"/>
              </w:rPr>
              <w:t>–</w:t>
            </w:r>
            <w:r w:rsidRPr="000229AD">
              <w:rPr>
                <w:sz w:val="22"/>
                <w:lang w:val="fr-FR"/>
              </w:rPr>
              <w:tab/>
              <w:t>130 pays ont bénéficié des cyberexercices organisés dans toutes les régions.</w:t>
            </w:r>
          </w:p>
          <w:p w14:paraId="7B9EE56A" w14:textId="657DA937" w:rsidR="00EA2FD3" w:rsidRPr="000229AD" w:rsidRDefault="00EA2FD3" w:rsidP="00716C22">
            <w:pPr>
              <w:pStyle w:val="enumlev1"/>
              <w:ind w:left="312" w:hanging="312"/>
              <w:rPr>
                <w:sz w:val="22"/>
                <w:lang w:val="fr-FR"/>
              </w:rPr>
            </w:pPr>
            <w:r w:rsidRPr="000229AD">
              <w:rPr>
                <w:sz w:val="22"/>
                <w:lang w:val="fr-FR"/>
              </w:rPr>
              <w:t>–</w:t>
            </w:r>
            <w:r w:rsidRPr="000229AD">
              <w:rPr>
                <w:sz w:val="22"/>
                <w:lang w:val="fr-FR"/>
              </w:rPr>
              <w:tab/>
              <w:t>3 pays ont bénéficié d</w:t>
            </w:r>
            <w:r w:rsidR="00125408" w:rsidRPr="000229AD">
              <w:rPr>
                <w:sz w:val="22"/>
                <w:lang w:val="fr-FR"/>
              </w:rPr>
              <w:t>'</w:t>
            </w:r>
            <w:r w:rsidRPr="000229AD">
              <w:rPr>
                <w:sz w:val="22"/>
                <w:lang w:val="fr-FR"/>
              </w:rPr>
              <w:t>un exercice d</w:t>
            </w:r>
            <w:r w:rsidR="00125408" w:rsidRPr="000229AD">
              <w:rPr>
                <w:sz w:val="22"/>
                <w:lang w:val="fr-FR"/>
              </w:rPr>
              <w:t>'</w:t>
            </w:r>
            <w:r w:rsidRPr="000229AD">
              <w:rPr>
                <w:sz w:val="22"/>
                <w:lang w:val="fr-FR"/>
              </w:rPr>
              <w:t>intervention en cas d</w:t>
            </w:r>
            <w:r w:rsidR="00125408" w:rsidRPr="000229AD">
              <w:rPr>
                <w:sz w:val="22"/>
                <w:lang w:val="fr-FR"/>
              </w:rPr>
              <w:t>'</w:t>
            </w:r>
            <w:r w:rsidRPr="000229AD">
              <w:rPr>
                <w:sz w:val="22"/>
                <w:lang w:val="fr-FR"/>
              </w:rPr>
              <w:t>incident (Maldives, Bahreïn et Émirats arabes unis).</w:t>
            </w:r>
          </w:p>
          <w:p w14:paraId="19D40AB9" w14:textId="77777777" w:rsidR="00EA2FD3" w:rsidRPr="000229AD" w:rsidRDefault="00EA2FD3" w:rsidP="00716C22">
            <w:pPr>
              <w:pStyle w:val="enumlev1"/>
              <w:ind w:left="312" w:hanging="312"/>
              <w:rPr>
                <w:sz w:val="22"/>
                <w:lang w:val="fr-FR"/>
              </w:rPr>
            </w:pPr>
            <w:r w:rsidRPr="000229AD">
              <w:rPr>
                <w:sz w:val="22"/>
                <w:lang w:val="fr-FR"/>
              </w:rPr>
              <w:t>–</w:t>
            </w:r>
            <w:r w:rsidRPr="000229AD">
              <w:rPr>
                <w:sz w:val="22"/>
                <w:lang w:val="fr-FR"/>
              </w:rPr>
              <w:tab/>
              <w:t>Projet HerCyberTracks mis en œuvre en Afrique et en Europe.</w:t>
            </w:r>
          </w:p>
          <w:p w14:paraId="76AC0E61" w14:textId="77777777" w:rsidR="00EA2FD3" w:rsidRPr="000229AD" w:rsidRDefault="00EA2FD3" w:rsidP="00716C22">
            <w:pPr>
              <w:pStyle w:val="enumlev1"/>
              <w:ind w:left="312" w:hanging="312"/>
              <w:rPr>
                <w:sz w:val="22"/>
                <w:lang w:val="fr-FR"/>
              </w:rPr>
            </w:pPr>
            <w:r w:rsidRPr="000229AD">
              <w:rPr>
                <w:sz w:val="22"/>
                <w:lang w:val="fr-FR"/>
              </w:rPr>
              <w:t>–</w:t>
            </w:r>
            <w:r w:rsidRPr="000229AD">
              <w:rPr>
                <w:sz w:val="22"/>
                <w:lang w:val="fr-FR"/>
              </w:rPr>
              <w:tab/>
              <w:t xml:space="preserve">Programme "Les femmes dans le secteur de la cybersécurité" mis en œuvre dans les régions Afrique, Asie, Amériques et Europe. </w:t>
            </w:r>
          </w:p>
          <w:p w14:paraId="41B0A1C3" w14:textId="77777777" w:rsidR="00EA2FD3" w:rsidRPr="000229AD" w:rsidRDefault="00EA2FD3" w:rsidP="00716C22">
            <w:pPr>
              <w:pStyle w:val="enumlev1"/>
              <w:spacing w:after="40"/>
              <w:ind w:left="312" w:hanging="312"/>
              <w:rPr>
                <w:sz w:val="22"/>
                <w:lang w:val="fr-FR"/>
              </w:rPr>
            </w:pPr>
            <w:r w:rsidRPr="000229AD">
              <w:rPr>
                <w:sz w:val="22"/>
                <w:lang w:val="fr-FR"/>
              </w:rPr>
              <w:t>–</w:t>
            </w:r>
            <w:r w:rsidRPr="000229AD">
              <w:rPr>
                <w:sz w:val="22"/>
                <w:lang w:val="fr-FR"/>
              </w:rPr>
              <w:tab/>
              <w:t>Plusieurs PMA ont bénéficié des activités du projet "La cybersécurité au service du bien social".</w:t>
            </w:r>
          </w:p>
        </w:tc>
      </w:tr>
      <w:tr w:rsidR="00EA2FD3" w:rsidRPr="000229AD" w14:paraId="645FA5CB" w14:textId="77777777" w:rsidTr="00E07F09">
        <w:trPr>
          <w:trHeight w:val="300"/>
        </w:trPr>
        <w:tc>
          <w:tcPr>
            <w:tcW w:w="2972" w:type="dxa"/>
            <w:tcBorders>
              <w:top w:val="dotted" w:sz="4" w:space="0" w:color="0070C0"/>
              <w:left w:val="dotted" w:sz="4" w:space="0" w:color="0070C0"/>
              <w:bottom w:val="dotted" w:sz="4" w:space="0" w:color="0070C0"/>
              <w:right w:val="dotted" w:sz="4" w:space="0" w:color="0070C0"/>
            </w:tcBorders>
          </w:tcPr>
          <w:p w14:paraId="5413BBF3" w14:textId="77777777" w:rsidR="00EA2FD3" w:rsidRPr="000229AD" w:rsidRDefault="00EA2FD3" w:rsidP="00716C22">
            <w:pPr>
              <w:pStyle w:val="Tabletext"/>
              <w:rPr>
                <w:b/>
                <w:bCs/>
                <w:lang w:val="fr-FR"/>
              </w:rPr>
            </w:pPr>
            <w:r w:rsidRPr="000229AD">
              <w:rPr>
                <w:b/>
                <w:bCs/>
                <w:lang w:val="fr-FR"/>
              </w:rPr>
              <w:lastRenderedPageBreak/>
              <w:t>Contribution à la réalisation des cibles des ODD</w:t>
            </w:r>
          </w:p>
        </w:tc>
        <w:tc>
          <w:tcPr>
            <w:tcW w:w="11873" w:type="dxa"/>
            <w:gridSpan w:val="2"/>
            <w:tcBorders>
              <w:top w:val="dotted" w:sz="4" w:space="0" w:color="0070C0"/>
              <w:left w:val="dotted" w:sz="4" w:space="0" w:color="0070C0"/>
              <w:bottom w:val="dotted" w:sz="4" w:space="0" w:color="0070C0"/>
              <w:right w:val="dotted" w:sz="4" w:space="0" w:color="0070C0"/>
            </w:tcBorders>
          </w:tcPr>
          <w:p w14:paraId="141E2AE1" w14:textId="77777777" w:rsidR="00EA2FD3" w:rsidRPr="000229AD" w:rsidRDefault="00EA2FD3" w:rsidP="00716C22">
            <w:pPr>
              <w:pStyle w:val="Tabletext"/>
              <w:rPr>
                <w:lang w:val="fr-FR"/>
              </w:rPr>
            </w:pPr>
            <w:r w:rsidRPr="000229AD">
              <w:rPr>
                <w:lang w:val="fr-FR"/>
              </w:rPr>
              <w:t>1, 3, 4, 5, 8, 9, 10, 11, 16, 17</w:t>
            </w:r>
          </w:p>
        </w:tc>
      </w:tr>
      <w:tr w:rsidR="00EA2FD3" w:rsidRPr="000229AD" w14:paraId="1D30919A" w14:textId="77777777" w:rsidTr="00E07F09">
        <w:trPr>
          <w:trHeight w:val="300"/>
        </w:trPr>
        <w:tc>
          <w:tcPr>
            <w:tcW w:w="2972" w:type="dxa"/>
            <w:tcBorders>
              <w:top w:val="dotted" w:sz="4" w:space="0" w:color="0070C0"/>
              <w:left w:val="dotted" w:sz="4" w:space="0" w:color="0070C0"/>
              <w:bottom w:val="dotted" w:sz="4" w:space="0" w:color="0070C0"/>
              <w:right w:val="dotted" w:sz="4" w:space="0" w:color="0070C0"/>
            </w:tcBorders>
          </w:tcPr>
          <w:p w14:paraId="44685575" w14:textId="7021A24A" w:rsidR="00EA2FD3" w:rsidRPr="000229AD" w:rsidRDefault="00EA2FD3" w:rsidP="00716C22">
            <w:pPr>
              <w:pStyle w:val="Tabletext"/>
              <w:rPr>
                <w:b/>
                <w:bCs/>
                <w:lang w:val="fr-FR"/>
              </w:rPr>
            </w:pPr>
            <w:r w:rsidRPr="000229AD">
              <w:rPr>
                <w:b/>
                <w:bCs/>
                <w:lang w:val="fr-FR"/>
              </w:rPr>
              <w:t>Grandes orientations du</w:t>
            </w:r>
            <w:r w:rsidR="00C627A0" w:rsidRPr="000229AD">
              <w:rPr>
                <w:b/>
                <w:bCs/>
                <w:lang w:val="fr-FR"/>
              </w:rPr>
              <w:t xml:space="preserve"> </w:t>
            </w:r>
            <w:r w:rsidRPr="000229AD">
              <w:rPr>
                <w:b/>
                <w:bCs/>
                <w:lang w:val="fr-FR"/>
              </w:rPr>
              <w:t>SMSI</w:t>
            </w:r>
          </w:p>
        </w:tc>
        <w:tc>
          <w:tcPr>
            <w:tcW w:w="11873" w:type="dxa"/>
            <w:gridSpan w:val="2"/>
            <w:tcBorders>
              <w:top w:val="dotted" w:sz="4" w:space="0" w:color="0070C0"/>
              <w:left w:val="dotted" w:sz="4" w:space="0" w:color="0070C0"/>
              <w:bottom w:val="dotted" w:sz="4" w:space="0" w:color="0070C0"/>
              <w:right w:val="dotted" w:sz="4" w:space="0" w:color="0070C0"/>
            </w:tcBorders>
          </w:tcPr>
          <w:p w14:paraId="71A334E1" w14:textId="77777777" w:rsidR="00EA2FD3" w:rsidRPr="000229AD" w:rsidRDefault="00EA2FD3" w:rsidP="00716C22">
            <w:pPr>
              <w:pStyle w:val="Tabletext"/>
              <w:rPr>
                <w:lang w:val="fr-FR"/>
              </w:rPr>
            </w:pPr>
            <w:r w:rsidRPr="000229AD">
              <w:rPr>
                <w:lang w:val="fr-FR"/>
              </w:rPr>
              <w:t>C1, C2, C3, C4, C5, C6, C7, C11</w:t>
            </w:r>
          </w:p>
        </w:tc>
      </w:tr>
      <w:tr w:rsidR="00EA2FD3" w:rsidRPr="000229AD" w14:paraId="5CBABD37" w14:textId="77777777" w:rsidTr="00E07F09">
        <w:trPr>
          <w:trHeight w:val="300"/>
        </w:trPr>
        <w:tc>
          <w:tcPr>
            <w:tcW w:w="2972" w:type="dxa"/>
            <w:tcBorders>
              <w:top w:val="dotted" w:sz="4" w:space="0" w:color="0070C0"/>
              <w:left w:val="dotted" w:sz="4" w:space="0" w:color="0070C0"/>
              <w:bottom w:val="dotted" w:sz="4" w:space="0" w:color="0070C0"/>
              <w:right w:val="dotted" w:sz="4" w:space="0" w:color="0070C0"/>
            </w:tcBorders>
          </w:tcPr>
          <w:p w14:paraId="6B4E9024" w14:textId="77777777" w:rsidR="00EA2FD3" w:rsidRPr="000229AD" w:rsidRDefault="00EA2FD3" w:rsidP="00716C22">
            <w:pPr>
              <w:pStyle w:val="Tabletext"/>
              <w:rPr>
                <w:b/>
                <w:bCs/>
                <w:lang w:val="fr-FR"/>
              </w:rPr>
            </w:pPr>
            <w:r w:rsidRPr="000229AD">
              <w:rPr>
                <w:b/>
                <w:bCs/>
                <w:lang w:val="fr-FR"/>
              </w:rPr>
              <w:t>Résolutions</w:t>
            </w:r>
          </w:p>
        </w:tc>
        <w:tc>
          <w:tcPr>
            <w:tcW w:w="11873" w:type="dxa"/>
            <w:gridSpan w:val="2"/>
            <w:tcBorders>
              <w:top w:val="dotted" w:sz="4" w:space="0" w:color="0070C0"/>
              <w:left w:val="dotted" w:sz="4" w:space="0" w:color="0070C0"/>
              <w:bottom w:val="dotted" w:sz="4" w:space="0" w:color="0070C0"/>
              <w:right w:val="dotted" w:sz="4" w:space="0" w:color="0070C0"/>
            </w:tcBorders>
          </w:tcPr>
          <w:p w14:paraId="3FFCB50E" w14:textId="24659FA5" w:rsidR="00EA2FD3" w:rsidRPr="000229AD" w:rsidRDefault="00EA2FD3" w:rsidP="00716C22">
            <w:pPr>
              <w:pStyle w:val="Tabletext"/>
              <w:rPr>
                <w:lang w:val="fr-FR"/>
              </w:rPr>
            </w:pPr>
            <w:r w:rsidRPr="000229AD">
              <w:rPr>
                <w:lang w:val="fr-FR"/>
              </w:rPr>
              <w:t>130, 174, 179 de la PP; 45 et 69 de la CMDT; 52 et 58 de l</w:t>
            </w:r>
            <w:r w:rsidR="00125408" w:rsidRPr="000229AD">
              <w:rPr>
                <w:lang w:val="fr-FR"/>
              </w:rPr>
              <w:t>'</w:t>
            </w:r>
            <w:r w:rsidRPr="000229AD">
              <w:rPr>
                <w:lang w:val="fr-FR"/>
              </w:rPr>
              <w:t>AMNT; Question 3/2</w:t>
            </w:r>
          </w:p>
        </w:tc>
      </w:tr>
    </w:tbl>
    <w:p w14:paraId="02F9CCBD" w14:textId="166B60D1" w:rsidR="00C627A0" w:rsidRPr="000229AD" w:rsidRDefault="00C627A0" w:rsidP="00716C22">
      <w:pPr>
        <w:tabs>
          <w:tab w:val="clear" w:pos="794"/>
          <w:tab w:val="clear" w:pos="1191"/>
          <w:tab w:val="clear" w:pos="1588"/>
          <w:tab w:val="clear" w:pos="1985"/>
        </w:tabs>
        <w:overflowPunct/>
        <w:autoSpaceDE/>
        <w:autoSpaceDN/>
        <w:adjustRightInd/>
        <w:spacing w:before="0"/>
        <w:textAlignment w:val="auto"/>
        <w:rPr>
          <w:lang w:val="fr-FR"/>
        </w:rPr>
      </w:pPr>
      <w:r w:rsidRPr="000229AD">
        <w:rPr>
          <w:lang w:val="fr-FR"/>
        </w:rPr>
        <w:br w:type="page"/>
      </w:r>
    </w:p>
    <w:tbl>
      <w:tblPr>
        <w:tblStyle w:val="TableGrid6"/>
        <w:tblW w:w="14850" w:type="dxa"/>
        <w:tblInd w:w="-5" w:type="dxa"/>
        <w:tblBorders>
          <w:top w:val="dotted" w:sz="4" w:space="0" w:color="0070C0"/>
          <w:left w:val="dotted" w:sz="4" w:space="0" w:color="0070C0"/>
          <w:bottom w:val="dotted" w:sz="4" w:space="0" w:color="0070C0"/>
          <w:right w:val="dotted" w:sz="4" w:space="0" w:color="0070C0"/>
          <w:insideH w:val="dotted" w:sz="4" w:space="0" w:color="0070C0"/>
          <w:insideV w:val="dotted" w:sz="4" w:space="0" w:color="0070C0"/>
        </w:tblBorders>
        <w:tblLayout w:type="fixed"/>
        <w:tblLook w:val="04A0" w:firstRow="1" w:lastRow="0" w:firstColumn="1" w:lastColumn="0" w:noHBand="0" w:noVBand="1"/>
      </w:tblPr>
      <w:tblGrid>
        <w:gridCol w:w="2977"/>
        <w:gridCol w:w="8903"/>
        <w:gridCol w:w="2970"/>
      </w:tblGrid>
      <w:tr w:rsidR="00EA2FD3" w:rsidRPr="000229AD" w14:paraId="552DF6F2" w14:textId="77777777" w:rsidTr="00774480">
        <w:tc>
          <w:tcPr>
            <w:tcW w:w="14850" w:type="dxa"/>
            <w:gridSpan w:val="3"/>
            <w:shd w:val="clear" w:color="auto" w:fill="365F91" w:themeFill="accent1" w:themeFillShade="BF"/>
          </w:tcPr>
          <w:p w14:paraId="44301566" w14:textId="07788021" w:rsidR="00EA2FD3" w:rsidRPr="000229AD" w:rsidRDefault="00EA2FD3" w:rsidP="00716C22">
            <w:pPr>
              <w:pStyle w:val="Tablehead"/>
              <w:keepNext w:val="0"/>
              <w:rPr>
                <w:color w:val="FFFFFF" w:themeColor="background1"/>
                <w:lang w:val="fr-FR"/>
              </w:rPr>
            </w:pPr>
            <w:r w:rsidRPr="000229AD">
              <w:rPr>
                <w:color w:val="FFFFFF" w:themeColor="background1"/>
                <w:lang w:val="fr-FR"/>
              </w:rPr>
              <w:lastRenderedPageBreak/>
              <w:t>Priorité 5 de l</w:t>
            </w:r>
            <w:r w:rsidR="00125408" w:rsidRPr="000229AD">
              <w:rPr>
                <w:color w:val="FFFFFF" w:themeColor="background1"/>
                <w:lang w:val="fr-FR"/>
              </w:rPr>
              <w:t>'</w:t>
            </w:r>
            <w:r w:rsidRPr="000229AD">
              <w:rPr>
                <w:color w:val="FFFFFF" w:themeColor="background1"/>
                <w:lang w:val="fr-FR"/>
              </w:rPr>
              <w:t>UIT-D et catalyseurs 6 et 7 de l</w:t>
            </w:r>
            <w:r w:rsidR="00125408" w:rsidRPr="000229AD">
              <w:rPr>
                <w:color w:val="FFFFFF" w:themeColor="background1"/>
                <w:lang w:val="fr-FR"/>
              </w:rPr>
              <w:t>'</w:t>
            </w:r>
            <w:r w:rsidRPr="000229AD">
              <w:rPr>
                <w:color w:val="FFFFFF" w:themeColor="background1"/>
                <w:lang w:val="fr-FR"/>
              </w:rPr>
              <w:t xml:space="preserve">UIT-D: Mobilisation de ressources, partenariats et coopération internationale </w:t>
            </w:r>
          </w:p>
          <w:p w14:paraId="03B1C061" w14:textId="77777777" w:rsidR="00EA2FD3" w:rsidRPr="000229AD" w:rsidRDefault="00EA2FD3" w:rsidP="00716C22">
            <w:pPr>
              <w:pStyle w:val="Tablehead"/>
              <w:keepNext w:val="0"/>
              <w:rPr>
                <w:i/>
                <w:iCs/>
                <w:lang w:val="fr-FR"/>
              </w:rPr>
            </w:pPr>
            <w:r w:rsidRPr="000229AD">
              <w:rPr>
                <w:i/>
                <w:iCs/>
                <w:color w:val="FFFFFF" w:themeColor="background1"/>
                <w:lang w:val="fr-FR"/>
              </w:rPr>
              <w:t>Renforcer la stratégie de mobilisation des ressources grâce à la coopération internationale</w:t>
            </w:r>
          </w:p>
        </w:tc>
      </w:tr>
      <w:tr w:rsidR="00EA2FD3" w:rsidRPr="000229AD" w14:paraId="1EDE39FB" w14:textId="77777777" w:rsidTr="00774480">
        <w:tc>
          <w:tcPr>
            <w:tcW w:w="14850" w:type="dxa"/>
            <w:gridSpan w:val="3"/>
            <w:shd w:val="clear" w:color="auto" w:fill="E5DFEC" w:themeFill="accent4" w:themeFillTint="33"/>
          </w:tcPr>
          <w:p w14:paraId="5F67741C" w14:textId="03BEBCF5" w:rsidR="00EA2FD3" w:rsidRPr="000229AD" w:rsidRDefault="00EA2FD3" w:rsidP="00716C22">
            <w:pPr>
              <w:pStyle w:val="Tabletext"/>
              <w:spacing w:before="120"/>
              <w:rPr>
                <w:i/>
                <w:iCs/>
                <w:lang w:val="fr-FR"/>
              </w:rPr>
            </w:pPr>
            <w:r w:rsidRPr="000229AD">
              <w:rPr>
                <w:b/>
                <w:bCs/>
                <w:i/>
                <w:iCs/>
                <w:lang w:val="fr-FR"/>
              </w:rPr>
              <w:t>Réalisation</w:t>
            </w:r>
            <w:r w:rsidRPr="000229AD">
              <w:rPr>
                <w:i/>
                <w:iCs/>
                <w:lang w:val="fr-FR"/>
              </w:rPr>
              <w:t>: renforcement de la coopération et de la coordination avec l</w:t>
            </w:r>
            <w:r w:rsidR="00125408" w:rsidRPr="000229AD">
              <w:rPr>
                <w:i/>
                <w:iCs/>
                <w:lang w:val="fr-FR"/>
              </w:rPr>
              <w:t>'</w:t>
            </w:r>
            <w:r w:rsidRPr="000229AD">
              <w:rPr>
                <w:i/>
                <w:iCs/>
                <w:lang w:val="fr-FR"/>
              </w:rPr>
              <w:t>Organisation des Nations Unies et ses institutions spécialisées, d</w:t>
            </w:r>
            <w:r w:rsidR="00125408" w:rsidRPr="000229AD">
              <w:rPr>
                <w:i/>
                <w:iCs/>
                <w:lang w:val="fr-FR"/>
              </w:rPr>
              <w:t>'</w:t>
            </w:r>
            <w:r w:rsidRPr="000229AD">
              <w:rPr>
                <w:i/>
                <w:iCs/>
                <w:lang w:val="fr-FR"/>
              </w:rPr>
              <w:t>autres organisations internationales, les organisations régionales de télécommunication et les institutions régionales et mondiales de développement, pour la mise en œuvre des priorités de l</w:t>
            </w:r>
            <w:r w:rsidR="00125408" w:rsidRPr="000229AD">
              <w:rPr>
                <w:i/>
                <w:iCs/>
                <w:lang w:val="fr-FR"/>
              </w:rPr>
              <w:t>'</w:t>
            </w:r>
            <w:r w:rsidRPr="000229AD">
              <w:rPr>
                <w:i/>
                <w:iCs/>
                <w:lang w:val="fr-FR"/>
              </w:rPr>
              <w:t>UIT-D.</w:t>
            </w:r>
          </w:p>
        </w:tc>
      </w:tr>
      <w:tr w:rsidR="00EA2FD3" w:rsidRPr="000229AD" w14:paraId="73252EA0" w14:textId="77777777" w:rsidTr="00774480">
        <w:tc>
          <w:tcPr>
            <w:tcW w:w="11880" w:type="dxa"/>
            <w:gridSpan w:val="2"/>
          </w:tcPr>
          <w:p w14:paraId="4E630390" w14:textId="77777777" w:rsidR="00EA2FD3" w:rsidRPr="000229AD" w:rsidRDefault="00EA2FD3" w:rsidP="00716C22">
            <w:pPr>
              <w:pStyle w:val="Tablehead"/>
              <w:keepNext w:val="0"/>
              <w:rPr>
                <w:lang w:val="fr-FR"/>
              </w:rPr>
            </w:pPr>
            <w:r w:rsidRPr="000229AD">
              <w:rPr>
                <w:lang w:val="fr-FR"/>
              </w:rPr>
              <w:t>Produits</w:t>
            </w:r>
          </w:p>
        </w:tc>
        <w:tc>
          <w:tcPr>
            <w:tcW w:w="2970" w:type="dxa"/>
          </w:tcPr>
          <w:p w14:paraId="478C79B0" w14:textId="77777777" w:rsidR="00EA2FD3" w:rsidRPr="000229AD" w:rsidRDefault="00EA2FD3" w:rsidP="00716C22">
            <w:pPr>
              <w:pStyle w:val="Tablehead"/>
              <w:keepNext w:val="0"/>
              <w:rPr>
                <w:lang w:val="fr-FR"/>
              </w:rPr>
            </w:pPr>
            <w:r w:rsidRPr="000229AD">
              <w:rPr>
                <w:lang w:val="fr-FR"/>
              </w:rPr>
              <w:t xml:space="preserve">Points clés </w:t>
            </w:r>
          </w:p>
        </w:tc>
      </w:tr>
      <w:tr w:rsidR="00EA2FD3" w:rsidRPr="000229AD" w14:paraId="140AE3E2" w14:textId="77777777" w:rsidTr="00774480">
        <w:tc>
          <w:tcPr>
            <w:tcW w:w="11880" w:type="dxa"/>
            <w:gridSpan w:val="2"/>
          </w:tcPr>
          <w:p w14:paraId="747A9A38" w14:textId="77777777" w:rsidR="00EA2FD3" w:rsidRPr="000229AD" w:rsidRDefault="00EA2FD3" w:rsidP="00716C22">
            <w:pPr>
              <w:pStyle w:val="Tabletext"/>
              <w:spacing w:before="120" w:after="120"/>
              <w:rPr>
                <w:b/>
                <w:bCs/>
                <w:lang w:val="fr-FR"/>
              </w:rPr>
            </w:pPr>
            <w:r w:rsidRPr="000229AD">
              <w:rPr>
                <w:b/>
                <w:bCs/>
                <w:lang w:val="fr-FR"/>
              </w:rPr>
              <w:t>Mobilisation des ressources et partenariat</w:t>
            </w:r>
          </w:p>
          <w:p w14:paraId="1E7B5E57" w14:textId="5A0E3F51" w:rsidR="00EA2FD3" w:rsidRPr="000229AD" w:rsidRDefault="00EA2FD3" w:rsidP="00716C22">
            <w:pPr>
              <w:pStyle w:val="Tabletext"/>
              <w:spacing w:before="120" w:after="120"/>
              <w:rPr>
                <w:b/>
                <w:bCs/>
                <w:lang w:val="fr-FR"/>
              </w:rPr>
            </w:pPr>
            <w:r w:rsidRPr="000229AD">
              <w:rPr>
                <w:b/>
                <w:bCs/>
                <w:lang w:val="fr-FR"/>
              </w:rPr>
              <w:t>Nouveaux partenariats</w:t>
            </w:r>
            <w:r w:rsidRPr="000229AD">
              <w:rPr>
                <w:lang w:val="fr-FR"/>
              </w:rPr>
              <w:t>: entre juin 2023 et avril 2024, l</w:t>
            </w:r>
            <w:r w:rsidR="00125408" w:rsidRPr="000229AD">
              <w:rPr>
                <w:lang w:val="fr-FR"/>
              </w:rPr>
              <w:t>'</w:t>
            </w:r>
            <w:r w:rsidRPr="000229AD">
              <w:rPr>
                <w:lang w:val="fr-FR"/>
              </w:rPr>
              <w:t>UIT a signé 73 accords avec un large éventail de partenaires.</w:t>
            </w:r>
          </w:p>
          <w:p w14:paraId="7DDEFD27" w14:textId="6A839EB3" w:rsidR="00EA2FD3" w:rsidRPr="000229AD" w:rsidRDefault="00EA2FD3" w:rsidP="00716C22">
            <w:pPr>
              <w:pStyle w:val="Tabletext"/>
              <w:spacing w:after="120"/>
              <w:rPr>
                <w:lang w:val="fr-FR"/>
              </w:rPr>
            </w:pPr>
            <w:r w:rsidRPr="000229AD">
              <w:rPr>
                <w:b/>
                <w:bCs/>
                <w:lang w:val="fr-FR"/>
              </w:rPr>
              <w:t>Nouveaux projets signés</w:t>
            </w:r>
            <w:r w:rsidRPr="000229AD">
              <w:rPr>
                <w:lang w:val="fr-FR"/>
              </w:rPr>
              <w:t>: en 2023, le BDT a signé 23 nouveaux projets au total, d</w:t>
            </w:r>
            <w:r w:rsidR="00125408" w:rsidRPr="000229AD">
              <w:rPr>
                <w:lang w:val="fr-FR"/>
              </w:rPr>
              <w:t>'</w:t>
            </w:r>
            <w:r w:rsidRPr="000229AD">
              <w:rPr>
                <w:lang w:val="fr-FR"/>
              </w:rPr>
              <w:t xml:space="preserve">un montant de 20,9 millions de CHF. Ces chiffres confirment la tendance à la hausse, observée depuis 2017, des fonds mobilisés par le BDT pour appuyer les projets, ce qui témoigne de la </w:t>
            </w:r>
            <w:r w:rsidRPr="000229AD">
              <w:rPr>
                <w:b/>
                <w:bCs/>
                <w:lang w:val="fr-FR"/>
              </w:rPr>
              <w:t>plus grande confiance accordée à l</w:t>
            </w:r>
            <w:r w:rsidR="00125408" w:rsidRPr="000229AD">
              <w:rPr>
                <w:b/>
                <w:bCs/>
                <w:lang w:val="fr-FR"/>
              </w:rPr>
              <w:t>'</w:t>
            </w:r>
            <w:r w:rsidRPr="000229AD">
              <w:rPr>
                <w:b/>
                <w:bCs/>
                <w:lang w:val="fr-FR"/>
              </w:rPr>
              <w:t>UIT en tant que partenaire de premier plan pour la mise en œuvre d</w:t>
            </w:r>
            <w:r w:rsidR="00125408" w:rsidRPr="000229AD">
              <w:rPr>
                <w:b/>
                <w:bCs/>
                <w:lang w:val="fr-FR"/>
              </w:rPr>
              <w:t>'</w:t>
            </w:r>
            <w:r w:rsidRPr="000229AD">
              <w:rPr>
                <w:b/>
                <w:bCs/>
                <w:lang w:val="fr-FR"/>
              </w:rPr>
              <w:t>initiatives dans le domaine des TIC</w:t>
            </w:r>
            <w:r w:rsidRPr="000229AD">
              <w:rPr>
                <w:lang w:val="fr-FR"/>
              </w:rPr>
              <w:t>. On trouvera d</w:t>
            </w:r>
            <w:r w:rsidR="00125408" w:rsidRPr="000229AD">
              <w:rPr>
                <w:lang w:val="fr-FR"/>
              </w:rPr>
              <w:t>'</w:t>
            </w:r>
            <w:r w:rsidRPr="000229AD">
              <w:rPr>
                <w:lang w:val="fr-FR"/>
              </w:rPr>
              <w:t xml:space="preserve">autres précisions sur la </w:t>
            </w:r>
            <w:hyperlink r:id="rId67" w:history="1">
              <w:r w:rsidRPr="000229AD">
                <w:rPr>
                  <w:rStyle w:val="Hyperlink"/>
                  <w:lang w:val="fr-FR"/>
                </w:rPr>
                <w:t>mise en œuvre des projets par le BDT</w:t>
              </w:r>
            </w:hyperlink>
            <w:r w:rsidRPr="000229AD">
              <w:rPr>
                <w:lang w:val="fr-FR"/>
              </w:rPr>
              <w:t xml:space="preserve"> dans le document TDAG/23/7, ainsi que sur le portail des projets de développement de l</w:t>
            </w:r>
            <w:r w:rsidR="00125408" w:rsidRPr="000229AD">
              <w:rPr>
                <w:lang w:val="fr-FR"/>
              </w:rPr>
              <w:t>'</w:t>
            </w:r>
            <w:r w:rsidRPr="000229AD">
              <w:rPr>
                <w:lang w:val="fr-FR"/>
              </w:rPr>
              <w:t>UIT, qui présente un tableau de bord interactif à l</w:t>
            </w:r>
            <w:r w:rsidR="00125408" w:rsidRPr="000229AD">
              <w:rPr>
                <w:lang w:val="fr-FR"/>
              </w:rPr>
              <w:t>'</w:t>
            </w:r>
            <w:r w:rsidRPr="000229AD">
              <w:rPr>
                <w:lang w:val="fr-FR"/>
              </w:rPr>
              <w:t xml:space="preserve">intention des membres du GCDT. </w:t>
            </w:r>
          </w:p>
          <w:p w14:paraId="6EA2C14B" w14:textId="32FDA317" w:rsidR="00EA2FD3" w:rsidRPr="000229AD" w:rsidRDefault="00EA2FD3" w:rsidP="00716C22">
            <w:pPr>
              <w:pStyle w:val="Tabletext"/>
              <w:spacing w:after="120"/>
              <w:rPr>
                <w:lang w:val="fr-FR"/>
              </w:rPr>
            </w:pPr>
            <w:r w:rsidRPr="000229AD">
              <w:rPr>
                <w:lang w:val="fr-FR"/>
              </w:rPr>
              <w:t>Les projets, partenariats et activités de coopération existants ont également pris de l</w:t>
            </w:r>
            <w:r w:rsidR="00125408" w:rsidRPr="000229AD">
              <w:rPr>
                <w:lang w:val="fr-FR"/>
              </w:rPr>
              <w:t>'</w:t>
            </w:r>
            <w:r w:rsidRPr="000229AD">
              <w:rPr>
                <w:lang w:val="fr-FR"/>
              </w:rPr>
              <w:t>ampleur: en 2023, le BDT a entrepris des activités dans le cadre de 87 projets, pour un montant de 106,4 millions CHF. Ces nouveaux projets sont de nature multirégionale, régionale ou nationale. La plupart d</w:t>
            </w:r>
            <w:r w:rsidR="00125408" w:rsidRPr="000229AD">
              <w:rPr>
                <w:lang w:val="fr-FR"/>
              </w:rPr>
              <w:t>'</w:t>
            </w:r>
            <w:r w:rsidRPr="000229AD">
              <w:rPr>
                <w:lang w:val="fr-FR"/>
              </w:rPr>
              <w:t>entre eux (93%) ont été financés par les fonds extrabudgétaires mobilisés auprès de tiers, tandis que les 7% restants ont été financés par des fonds d</w:t>
            </w:r>
            <w:r w:rsidR="00125408" w:rsidRPr="000229AD">
              <w:rPr>
                <w:lang w:val="fr-FR"/>
              </w:rPr>
              <w:t>'</w:t>
            </w:r>
            <w:r w:rsidRPr="000229AD">
              <w:rPr>
                <w:lang w:val="fr-FR"/>
              </w:rPr>
              <w:t>amorçage provenant de l</w:t>
            </w:r>
            <w:r w:rsidR="00125408" w:rsidRPr="000229AD">
              <w:rPr>
                <w:lang w:val="fr-FR"/>
              </w:rPr>
              <w:t>'</w:t>
            </w:r>
            <w:r w:rsidRPr="000229AD">
              <w:rPr>
                <w:lang w:val="fr-FR"/>
              </w:rPr>
              <w:t>UIT, le Fonds pour le développement des TIC, ainsi que par des fonds alloués par le Conseil de l</w:t>
            </w:r>
            <w:r w:rsidR="00125408" w:rsidRPr="000229AD">
              <w:rPr>
                <w:lang w:val="fr-FR"/>
              </w:rPr>
              <w:t>'</w:t>
            </w:r>
            <w:r w:rsidRPr="000229AD">
              <w:rPr>
                <w:lang w:val="fr-FR"/>
              </w:rPr>
              <w:t>UIT pour appuyer les initiatives régionales de l</w:t>
            </w:r>
            <w:r w:rsidR="00125408" w:rsidRPr="000229AD">
              <w:rPr>
                <w:lang w:val="fr-FR"/>
              </w:rPr>
              <w:t>'</w:t>
            </w:r>
            <w:r w:rsidRPr="000229AD">
              <w:rPr>
                <w:lang w:val="fr-FR"/>
              </w:rPr>
              <w:t xml:space="preserve">UIT-D. </w:t>
            </w:r>
          </w:p>
          <w:p w14:paraId="74DE4B76" w14:textId="77777777" w:rsidR="00EA2FD3" w:rsidRPr="000229AD" w:rsidRDefault="00EA2FD3" w:rsidP="00716C22">
            <w:pPr>
              <w:pStyle w:val="Tabletext"/>
              <w:spacing w:before="120"/>
              <w:rPr>
                <w:lang w:val="fr-FR"/>
              </w:rPr>
            </w:pPr>
            <w:r w:rsidRPr="000229AD">
              <w:rPr>
                <w:lang w:val="fr-FR"/>
              </w:rPr>
              <w:t xml:space="preserve">On trouvera de plus amples informations sur les efforts déployés par le BDT dans le domaine de la mobilisation de ressources et des partenariats dans les documents 4, 7 et INF/1 du GCDT-23. </w:t>
            </w:r>
          </w:p>
        </w:tc>
        <w:tc>
          <w:tcPr>
            <w:tcW w:w="2970" w:type="dxa"/>
            <w:shd w:val="clear" w:color="auto" w:fill="auto"/>
          </w:tcPr>
          <w:p w14:paraId="0F01D965" w14:textId="77777777" w:rsidR="00EA2FD3" w:rsidRPr="000229AD" w:rsidRDefault="00EA2FD3" w:rsidP="00716C22">
            <w:pPr>
              <w:pStyle w:val="enumlev1"/>
              <w:ind w:left="312" w:hanging="312"/>
              <w:rPr>
                <w:sz w:val="22"/>
                <w:lang w:val="fr-FR"/>
              </w:rPr>
            </w:pPr>
            <w:r w:rsidRPr="000229AD">
              <w:rPr>
                <w:sz w:val="22"/>
                <w:lang w:val="fr-FR"/>
              </w:rPr>
              <w:t>–</w:t>
            </w:r>
            <w:r w:rsidRPr="000229AD">
              <w:rPr>
                <w:sz w:val="22"/>
                <w:lang w:val="fr-FR"/>
              </w:rPr>
              <w:tab/>
            </w:r>
            <w:r w:rsidRPr="000229AD">
              <w:rPr>
                <w:b/>
                <w:bCs/>
                <w:sz w:val="22"/>
                <w:lang w:val="fr-FR"/>
              </w:rPr>
              <w:t>En 2023</w:t>
            </w:r>
            <w:r w:rsidRPr="000229AD">
              <w:rPr>
                <w:sz w:val="22"/>
                <w:lang w:val="fr-FR"/>
              </w:rPr>
              <w:t xml:space="preserve">: 87 nouveaux accords ont été signés. </w:t>
            </w:r>
          </w:p>
          <w:p w14:paraId="54FD9DFB" w14:textId="77777777" w:rsidR="00EA2FD3" w:rsidRPr="000229AD" w:rsidRDefault="00EA2FD3" w:rsidP="00716C22">
            <w:pPr>
              <w:pStyle w:val="enumlev1"/>
              <w:ind w:left="312" w:hanging="312"/>
              <w:rPr>
                <w:sz w:val="22"/>
                <w:lang w:val="fr-FR"/>
              </w:rPr>
            </w:pPr>
            <w:r w:rsidRPr="000229AD">
              <w:rPr>
                <w:sz w:val="22"/>
                <w:lang w:val="fr-FR"/>
              </w:rPr>
              <w:t>–</w:t>
            </w:r>
            <w:r w:rsidRPr="000229AD">
              <w:rPr>
                <w:sz w:val="22"/>
                <w:lang w:val="fr-FR"/>
              </w:rPr>
              <w:tab/>
              <w:t>Entre juin 2023 et mars 2024, 73 nouveaux accords ont été signés.</w:t>
            </w:r>
          </w:p>
          <w:p w14:paraId="20A2790E" w14:textId="77777777" w:rsidR="00EA2FD3" w:rsidRPr="000229AD" w:rsidRDefault="00EA2FD3" w:rsidP="00716C22">
            <w:pPr>
              <w:pStyle w:val="enumlev1"/>
              <w:ind w:left="312" w:hanging="312"/>
              <w:rPr>
                <w:lang w:val="fr-FR"/>
              </w:rPr>
            </w:pPr>
            <w:r w:rsidRPr="000229AD">
              <w:rPr>
                <w:sz w:val="22"/>
                <w:lang w:val="fr-FR"/>
              </w:rPr>
              <w:t>–</w:t>
            </w:r>
            <w:r w:rsidRPr="000229AD">
              <w:rPr>
                <w:sz w:val="22"/>
                <w:lang w:val="fr-FR"/>
              </w:rPr>
              <w:tab/>
            </w:r>
            <w:r w:rsidRPr="000229AD">
              <w:rPr>
                <w:b/>
                <w:bCs/>
                <w:sz w:val="22"/>
                <w:lang w:val="fr-FR"/>
              </w:rPr>
              <w:t>23 nouveaux projets</w:t>
            </w:r>
            <w:r w:rsidRPr="000229AD">
              <w:rPr>
                <w:sz w:val="22"/>
                <w:lang w:val="fr-FR"/>
              </w:rPr>
              <w:t> = 20,9 millions CHF.</w:t>
            </w:r>
          </w:p>
        </w:tc>
      </w:tr>
      <w:tr w:rsidR="00EA2FD3" w:rsidRPr="000229AD" w14:paraId="51D30048" w14:textId="77777777" w:rsidTr="00C627A0">
        <w:tc>
          <w:tcPr>
            <w:tcW w:w="2977" w:type="dxa"/>
          </w:tcPr>
          <w:p w14:paraId="00D507C2" w14:textId="77777777" w:rsidR="00EA2FD3" w:rsidRPr="000229AD" w:rsidRDefault="00EA2FD3" w:rsidP="00716C22">
            <w:pPr>
              <w:pStyle w:val="Tabletext"/>
              <w:rPr>
                <w:b/>
                <w:bCs/>
                <w:lang w:val="fr-FR"/>
              </w:rPr>
            </w:pPr>
            <w:r w:rsidRPr="000229AD">
              <w:rPr>
                <w:b/>
                <w:bCs/>
                <w:lang w:val="fr-FR"/>
              </w:rPr>
              <w:t>Contribution à la réalisation des cibles des ODD</w:t>
            </w:r>
          </w:p>
        </w:tc>
        <w:tc>
          <w:tcPr>
            <w:tcW w:w="11873" w:type="dxa"/>
            <w:gridSpan w:val="2"/>
          </w:tcPr>
          <w:p w14:paraId="079748DD" w14:textId="77777777" w:rsidR="00EA2FD3" w:rsidRPr="000229AD" w:rsidRDefault="00EA2FD3" w:rsidP="00716C22">
            <w:pPr>
              <w:pStyle w:val="Tabletext"/>
              <w:rPr>
                <w:lang w:val="fr-FR"/>
              </w:rPr>
            </w:pPr>
            <w:r w:rsidRPr="000229AD">
              <w:rPr>
                <w:lang w:val="fr-FR"/>
              </w:rPr>
              <w:t>1, 3, 4, 5, 8, 9, 10, 11, 16, 17</w:t>
            </w:r>
          </w:p>
        </w:tc>
      </w:tr>
      <w:tr w:rsidR="00EA2FD3" w:rsidRPr="000229AD" w14:paraId="004EA435" w14:textId="77777777" w:rsidTr="00C627A0">
        <w:tc>
          <w:tcPr>
            <w:tcW w:w="2977" w:type="dxa"/>
          </w:tcPr>
          <w:p w14:paraId="26BE9FC4" w14:textId="4C535970" w:rsidR="00EA2FD3" w:rsidRPr="000229AD" w:rsidRDefault="00EA2FD3" w:rsidP="00716C22">
            <w:pPr>
              <w:pStyle w:val="Tabletext"/>
              <w:rPr>
                <w:b/>
                <w:bCs/>
                <w:lang w:val="fr-FR"/>
              </w:rPr>
            </w:pPr>
            <w:r w:rsidRPr="000229AD">
              <w:rPr>
                <w:b/>
                <w:bCs/>
                <w:lang w:val="fr-FR"/>
              </w:rPr>
              <w:t>Grandes orientations du</w:t>
            </w:r>
            <w:r w:rsidR="00C627A0" w:rsidRPr="000229AD">
              <w:rPr>
                <w:b/>
                <w:bCs/>
                <w:lang w:val="fr-FR"/>
              </w:rPr>
              <w:t xml:space="preserve"> </w:t>
            </w:r>
            <w:r w:rsidRPr="000229AD">
              <w:rPr>
                <w:b/>
                <w:bCs/>
                <w:lang w:val="fr-FR"/>
              </w:rPr>
              <w:t>SMSI</w:t>
            </w:r>
          </w:p>
        </w:tc>
        <w:tc>
          <w:tcPr>
            <w:tcW w:w="11873" w:type="dxa"/>
            <w:gridSpan w:val="2"/>
          </w:tcPr>
          <w:p w14:paraId="7A03D6A6" w14:textId="77777777" w:rsidR="00EA2FD3" w:rsidRPr="000229AD" w:rsidRDefault="00EA2FD3" w:rsidP="00716C22">
            <w:pPr>
              <w:pStyle w:val="Tabletext"/>
              <w:rPr>
                <w:lang w:val="fr-FR"/>
              </w:rPr>
            </w:pPr>
            <w:r w:rsidRPr="000229AD">
              <w:rPr>
                <w:lang w:val="fr-FR"/>
              </w:rPr>
              <w:t>C1, C2, C3, C4, C5, C6, C7, C11</w:t>
            </w:r>
          </w:p>
        </w:tc>
      </w:tr>
      <w:tr w:rsidR="00EA2FD3" w:rsidRPr="000229AD" w14:paraId="69A02BD3" w14:textId="77777777" w:rsidTr="00C627A0">
        <w:tc>
          <w:tcPr>
            <w:tcW w:w="2977" w:type="dxa"/>
          </w:tcPr>
          <w:p w14:paraId="63FE2925" w14:textId="77777777" w:rsidR="00EA2FD3" w:rsidRPr="000229AD" w:rsidRDefault="00EA2FD3" w:rsidP="00716C22">
            <w:pPr>
              <w:pStyle w:val="Tabletext"/>
              <w:rPr>
                <w:b/>
                <w:bCs/>
                <w:lang w:val="fr-FR"/>
              </w:rPr>
            </w:pPr>
            <w:r w:rsidRPr="000229AD">
              <w:rPr>
                <w:b/>
                <w:bCs/>
                <w:lang w:val="fr-FR"/>
              </w:rPr>
              <w:t>Résolutions</w:t>
            </w:r>
          </w:p>
        </w:tc>
        <w:tc>
          <w:tcPr>
            <w:tcW w:w="11873" w:type="dxa"/>
            <w:gridSpan w:val="2"/>
          </w:tcPr>
          <w:p w14:paraId="287D4A82" w14:textId="77777777" w:rsidR="00EA2FD3" w:rsidRPr="000229AD" w:rsidRDefault="00EA2FD3" w:rsidP="00716C22">
            <w:pPr>
              <w:pStyle w:val="Tabletext"/>
              <w:rPr>
                <w:lang w:val="fr-FR"/>
              </w:rPr>
            </w:pPr>
            <w:r w:rsidRPr="000229AD">
              <w:rPr>
                <w:lang w:val="fr-FR"/>
              </w:rPr>
              <w:t>1, 2, 24, 25, 52, 58 de la CMDT</w:t>
            </w:r>
          </w:p>
        </w:tc>
      </w:tr>
    </w:tbl>
    <w:p w14:paraId="40BE2C3F" w14:textId="799D6564" w:rsidR="00C627A0" w:rsidRPr="000229AD" w:rsidRDefault="00C627A0" w:rsidP="00716C22">
      <w:pPr>
        <w:pStyle w:val="Tabletext"/>
        <w:rPr>
          <w:lang w:val="fr-FR"/>
        </w:rPr>
      </w:pPr>
      <w:r w:rsidRPr="000229AD">
        <w:rPr>
          <w:lang w:val="fr-FR"/>
        </w:rPr>
        <w:br w:type="page"/>
      </w:r>
    </w:p>
    <w:tbl>
      <w:tblPr>
        <w:tblStyle w:val="TableGrid7"/>
        <w:tblW w:w="14850" w:type="dxa"/>
        <w:tblInd w:w="-5" w:type="dxa"/>
        <w:tblLayout w:type="fixed"/>
        <w:tblLook w:val="04A0" w:firstRow="1" w:lastRow="0" w:firstColumn="1" w:lastColumn="0" w:noHBand="0" w:noVBand="1"/>
      </w:tblPr>
      <w:tblGrid>
        <w:gridCol w:w="2977"/>
        <w:gridCol w:w="8903"/>
        <w:gridCol w:w="2970"/>
      </w:tblGrid>
      <w:tr w:rsidR="00EA2FD3" w:rsidRPr="000229AD" w14:paraId="72AAE939" w14:textId="77777777" w:rsidTr="00774480">
        <w:tc>
          <w:tcPr>
            <w:tcW w:w="14850" w:type="dxa"/>
            <w:gridSpan w:val="3"/>
            <w:tcBorders>
              <w:top w:val="dotted" w:sz="4" w:space="0" w:color="0070C0"/>
              <w:left w:val="dotted" w:sz="4" w:space="0" w:color="0070C0"/>
              <w:bottom w:val="dotted" w:sz="4" w:space="0" w:color="0070C0"/>
              <w:right w:val="dotted" w:sz="4" w:space="0" w:color="0070C0"/>
            </w:tcBorders>
            <w:shd w:val="clear" w:color="auto" w:fill="365F91" w:themeFill="accent1" w:themeFillShade="BF"/>
          </w:tcPr>
          <w:p w14:paraId="5AB44A9F" w14:textId="420ECEFC" w:rsidR="00EA2FD3" w:rsidRPr="000229AD" w:rsidRDefault="00EA2FD3" w:rsidP="00716C22">
            <w:pPr>
              <w:pStyle w:val="Tablehead"/>
              <w:keepNext w:val="0"/>
              <w:rPr>
                <w:color w:val="FFFFFF" w:themeColor="background1"/>
                <w:lang w:val="fr-FR"/>
              </w:rPr>
            </w:pPr>
            <w:bookmarkStart w:id="9" w:name="_Hlk166579539"/>
            <w:r w:rsidRPr="000229AD">
              <w:rPr>
                <w:color w:val="FFFFFF" w:themeColor="background1"/>
                <w:lang w:val="fr-FR"/>
              </w:rPr>
              <w:lastRenderedPageBreak/>
              <w:t>Catalyseur 1 de l</w:t>
            </w:r>
            <w:r w:rsidR="00125408" w:rsidRPr="000229AD">
              <w:rPr>
                <w:color w:val="FFFFFF" w:themeColor="background1"/>
                <w:lang w:val="fr-FR"/>
              </w:rPr>
              <w:t>'</w:t>
            </w:r>
            <w:r w:rsidRPr="000229AD">
              <w:rPr>
                <w:color w:val="FFFFFF" w:themeColor="background1"/>
                <w:lang w:val="fr-FR"/>
              </w:rPr>
              <w:t xml:space="preserve">UIT-D: Travaux reposant sur les contributions des membres </w:t>
            </w:r>
          </w:p>
          <w:p w14:paraId="519F9884" w14:textId="7C1B1ECD" w:rsidR="00EA2FD3" w:rsidRPr="000229AD" w:rsidRDefault="00EA2FD3" w:rsidP="00716C22">
            <w:pPr>
              <w:pStyle w:val="Tablehead"/>
              <w:keepNext w:val="0"/>
              <w:rPr>
                <w:i/>
                <w:iCs/>
                <w:lang w:val="fr-FR"/>
              </w:rPr>
            </w:pPr>
            <w:r w:rsidRPr="000229AD">
              <w:rPr>
                <w:i/>
                <w:iCs/>
                <w:color w:val="FFFFFF" w:themeColor="background1"/>
                <w:lang w:val="fr-FR"/>
              </w:rPr>
              <w:t>Renforcer la mise en œuvre des décisions de la CMDT et le dialogue entre les membres de l</w:t>
            </w:r>
            <w:r w:rsidR="00125408" w:rsidRPr="000229AD">
              <w:rPr>
                <w:i/>
                <w:iCs/>
                <w:color w:val="FFFFFF" w:themeColor="background1"/>
                <w:lang w:val="fr-FR"/>
              </w:rPr>
              <w:t>'</w:t>
            </w:r>
            <w:r w:rsidRPr="000229AD">
              <w:rPr>
                <w:i/>
                <w:iCs/>
                <w:color w:val="FFFFFF" w:themeColor="background1"/>
                <w:lang w:val="fr-FR"/>
              </w:rPr>
              <w:t>UIT</w:t>
            </w:r>
          </w:p>
        </w:tc>
      </w:tr>
      <w:tr w:rsidR="00EA2FD3" w:rsidRPr="000229AD" w14:paraId="32E2A1BD" w14:textId="77777777" w:rsidTr="00774480">
        <w:tc>
          <w:tcPr>
            <w:tcW w:w="14850" w:type="dxa"/>
            <w:gridSpan w:val="3"/>
            <w:tcBorders>
              <w:top w:val="dotted" w:sz="4" w:space="0" w:color="0070C0"/>
              <w:left w:val="dotted" w:sz="4" w:space="0" w:color="0070C0"/>
              <w:bottom w:val="dotted" w:sz="4" w:space="0" w:color="0070C0"/>
              <w:right w:val="dotted" w:sz="4" w:space="0" w:color="0070C0"/>
            </w:tcBorders>
            <w:shd w:val="clear" w:color="auto" w:fill="E5DFEC" w:themeFill="accent4" w:themeFillTint="33"/>
          </w:tcPr>
          <w:p w14:paraId="21C237C7" w14:textId="79F9D059" w:rsidR="00EA2FD3" w:rsidRPr="000229AD" w:rsidRDefault="00EA2FD3" w:rsidP="00716C22">
            <w:pPr>
              <w:pStyle w:val="Tabletext"/>
              <w:spacing w:before="120"/>
              <w:rPr>
                <w:lang w:val="fr-FR"/>
              </w:rPr>
            </w:pPr>
            <w:r w:rsidRPr="000229AD">
              <w:rPr>
                <w:b/>
                <w:bCs/>
                <w:i/>
                <w:iCs/>
                <w:lang w:val="fr-FR"/>
              </w:rPr>
              <w:t>Réalisation</w:t>
            </w:r>
            <w:r w:rsidRPr="000229AD">
              <w:rPr>
                <w:i/>
                <w:iCs/>
                <w:lang w:val="fr-FR"/>
              </w:rPr>
              <w:t>: renforcement de la mise en œuvre des Résolutions de la CMDT Renforcement de l</w:t>
            </w:r>
            <w:r w:rsidR="00125408" w:rsidRPr="000229AD">
              <w:rPr>
                <w:i/>
                <w:iCs/>
                <w:lang w:val="fr-FR"/>
              </w:rPr>
              <w:t>'</w:t>
            </w:r>
            <w:r w:rsidRPr="000229AD">
              <w:rPr>
                <w:i/>
                <w:iCs/>
                <w:lang w:val="fr-FR"/>
              </w:rPr>
              <w:t>échange de connaissances, de la recherche-développement, du dialogue et des partenariats entre les membres de l</w:t>
            </w:r>
            <w:r w:rsidR="00125408" w:rsidRPr="000229AD">
              <w:rPr>
                <w:i/>
                <w:iCs/>
                <w:lang w:val="fr-FR"/>
              </w:rPr>
              <w:t>'</w:t>
            </w:r>
            <w:r w:rsidRPr="000229AD">
              <w:rPr>
                <w:i/>
                <w:iCs/>
                <w:lang w:val="fr-FR"/>
              </w:rPr>
              <w:t>UIT concernant les questions de télécommunication/TIC.</w:t>
            </w:r>
          </w:p>
        </w:tc>
      </w:tr>
      <w:tr w:rsidR="00EA2FD3" w:rsidRPr="000229AD" w14:paraId="52BC80AA" w14:textId="77777777" w:rsidTr="00774480">
        <w:tc>
          <w:tcPr>
            <w:tcW w:w="11880" w:type="dxa"/>
            <w:gridSpan w:val="2"/>
            <w:tcBorders>
              <w:top w:val="dotted" w:sz="4" w:space="0" w:color="0070C0"/>
              <w:left w:val="dotted" w:sz="4" w:space="0" w:color="0070C0"/>
              <w:bottom w:val="dotted" w:sz="4" w:space="0" w:color="0070C0"/>
              <w:right w:val="dotted" w:sz="4" w:space="0" w:color="0070C0"/>
            </w:tcBorders>
          </w:tcPr>
          <w:p w14:paraId="3B639E56" w14:textId="77777777" w:rsidR="00EA2FD3" w:rsidRPr="000229AD" w:rsidRDefault="00EA2FD3" w:rsidP="00716C22">
            <w:pPr>
              <w:pStyle w:val="Tablehead"/>
              <w:keepNext w:val="0"/>
              <w:rPr>
                <w:lang w:val="fr-FR"/>
              </w:rPr>
            </w:pPr>
            <w:r w:rsidRPr="000229AD">
              <w:rPr>
                <w:lang w:val="fr-FR"/>
              </w:rPr>
              <w:t>Produits</w:t>
            </w:r>
          </w:p>
        </w:tc>
        <w:tc>
          <w:tcPr>
            <w:tcW w:w="2970" w:type="dxa"/>
            <w:tcBorders>
              <w:top w:val="dotted" w:sz="4" w:space="0" w:color="0070C0"/>
              <w:left w:val="dotted" w:sz="4" w:space="0" w:color="0070C0"/>
              <w:bottom w:val="dotted" w:sz="4" w:space="0" w:color="0070C0"/>
              <w:right w:val="dotted" w:sz="4" w:space="0" w:color="0070C0"/>
            </w:tcBorders>
          </w:tcPr>
          <w:p w14:paraId="77BE1870" w14:textId="77777777" w:rsidR="00EA2FD3" w:rsidRPr="000229AD" w:rsidRDefault="00EA2FD3" w:rsidP="00716C22">
            <w:pPr>
              <w:pStyle w:val="Tablehead"/>
              <w:keepNext w:val="0"/>
              <w:rPr>
                <w:lang w:val="fr-FR"/>
              </w:rPr>
            </w:pPr>
            <w:r w:rsidRPr="000229AD">
              <w:rPr>
                <w:lang w:val="fr-FR"/>
              </w:rPr>
              <w:t xml:space="preserve">Points clés </w:t>
            </w:r>
          </w:p>
        </w:tc>
      </w:tr>
      <w:tr w:rsidR="00EA2FD3" w:rsidRPr="000229AD" w14:paraId="4019C6A8" w14:textId="77777777" w:rsidTr="00774480">
        <w:tc>
          <w:tcPr>
            <w:tcW w:w="11880" w:type="dxa"/>
            <w:gridSpan w:val="2"/>
            <w:tcBorders>
              <w:top w:val="dotted" w:sz="4" w:space="0" w:color="0070C0"/>
              <w:left w:val="dotted" w:sz="4" w:space="0" w:color="0070C0"/>
              <w:bottom w:val="dotted" w:sz="4" w:space="0" w:color="0070C0"/>
              <w:right w:val="dotted" w:sz="4" w:space="0" w:color="0070C0"/>
            </w:tcBorders>
          </w:tcPr>
          <w:p w14:paraId="24A0DCE4" w14:textId="5D3B99B0" w:rsidR="00EA2FD3" w:rsidRPr="000229AD" w:rsidRDefault="00EA2FD3" w:rsidP="00716C22">
            <w:pPr>
              <w:pStyle w:val="Tabletext"/>
              <w:spacing w:after="120"/>
              <w:rPr>
                <w:lang w:val="fr-FR"/>
              </w:rPr>
            </w:pPr>
            <w:r w:rsidRPr="000229AD">
              <w:rPr>
                <w:lang w:val="fr-FR"/>
              </w:rPr>
              <w:t>En 2023, l</w:t>
            </w:r>
            <w:r w:rsidR="00125408" w:rsidRPr="000229AD">
              <w:rPr>
                <w:lang w:val="fr-FR"/>
              </w:rPr>
              <w:t>'</w:t>
            </w:r>
            <w:r w:rsidRPr="000229AD">
              <w:rPr>
                <w:lang w:val="fr-FR"/>
              </w:rPr>
              <w:t>UIT-D a accueilli un nombre important de nouveaux membres, grâce à des stratégies de sensibilisation renforcées, concertées et ciblées couvrant divers segments de l</w:t>
            </w:r>
            <w:r w:rsidR="00125408" w:rsidRPr="000229AD">
              <w:rPr>
                <w:lang w:val="fr-FR"/>
              </w:rPr>
              <w:t>'</w:t>
            </w:r>
            <w:r w:rsidRPr="000229AD">
              <w:rPr>
                <w:lang w:val="fr-FR"/>
              </w:rPr>
              <w:t>écosystème des TIC. Des visites ciblées, des manifestations et l</w:t>
            </w:r>
            <w:r w:rsidR="00125408" w:rsidRPr="000229AD">
              <w:rPr>
                <w:lang w:val="fr-FR"/>
              </w:rPr>
              <w:t>'</w:t>
            </w:r>
            <w:r w:rsidRPr="000229AD">
              <w:rPr>
                <w:lang w:val="fr-FR"/>
              </w:rPr>
              <w:t>élaboration de notes d</w:t>
            </w:r>
            <w:r w:rsidR="00125408" w:rsidRPr="000229AD">
              <w:rPr>
                <w:lang w:val="fr-FR"/>
              </w:rPr>
              <w:t>'</w:t>
            </w:r>
            <w:r w:rsidRPr="000229AD">
              <w:rPr>
                <w:lang w:val="fr-FR"/>
              </w:rPr>
              <w:t>information ont permis de renforcer le dialogue stratégique avec les membres de l</w:t>
            </w:r>
            <w:r w:rsidR="00125408" w:rsidRPr="000229AD">
              <w:rPr>
                <w:lang w:val="fr-FR"/>
              </w:rPr>
              <w:t>'</w:t>
            </w:r>
            <w:r w:rsidRPr="000229AD">
              <w:rPr>
                <w:lang w:val="fr-FR"/>
              </w:rPr>
              <w:t xml:space="preserve">UIT-D, y compris les États Membres. </w:t>
            </w:r>
          </w:p>
          <w:p w14:paraId="4A46D638" w14:textId="278C03DA" w:rsidR="00EA2FD3" w:rsidRPr="000229AD" w:rsidRDefault="00EA2FD3" w:rsidP="00716C22">
            <w:pPr>
              <w:pStyle w:val="enumlev1"/>
              <w:ind w:left="312" w:hanging="312"/>
              <w:rPr>
                <w:sz w:val="22"/>
                <w:lang w:val="fr-FR"/>
              </w:rPr>
            </w:pPr>
            <w:r w:rsidRPr="000229AD">
              <w:rPr>
                <w:sz w:val="22"/>
                <w:lang w:val="fr-FR"/>
              </w:rPr>
              <w:t>•</w:t>
            </w:r>
            <w:r w:rsidRPr="000229AD">
              <w:rPr>
                <w:sz w:val="22"/>
                <w:lang w:val="fr-FR"/>
              </w:rPr>
              <w:tab/>
            </w:r>
            <w:r w:rsidRPr="000229AD">
              <w:rPr>
                <w:b/>
                <w:bCs/>
                <w:sz w:val="22"/>
                <w:lang w:val="fr-FR"/>
              </w:rPr>
              <w:t>Vingt-sept nouveaux membres</w:t>
            </w:r>
            <w:r w:rsidRPr="000229AD">
              <w:rPr>
                <w:sz w:val="22"/>
                <w:lang w:val="fr-FR"/>
              </w:rPr>
              <w:t xml:space="preserve"> ont rejoint l</w:t>
            </w:r>
            <w:r w:rsidR="00125408" w:rsidRPr="000229AD">
              <w:rPr>
                <w:sz w:val="22"/>
                <w:lang w:val="fr-FR"/>
              </w:rPr>
              <w:t>'</w:t>
            </w:r>
            <w:r w:rsidRPr="000229AD">
              <w:rPr>
                <w:sz w:val="22"/>
                <w:lang w:val="fr-FR"/>
              </w:rPr>
              <w:t xml:space="preserve">UIT-D en 2023, contre 18 en 2022, soit une augmentation de 50% du nombre de nouveaux membres. </w:t>
            </w:r>
          </w:p>
          <w:p w14:paraId="1A94EF73" w14:textId="624A5028" w:rsidR="00EA2FD3" w:rsidRPr="000229AD" w:rsidRDefault="00EA2FD3" w:rsidP="00716C22">
            <w:pPr>
              <w:pStyle w:val="enumlev1"/>
              <w:ind w:left="312" w:hanging="312"/>
              <w:rPr>
                <w:sz w:val="22"/>
                <w:lang w:val="fr-FR"/>
              </w:rPr>
            </w:pPr>
            <w:r w:rsidRPr="000229AD">
              <w:rPr>
                <w:sz w:val="22"/>
                <w:lang w:val="fr-FR"/>
              </w:rPr>
              <w:t>•</w:t>
            </w:r>
            <w:r w:rsidRPr="000229AD">
              <w:rPr>
                <w:sz w:val="22"/>
                <w:lang w:val="fr-FR"/>
              </w:rPr>
              <w:tab/>
              <w:t xml:space="preserve">La </w:t>
            </w:r>
            <w:r w:rsidRPr="000229AD">
              <w:rPr>
                <w:b/>
                <w:bCs/>
                <w:sz w:val="22"/>
                <w:lang w:val="fr-FR"/>
              </w:rPr>
              <w:t>croissance nette globale du nombre de membres en 2023</w:t>
            </w:r>
            <w:r w:rsidRPr="000229AD">
              <w:rPr>
                <w:sz w:val="22"/>
                <w:lang w:val="fr-FR"/>
              </w:rPr>
              <w:t xml:space="preserve"> (différence entre les gains et les pertes) a été </w:t>
            </w:r>
            <w:r w:rsidRPr="000229AD">
              <w:rPr>
                <w:b/>
                <w:bCs/>
                <w:sz w:val="22"/>
                <w:lang w:val="fr-FR"/>
              </w:rPr>
              <w:t>quatre fois plus élevée qu</w:t>
            </w:r>
            <w:r w:rsidR="00125408" w:rsidRPr="000229AD">
              <w:rPr>
                <w:b/>
                <w:bCs/>
                <w:sz w:val="22"/>
                <w:lang w:val="fr-FR"/>
              </w:rPr>
              <w:t>'</w:t>
            </w:r>
            <w:r w:rsidRPr="000229AD">
              <w:rPr>
                <w:b/>
                <w:bCs/>
                <w:sz w:val="22"/>
                <w:lang w:val="fr-FR"/>
              </w:rPr>
              <w:t>en 2022</w:t>
            </w:r>
            <w:r w:rsidRPr="000229AD">
              <w:rPr>
                <w:sz w:val="22"/>
                <w:lang w:val="fr-FR"/>
              </w:rPr>
              <w:t>.</w:t>
            </w:r>
          </w:p>
          <w:p w14:paraId="5EB2BEBB" w14:textId="77777777" w:rsidR="00EA2FD3" w:rsidRPr="000229AD" w:rsidRDefault="00EA2FD3" w:rsidP="00716C22">
            <w:pPr>
              <w:pStyle w:val="enumlev1"/>
              <w:ind w:left="312" w:hanging="312"/>
              <w:rPr>
                <w:sz w:val="22"/>
                <w:lang w:val="fr-FR"/>
              </w:rPr>
            </w:pPr>
            <w:r w:rsidRPr="000229AD">
              <w:rPr>
                <w:sz w:val="22"/>
                <w:lang w:val="fr-FR"/>
              </w:rPr>
              <w:t>•</w:t>
            </w:r>
            <w:r w:rsidRPr="000229AD">
              <w:rPr>
                <w:sz w:val="22"/>
                <w:lang w:val="fr-FR"/>
              </w:rPr>
              <w:tab/>
              <w:t xml:space="preserve">Nombre record de </w:t>
            </w:r>
            <w:r w:rsidRPr="000229AD">
              <w:rPr>
                <w:b/>
                <w:bCs/>
                <w:sz w:val="22"/>
                <w:lang w:val="fr-FR"/>
              </w:rPr>
              <w:t>149 participants</w:t>
            </w:r>
            <w:r w:rsidRPr="000229AD">
              <w:rPr>
                <w:sz w:val="22"/>
                <w:lang w:val="fr-FR"/>
              </w:rPr>
              <w:t xml:space="preserve"> à la réunion du Groupe consultatif de professionnels chargé des questions de développement et des Directeurs de la réglementation du secteur privé (IAGDI-CRO) tenue en marge du GSR-23 à Charm el</w:t>
            </w:r>
            <w:r w:rsidRPr="000229AD">
              <w:rPr>
                <w:sz w:val="22"/>
                <w:lang w:val="fr-FR"/>
              </w:rPr>
              <w:noBreakHyphen/>
              <w:t xml:space="preserve">Cheikh (Égypte). </w:t>
            </w:r>
          </w:p>
          <w:p w14:paraId="0A4BEF5E" w14:textId="7BCD383C" w:rsidR="00EA2FD3" w:rsidRPr="000229AD" w:rsidRDefault="00EA2FD3" w:rsidP="00716C22">
            <w:pPr>
              <w:pStyle w:val="enumlev1"/>
              <w:ind w:left="312" w:hanging="312"/>
              <w:rPr>
                <w:sz w:val="22"/>
                <w:lang w:val="fr-FR"/>
              </w:rPr>
            </w:pPr>
            <w:r w:rsidRPr="000229AD">
              <w:rPr>
                <w:sz w:val="22"/>
                <w:lang w:val="fr-FR"/>
              </w:rPr>
              <w:t>•</w:t>
            </w:r>
            <w:r w:rsidRPr="000229AD">
              <w:rPr>
                <w:sz w:val="22"/>
                <w:lang w:val="fr-FR"/>
              </w:rPr>
              <w:tab/>
              <w:t>Meilleure connaissance des produits et services de l</w:t>
            </w:r>
            <w:r w:rsidR="00125408" w:rsidRPr="000229AD">
              <w:rPr>
                <w:sz w:val="22"/>
                <w:lang w:val="fr-FR"/>
              </w:rPr>
              <w:t>'</w:t>
            </w:r>
            <w:r w:rsidRPr="000229AD">
              <w:rPr>
                <w:sz w:val="22"/>
                <w:lang w:val="fr-FR"/>
              </w:rPr>
              <w:t xml:space="preserve">UIT grâce à plus de </w:t>
            </w:r>
            <w:r w:rsidRPr="000229AD">
              <w:rPr>
                <w:b/>
                <w:bCs/>
                <w:sz w:val="22"/>
                <w:lang w:val="fr-FR"/>
              </w:rPr>
              <w:t>150 échanges</w:t>
            </w:r>
            <w:r w:rsidRPr="000229AD">
              <w:rPr>
                <w:sz w:val="22"/>
                <w:lang w:val="fr-FR"/>
              </w:rPr>
              <w:t xml:space="preserve"> avec les membres dans le cadre de missions de sensibilisation, de réunions et de visites de haut niveau. </w:t>
            </w:r>
          </w:p>
          <w:p w14:paraId="1E2A9E0D" w14:textId="31880E95" w:rsidR="00EA2FD3" w:rsidRPr="000229AD" w:rsidRDefault="00EA2FD3" w:rsidP="00716C22">
            <w:pPr>
              <w:pStyle w:val="Tabletext"/>
              <w:spacing w:before="240" w:after="120"/>
              <w:rPr>
                <w:b/>
                <w:bCs/>
                <w:lang w:val="fr-FR"/>
              </w:rPr>
            </w:pPr>
            <w:r w:rsidRPr="000229AD">
              <w:rPr>
                <w:b/>
                <w:bCs/>
                <w:lang w:val="fr-FR"/>
              </w:rPr>
              <w:t>1)</w:t>
            </w:r>
            <w:r w:rsidRPr="000229AD">
              <w:rPr>
                <w:b/>
                <w:bCs/>
                <w:lang w:val="fr-FR"/>
              </w:rPr>
              <w:tab/>
              <w:t>Académie de l</w:t>
            </w:r>
            <w:r w:rsidR="00125408" w:rsidRPr="000229AD">
              <w:rPr>
                <w:b/>
                <w:bCs/>
                <w:lang w:val="fr-FR"/>
              </w:rPr>
              <w:t>'</w:t>
            </w:r>
            <w:r w:rsidRPr="000229AD">
              <w:rPr>
                <w:b/>
                <w:bCs/>
                <w:lang w:val="fr-FR"/>
              </w:rPr>
              <w:t>UIT</w:t>
            </w:r>
          </w:p>
          <w:p w14:paraId="63FE1556" w14:textId="43CDCAC9" w:rsidR="00EA2FD3" w:rsidRPr="000229AD" w:rsidRDefault="00EA2FD3" w:rsidP="00716C22">
            <w:pPr>
              <w:pStyle w:val="enumlev1"/>
              <w:spacing w:before="120"/>
              <w:ind w:left="312" w:hanging="312"/>
              <w:rPr>
                <w:sz w:val="22"/>
                <w:lang w:val="fr-FR"/>
              </w:rPr>
            </w:pPr>
            <w:r w:rsidRPr="000229AD">
              <w:rPr>
                <w:sz w:val="22"/>
                <w:lang w:val="fr-FR"/>
              </w:rPr>
              <w:t>•</w:t>
            </w:r>
            <w:r w:rsidRPr="000229AD">
              <w:rPr>
                <w:sz w:val="22"/>
                <w:lang w:val="fr-FR"/>
              </w:rPr>
              <w:tab/>
              <w:t>En 2023, l</w:t>
            </w:r>
            <w:r w:rsidR="00125408" w:rsidRPr="000229AD">
              <w:rPr>
                <w:sz w:val="22"/>
                <w:lang w:val="fr-FR"/>
              </w:rPr>
              <w:t>'</w:t>
            </w:r>
            <w:r w:rsidRPr="000229AD">
              <w:rPr>
                <w:sz w:val="22"/>
                <w:lang w:val="fr-FR"/>
              </w:rPr>
              <w:t>UIT a attiré 17 établissements universitaires et en a perdu 18. Malgré les efforts concertés déployés par les trois Secteurs de l</w:t>
            </w:r>
            <w:r w:rsidR="00125408" w:rsidRPr="000229AD">
              <w:rPr>
                <w:sz w:val="22"/>
                <w:lang w:val="fr-FR"/>
              </w:rPr>
              <w:t>'</w:t>
            </w:r>
            <w:r w:rsidRPr="000229AD">
              <w:rPr>
                <w:sz w:val="22"/>
                <w:lang w:val="fr-FR"/>
              </w:rPr>
              <w:t>UIT pour attirer et fidéliser les établissements universitaires, il s</w:t>
            </w:r>
            <w:r w:rsidR="00125408" w:rsidRPr="000229AD">
              <w:rPr>
                <w:sz w:val="22"/>
                <w:lang w:val="fr-FR"/>
              </w:rPr>
              <w:t>'</w:t>
            </w:r>
            <w:r w:rsidRPr="000229AD">
              <w:rPr>
                <w:sz w:val="22"/>
                <w:lang w:val="fr-FR"/>
              </w:rPr>
              <w:t xml:space="preserve">est avéré difficile de maintenir la croissance des adhésions, les établissements universitaires ayant à plusieurs reprises signalé des difficultés à conserver leur adhésion pendant une longue période en raison de contraintes budgétaires. </w:t>
            </w:r>
          </w:p>
          <w:p w14:paraId="2585826C" w14:textId="11DFCBD1" w:rsidR="00EA2FD3" w:rsidRPr="000229AD" w:rsidRDefault="00EA2FD3" w:rsidP="00716C22">
            <w:pPr>
              <w:pStyle w:val="enumlev1"/>
              <w:spacing w:after="40"/>
              <w:ind w:left="312" w:hanging="312"/>
              <w:rPr>
                <w:sz w:val="22"/>
                <w:lang w:val="fr-FR"/>
              </w:rPr>
            </w:pPr>
            <w:r w:rsidRPr="000229AD">
              <w:rPr>
                <w:sz w:val="22"/>
                <w:lang w:val="fr-FR"/>
              </w:rPr>
              <w:t>•</w:t>
            </w:r>
            <w:r w:rsidRPr="000229AD">
              <w:rPr>
                <w:sz w:val="22"/>
                <w:lang w:val="fr-FR"/>
              </w:rPr>
              <w:tab/>
              <w:t>L</w:t>
            </w:r>
            <w:r w:rsidR="00125408" w:rsidRPr="000229AD">
              <w:rPr>
                <w:sz w:val="22"/>
                <w:lang w:val="fr-FR"/>
              </w:rPr>
              <w:t>'</w:t>
            </w:r>
            <w:r w:rsidRPr="000229AD">
              <w:rPr>
                <w:sz w:val="22"/>
                <w:lang w:val="fr-FR"/>
              </w:rPr>
              <w:t>ensemble des Secteurs de l</w:t>
            </w:r>
            <w:r w:rsidR="00125408" w:rsidRPr="000229AD">
              <w:rPr>
                <w:sz w:val="22"/>
                <w:lang w:val="fr-FR"/>
              </w:rPr>
              <w:t>'</w:t>
            </w:r>
            <w:r w:rsidRPr="000229AD">
              <w:rPr>
                <w:sz w:val="22"/>
                <w:lang w:val="fr-FR"/>
              </w:rPr>
              <w:t>UIT ne ménagent aucun effort pour revoir et mieux promouvoir la proposition de valeur de l</w:t>
            </w:r>
            <w:r w:rsidR="00125408" w:rsidRPr="000229AD">
              <w:rPr>
                <w:sz w:val="22"/>
                <w:lang w:val="fr-FR"/>
              </w:rPr>
              <w:t>'</w:t>
            </w:r>
            <w:r w:rsidRPr="000229AD">
              <w:rPr>
                <w:sz w:val="22"/>
                <w:lang w:val="fr-FR"/>
              </w:rPr>
              <w:t>affiliation à l</w:t>
            </w:r>
            <w:r w:rsidR="00125408" w:rsidRPr="000229AD">
              <w:rPr>
                <w:sz w:val="22"/>
                <w:lang w:val="fr-FR"/>
              </w:rPr>
              <w:t>'</w:t>
            </w:r>
            <w:r w:rsidRPr="000229AD">
              <w:rPr>
                <w:sz w:val="22"/>
                <w:lang w:val="fr-FR"/>
              </w:rPr>
              <w:t>Académie de l</w:t>
            </w:r>
            <w:r w:rsidR="00125408" w:rsidRPr="000229AD">
              <w:rPr>
                <w:sz w:val="22"/>
                <w:lang w:val="fr-FR"/>
              </w:rPr>
              <w:t>'</w:t>
            </w:r>
            <w:r w:rsidRPr="000229AD">
              <w:rPr>
                <w:sz w:val="22"/>
                <w:lang w:val="fr-FR"/>
              </w:rPr>
              <w:t>UIT dans l</w:t>
            </w:r>
            <w:r w:rsidR="00125408" w:rsidRPr="000229AD">
              <w:rPr>
                <w:sz w:val="22"/>
                <w:lang w:val="fr-FR"/>
              </w:rPr>
              <w:t>'</w:t>
            </w:r>
            <w:r w:rsidRPr="000229AD">
              <w:rPr>
                <w:sz w:val="22"/>
                <w:lang w:val="fr-FR"/>
              </w:rPr>
              <w:t>ensemble de l</w:t>
            </w:r>
            <w:r w:rsidR="00125408" w:rsidRPr="000229AD">
              <w:rPr>
                <w:sz w:val="22"/>
                <w:lang w:val="fr-FR"/>
              </w:rPr>
              <w:t>'</w:t>
            </w:r>
            <w:r w:rsidRPr="000229AD">
              <w:rPr>
                <w:sz w:val="22"/>
                <w:lang w:val="fr-FR"/>
              </w:rPr>
              <w:t>UIT. S</w:t>
            </w:r>
            <w:r w:rsidR="00125408" w:rsidRPr="000229AD">
              <w:rPr>
                <w:sz w:val="22"/>
                <w:lang w:val="fr-FR"/>
              </w:rPr>
              <w:t>'</w:t>
            </w:r>
            <w:r w:rsidRPr="000229AD">
              <w:rPr>
                <w:sz w:val="22"/>
                <w:lang w:val="fr-FR"/>
              </w:rPr>
              <w:t>agissant de la participation spécifique aux activités de l</w:t>
            </w:r>
            <w:r w:rsidR="00125408" w:rsidRPr="000229AD">
              <w:rPr>
                <w:sz w:val="22"/>
                <w:lang w:val="fr-FR"/>
              </w:rPr>
              <w:t>'</w:t>
            </w:r>
            <w:r w:rsidRPr="000229AD">
              <w:rPr>
                <w:sz w:val="22"/>
                <w:lang w:val="fr-FR"/>
              </w:rPr>
              <w:t>UIT-D, les principaux domaines de collaboration envisagés comprennent les travaux menés par l</w:t>
            </w:r>
            <w:r w:rsidR="00125408" w:rsidRPr="000229AD">
              <w:rPr>
                <w:sz w:val="22"/>
                <w:lang w:val="fr-FR"/>
              </w:rPr>
              <w:t>'</w:t>
            </w:r>
            <w:r w:rsidRPr="000229AD">
              <w:rPr>
                <w:sz w:val="22"/>
                <w:lang w:val="fr-FR"/>
              </w:rPr>
              <w:t>Académie de l</w:t>
            </w:r>
            <w:r w:rsidR="00125408" w:rsidRPr="000229AD">
              <w:rPr>
                <w:sz w:val="22"/>
                <w:lang w:val="fr-FR"/>
              </w:rPr>
              <w:t>'</w:t>
            </w:r>
            <w:r w:rsidRPr="000229AD">
              <w:rPr>
                <w:sz w:val="22"/>
                <w:lang w:val="fr-FR"/>
              </w:rPr>
              <w:t>UIT en faveur de l</w:t>
            </w:r>
            <w:r w:rsidR="00125408" w:rsidRPr="000229AD">
              <w:rPr>
                <w:sz w:val="22"/>
                <w:lang w:val="fr-FR"/>
              </w:rPr>
              <w:t>'</w:t>
            </w:r>
            <w:r w:rsidRPr="000229AD">
              <w:rPr>
                <w:sz w:val="22"/>
                <w:lang w:val="fr-FR"/>
              </w:rPr>
              <w:t>inclusion numérique, ceux entrepris par l</w:t>
            </w:r>
            <w:r w:rsidR="00125408" w:rsidRPr="000229AD">
              <w:rPr>
                <w:sz w:val="22"/>
                <w:lang w:val="fr-FR"/>
              </w:rPr>
              <w:t>'</w:t>
            </w:r>
            <w:r w:rsidRPr="000229AD">
              <w:rPr>
                <w:sz w:val="22"/>
                <w:lang w:val="fr-FR"/>
              </w:rPr>
              <w:t>Alliance de l</w:t>
            </w:r>
            <w:r w:rsidR="00125408" w:rsidRPr="000229AD">
              <w:rPr>
                <w:sz w:val="22"/>
                <w:lang w:val="fr-FR"/>
              </w:rPr>
              <w:t>'</w:t>
            </w:r>
            <w:r w:rsidRPr="000229AD">
              <w:rPr>
                <w:sz w:val="22"/>
                <w:lang w:val="fr-FR"/>
              </w:rPr>
              <w:t>innovation et de l</w:t>
            </w:r>
            <w:r w:rsidR="00125408" w:rsidRPr="000229AD">
              <w:rPr>
                <w:sz w:val="22"/>
                <w:lang w:val="fr-FR"/>
              </w:rPr>
              <w:t>'</w:t>
            </w:r>
            <w:r w:rsidRPr="000229AD">
              <w:rPr>
                <w:sz w:val="22"/>
                <w:lang w:val="fr-FR"/>
              </w:rPr>
              <w:t>entrepreneuriat au service du développement du numérique, ainsi que ceux des commissions d</w:t>
            </w:r>
            <w:r w:rsidR="00125408" w:rsidRPr="000229AD">
              <w:rPr>
                <w:sz w:val="22"/>
                <w:lang w:val="fr-FR"/>
              </w:rPr>
              <w:t>'</w:t>
            </w:r>
            <w:r w:rsidRPr="000229AD">
              <w:rPr>
                <w:sz w:val="22"/>
                <w:lang w:val="fr-FR"/>
              </w:rPr>
              <w:t>études de l</w:t>
            </w:r>
            <w:r w:rsidR="00125408" w:rsidRPr="000229AD">
              <w:rPr>
                <w:sz w:val="22"/>
                <w:lang w:val="fr-FR"/>
              </w:rPr>
              <w:t>'</w:t>
            </w:r>
            <w:r w:rsidRPr="000229AD">
              <w:rPr>
                <w:sz w:val="22"/>
                <w:lang w:val="fr-FR"/>
              </w:rPr>
              <w:t>UIT-D.</w:t>
            </w:r>
          </w:p>
          <w:p w14:paraId="0DE93E95" w14:textId="6F79EFB1" w:rsidR="00EA2FD3" w:rsidRPr="000229AD" w:rsidRDefault="00EA2FD3" w:rsidP="00716C22">
            <w:pPr>
              <w:pStyle w:val="Tabletext"/>
              <w:keepNext/>
              <w:keepLines/>
              <w:spacing w:after="120"/>
              <w:rPr>
                <w:lang w:val="fr-FR"/>
              </w:rPr>
            </w:pPr>
            <w:r w:rsidRPr="000229AD">
              <w:rPr>
                <w:b/>
                <w:bCs/>
                <w:lang w:val="fr-FR"/>
              </w:rPr>
              <w:lastRenderedPageBreak/>
              <w:t>2)</w:t>
            </w:r>
            <w:r w:rsidRPr="000229AD">
              <w:rPr>
                <w:b/>
                <w:bCs/>
                <w:lang w:val="fr-FR"/>
              </w:rPr>
              <w:tab/>
              <w:t>Commissions d</w:t>
            </w:r>
            <w:r w:rsidR="00125408" w:rsidRPr="000229AD">
              <w:rPr>
                <w:b/>
                <w:bCs/>
                <w:lang w:val="fr-FR"/>
              </w:rPr>
              <w:t>'</w:t>
            </w:r>
            <w:r w:rsidRPr="000229AD">
              <w:rPr>
                <w:b/>
                <w:bCs/>
                <w:lang w:val="fr-FR"/>
              </w:rPr>
              <w:t>études de l</w:t>
            </w:r>
            <w:r w:rsidR="00125408" w:rsidRPr="000229AD">
              <w:rPr>
                <w:b/>
                <w:bCs/>
                <w:lang w:val="fr-FR"/>
              </w:rPr>
              <w:t>'</w:t>
            </w:r>
            <w:r w:rsidRPr="000229AD">
              <w:rPr>
                <w:b/>
                <w:bCs/>
                <w:lang w:val="fr-FR"/>
              </w:rPr>
              <w:t xml:space="preserve">UIT-D </w:t>
            </w:r>
          </w:p>
          <w:p w14:paraId="48128955" w14:textId="52601078" w:rsidR="00EA2FD3" w:rsidRPr="000229AD" w:rsidRDefault="00EA2FD3" w:rsidP="00716C22">
            <w:pPr>
              <w:pStyle w:val="Tabletext"/>
              <w:keepNext/>
              <w:keepLines/>
              <w:spacing w:after="120"/>
              <w:rPr>
                <w:lang w:val="fr-FR"/>
              </w:rPr>
            </w:pPr>
            <w:r w:rsidRPr="000229AD">
              <w:rPr>
                <w:lang w:val="fr-FR"/>
              </w:rPr>
              <w:t xml:space="preserve">La </w:t>
            </w:r>
            <w:hyperlink r:id="rId68" w:history="1">
              <w:r w:rsidRPr="000229AD">
                <w:rPr>
                  <w:rStyle w:val="Hyperlink"/>
                  <w:lang w:val="fr-FR"/>
                </w:rPr>
                <w:t>deuxième réunion annuelle de la Commission d</w:t>
              </w:r>
              <w:r w:rsidR="00125408" w:rsidRPr="000229AD">
                <w:rPr>
                  <w:rStyle w:val="Hyperlink"/>
                  <w:lang w:val="fr-FR"/>
                </w:rPr>
                <w:t>'</w:t>
              </w:r>
              <w:r w:rsidRPr="000229AD">
                <w:rPr>
                  <w:rStyle w:val="Hyperlink"/>
                  <w:lang w:val="fr-FR"/>
                </w:rPr>
                <w:t>études 1 (CE 1) de l</w:t>
              </w:r>
              <w:r w:rsidR="00125408" w:rsidRPr="000229AD">
                <w:rPr>
                  <w:rStyle w:val="Hyperlink"/>
                  <w:lang w:val="fr-FR"/>
                </w:rPr>
                <w:t>'</w:t>
              </w:r>
              <w:r w:rsidRPr="000229AD">
                <w:rPr>
                  <w:rStyle w:val="Hyperlink"/>
                  <w:lang w:val="fr-FR"/>
                </w:rPr>
                <w:t>UIT-D</w:t>
              </w:r>
            </w:hyperlink>
            <w:r w:rsidRPr="000229AD">
              <w:rPr>
                <w:lang w:val="fr-FR"/>
              </w:rPr>
              <w:t xml:space="preserve"> s</w:t>
            </w:r>
            <w:r w:rsidR="00125408" w:rsidRPr="000229AD">
              <w:rPr>
                <w:lang w:val="fr-FR"/>
              </w:rPr>
              <w:t>'</w:t>
            </w:r>
            <w:r w:rsidRPr="000229AD">
              <w:rPr>
                <w:lang w:val="fr-FR"/>
              </w:rPr>
              <w:t>est tenue du 23 au 27 octobre 2023, en présence de 224 délégués (dont 100 femmes) de 59 États Membres. Des bourses ont été accordées à 13 délégués afin de leur permettre de participer en personne à la réunion.</w:t>
            </w:r>
          </w:p>
          <w:p w14:paraId="0A2B6C5B" w14:textId="289861B6" w:rsidR="00EA2FD3" w:rsidRPr="000229AD" w:rsidRDefault="00EA2FD3" w:rsidP="00716C22">
            <w:pPr>
              <w:pStyle w:val="Tabletext"/>
              <w:spacing w:after="120"/>
              <w:rPr>
                <w:lang w:val="fr-FR"/>
              </w:rPr>
            </w:pPr>
            <w:r w:rsidRPr="000229AD">
              <w:rPr>
                <w:lang w:val="fr-FR"/>
              </w:rPr>
              <w:t>Pour continuer d</w:t>
            </w:r>
            <w:r w:rsidR="00125408" w:rsidRPr="000229AD">
              <w:rPr>
                <w:lang w:val="fr-FR"/>
              </w:rPr>
              <w:t>'</w:t>
            </w:r>
            <w:r w:rsidRPr="000229AD">
              <w:rPr>
                <w:lang w:val="fr-FR"/>
              </w:rPr>
              <w:t>innover et maintenir l</w:t>
            </w:r>
            <w:r w:rsidR="00125408" w:rsidRPr="000229AD">
              <w:rPr>
                <w:lang w:val="fr-FR"/>
              </w:rPr>
              <w:t>'</w:t>
            </w:r>
            <w:r w:rsidRPr="000229AD">
              <w:rPr>
                <w:lang w:val="fr-FR"/>
              </w:rPr>
              <w:t xml:space="preserve">intérêt des participants, une séance spéciale sur le </w:t>
            </w:r>
            <w:hyperlink r:id="rId69" w:history="1">
              <w:r w:rsidRPr="000229AD">
                <w:rPr>
                  <w:rStyle w:val="Hyperlink"/>
                  <w:lang w:val="fr-FR"/>
                </w:rPr>
                <w:t>Réseau de régulation numérique</w:t>
              </w:r>
            </w:hyperlink>
            <w:r w:rsidRPr="000229AD">
              <w:rPr>
                <w:lang w:val="fr-FR"/>
              </w:rPr>
              <w:t xml:space="preserve"> a été organisée lors de la séance plénière d</w:t>
            </w:r>
            <w:r w:rsidR="00125408" w:rsidRPr="000229AD">
              <w:rPr>
                <w:lang w:val="fr-FR"/>
              </w:rPr>
              <w:t>'</w:t>
            </w:r>
            <w:r w:rsidRPr="000229AD">
              <w:rPr>
                <w:lang w:val="fr-FR"/>
              </w:rPr>
              <w:t>ouverture et un déjeuner informel du Réseau des femmes a été organisé au cours de la semaine. Deux réunions de l</w:t>
            </w:r>
            <w:r w:rsidR="00125408" w:rsidRPr="000229AD">
              <w:rPr>
                <w:lang w:val="fr-FR"/>
              </w:rPr>
              <w:t>'</w:t>
            </w:r>
            <w:r w:rsidRPr="000229AD">
              <w:rPr>
                <w:lang w:val="fr-FR"/>
              </w:rPr>
              <w:t>équipe de direction de la CE 1 de l</w:t>
            </w:r>
            <w:r w:rsidR="00125408" w:rsidRPr="000229AD">
              <w:rPr>
                <w:lang w:val="fr-FR"/>
              </w:rPr>
              <w:t>'</w:t>
            </w:r>
            <w:r w:rsidRPr="000229AD">
              <w:rPr>
                <w:lang w:val="fr-FR"/>
              </w:rPr>
              <w:t>UIT-D, une réunion conjointe des équipes de direction des CE 1 et CE 2 de l</w:t>
            </w:r>
            <w:r w:rsidR="00125408" w:rsidRPr="000229AD">
              <w:rPr>
                <w:lang w:val="fr-FR"/>
              </w:rPr>
              <w:t>'</w:t>
            </w:r>
            <w:r w:rsidRPr="000229AD">
              <w:rPr>
                <w:lang w:val="fr-FR"/>
              </w:rPr>
              <w:t>UIT-D et plusieurs réunions des équipes de direction responsables de l</w:t>
            </w:r>
            <w:r w:rsidR="00125408" w:rsidRPr="000229AD">
              <w:rPr>
                <w:lang w:val="fr-FR"/>
              </w:rPr>
              <w:t>'</w:t>
            </w:r>
            <w:r w:rsidRPr="000229AD">
              <w:rPr>
                <w:lang w:val="fr-FR"/>
              </w:rPr>
              <w:t>étude des Questions ont eu lieu à Genève du 22 au 28 octobre 2023, afin d</w:t>
            </w:r>
            <w:r w:rsidR="00125408" w:rsidRPr="000229AD">
              <w:rPr>
                <w:lang w:val="fr-FR"/>
              </w:rPr>
              <w:t>'</w:t>
            </w:r>
            <w:r w:rsidRPr="000229AD">
              <w:rPr>
                <w:lang w:val="fr-FR"/>
              </w:rPr>
              <w:t xml:space="preserve">exploiter au mieux la présence des membres à Genève. Les </w:t>
            </w:r>
            <w:hyperlink r:id="rId70" w:history="1">
              <w:r w:rsidRPr="000229AD">
                <w:rPr>
                  <w:rStyle w:val="Hyperlink"/>
                  <w:lang w:val="fr-FR"/>
                </w:rPr>
                <w:t>membres de l</w:t>
              </w:r>
              <w:r w:rsidR="00125408" w:rsidRPr="000229AD">
                <w:rPr>
                  <w:rStyle w:val="Hyperlink"/>
                  <w:lang w:val="fr-FR"/>
                </w:rPr>
                <w:t>'</w:t>
              </w:r>
              <w:r w:rsidRPr="000229AD">
                <w:rPr>
                  <w:rStyle w:val="Hyperlink"/>
                  <w:lang w:val="fr-FR"/>
                </w:rPr>
                <w:t>équipe de direction de la CE 1</w:t>
              </w:r>
            </w:hyperlink>
            <w:r w:rsidRPr="000229AD">
              <w:rPr>
                <w:lang w:val="fr-FR"/>
              </w:rPr>
              <w:t xml:space="preserve"> ont préparé la réunion de la CE 1 et avancé sur la préparation des rapports finals sur les Questions et sur les produits intérimaires grâce à des réunions électroniques au titre des Questions à l</w:t>
            </w:r>
            <w:r w:rsidR="00125408" w:rsidRPr="000229AD">
              <w:rPr>
                <w:lang w:val="fr-FR"/>
              </w:rPr>
              <w:t>'</w:t>
            </w:r>
            <w:r w:rsidRPr="000229AD">
              <w:rPr>
                <w:lang w:val="fr-FR"/>
              </w:rPr>
              <w:t>étude régulièrement organisées depuis la fin des réunions des Groupes du Rapporteur de mai 2023.</w:t>
            </w:r>
          </w:p>
          <w:p w14:paraId="3EE896CE" w14:textId="0587BD8E" w:rsidR="00EA2FD3" w:rsidRPr="000229AD" w:rsidRDefault="00EA2FD3" w:rsidP="00716C22">
            <w:pPr>
              <w:pStyle w:val="Tabletext"/>
              <w:spacing w:after="120"/>
              <w:rPr>
                <w:lang w:val="fr-FR"/>
              </w:rPr>
            </w:pPr>
            <w:r w:rsidRPr="000229AD">
              <w:rPr>
                <w:lang w:val="fr-FR"/>
              </w:rPr>
              <w:t>Au total, 155 documents, dont les 5 premiers projets de rapport final sur les Questions à l</w:t>
            </w:r>
            <w:r w:rsidR="00125408" w:rsidRPr="000229AD">
              <w:rPr>
                <w:lang w:val="fr-FR"/>
              </w:rPr>
              <w:t>'</w:t>
            </w:r>
            <w:r w:rsidRPr="000229AD">
              <w:rPr>
                <w:lang w:val="fr-FR"/>
              </w:rPr>
              <w:t>étude, ont été examinés à la réunion de 2023 de la CE 1 de l</w:t>
            </w:r>
            <w:r w:rsidR="00125408" w:rsidRPr="000229AD">
              <w:rPr>
                <w:lang w:val="fr-FR"/>
              </w:rPr>
              <w:t>'</w:t>
            </w:r>
            <w:r w:rsidRPr="000229AD">
              <w:rPr>
                <w:lang w:val="fr-FR"/>
              </w:rPr>
              <w:t>UIT-D pour faire avancer les travaux, ce qui a abouti à: 1) la publication de 8 notes de liaison à l</w:t>
            </w:r>
            <w:r w:rsidR="00125408" w:rsidRPr="000229AD">
              <w:rPr>
                <w:lang w:val="fr-FR"/>
              </w:rPr>
              <w:t>'</w:t>
            </w:r>
            <w:r w:rsidRPr="000229AD">
              <w:rPr>
                <w:lang w:val="fr-FR"/>
              </w:rPr>
              <w:t>intention de nos collaborateurs extérieurs; 2) la nomination d</w:t>
            </w:r>
            <w:r w:rsidR="00125408" w:rsidRPr="000229AD">
              <w:rPr>
                <w:lang w:val="fr-FR"/>
              </w:rPr>
              <w:t>'</w:t>
            </w:r>
            <w:r w:rsidRPr="000229AD">
              <w:rPr>
                <w:lang w:val="fr-FR"/>
              </w:rPr>
              <w:t>un Vice-Président et de deux Vice-Rapporteurs; 3) l</w:t>
            </w:r>
            <w:r w:rsidR="00125408" w:rsidRPr="000229AD">
              <w:rPr>
                <w:lang w:val="fr-FR"/>
              </w:rPr>
              <w:t>'</w:t>
            </w:r>
            <w:r w:rsidRPr="000229AD">
              <w:rPr>
                <w:lang w:val="fr-FR"/>
              </w:rPr>
              <w:t>approbation du premier produit intermédiaire de la CE 1 de l</w:t>
            </w:r>
            <w:r w:rsidR="00125408" w:rsidRPr="000229AD">
              <w:rPr>
                <w:lang w:val="fr-FR"/>
              </w:rPr>
              <w:t>'</w:t>
            </w:r>
            <w:r w:rsidRPr="000229AD">
              <w:rPr>
                <w:lang w:val="fr-FR"/>
              </w:rPr>
              <w:t>UIT-D relatif aux travaux sur la Question 6/1, intitulé "Bonnes pratiques en cours d</w:t>
            </w:r>
            <w:r w:rsidR="00125408" w:rsidRPr="000229AD">
              <w:rPr>
                <w:lang w:val="fr-FR"/>
              </w:rPr>
              <w:t>'</w:t>
            </w:r>
            <w:r w:rsidRPr="000229AD">
              <w:rPr>
                <w:lang w:val="fr-FR"/>
              </w:rPr>
              <w:t>adoption relatives aux outils de réglementation numériques adaptés à la protection des consommateurs"; 4) cinq propositions d</w:t>
            </w:r>
            <w:r w:rsidR="00125408" w:rsidRPr="000229AD">
              <w:rPr>
                <w:lang w:val="fr-FR"/>
              </w:rPr>
              <w:t>'</w:t>
            </w:r>
            <w:r w:rsidRPr="000229AD">
              <w:rPr>
                <w:lang w:val="fr-FR"/>
              </w:rPr>
              <w:t>ateliers publics qui se tiendraient en association avec les réunions du Groupe du Rapporteur en avril 2024, et une proposition d</w:t>
            </w:r>
            <w:r w:rsidR="00125408" w:rsidRPr="000229AD">
              <w:rPr>
                <w:lang w:val="fr-FR"/>
              </w:rPr>
              <w:t>'</w:t>
            </w:r>
            <w:r w:rsidRPr="000229AD">
              <w:rPr>
                <w:lang w:val="fr-FR"/>
              </w:rPr>
              <w:t>atelier qui serait accueilli à Brasilia par le Bureau régional pour les Amériques de l</w:t>
            </w:r>
            <w:r w:rsidR="00125408" w:rsidRPr="000229AD">
              <w:rPr>
                <w:lang w:val="fr-FR"/>
              </w:rPr>
              <w:t>'</w:t>
            </w:r>
            <w:r w:rsidRPr="000229AD">
              <w:rPr>
                <w:lang w:val="fr-FR"/>
              </w:rPr>
              <w:t xml:space="preserve">UIT et Anatel en juin 2024. </w:t>
            </w:r>
          </w:p>
          <w:p w14:paraId="7BEE3C11" w14:textId="18AEAAAC" w:rsidR="00EA2FD3" w:rsidRPr="000229AD" w:rsidRDefault="00EA2FD3" w:rsidP="00716C22">
            <w:pPr>
              <w:pStyle w:val="Tabletext"/>
              <w:spacing w:after="120"/>
              <w:rPr>
                <w:lang w:val="fr-FR"/>
              </w:rPr>
            </w:pPr>
            <w:r w:rsidRPr="000229AD">
              <w:rPr>
                <w:lang w:val="fr-FR"/>
              </w:rPr>
              <w:t>Ces ateliers sont en cours de mise en œuvre, comme l</w:t>
            </w:r>
            <w:r w:rsidR="00125408" w:rsidRPr="000229AD">
              <w:rPr>
                <w:lang w:val="fr-FR"/>
              </w:rPr>
              <w:t>'</w:t>
            </w:r>
            <w:r w:rsidRPr="000229AD">
              <w:rPr>
                <w:lang w:val="fr-FR"/>
              </w:rPr>
              <w:t xml:space="preserve">indique la </w:t>
            </w:r>
            <w:hyperlink r:id="rId71" w:history="1">
              <w:r w:rsidRPr="000229AD">
                <w:rPr>
                  <w:rStyle w:val="Hyperlink"/>
                  <w:lang w:val="fr-FR"/>
                </w:rPr>
                <w:t>page Web</w:t>
              </w:r>
            </w:hyperlink>
            <w:r w:rsidRPr="000229AD">
              <w:rPr>
                <w:lang w:val="fr-FR"/>
              </w:rPr>
              <w:t xml:space="preserve"> des réunions du Groupe du Rapporteur d</w:t>
            </w:r>
            <w:r w:rsidR="00125408" w:rsidRPr="000229AD">
              <w:rPr>
                <w:lang w:val="fr-FR"/>
              </w:rPr>
              <w:t>'</w:t>
            </w:r>
            <w:r w:rsidRPr="000229AD">
              <w:rPr>
                <w:lang w:val="fr-FR"/>
              </w:rPr>
              <w:t>avril 2024. Le produit intérimaire pour la Question 6/1 de la CE 1 de l</w:t>
            </w:r>
            <w:r w:rsidR="00125408" w:rsidRPr="000229AD">
              <w:rPr>
                <w:lang w:val="fr-FR"/>
              </w:rPr>
              <w:t>'</w:t>
            </w:r>
            <w:r w:rsidRPr="000229AD">
              <w:rPr>
                <w:lang w:val="fr-FR"/>
              </w:rPr>
              <w:t xml:space="preserve">UIT-D est </w:t>
            </w:r>
            <w:hyperlink r:id="rId72" w:history="1">
              <w:r w:rsidRPr="000229AD">
                <w:rPr>
                  <w:rStyle w:val="Hyperlink"/>
                  <w:lang w:val="fr-FR"/>
                </w:rPr>
                <w:t>disponible gratuitement dans toutes les langues officielles de l</w:t>
              </w:r>
              <w:r w:rsidR="00125408" w:rsidRPr="000229AD">
                <w:rPr>
                  <w:rStyle w:val="Hyperlink"/>
                  <w:lang w:val="fr-FR"/>
                </w:rPr>
                <w:t>'</w:t>
              </w:r>
              <w:r w:rsidRPr="000229AD">
                <w:rPr>
                  <w:rStyle w:val="Hyperlink"/>
                  <w:lang w:val="fr-FR"/>
                </w:rPr>
                <w:t>ONU</w:t>
              </w:r>
            </w:hyperlink>
            <w:r w:rsidRPr="000229AD">
              <w:rPr>
                <w:lang w:val="fr-FR"/>
              </w:rPr>
              <w:t xml:space="preserve"> et est accompagné d</w:t>
            </w:r>
            <w:r w:rsidR="00125408" w:rsidRPr="000229AD">
              <w:rPr>
                <w:lang w:val="fr-FR"/>
              </w:rPr>
              <w:t>'</w:t>
            </w:r>
            <w:r w:rsidRPr="000229AD">
              <w:rPr>
                <w:lang w:val="fr-FR"/>
              </w:rPr>
              <w:t xml:space="preserve">un </w:t>
            </w:r>
            <w:hyperlink r:id="rId73" w:history="1">
              <w:r w:rsidRPr="000229AD">
                <w:rPr>
                  <w:rStyle w:val="Hyperlink"/>
                  <w:lang w:val="fr-FR"/>
                </w:rPr>
                <w:t>entretien vidéo</w:t>
              </w:r>
            </w:hyperlink>
            <w:r w:rsidRPr="000229AD">
              <w:rPr>
                <w:lang w:val="fr-FR"/>
              </w:rPr>
              <w:t xml:space="preserve"> des auteurs. [Les résultats des réunions du Groupe du Rapporteur d</w:t>
            </w:r>
            <w:r w:rsidR="00125408" w:rsidRPr="000229AD">
              <w:rPr>
                <w:lang w:val="fr-FR"/>
              </w:rPr>
              <w:t>'</w:t>
            </w:r>
            <w:r w:rsidRPr="000229AD">
              <w:rPr>
                <w:lang w:val="fr-FR"/>
              </w:rPr>
              <w:t>avril 2024 seront communiqués après le 26 avril 2024.]</w:t>
            </w:r>
          </w:p>
          <w:p w14:paraId="7D835334" w14:textId="4AF4A8FD" w:rsidR="00EA2FD3" w:rsidRPr="000229AD" w:rsidRDefault="00EA2FD3" w:rsidP="00716C22">
            <w:pPr>
              <w:pStyle w:val="Tabletext"/>
              <w:spacing w:after="120"/>
              <w:rPr>
                <w:lang w:val="fr-FR"/>
              </w:rPr>
            </w:pPr>
            <w:r w:rsidRPr="000229AD">
              <w:rPr>
                <w:lang w:val="fr-FR"/>
              </w:rPr>
              <w:t xml:space="preserve">La </w:t>
            </w:r>
            <w:hyperlink r:id="rId74" w:history="1">
              <w:r w:rsidRPr="000229AD">
                <w:rPr>
                  <w:rStyle w:val="Hyperlink"/>
                  <w:lang w:val="fr-FR"/>
                </w:rPr>
                <w:t>deuxième réunion annuelle de la Commission d</w:t>
              </w:r>
              <w:r w:rsidR="00125408" w:rsidRPr="000229AD">
                <w:rPr>
                  <w:rStyle w:val="Hyperlink"/>
                  <w:lang w:val="fr-FR"/>
                </w:rPr>
                <w:t>'</w:t>
              </w:r>
              <w:r w:rsidRPr="000229AD">
                <w:rPr>
                  <w:rStyle w:val="Hyperlink"/>
                  <w:lang w:val="fr-FR"/>
                </w:rPr>
                <w:t>études 2 (CE 2) de l</w:t>
              </w:r>
              <w:r w:rsidR="00125408" w:rsidRPr="000229AD">
                <w:rPr>
                  <w:rStyle w:val="Hyperlink"/>
                  <w:lang w:val="fr-FR"/>
                </w:rPr>
                <w:t>'</w:t>
              </w:r>
              <w:r w:rsidRPr="000229AD">
                <w:rPr>
                  <w:rStyle w:val="Hyperlink"/>
                  <w:lang w:val="fr-FR"/>
                </w:rPr>
                <w:t>UIT-D</w:t>
              </w:r>
            </w:hyperlink>
            <w:r w:rsidRPr="000229AD">
              <w:rPr>
                <w:lang w:val="fr-FR"/>
              </w:rPr>
              <w:t xml:space="preserve"> s</w:t>
            </w:r>
            <w:r w:rsidR="00125408" w:rsidRPr="000229AD">
              <w:rPr>
                <w:lang w:val="fr-FR"/>
              </w:rPr>
              <w:t>'</w:t>
            </w:r>
            <w:r w:rsidRPr="000229AD">
              <w:rPr>
                <w:lang w:val="fr-FR"/>
              </w:rPr>
              <w:t xml:space="preserve">est tenue du 30 octobre 2023 au 3 novembre 2023, en présence de 195 participants de 54 États Membres. Des bourses ont été accordées à 13 délégués afin de leur permettre de participer en personne à la réunion. Les </w:t>
            </w:r>
            <w:hyperlink r:id="rId75" w:history="1">
              <w:r w:rsidRPr="000229AD">
                <w:rPr>
                  <w:rStyle w:val="Hyperlink"/>
                  <w:lang w:val="fr-FR"/>
                </w:rPr>
                <w:t>membres de l</w:t>
              </w:r>
              <w:r w:rsidR="00125408" w:rsidRPr="000229AD">
                <w:rPr>
                  <w:rStyle w:val="Hyperlink"/>
                  <w:lang w:val="fr-FR"/>
                </w:rPr>
                <w:t>'</w:t>
              </w:r>
              <w:r w:rsidRPr="000229AD">
                <w:rPr>
                  <w:rStyle w:val="Hyperlink"/>
                  <w:lang w:val="fr-FR"/>
                </w:rPr>
                <w:t>équipe de direction de la CE 2</w:t>
              </w:r>
            </w:hyperlink>
            <w:r w:rsidRPr="000229AD">
              <w:rPr>
                <w:lang w:val="fr-FR"/>
              </w:rPr>
              <w:t xml:space="preserve"> ont préparé cette réunion et avancé sur la préparation des rapports finals sur les Questions et sur les produits intérimaires grâce à des réunions électroniques au titre des Questions à l</w:t>
            </w:r>
            <w:r w:rsidR="00125408" w:rsidRPr="000229AD">
              <w:rPr>
                <w:lang w:val="fr-FR"/>
              </w:rPr>
              <w:t>'</w:t>
            </w:r>
            <w:r w:rsidRPr="000229AD">
              <w:rPr>
                <w:lang w:val="fr-FR"/>
              </w:rPr>
              <w:t xml:space="preserve">étude régulièrement organisées depuis la fin des réunions des Groupes du Rapporteur de mai-juin 2023. </w:t>
            </w:r>
          </w:p>
          <w:p w14:paraId="321BFBFC" w14:textId="158FAFE9" w:rsidR="00EA2FD3" w:rsidRPr="000229AD" w:rsidRDefault="00EA2FD3" w:rsidP="00716C22">
            <w:pPr>
              <w:pStyle w:val="Tabletext"/>
              <w:spacing w:after="120"/>
              <w:rPr>
                <w:lang w:val="fr-FR"/>
              </w:rPr>
            </w:pPr>
            <w:r w:rsidRPr="000229AD">
              <w:rPr>
                <w:lang w:val="fr-FR"/>
              </w:rPr>
              <w:t>Lors de la réunion de la CE 2 de l</w:t>
            </w:r>
            <w:r w:rsidR="00125408" w:rsidRPr="000229AD">
              <w:rPr>
                <w:lang w:val="fr-FR"/>
              </w:rPr>
              <w:t>'</w:t>
            </w:r>
            <w:r w:rsidRPr="000229AD">
              <w:rPr>
                <w:lang w:val="fr-FR"/>
              </w:rPr>
              <w:t>UIT-D en 2023, 120 documents ont été examinés pour faire avancer les travaux, ce qui a abouti à: 1) la publication de trois notes de liaison à l</w:t>
            </w:r>
            <w:r w:rsidR="00125408" w:rsidRPr="000229AD">
              <w:rPr>
                <w:lang w:val="fr-FR"/>
              </w:rPr>
              <w:t>'</w:t>
            </w:r>
            <w:r w:rsidRPr="000229AD">
              <w:rPr>
                <w:lang w:val="fr-FR"/>
              </w:rPr>
              <w:t>intention de nos collaborateurs extérieurs; 2) la nomination d</w:t>
            </w:r>
            <w:r w:rsidR="00125408" w:rsidRPr="000229AD">
              <w:rPr>
                <w:lang w:val="fr-FR"/>
              </w:rPr>
              <w:t>'</w:t>
            </w:r>
            <w:r w:rsidRPr="000229AD">
              <w:rPr>
                <w:lang w:val="fr-FR"/>
              </w:rPr>
              <w:t>un Vice-Président, de trois corapporteurs et d</w:t>
            </w:r>
            <w:r w:rsidR="00125408" w:rsidRPr="000229AD">
              <w:rPr>
                <w:lang w:val="fr-FR"/>
              </w:rPr>
              <w:t>'</w:t>
            </w:r>
            <w:r w:rsidRPr="000229AD">
              <w:rPr>
                <w:lang w:val="fr-FR"/>
              </w:rPr>
              <w:t>un Vice-Rapporteur; 3) l</w:t>
            </w:r>
            <w:r w:rsidR="00125408" w:rsidRPr="000229AD">
              <w:rPr>
                <w:lang w:val="fr-FR"/>
              </w:rPr>
              <w:t>'</w:t>
            </w:r>
            <w:r w:rsidRPr="000229AD">
              <w:rPr>
                <w:lang w:val="fr-FR"/>
              </w:rPr>
              <w:t>approbation du premier produit intermédiaire de la CE 2 de l</w:t>
            </w:r>
            <w:r w:rsidR="00125408" w:rsidRPr="000229AD">
              <w:rPr>
                <w:lang w:val="fr-FR"/>
              </w:rPr>
              <w:t>'</w:t>
            </w:r>
            <w:r w:rsidRPr="000229AD">
              <w:rPr>
                <w:lang w:val="fr-FR"/>
              </w:rPr>
              <w:t>UIT-D relatif aux travaux de la CE 2 de l</w:t>
            </w:r>
            <w:r w:rsidR="00125408" w:rsidRPr="000229AD">
              <w:rPr>
                <w:lang w:val="fr-FR"/>
              </w:rPr>
              <w:t>'</w:t>
            </w:r>
            <w:r w:rsidRPr="000229AD">
              <w:rPr>
                <w:lang w:val="fr-FR"/>
              </w:rPr>
              <w:t>UIT-D sur la Question 3/2 "Pratiques en matière d</w:t>
            </w:r>
            <w:r w:rsidR="00125408" w:rsidRPr="000229AD">
              <w:rPr>
                <w:lang w:val="fr-FR"/>
              </w:rPr>
              <w:t>'</w:t>
            </w:r>
            <w:r w:rsidRPr="000229AD">
              <w:rPr>
                <w:lang w:val="fr-FR"/>
              </w:rPr>
              <w:t xml:space="preserve">assurance de la cybersécurité". </w:t>
            </w:r>
          </w:p>
          <w:p w14:paraId="769EC364" w14:textId="502EA7CE" w:rsidR="00EA2FD3" w:rsidRPr="000229AD" w:rsidRDefault="00EA2FD3" w:rsidP="00716C22">
            <w:pPr>
              <w:pStyle w:val="Tabletext"/>
              <w:keepNext/>
              <w:keepLines/>
              <w:spacing w:after="120"/>
              <w:rPr>
                <w:lang w:val="fr-FR"/>
              </w:rPr>
            </w:pPr>
            <w:r w:rsidRPr="000229AD">
              <w:rPr>
                <w:lang w:val="fr-FR"/>
              </w:rPr>
              <w:lastRenderedPageBreak/>
              <w:t>Des propositions de collaboration ont été examinés, notamment la participation des jeunes et des femmes, les statistiques et les indicateurs connexes, les synergies avec les projets de développement de l</w:t>
            </w:r>
            <w:r w:rsidR="00125408" w:rsidRPr="000229AD">
              <w:rPr>
                <w:lang w:val="fr-FR"/>
              </w:rPr>
              <w:t>'</w:t>
            </w:r>
            <w:r w:rsidRPr="000229AD">
              <w:rPr>
                <w:lang w:val="fr-FR"/>
              </w:rPr>
              <w:t>UIT et le SMSI. Deux séances d</w:t>
            </w:r>
            <w:r w:rsidR="00125408" w:rsidRPr="000229AD">
              <w:rPr>
                <w:lang w:val="fr-FR"/>
              </w:rPr>
              <w:t>'</w:t>
            </w:r>
            <w:r w:rsidRPr="000229AD">
              <w:rPr>
                <w:lang w:val="fr-FR"/>
              </w:rPr>
              <w:t>information ont été organisées; lors de la première, le nouveau produit intérimaire sur les pratiques en matière d</w:t>
            </w:r>
            <w:r w:rsidR="00125408" w:rsidRPr="000229AD">
              <w:rPr>
                <w:lang w:val="fr-FR"/>
              </w:rPr>
              <w:t>'</w:t>
            </w:r>
            <w:r w:rsidRPr="000229AD">
              <w:rPr>
                <w:lang w:val="fr-FR"/>
              </w:rPr>
              <w:t>assurance de la cybersécurité a été présenté et, lors de la seconde, une sélection de projets de l</w:t>
            </w:r>
            <w:r w:rsidR="00125408" w:rsidRPr="000229AD">
              <w:rPr>
                <w:lang w:val="fr-FR"/>
              </w:rPr>
              <w:t>'</w:t>
            </w:r>
            <w:r w:rsidRPr="000229AD">
              <w:rPr>
                <w:lang w:val="fr-FR"/>
              </w:rPr>
              <w:t xml:space="preserve">UIT relatifs à la transformation numérique et leur incidence ont été présentés. Les deux événements ont connu un franc succès et ont suscité une large participation. </w:t>
            </w:r>
          </w:p>
          <w:p w14:paraId="43BAD328" w14:textId="105D62BC" w:rsidR="00EA2FD3" w:rsidRPr="000229AD" w:rsidRDefault="00EA2FD3" w:rsidP="00716C22">
            <w:pPr>
              <w:pStyle w:val="Tabletext"/>
              <w:spacing w:after="120"/>
              <w:rPr>
                <w:lang w:val="fr-FR"/>
              </w:rPr>
            </w:pPr>
            <w:r w:rsidRPr="000229AD">
              <w:rPr>
                <w:lang w:val="fr-FR"/>
              </w:rPr>
              <w:t>Le produit intérimaire pour la Question 3 de la CE 3/2 de l</w:t>
            </w:r>
            <w:r w:rsidR="00125408" w:rsidRPr="000229AD">
              <w:rPr>
                <w:lang w:val="fr-FR"/>
              </w:rPr>
              <w:t>'</w:t>
            </w:r>
            <w:r w:rsidRPr="000229AD">
              <w:rPr>
                <w:lang w:val="fr-FR"/>
              </w:rPr>
              <w:t xml:space="preserve">UIT-D est </w:t>
            </w:r>
            <w:hyperlink r:id="rId76" w:anchor="/fr" w:history="1">
              <w:r w:rsidRPr="000229AD">
                <w:rPr>
                  <w:rStyle w:val="Hyperlink"/>
                  <w:lang w:val="fr-FR"/>
                </w:rPr>
                <w:t>disponible gratuitement dans toutes les langues officielles de l</w:t>
              </w:r>
              <w:r w:rsidR="00125408" w:rsidRPr="000229AD">
                <w:rPr>
                  <w:rStyle w:val="Hyperlink"/>
                  <w:lang w:val="fr-FR"/>
                </w:rPr>
                <w:t>'</w:t>
              </w:r>
              <w:r w:rsidRPr="000229AD">
                <w:rPr>
                  <w:rStyle w:val="Hyperlink"/>
                  <w:lang w:val="fr-FR"/>
                </w:rPr>
                <w:t>ONU</w:t>
              </w:r>
            </w:hyperlink>
            <w:r w:rsidRPr="000229AD">
              <w:rPr>
                <w:lang w:val="fr-FR"/>
              </w:rPr>
              <w:t xml:space="preserve"> et est accompagné d</w:t>
            </w:r>
            <w:r w:rsidR="00125408" w:rsidRPr="000229AD">
              <w:rPr>
                <w:lang w:val="fr-FR"/>
              </w:rPr>
              <w:t>'</w:t>
            </w:r>
            <w:r w:rsidRPr="000229AD">
              <w:rPr>
                <w:lang w:val="fr-FR"/>
              </w:rPr>
              <w:t xml:space="preserve">un </w:t>
            </w:r>
            <w:hyperlink r:id="rId77" w:history="1">
              <w:r w:rsidRPr="000229AD">
                <w:rPr>
                  <w:rStyle w:val="Hyperlink"/>
                  <w:lang w:val="fr-FR"/>
                </w:rPr>
                <w:t>entretien vidéo</w:t>
              </w:r>
            </w:hyperlink>
            <w:r w:rsidRPr="000229AD">
              <w:rPr>
                <w:lang w:val="fr-FR"/>
              </w:rPr>
              <w:t xml:space="preserve"> des auteurs.</w:t>
            </w:r>
          </w:p>
          <w:p w14:paraId="71437ADF" w14:textId="77777777" w:rsidR="00EA2FD3" w:rsidRPr="000229AD" w:rsidRDefault="00EA2FD3" w:rsidP="00716C22">
            <w:pPr>
              <w:pStyle w:val="Tabletext"/>
              <w:spacing w:before="240" w:after="120"/>
              <w:rPr>
                <w:b/>
                <w:bCs/>
                <w:lang w:val="fr-FR"/>
              </w:rPr>
            </w:pPr>
            <w:r w:rsidRPr="000229AD">
              <w:rPr>
                <w:b/>
                <w:bCs/>
                <w:lang w:val="fr-FR"/>
              </w:rPr>
              <w:t>3)</w:t>
            </w:r>
            <w:r w:rsidRPr="000229AD">
              <w:rPr>
                <w:b/>
                <w:bCs/>
                <w:lang w:val="fr-FR"/>
              </w:rPr>
              <w:tab/>
              <w:t xml:space="preserve">Mise en œuvre et suivi des résultats du SMSI </w:t>
            </w:r>
          </w:p>
          <w:p w14:paraId="44CDB8F1" w14:textId="2193C722" w:rsidR="00EA2FD3" w:rsidRPr="000229AD" w:rsidRDefault="00EA2FD3" w:rsidP="00716C22">
            <w:pPr>
              <w:pStyle w:val="Tabletext"/>
              <w:spacing w:after="120"/>
              <w:rPr>
                <w:lang w:val="fr-FR"/>
              </w:rPr>
            </w:pPr>
            <w:r w:rsidRPr="000229AD">
              <w:rPr>
                <w:lang w:val="fr-FR"/>
              </w:rPr>
              <w:t>Conformément aux résultats de la CMDT-22, en particulier à la Résolution 30, toutes les activités du BDT contribuent à la mise en œuvre des résultats du SMSI et du Programme de développement durable à l</w:t>
            </w:r>
            <w:r w:rsidR="00125408" w:rsidRPr="000229AD">
              <w:rPr>
                <w:lang w:val="fr-FR"/>
              </w:rPr>
              <w:t>'</w:t>
            </w:r>
            <w:r w:rsidRPr="000229AD">
              <w:rPr>
                <w:lang w:val="fr-FR"/>
              </w:rPr>
              <w:t xml:space="preserve">horizon 2030, notamment les activités courantes prévues dans le </w:t>
            </w:r>
            <w:r w:rsidRPr="000229AD">
              <w:rPr>
                <w:b/>
                <w:bCs/>
                <w:lang w:val="fr-FR"/>
              </w:rPr>
              <w:t>Plan opérationnel, mais aussi les projets, les initiatives régionales, les initiatives spéciales ainsi que les commissions d</w:t>
            </w:r>
            <w:r w:rsidR="00125408" w:rsidRPr="000229AD">
              <w:rPr>
                <w:b/>
                <w:bCs/>
                <w:lang w:val="fr-FR"/>
              </w:rPr>
              <w:t>'</w:t>
            </w:r>
            <w:r w:rsidRPr="000229AD">
              <w:rPr>
                <w:b/>
                <w:bCs/>
                <w:lang w:val="fr-FR"/>
              </w:rPr>
              <w:t>études de l</w:t>
            </w:r>
            <w:r w:rsidR="00125408" w:rsidRPr="000229AD">
              <w:rPr>
                <w:b/>
                <w:bCs/>
                <w:lang w:val="fr-FR"/>
              </w:rPr>
              <w:t>'</w:t>
            </w:r>
            <w:r w:rsidRPr="000229AD">
              <w:rPr>
                <w:b/>
                <w:bCs/>
                <w:lang w:val="fr-FR"/>
              </w:rPr>
              <w:t>UIT-D</w:t>
            </w:r>
            <w:r w:rsidRPr="000229AD">
              <w:rPr>
                <w:lang w:val="fr-FR"/>
              </w:rPr>
              <w:t xml:space="preserve">. </w:t>
            </w:r>
          </w:p>
          <w:p w14:paraId="233CE02D" w14:textId="2AF121A8" w:rsidR="00EA2FD3" w:rsidRPr="000229AD" w:rsidRDefault="00EA2FD3" w:rsidP="00716C22">
            <w:pPr>
              <w:pStyle w:val="Tabletext"/>
              <w:spacing w:after="120"/>
              <w:rPr>
                <w:lang w:val="fr-FR"/>
              </w:rPr>
            </w:pPr>
            <w:r w:rsidRPr="000229AD">
              <w:rPr>
                <w:lang w:val="fr-FR"/>
              </w:rPr>
              <w:t>Au niveau de la coordination, l</w:t>
            </w:r>
            <w:r w:rsidR="00125408" w:rsidRPr="000229AD">
              <w:rPr>
                <w:lang w:val="fr-FR"/>
              </w:rPr>
              <w:t>'</w:t>
            </w:r>
            <w:r w:rsidRPr="000229AD">
              <w:rPr>
                <w:lang w:val="fr-FR"/>
              </w:rPr>
              <w:t>UIT a continué de jouer le rôle de coordonnateur principal pour les grandes orientations C2 (Infrastructure des TIC), C6 (Créer un environnement propice) et C4 (Renforcement des capacités) du SMSI, tout en contribuant de manière significative à la grande orientation C5 du SMSI (Confiance dans l</w:t>
            </w:r>
            <w:r w:rsidR="00125408" w:rsidRPr="000229AD">
              <w:rPr>
                <w:lang w:val="fr-FR"/>
              </w:rPr>
              <w:t>'</w:t>
            </w:r>
            <w:r w:rsidRPr="000229AD">
              <w:rPr>
                <w:lang w:val="fr-FR"/>
              </w:rPr>
              <w:t>utilisation des TIC). Une série de réunions de coordination sont organisées à l</w:t>
            </w:r>
            <w:r w:rsidR="00125408" w:rsidRPr="000229AD">
              <w:rPr>
                <w:lang w:val="fr-FR"/>
              </w:rPr>
              <w:t>'</w:t>
            </w:r>
            <w:r w:rsidRPr="000229AD">
              <w:rPr>
                <w:lang w:val="fr-FR"/>
              </w:rPr>
              <w:t>occasion de la manifestation de haut niveau du SMSI+20, qui se tiendra du 27 au 31 mai 2024 à Genève (Suisse). Le BDT continue également de coordonner les grandes orientations C1, C3, C7, C9 et C11 du SMSI, en contribuant régulièrement à toutes les réunions pertinentes et à l</w:t>
            </w:r>
            <w:r w:rsidR="00125408" w:rsidRPr="000229AD">
              <w:rPr>
                <w:lang w:val="fr-FR"/>
              </w:rPr>
              <w:t>'</w:t>
            </w:r>
            <w:r w:rsidRPr="000229AD">
              <w:rPr>
                <w:lang w:val="fr-FR"/>
              </w:rPr>
              <w:t xml:space="preserve">établissement de rapports. </w:t>
            </w:r>
          </w:p>
          <w:p w14:paraId="7170E407" w14:textId="6AC4DBD2" w:rsidR="00EA2FD3" w:rsidRPr="000229AD" w:rsidRDefault="00EA2FD3" w:rsidP="00716C22">
            <w:pPr>
              <w:pStyle w:val="Tabletext"/>
              <w:spacing w:after="120"/>
              <w:rPr>
                <w:lang w:val="fr-FR"/>
              </w:rPr>
            </w:pPr>
            <w:r w:rsidRPr="000229AD">
              <w:rPr>
                <w:lang w:val="fr-FR"/>
              </w:rPr>
              <w:t>En outre, l</w:t>
            </w:r>
            <w:r w:rsidR="00125408" w:rsidRPr="000229AD">
              <w:rPr>
                <w:lang w:val="fr-FR"/>
              </w:rPr>
              <w:t>'</w:t>
            </w:r>
            <w:r w:rsidRPr="000229AD">
              <w:rPr>
                <w:lang w:val="fr-FR"/>
              </w:rPr>
              <w:t>UIT a continué d</w:t>
            </w:r>
            <w:r w:rsidR="00125408" w:rsidRPr="000229AD">
              <w:rPr>
                <w:lang w:val="fr-FR"/>
              </w:rPr>
              <w:t>'</w:t>
            </w:r>
            <w:r w:rsidRPr="000229AD">
              <w:rPr>
                <w:lang w:val="fr-FR"/>
              </w:rPr>
              <w:t>être un membre actif du Partenariat sur la mesure des TIC au service du développement et de son Comité directeur, aux côtés de la Conférence des Nations Unies sur le commerce et le développement (CNUCED) et du Département des affaires économiques et sociales (DESA) du Secrétariat de l</w:t>
            </w:r>
            <w:r w:rsidR="00125408" w:rsidRPr="000229AD">
              <w:rPr>
                <w:lang w:val="fr-FR"/>
              </w:rPr>
              <w:t>'</w:t>
            </w:r>
            <w:r w:rsidRPr="000229AD">
              <w:rPr>
                <w:lang w:val="fr-FR"/>
              </w:rPr>
              <w:t>ONU. Le nombre de membres du Partenariat s</w:t>
            </w:r>
            <w:r w:rsidR="00125408" w:rsidRPr="000229AD">
              <w:rPr>
                <w:lang w:val="fr-FR"/>
              </w:rPr>
              <w:t>'</w:t>
            </w:r>
            <w:r w:rsidRPr="000229AD">
              <w:rPr>
                <w:lang w:val="fr-FR"/>
              </w:rPr>
              <w:t>est élargi et compte désormais 14 organisations. Le Partenariat suit l</w:t>
            </w:r>
            <w:r w:rsidR="00125408" w:rsidRPr="000229AD">
              <w:rPr>
                <w:lang w:val="fr-FR"/>
              </w:rPr>
              <w:t>'</w:t>
            </w:r>
            <w:r w:rsidRPr="000229AD">
              <w:rPr>
                <w:lang w:val="fr-FR"/>
              </w:rPr>
              <w:t>évolution des TIC dans le monde, notamment les progrès accomplis dans la réalisation des cibles du SMSI, et sensibilise à l</w:t>
            </w:r>
            <w:r w:rsidR="00125408" w:rsidRPr="000229AD">
              <w:rPr>
                <w:lang w:val="fr-FR"/>
              </w:rPr>
              <w:t>'</w:t>
            </w:r>
            <w:r w:rsidRPr="000229AD">
              <w:rPr>
                <w:lang w:val="fr-FR"/>
              </w:rPr>
              <w:t>importance des TIC pour le développement. Le Partenariat participe activement au suivi de la réalisation des ODD, plusieurs cibles faisant référence aux TIC et aux technologies. Sur les 231 indicateurs du cadre mondial d</w:t>
            </w:r>
            <w:r w:rsidR="00125408" w:rsidRPr="000229AD">
              <w:rPr>
                <w:lang w:val="fr-FR"/>
              </w:rPr>
              <w:t>'</w:t>
            </w:r>
            <w:r w:rsidRPr="000229AD">
              <w:rPr>
                <w:lang w:val="fr-FR"/>
              </w:rPr>
              <w:t>indicateurs relatifs aux ODD, sept portent sur les TIC. Ils relèvent de six cibles se rattachant aux objectifs 4, 5, 9 et 17. L</w:t>
            </w:r>
            <w:r w:rsidR="00125408" w:rsidRPr="000229AD">
              <w:rPr>
                <w:lang w:val="fr-FR"/>
              </w:rPr>
              <w:t>'</w:t>
            </w:r>
            <w:r w:rsidRPr="000229AD">
              <w:rPr>
                <w:lang w:val="fr-FR"/>
              </w:rPr>
              <w:t>UIT est responsable de cinq des sept indicateurs. (Pour de plus amples informations sur la contribution de l</w:t>
            </w:r>
            <w:r w:rsidR="00125408" w:rsidRPr="000229AD">
              <w:rPr>
                <w:lang w:val="fr-FR"/>
              </w:rPr>
              <w:t>'</w:t>
            </w:r>
            <w:r w:rsidRPr="000229AD">
              <w:rPr>
                <w:lang w:val="fr-FR"/>
              </w:rPr>
              <w:t>UIT au Partenariat, veuillez consulter la partie "Mesure".)</w:t>
            </w:r>
          </w:p>
          <w:p w14:paraId="12E8DDE7" w14:textId="7833F393" w:rsidR="00EA2FD3" w:rsidRPr="000229AD" w:rsidRDefault="00EA2FD3" w:rsidP="00716C22">
            <w:pPr>
              <w:pStyle w:val="Tabletext"/>
              <w:spacing w:after="120"/>
              <w:rPr>
                <w:lang w:val="fr-FR"/>
              </w:rPr>
            </w:pPr>
            <w:r w:rsidRPr="000229AD">
              <w:rPr>
                <w:b/>
                <w:bCs/>
                <w:lang w:val="fr-FR"/>
              </w:rPr>
              <w:t>Entre 2023 et 2024, six Forums régionaux sur le développement ont réuni plus de 1 500 parties prenantes du monde entier</w:t>
            </w:r>
            <w:r w:rsidRPr="000229AD">
              <w:rPr>
                <w:lang w:val="fr-FR"/>
              </w:rPr>
              <w:t>, offrant à ces dernières un cadre propice pour discuter de la mise en œuvre des initiatives régionales de l</w:t>
            </w:r>
            <w:r w:rsidR="00125408" w:rsidRPr="000229AD">
              <w:rPr>
                <w:lang w:val="fr-FR"/>
              </w:rPr>
              <w:t>'</w:t>
            </w:r>
            <w:r w:rsidRPr="000229AD">
              <w:rPr>
                <w:lang w:val="fr-FR"/>
              </w:rPr>
              <w:t>UIT qui contribuent à la mise en œuvre des grandes orientations du SMSI. Les représentants du système des Nations Unies, y compris des commissions régionales de l</w:t>
            </w:r>
            <w:r w:rsidR="00125408" w:rsidRPr="000229AD">
              <w:rPr>
                <w:lang w:val="fr-FR"/>
              </w:rPr>
              <w:t>'</w:t>
            </w:r>
            <w:r w:rsidRPr="000229AD">
              <w:rPr>
                <w:lang w:val="fr-FR"/>
              </w:rPr>
              <w:t xml:space="preserve">ONU, ont également participé à ces réunions afin de donner les suites appropriées à la mise en œuvre des résultats du SMSI au niveau régional. </w:t>
            </w:r>
          </w:p>
          <w:p w14:paraId="0A95960D" w14:textId="444049F4" w:rsidR="00EA2FD3" w:rsidRPr="000229AD" w:rsidRDefault="00EA2FD3" w:rsidP="00716C22">
            <w:pPr>
              <w:pStyle w:val="Tabletext"/>
              <w:spacing w:after="120"/>
              <w:rPr>
                <w:lang w:val="fr-FR"/>
              </w:rPr>
            </w:pPr>
            <w:r w:rsidRPr="000229AD">
              <w:rPr>
                <w:lang w:val="fr-FR"/>
              </w:rPr>
              <w:lastRenderedPageBreak/>
              <w:t>En outre, les bureaux régionaux de l</w:t>
            </w:r>
            <w:r w:rsidR="00125408" w:rsidRPr="000229AD">
              <w:rPr>
                <w:lang w:val="fr-FR"/>
              </w:rPr>
              <w:t>'</w:t>
            </w:r>
            <w:r w:rsidRPr="000229AD">
              <w:rPr>
                <w:lang w:val="fr-FR"/>
              </w:rPr>
              <w:t>UIT ont poursuivi leur appui à une série de forums régionaux des Nations Unies sur le développement durable, en attirant l</w:t>
            </w:r>
            <w:r w:rsidR="00125408" w:rsidRPr="000229AD">
              <w:rPr>
                <w:lang w:val="fr-FR"/>
              </w:rPr>
              <w:t>'</w:t>
            </w:r>
            <w:r w:rsidRPr="000229AD">
              <w:rPr>
                <w:lang w:val="fr-FR"/>
              </w:rPr>
              <w:t>attention sur le rôle catalyseur du numérique pour le développement et en plaidant en faveur de l</w:t>
            </w:r>
            <w:r w:rsidR="00125408" w:rsidRPr="000229AD">
              <w:rPr>
                <w:lang w:val="fr-FR"/>
              </w:rPr>
              <w:t>'</w:t>
            </w:r>
            <w:r w:rsidRPr="000229AD">
              <w:rPr>
                <w:lang w:val="fr-FR"/>
              </w:rPr>
              <w:t>alignement du processus du SMSI et celui des ODD. En outre, l</w:t>
            </w:r>
            <w:r w:rsidR="00125408" w:rsidRPr="000229AD">
              <w:rPr>
                <w:lang w:val="fr-FR"/>
              </w:rPr>
              <w:t>'</w:t>
            </w:r>
            <w:r w:rsidRPr="000229AD">
              <w:rPr>
                <w:lang w:val="fr-FR"/>
              </w:rPr>
              <w:t>UIT a continué de jouer un rôle actif dans le système des Nations Unies pour le développement. Au niveau régional, l</w:t>
            </w:r>
            <w:r w:rsidR="00125408" w:rsidRPr="000229AD">
              <w:rPr>
                <w:lang w:val="fr-FR"/>
              </w:rPr>
              <w:t>'</w:t>
            </w:r>
            <w:r w:rsidRPr="000229AD">
              <w:rPr>
                <w:lang w:val="fr-FR"/>
              </w:rPr>
              <w:t>UIT a contribué aux plates-formes de coordination du système des Nations Unies pour le numérique (coalitions thématiques), tout en plaidant en faveur de l</w:t>
            </w:r>
            <w:r w:rsidR="00125408" w:rsidRPr="000229AD">
              <w:rPr>
                <w:lang w:val="fr-FR"/>
              </w:rPr>
              <w:t>'</w:t>
            </w:r>
            <w:r w:rsidRPr="000229AD">
              <w:rPr>
                <w:lang w:val="fr-FR"/>
              </w:rPr>
              <w:t xml:space="preserve">alignement du processus du SMSI et celui des ODD et en élaborant différents produits et services pour appuyer les activités des équipes de pays des Nations Unies. </w:t>
            </w:r>
          </w:p>
          <w:p w14:paraId="27AA2DDE" w14:textId="6364C643" w:rsidR="00EA2FD3" w:rsidRPr="000229AD" w:rsidRDefault="00EA2FD3" w:rsidP="00716C22">
            <w:pPr>
              <w:pStyle w:val="Tabletext"/>
              <w:spacing w:after="120"/>
              <w:rPr>
                <w:lang w:val="fr-FR"/>
              </w:rPr>
            </w:pPr>
            <w:r w:rsidRPr="000229AD">
              <w:rPr>
                <w:lang w:val="fr-FR"/>
              </w:rPr>
              <w:t>Au niveau national, l</w:t>
            </w:r>
            <w:r w:rsidR="00125408" w:rsidRPr="000229AD">
              <w:rPr>
                <w:lang w:val="fr-FR"/>
              </w:rPr>
              <w:t>'</w:t>
            </w:r>
            <w:r w:rsidRPr="000229AD">
              <w:rPr>
                <w:lang w:val="fr-FR"/>
              </w:rPr>
              <w:t>UIT est devenue membre non résident des équipes de pays des Nations Unies et contribue activement au processus d</w:t>
            </w:r>
            <w:r w:rsidR="00125408" w:rsidRPr="000229AD">
              <w:rPr>
                <w:lang w:val="fr-FR"/>
              </w:rPr>
              <w:t>'</w:t>
            </w:r>
            <w:r w:rsidRPr="000229AD">
              <w:rPr>
                <w:lang w:val="fr-FR"/>
              </w:rPr>
              <w:t>élaboration des analyses par pays et à la conception conjointe de cadres de développement durable des Nations Unies. L</w:t>
            </w:r>
            <w:r w:rsidR="00125408" w:rsidRPr="000229AD">
              <w:rPr>
                <w:lang w:val="fr-FR"/>
              </w:rPr>
              <w:t>'</w:t>
            </w:r>
            <w:r w:rsidRPr="000229AD">
              <w:rPr>
                <w:lang w:val="fr-FR"/>
              </w:rPr>
              <w:t>UIT a également piloté la mise en œuvre de premiers projets dans le cadre de l</w:t>
            </w:r>
            <w:r w:rsidR="00125408" w:rsidRPr="000229AD">
              <w:rPr>
                <w:lang w:val="fr-FR"/>
              </w:rPr>
              <w:t>'</w:t>
            </w:r>
            <w:r w:rsidRPr="000229AD">
              <w:rPr>
                <w:lang w:val="fr-FR"/>
              </w:rPr>
              <w:t>enveloppe du Fonds commun pour les ODD dédiée aux projets numériques.</w:t>
            </w:r>
          </w:p>
          <w:p w14:paraId="46AE5984" w14:textId="02CEFD48" w:rsidR="00EA2FD3" w:rsidRPr="000229AD" w:rsidRDefault="00EA2FD3" w:rsidP="00716C22">
            <w:pPr>
              <w:pStyle w:val="Tabletext"/>
              <w:spacing w:before="240"/>
              <w:rPr>
                <w:b/>
                <w:bCs/>
                <w:lang w:val="fr-FR"/>
              </w:rPr>
            </w:pPr>
            <w:r w:rsidRPr="000229AD">
              <w:rPr>
                <w:b/>
                <w:bCs/>
                <w:lang w:val="fr-FR"/>
              </w:rPr>
              <w:t>4)</w:t>
            </w:r>
            <w:r w:rsidRPr="000229AD">
              <w:rPr>
                <w:b/>
                <w:bCs/>
                <w:lang w:val="fr-FR"/>
              </w:rPr>
              <w:tab/>
              <w:t>Coalition Partner2Connect de l</w:t>
            </w:r>
            <w:r w:rsidR="00125408" w:rsidRPr="000229AD">
              <w:rPr>
                <w:b/>
                <w:bCs/>
                <w:lang w:val="fr-FR"/>
              </w:rPr>
              <w:t>'</w:t>
            </w:r>
            <w:r w:rsidRPr="000229AD">
              <w:rPr>
                <w:b/>
                <w:bCs/>
                <w:lang w:val="fr-FR"/>
              </w:rPr>
              <w:t>UIT</w:t>
            </w:r>
          </w:p>
          <w:p w14:paraId="29ACFBD0" w14:textId="1AB218FD" w:rsidR="00EA2FD3" w:rsidRPr="000229AD" w:rsidRDefault="00EA2FD3" w:rsidP="00716C22">
            <w:pPr>
              <w:pStyle w:val="Tabletext"/>
              <w:spacing w:before="120"/>
              <w:rPr>
                <w:lang w:val="fr-FR"/>
              </w:rPr>
            </w:pPr>
            <w:bookmarkStart w:id="10" w:name="OLE_LINK1"/>
            <w:r w:rsidRPr="000229AD">
              <w:rPr>
                <w:lang w:val="fr-FR"/>
              </w:rPr>
              <w:t>La Coalition pour le numérique Partner2Connect a été lancée à l</w:t>
            </w:r>
            <w:r w:rsidR="00125408" w:rsidRPr="000229AD">
              <w:rPr>
                <w:lang w:val="fr-FR"/>
              </w:rPr>
              <w:t>'</w:t>
            </w:r>
            <w:r w:rsidRPr="000229AD">
              <w:rPr>
                <w:lang w:val="fr-FR"/>
              </w:rPr>
              <w:t>initiative de l</w:t>
            </w:r>
            <w:r w:rsidR="00125408" w:rsidRPr="000229AD">
              <w:rPr>
                <w:lang w:val="fr-FR"/>
              </w:rPr>
              <w:t>'</w:t>
            </w:r>
            <w:r w:rsidRPr="000229AD">
              <w:rPr>
                <w:lang w:val="fr-FR"/>
              </w:rPr>
              <w:t>UIT en 2021, en étroite collaboration avec le Bureau de l</w:t>
            </w:r>
            <w:r w:rsidR="00125408" w:rsidRPr="000229AD">
              <w:rPr>
                <w:lang w:val="fr-FR"/>
              </w:rPr>
              <w:t>'</w:t>
            </w:r>
            <w:r w:rsidRPr="000229AD">
              <w:rPr>
                <w:lang w:val="fr-FR"/>
              </w:rPr>
              <w:t>Envoyé du Secrétaire général pour les technologies et le Bureau du Haut-Représentant des Nations Unies pour les pays les moins avancés, les pays en développement sans littoral et les petits États insulaires en développement. La CMDT-22, qui s</w:t>
            </w:r>
            <w:r w:rsidR="00125408" w:rsidRPr="000229AD">
              <w:rPr>
                <w:lang w:val="fr-FR"/>
              </w:rPr>
              <w:t>'</w:t>
            </w:r>
            <w:r w:rsidRPr="000229AD">
              <w:rPr>
                <w:lang w:val="fr-FR"/>
              </w:rPr>
              <w:t xml:space="preserve">est tenue à Kigali (Rwanda), a adopté la </w:t>
            </w:r>
            <w:hyperlink r:id="rId78" w:history="1">
              <w:r w:rsidRPr="000229AD">
                <w:rPr>
                  <w:rStyle w:val="Hyperlink"/>
                  <w:lang w:val="fr-FR"/>
                </w:rPr>
                <w:t>Résolution 88</w:t>
              </w:r>
            </w:hyperlink>
            <w:r w:rsidRPr="000229AD">
              <w:rPr>
                <w:lang w:val="fr-FR"/>
              </w:rPr>
              <w:t xml:space="preserve"> et a chargé le Directeur du BDT de continuer à travailler sur le programme Partner2Connect, en mettant l</w:t>
            </w:r>
            <w:r w:rsidR="00125408" w:rsidRPr="000229AD">
              <w:rPr>
                <w:lang w:val="fr-FR"/>
              </w:rPr>
              <w:t>'</w:t>
            </w:r>
            <w:r w:rsidRPr="000229AD">
              <w:rPr>
                <w:lang w:val="fr-FR"/>
              </w:rPr>
              <w:t>accent sur l</w:t>
            </w:r>
            <w:r w:rsidR="00125408" w:rsidRPr="000229AD">
              <w:rPr>
                <w:lang w:val="fr-FR"/>
              </w:rPr>
              <w:t>'</w:t>
            </w:r>
            <w:r w:rsidRPr="000229AD">
              <w:rPr>
                <w:lang w:val="fr-FR"/>
              </w:rPr>
              <w:t>établissement de partenariats pour la mise en œuvre des projets et l</w:t>
            </w:r>
            <w:r w:rsidR="00125408" w:rsidRPr="000229AD">
              <w:rPr>
                <w:lang w:val="fr-FR"/>
              </w:rPr>
              <w:t>'</w:t>
            </w:r>
            <w:r w:rsidRPr="000229AD">
              <w:rPr>
                <w:lang w:val="fr-FR"/>
              </w:rPr>
              <w:t xml:space="preserve">adaptation des engagements. </w:t>
            </w:r>
          </w:p>
          <w:p w14:paraId="6C4532C0" w14:textId="77777777" w:rsidR="00EA2FD3" w:rsidRPr="000229AD" w:rsidRDefault="00EA2FD3" w:rsidP="00716C22">
            <w:pPr>
              <w:pStyle w:val="Tabletext"/>
              <w:spacing w:before="120"/>
              <w:rPr>
                <w:b/>
                <w:bCs/>
                <w:lang w:val="fr-FR"/>
              </w:rPr>
            </w:pPr>
            <w:r w:rsidRPr="000229AD">
              <w:rPr>
                <w:b/>
                <w:bCs/>
                <w:lang w:val="fr-FR"/>
              </w:rPr>
              <w:t>Activités, résultats et réalisations du Partner2Connect de juillet 2023 à février 2024</w:t>
            </w:r>
          </w:p>
          <w:p w14:paraId="35B8E7F0" w14:textId="6C552F9C" w:rsidR="00EA2FD3" w:rsidRPr="000229AD" w:rsidRDefault="00EA2FD3" w:rsidP="00716C22">
            <w:pPr>
              <w:pStyle w:val="enumlev1"/>
              <w:ind w:left="312" w:hanging="312"/>
              <w:rPr>
                <w:sz w:val="22"/>
                <w:lang w:val="fr-FR"/>
              </w:rPr>
            </w:pPr>
            <w:r w:rsidRPr="000229AD">
              <w:rPr>
                <w:sz w:val="22"/>
                <w:lang w:val="fr-FR"/>
              </w:rPr>
              <w:t>•</w:t>
            </w:r>
            <w:r w:rsidRPr="000229AD">
              <w:rPr>
                <w:sz w:val="22"/>
                <w:lang w:val="fr-FR"/>
              </w:rPr>
              <w:tab/>
            </w:r>
            <w:r w:rsidRPr="000229AD">
              <w:rPr>
                <w:b/>
                <w:bCs/>
                <w:sz w:val="22"/>
                <w:lang w:val="fr-FR"/>
              </w:rPr>
              <w:t xml:space="preserve">Vingt-cinq tables rondes de mise en relation ont été organisées au cours des six </w:t>
            </w:r>
            <w:hyperlink r:id="rId79" w:history="1">
              <w:r w:rsidRPr="000229AD">
                <w:rPr>
                  <w:rStyle w:val="Hyperlink"/>
                  <w:b/>
                  <w:bCs/>
                  <w:sz w:val="22"/>
                  <w:lang w:val="fr-FR"/>
                </w:rPr>
                <w:t>Forums régionaux sur le développement de l</w:t>
              </w:r>
              <w:r w:rsidR="00125408" w:rsidRPr="000229AD">
                <w:rPr>
                  <w:rStyle w:val="Hyperlink"/>
                  <w:b/>
                  <w:bCs/>
                  <w:sz w:val="22"/>
                  <w:lang w:val="fr-FR"/>
                </w:rPr>
                <w:t>'</w:t>
              </w:r>
              <w:r w:rsidRPr="000229AD">
                <w:rPr>
                  <w:rStyle w:val="Hyperlink"/>
                  <w:b/>
                  <w:bCs/>
                  <w:sz w:val="22"/>
                  <w:lang w:val="fr-FR"/>
                </w:rPr>
                <w:t>UIT</w:t>
              </w:r>
              <w:r w:rsidRPr="000229AD">
                <w:rPr>
                  <w:rStyle w:val="Hyperlink"/>
                  <w:b/>
                  <w:bCs/>
                  <w:sz w:val="22"/>
                  <w:lang w:val="fr-FR"/>
                </w:rPr>
                <w:noBreakHyphen/>
                <w:t>D</w:t>
              </w:r>
            </w:hyperlink>
            <w:r w:rsidRPr="000229AD">
              <w:rPr>
                <w:sz w:val="22"/>
                <w:lang w:val="fr-FR"/>
              </w:rPr>
              <w:t>, pour veiller à ce que les besoins ou les priorités des différents pays et régions correspondent aux engagements pris par les partenaires, afin de contribuer à concrétiser les engagements annoncés. Le BDT s</w:t>
            </w:r>
            <w:r w:rsidR="00125408" w:rsidRPr="000229AD">
              <w:rPr>
                <w:sz w:val="22"/>
                <w:lang w:val="fr-FR"/>
              </w:rPr>
              <w:t>'</w:t>
            </w:r>
            <w:r w:rsidRPr="000229AD">
              <w:rPr>
                <w:sz w:val="22"/>
                <w:lang w:val="fr-FR"/>
              </w:rPr>
              <w:t>attache à traduire les engagements pris en faveur de l</w:t>
            </w:r>
            <w:r w:rsidR="00125408" w:rsidRPr="000229AD">
              <w:rPr>
                <w:sz w:val="22"/>
                <w:lang w:val="fr-FR"/>
              </w:rPr>
              <w:t>'</w:t>
            </w:r>
            <w:r w:rsidRPr="000229AD">
              <w:rPr>
                <w:sz w:val="22"/>
                <w:lang w:val="fr-FR"/>
              </w:rPr>
              <w:t xml:space="preserve">initiative Partner2Connect en mesures concrètes qui auront des retombées significatives sur le terrain, profiteront directement aux citoyens et aux populations locales et se traduiront par une transformation numérique générale dans les pays bénéficiaires. </w:t>
            </w:r>
          </w:p>
          <w:p w14:paraId="11A6A327" w14:textId="0A06AB87" w:rsidR="00EA2FD3" w:rsidRPr="000229AD" w:rsidRDefault="00EA2FD3" w:rsidP="00716C22">
            <w:pPr>
              <w:pStyle w:val="enumlev1"/>
              <w:ind w:left="312" w:hanging="312"/>
              <w:rPr>
                <w:sz w:val="22"/>
                <w:lang w:val="fr-FR"/>
              </w:rPr>
            </w:pPr>
            <w:r w:rsidRPr="000229AD">
              <w:rPr>
                <w:sz w:val="22"/>
                <w:lang w:val="fr-FR"/>
              </w:rPr>
              <w:t>•</w:t>
            </w:r>
            <w:r w:rsidRPr="000229AD">
              <w:rPr>
                <w:sz w:val="22"/>
                <w:lang w:val="fr-FR"/>
              </w:rPr>
              <w:tab/>
              <w:t>Au 28 février 2024, l</w:t>
            </w:r>
            <w:r w:rsidR="00125408" w:rsidRPr="000229AD">
              <w:rPr>
                <w:sz w:val="22"/>
                <w:lang w:val="fr-FR"/>
              </w:rPr>
              <w:t>'</w:t>
            </w:r>
            <w:r w:rsidRPr="000229AD">
              <w:rPr>
                <w:sz w:val="22"/>
                <w:lang w:val="fr-FR"/>
              </w:rPr>
              <w:t xml:space="preserve">initiative Partner2Connect a recueilli </w:t>
            </w:r>
            <w:r w:rsidRPr="000229AD">
              <w:rPr>
                <w:b/>
                <w:bCs/>
                <w:sz w:val="22"/>
                <w:lang w:val="fr-FR"/>
              </w:rPr>
              <w:t>873 engagements, d</w:t>
            </w:r>
            <w:r w:rsidR="00125408" w:rsidRPr="000229AD">
              <w:rPr>
                <w:b/>
                <w:bCs/>
                <w:sz w:val="22"/>
                <w:lang w:val="fr-FR"/>
              </w:rPr>
              <w:t>'</w:t>
            </w:r>
            <w:r w:rsidRPr="000229AD">
              <w:rPr>
                <w:b/>
                <w:bCs/>
                <w:sz w:val="22"/>
                <w:lang w:val="fr-FR"/>
              </w:rPr>
              <w:t>un montant de plus de 46,07 milliards USD, soumis par 426 entités</w:t>
            </w:r>
            <w:r w:rsidRPr="000229AD">
              <w:rPr>
                <w:sz w:val="22"/>
                <w:lang w:val="fr-FR"/>
              </w:rPr>
              <w:t>, notamment des gouvernements, des entreprises du secteur privé, des institutions du système des Nations Unies et d</w:t>
            </w:r>
            <w:r w:rsidR="00125408" w:rsidRPr="000229AD">
              <w:rPr>
                <w:sz w:val="22"/>
                <w:lang w:val="fr-FR"/>
              </w:rPr>
              <w:t>'</w:t>
            </w:r>
            <w:r w:rsidRPr="000229AD">
              <w:rPr>
                <w:sz w:val="22"/>
                <w:lang w:val="fr-FR"/>
              </w:rPr>
              <w:t>autres organisations internationales ou régionales (banques multilatérales de développement comprises), des représentants de la société civile, des établissements universitaires et des groupes de jeunes. Les entités à l</w:t>
            </w:r>
            <w:r w:rsidR="00125408" w:rsidRPr="000229AD">
              <w:rPr>
                <w:sz w:val="22"/>
                <w:lang w:val="fr-FR"/>
              </w:rPr>
              <w:t>'</w:t>
            </w:r>
            <w:r w:rsidRPr="000229AD">
              <w:rPr>
                <w:sz w:val="22"/>
                <w:lang w:val="fr-FR"/>
              </w:rPr>
              <w:t xml:space="preserve">origine de ces engagements sont originaires de </w:t>
            </w:r>
            <w:r w:rsidRPr="000229AD">
              <w:rPr>
                <w:b/>
                <w:bCs/>
                <w:sz w:val="22"/>
                <w:lang w:val="fr-FR"/>
              </w:rPr>
              <w:t>141 pays</w:t>
            </w:r>
            <w:r w:rsidRPr="000229AD">
              <w:rPr>
                <w:sz w:val="22"/>
                <w:lang w:val="fr-FR"/>
              </w:rPr>
              <w:t>. Lors du Mobile World Congress (MWC) tenu entre le 26 et le 29 février 2024 à Barcelone, des engagements pour les infrastructures d</w:t>
            </w:r>
            <w:r w:rsidR="00125408" w:rsidRPr="000229AD">
              <w:rPr>
                <w:sz w:val="22"/>
                <w:lang w:val="fr-FR"/>
              </w:rPr>
              <w:t>'</w:t>
            </w:r>
            <w:r w:rsidRPr="000229AD">
              <w:rPr>
                <w:sz w:val="22"/>
                <w:lang w:val="fr-FR"/>
              </w:rPr>
              <w:t xml:space="preserve">un montant de 9 milliards USD ont été annoncés au titre du Programme ministériel. </w:t>
            </w:r>
          </w:p>
          <w:p w14:paraId="40CDD527" w14:textId="3CBAD866" w:rsidR="00EA2FD3" w:rsidRPr="000229AD" w:rsidRDefault="00EA2FD3" w:rsidP="00716C22">
            <w:pPr>
              <w:pStyle w:val="Tabletext"/>
              <w:keepNext/>
              <w:keepLines/>
              <w:rPr>
                <w:b/>
                <w:bCs/>
                <w:lang w:val="fr-FR"/>
              </w:rPr>
            </w:pPr>
            <w:r w:rsidRPr="000229AD">
              <w:rPr>
                <w:b/>
                <w:bCs/>
                <w:lang w:val="fr-FR"/>
              </w:rPr>
              <w:lastRenderedPageBreak/>
              <w:t>5)</w:t>
            </w:r>
            <w:r w:rsidRPr="000229AD">
              <w:rPr>
                <w:b/>
                <w:bCs/>
                <w:lang w:val="fr-FR"/>
              </w:rPr>
              <w:tab/>
              <w:t>Manifestations de l</w:t>
            </w:r>
            <w:r w:rsidR="00125408" w:rsidRPr="000229AD">
              <w:rPr>
                <w:b/>
                <w:bCs/>
                <w:lang w:val="fr-FR"/>
              </w:rPr>
              <w:t>'</w:t>
            </w:r>
            <w:r w:rsidRPr="000229AD">
              <w:rPr>
                <w:b/>
                <w:bCs/>
                <w:lang w:val="fr-FR"/>
              </w:rPr>
              <w:t>UIT-D</w:t>
            </w:r>
          </w:p>
          <w:p w14:paraId="337705AC" w14:textId="67D0B256" w:rsidR="00EA2FD3" w:rsidRPr="000229AD" w:rsidRDefault="00EA2FD3" w:rsidP="00716C22">
            <w:pPr>
              <w:pStyle w:val="Tabletext"/>
              <w:keepNext/>
              <w:keepLines/>
              <w:spacing w:before="120"/>
              <w:rPr>
                <w:lang w:val="fr-FR"/>
              </w:rPr>
            </w:pPr>
            <w:r w:rsidRPr="000229AD">
              <w:rPr>
                <w:lang w:val="fr-FR"/>
              </w:rPr>
              <w:t>En 2023, l</w:t>
            </w:r>
            <w:r w:rsidR="00125408" w:rsidRPr="000229AD">
              <w:rPr>
                <w:lang w:val="fr-FR"/>
              </w:rPr>
              <w:t>'</w:t>
            </w:r>
            <w:r w:rsidRPr="000229AD">
              <w:rPr>
                <w:lang w:val="fr-FR"/>
              </w:rPr>
              <w:t>UIT-D a organisé 118 manifestations non statutaires, notamment des ateliers, des séances d</w:t>
            </w:r>
            <w:r w:rsidR="00125408" w:rsidRPr="000229AD">
              <w:rPr>
                <w:lang w:val="fr-FR"/>
              </w:rPr>
              <w:t>'</w:t>
            </w:r>
            <w:r w:rsidRPr="000229AD">
              <w:rPr>
                <w:lang w:val="fr-FR"/>
              </w:rPr>
              <w:t>information, des colloques, des séminaires et des forums, à l</w:t>
            </w:r>
            <w:r w:rsidR="00125408" w:rsidRPr="000229AD">
              <w:rPr>
                <w:lang w:val="fr-FR"/>
              </w:rPr>
              <w:t>'</w:t>
            </w:r>
            <w:r w:rsidRPr="000229AD">
              <w:rPr>
                <w:lang w:val="fr-FR"/>
              </w:rPr>
              <w:t>intention de publics divers, à l</w:t>
            </w:r>
            <w:r w:rsidR="00125408" w:rsidRPr="000229AD">
              <w:rPr>
                <w:lang w:val="fr-FR"/>
              </w:rPr>
              <w:t>'</w:t>
            </w:r>
            <w:r w:rsidRPr="000229AD">
              <w:rPr>
                <w:lang w:val="fr-FR"/>
              </w:rPr>
              <w:t>échelle mondiale ou régionale. Poursuivant sur la lancée de 2022, le nombre de manifestations physiques et d</w:t>
            </w:r>
            <w:r w:rsidR="00125408" w:rsidRPr="000229AD">
              <w:rPr>
                <w:lang w:val="fr-FR"/>
              </w:rPr>
              <w:t>'</w:t>
            </w:r>
            <w:r w:rsidRPr="000229AD">
              <w:rPr>
                <w:lang w:val="fr-FR"/>
              </w:rPr>
              <w:t>événements hybrides a considérablement augmenté, tandis que certaines manifestations sont restées entièrement virtuelles. Sur les 118 manifestations, 46 étaient entièrement physiques, 45 étaient hybrides et 27 étaient virtuels. Ces manifestations ont porté sur toutes les priorités de l</w:t>
            </w:r>
            <w:r w:rsidR="00125408" w:rsidRPr="000229AD">
              <w:rPr>
                <w:lang w:val="fr-FR"/>
              </w:rPr>
              <w:t>'</w:t>
            </w:r>
            <w:r w:rsidRPr="000229AD">
              <w:rPr>
                <w:lang w:val="fr-FR"/>
              </w:rPr>
              <w:t>UIT-D, conformément au Plan d</w:t>
            </w:r>
            <w:r w:rsidR="00125408" w:rsidRPr="000229AD">
              <w:rPr>
                <w:lang w:val="fr-FR"/>
              </w:rPr>
              <w:t>'</w:t>
            </w:r>
            <w:r w:rsidRPr="000229AD">
              <w:rPr>
                <w:lang w:val="fr-FR"/>
              </w:rPr>
              <w:t>action de Kigali approuvé par la CMDT-22, et ont favorisé la collaboration et l</w:t>
            </w:r>
            <w:r w:rsidR="00125408" w:rsidRPr="000229AD">
              <w:rPr>
                <w:lang w:val="fr-FR"/>
              </w:rPr>
              <w:t>'</w:t>
            </w:r>
            <w:r w:rsidRPr="000229AD">
              <w:rPr>
                <w:lang w:val="fr-FR"/>
              </w:rPr>
              <w:t>innovation.</w:t>
            </w:r>
            <w:bookmarkEnd w:id="10"/>
          </w:p>
        </w:tc>
        <w:tc>
          <w:tcPr>
            <w:tcW w:w="2970" w:type="dxa"/>
            <w:tcBorders>
              <w:top w:val="dotted" w:sz="4" w:space="0" w:color="0070C0"/>
              <w:left w:val="dotted" w:sz="4" w:space="0" w:color="0070C0"/>
              <w:bottom w:val="dotted" w:sz="4" w:space="0" w:color="0070C0"/>
              <w:right w:val="dotted" w:sz="4" w:space="0" w:color="0070C0"/>
            </w:tcBorders>
            <w:shd w:val="clear" w:color="auto" w:fill="auto"/>
          </w:tcPr>
          <w:p w14:paraId="78215C6A" w14:textId="77777777" w:rsidR="00EA2FD3" w:rsidRPr="000229AD" w:rsidRDefault="00EA2FD3" w:rsidP="00716C22">
            <w:pPr>
              <w:pStyle w:val="enumlev1"/>
              <w:ind w:left="312" w:hanging="312"/>
              <w:rPr>
                <w:sz w:val="22"/>
                <w:lang w:val="fr-FR"/>
              </w:rPr>
            </w:pPr>
            <w:r w:rsidRPr="000229AD">
              <w:rPr>
                <w:sz w:val="22"/>
                <w:lang w:val="fr-FR"/>
              </w:rPr>
              <w:lastRenderedPageBreak/>
              <w:t>–</w:t>
            </w:r>
            <w:r w:rsidRPr="000229AD">
              <w:rPr>
                <w:sz w:val="22"/>
                <w:lang w:val="fr-FR"/>
              </w:rPr>
              <w:tab/>
              <w:t>UIT-D: 27 nouveaux membres.</w:t>
            </w:r>
          </w:p>
          <w:p w14:paraId="32E352E8" w14:textId="2C9D4132" w:rsidR="00EA2FD3" w:rsidRPr="000229AD" w:rsidRDefault="00EA2FD3" w:rsidP="00716C22">
            <w:pPr>
              <w:pStyle w:val="enumlev1"/>
              <w:ind w:left="312" w:hanging="312"/>
              <w:rPr>
                <w:sz w:val="22"/>
                <w:lang w:val="fr-FR"/>
              </w:rPr>
            </w:pPr>
            <w:r w:rsidRPr="000229AD">
              <w:rPr>
                <w:sz w:val="22"/>
                <w:lang w:val="fr-FR"/>
              </w:rPr>
              <w:t>–</w:t>
            </w:r>
            <w:r w:rsidRPr="000229AD">
              <w:rPr>
                <w:sz w:val="22"/>
                <w:lang w:val="fr-FR"/>
              </w:rPr>
              <w:tab/>
              <w:t>Toutes les activités du BDT ont contribué à la mise en œuvre des résultats du SMSI et du Programme de développement durable à l</w:t>
            </w:r>
            <w:r w:rsidR="00125408" w:rsidRPr="000229AD">
              <w:rPr>
                <w:sz w:val="22"/>
                <w:lang w:val="fr-FR"/>
              </w:rPr>
              <w:t>'</w:t>
            </w:r>
            <w:r w:rsidRPr="000229AD">
              <w:rPr>
                <w:sz w:val="22"/>
                <w:lang w:val="fr-FR"/>
              </w:rPr>
              <w:t>horizon 2030.</w:t>
            </w:r>
          </w:p>
          <w:p w14:paraId="55F0669F" w14:textId="1304DAEC" w:rsidR="00EA2FD3" w:rsidRPr="000229AD" w:rsidRDefault="00EA2FD3" w:rsidP="00716C22">
            <w:pPr>
              <w:pStyle w:val="enumlev1"/>
              <w:ind w:left="312" w:hanging="312"/>
              <w:rPr>
                <w:sz w:val="22"/>
                <w:lang w:val="fr-FR"/>
              </w:rPr>
            </w:pPr>
            <w:r w:rsidRPr="000229AD">
              <w:rPr>
                <w:sz w:val="22"/>
                <w:lang w:val="fr-FR"/>
              </w:rPr>
              <w:t>–</w:t>
            </w:r>
            <w:r w:rsidRPr="000229AD">
              <w:rPr>
                <w:sz w:val="22"/>
                <w:lang w:val="fr-FR"/>
              </w:rPr>
              <w:tab/>
              <w:t>Six Forums régionaux sur le développement de l</w:t>
            </w:r>
            <w:r w:rsidR="00125408" w:rsidRPr="000229AD">
              <w:rPr>
                <w:sz w:val="22"/>
                <w:lang w:val="fr-FR"/>
              </w:rPr>
              <w:t>'</w:t>
            </w:r>
            <w:r w:rsidRPr="000229AD">
              <w:rPr>
                <w:sz w:val="22"/>
                <w:lang w:val="fr-FR"/>
              </w:rPr>
              <w:t>UIT organisés en 2023 et 2024 (plus de de 1 500 parties prenantes).</w:t>
            </w:r>
          </w:p>
          <w:p w14:paraId="029DC186" w14:textId="77777777" w:rsidR="00EA2FD3" w:rsidRPr="000229AD" w:rsidRDefault="00EA2FD3" w:rsidP="00716C22">
            <w:pPr>
              <w:pStyle w:val="Tabletext"/>
              <w:spacing w:before="120"/>
              <w:rPr>
                <w:b/>
                <w:bCs/>
                <w:lang w:val="fr-FR"/>
              </w:rPr>
            </w:pPr>
            <w:r w:rsidRPr="000229AD">
              <w:rPr>
                <w:b/>
                <w:bCs/>
                <w:lang w:val="fr-FR"/>
              </w:rPr>
              <w:t>Partner2Connect:</w:t>
            </w:r>
          </w:p>
          <w:p w14:paraId="7915EA66" w14:textId="3E030972" w:rsidR="00EA2FD3" w:rsidRPr="000229AD" w:rsidRDefault="00EA2FD3" w:rsidP="00716C22">
            <w:pPr>
              <w:pStyle w:val="enumlev1"/>
              <w:ind w:left="312" w:hanging="312"/>
              <w:rPr>
                <w:sz w:val="22"/>
                <w:lang w:val="fr-FR"/>
              </w:rPr>
            </w:pPr>
            <w:r w:rsidRPr="000229AD">
              <w:rPr>
                <w:sz w:val="22"/>
                <w:lang w:val="fr-FR"/>
              </w:rPr>
              <w:t>–</w:t>
            </w:r>
            <w:r w:rsidRPr="000229AD">
              <w:rPr>
                <w:sz w:val="22"/>
                <w:lang w:val="fr-FR"/>
              </w:rPr>
              <w:tab/>
              <w:t>L</w:t>
            </w:r>
            <w:r w:rsidR="00125408" w:rsidRPr="000229AD">
              <w:rPr>
                <w:sz w:val="22"/>
                <w:lang w:val="fr-FR"/>
              </w:rPr>
              <w:t>'</w:t>
            </w:r>
            <w:r w:rsidRPr="000229AD">
              <w:rPr>
                <w:sz w:val="22"/>
                <w:lang w:val="fr-FR"/>
              </w:rPr>
              <w:t>initiative Partner2Connect a recueilli 873 engagements (141 pays), d</w:t>
            </w:r>
            <w:r w:rsidR="00125408" w:rsidRPr="000229AD">
              <w:rPr>
                <w:sz w:val="22"/>
                <w:lang w:val="fr-FR"/>
              </w:rPr>
              <w:t>'</w:t>
            </w:r>
            <w:r w:rsidRPr="000229AD">
              <w:rPr>
                <w:sz w:val="22"/>
                <w:lang w:val="fr-FR"/>
              </w:rPr>
              <w:t>une valeur de plus de 46,07 milliards USD, soumis par 426 entités.</w:t>
            </w:r>
          </w:p>
          <w:p w14:paraId="58CE3827" w14:textId="07F69BA3" w:rsidR="00EA2FD3" w:rsidRPr="000229AD" w:rsidRDefault="00EA2FD3" w:rsidP="00716C22">
            <w:pPr>
              <w:pStyle w:val="Tabletext"/>
              <w:keepNext/>
              <w:keepLines/>
              <w:rPr>
                <w:b/>
                <w:bCs/>
                <w:lang w:val="fr-FR"/>
              </w:rPr>
            </w:pPr>
            <w:r w:rsidRPr="000229AD">
              <w:rPr>
                <w:b/>
                <w:bCs/>
                <w:lang w:val="fr-FR"/>
              </w:rPr>
              <w:lastRenderedPageBreak/>
              <w:t>Commissions d</w:t>
            </w:r>
            <w:r w:rsidR="00125408" w:rsidRPr="000229AD">
              <w:rPr>
                <w:b/>
                <w:bCs/>
                <w:lang w:val="fr-FR"/>
              </w:rPr>
              <w:t>'</w:t>
            </w:r>
            <w:r w:rsidRPr="000229AD">
              <w:rPr>
                <w:b/>
                <w:bCs/>
                <w:lang w:val="fr-FR"/>
              </w:rPr>
              <w:t>études:</w:t>
            </w:r>
          </w:p>
          <w:p w14:paraId="7A4D0CB4" w14:textId="7358499B" w:rsidR="00EA2FD3" w:rsidRPr="000229AD" w:rsidRDefault="00EA2FD3" w:rsidP="00716C22">
            <w:pPr>
              <w:pStyle w:val="enumlev1"/>
              <w:keepNext/>
              <w:keepLines/>
              <w:ind w:left="312" w:hanging="312"/>
              <w:rPr>
                <w:sz w:val="22"/>
                <w:lang w:val="fr-FR"/>
              </w:rPr>
            </w:pPr>
            <w:r w:rsidRPr="000229AD">
              <w:rPr>
                <w:sz w:val="22"/>
                <w:lang w:val="fr-FR"/>
              </w:rPr>
              <w:t>–</w:t>
            </w:r>
            <w:r w:rsidRPr="000229AD">
              <w:rPr>
                <w:sz w:val="22"/>
                <w:lang w:val="fr-FR"/>
              </w:rPr>
              <w:tab/>
              <w:t>2 produits (documents) intérimaires publiés, 155 documents examinés à la réunion de 2023 de la CE 1 de l</w:t>
            </w:r>
            <w:r w:rsidR="00125408" w:rsidRPr="000229AD">
              <w:rPr>
                <w:sz w:val="22"/>
                <w:lang w:val="fr-FR"/>
              </w:rPr>
              <w:t>'</w:t>
            </w:r>
            <w:r w:rsidRPr="000229AD">
              <w:rPr>
                <w:sz w:val="22"/>
                <w:lang w:val="fr-FR"/>
              </w:rPr>
              <w:t>UIT-D.</w:t>
            </w:r>
          </w:p>
          <w:p w14:paraId="78ED3BBD" w14:textId="08EE8673" w:rsidR="00EA2FD3" w:rsidRPr="000229AD" w:rsidRDefault="00EA2FD3" w:rsidP="00716C22">
            <w:pPr>
              <w:pStyle w:val="enumlev1"/>
              <w:ind w:left="312" w:hanging="312"/>
              <w:rPr>
                <w:lang w:val="fr-FR"/>
              </w:rPr>
            </w:pPr>
            <w:r w:rsidRPr="000229AD">
              <w:rPr>
                <w:sz w:val="22"/>
                <w:lang w:val="fr-FR"/>
              </w:rPr>
              <w:t>–</w:t>
            </w:r>
            <w:r w:rsidRPr="000229AD">
              <w:rPr>
                <w:sz w:val="22"/>
                <w:lang w:val="fr-FR"/>
              </w:rPr>
              <w:tab/>
              <w:t>120 documents examinés à la réunion de 2023 de la CE 2 de l</w:t>
            </w:r>
            <w:r w:rsidR="00125408" w:rsidRPr="000229AD">
              <w:rPr>
                <w:sz w:val="22"/>
                <w:lang w:val="fr-FR"/>
              </w:rPr>
              <w:t>'</w:t>
            </w:r>
            <w:r w:rsidRPr="000229AD">
              <w:rPr>
                <w:sz w:val="22"/>
                <w:lang w:val="fr-FR"/>
              </w:rPr>
              <w:t>UIT-D.</w:t>
            </w:r>
          </w:p>
        </w:tc>
      </w:tr>
      <w:tr w:rsidR="00EA2FD3" w:rsidRPr="000229AD" w14:paraId="3D41D39F" w14:textId="77777777" w:rsidTr="007C34B5">
        <w:tc>
          <w:tcPr>
            <w:tcW w:w="2977" w:type="dxa"/>
            <w:tcBorders>
              <w:top w:val="dotted" w:sz="4" w:space="0" w:color="0070C0"/>
              <w:left w:val="dotted" w:sz="4" w:space="0" w:color="0070C0"/>
              <w:bottom w:val="dotted" w:sz="4" w:space="0" w:color="0070C0"/>
              <w:right w:val="dotted" w:sz="4" w:space="0" w:color="0070C0"/>
            </w:tcBorders>
          </w:tcPr>
          <w:p w14:paraId="37E704C2" w14:textId="77777777" w:rsidR="00EA2FD3" w:rsidRPr="000229AD" w:rsidRDefault="00EA2FD3" w:rsidP="00716C22">
            <w:pPr>
              <w:pStyle w:val="Tabletext"/>
              <w:rPr>
                <w:b/>
                <w:bCs/>
                <w:lang w:val="fr-FR"/>
              </w:rPr>
            </w:pPr>
            <w:r w:rsidRPr="000229AD">
              <w:rPr>
                <w:b/>
                <w:bCs/>
                <w:lang w:val="fr-FR"/>
              </w:rPr>
              <w:lastRenderedPageBreak/>
              <w:t>Contribution à la réalisation des cibles des ODD</w:t>
            </w:r>
          </w:p>
        </w:tc>
        <w:tc>
          <w:tcPr>
            <w:tcW w:w="11873" w:type="dxa"/>
            <w:gridSpan w:val="2"/>
            <w:tcBorders>
              <w:top w:val="dotted" w:sz="4" w:space="0" w:color="0070C0"/>
              <w:left w:val="dotted" w:sz="4" w:space="0" w:color="0070C0"/>
              <w:bottom w:val="dotted" w:sz="4" w:space="0" w:color="0070C0"/>
              <w:right w:val="dotted" w:sz="4" w:space="0" w:color="0070C0"/>
            </w:tcBorders>
          </w:tcPr>
          <w:p w14:paraId="34AE4544" w14:textId="77777777" w:rsidR="00EA2FD3" w:rsidRPr="000229AD" w:rsidRDefault="00EA2FD3" w:rsidP="00716C22">
            <w:pPr>
              <w:pStyle w:val="Tabletext"/>
              <w:rPr>
                <w:lang w:val="fr-FR"/>
              </w:rPr>
            </w:pPr>
            <w:r w:rsidRPr="000229AD">
              <w:rPr>
                <w:lang w:val="fr-FR"/>
              </w:rPr>
              <w:t>1, 3, 4, 5, 8, 9, 10, 11, 16, 17</w:t>
            </w:r>
          </w:p>
          <w:p w14:paraId="1CA423C9" w14:textId="7D662F9E" w:rsidR="00EA2FD3" w:rsidRPr="000229AD" w:rsidRDefault="00EA2FD3" w:rsidP="00716C22">
            <w:pPr>
              <w:pStyle w:val="Tabletext"/>
              <w:rPr>
                <w:lang w:val="fr-FR"/>
              </w:rPr>
            </w:pPr>
            <w:r w:rsidRPr="000229AD">
              <w:rPr>
                <w:b/>
                <w:bCs/>
                <w:lang w:val="fr-FR"/>
              </w:rPr>
              <w:t>Commissions d</w:t>
            </w:r>
            <w:r w:rsidR="00125408" w:rsidRPr="000229AD">
              <w:rPr>
                <w:b/>
                <w:bCs/>
                <w:lang w:val="fr-FR"/>
              </w:rPr>
              <w:t>'</w:t>
            </w:r>
            <w:r w:rsidRPr="000229AD">
              <w:rPr>
                <w:b/>
                <w:bCs/>
                <w:lang w:val="fr-FR"/>
              </w:rPr>
              <w:t>études</w:t>
            </w:r>
            <w:r w:rsidRPr="000229AD">
              <w:rPr>
                <w:lang w:val="fr-FR"/>
              </w:rPr>
              <w:t xml:space="preserve">: Contribution à la réalisation des cibles des ODD et des grandes orientations du SMSI: voir le tableau </w:t>
            </w:r>
            <w:hyperlink r:id="rId80" w:history="1">
              <w:r w:rsidRPr="000229AD">
                <w:rPr>
                  <w:rStyle w:val="Hyperlink"/>
                  <w:lang w:val="fr-FR"/>
                </w:rPr>
                <w:t>ici</w:t>
              </w:r>
            </w:hyperlink>
            <w:r w:rsidRPr="000229AD">
              <w:rPr>
                <w:lang w:val="fr-FR"/>
              </w:rPr>
              <w:t xml:space="preserve"> </w:t>
            </w:r>
          </w:p>
          <w:p w14:paraId="20FA4BFC" w14:textId="19E2383E" w:rsidR="00EA2FD3" w:rsidRPr="000229AD" w:rsidRDefault="00EA2FD3" w:rsidP="00716C22">
            <w:pPr>
              <w:pStyle w:val="Tabletext"/>
              <w:rPr>
                <w:lang w:val="fr-FR"/>
              </w:rPr>
            </w:pPr>
            <w:r w:rsidRPr="000229AD">
              <w:rPr>
                <w:lang w:val="fr-FR"/>
              </w:rPr>
              <w:t>Résolutions: principalement 1 et 2 de la CMDT; 208, 21, 70, 71, 77, 102, 123, 130, 131, 136, 139, 154, 167, 175, 177, 179, 180, 182, 188, 196, 197, 203, 204, 205 et 209 de la PP.</w:t>
            </w:r>
          </w:p>
        </w:tc>
      </w:tr>
      <w:tr w:rsidR="00EA2FD3" w:rsidRPr="000229AD" w14:paraId="445C39CF" w14:textId="77777777" w:rsidTr="007C34B5">
        <w:tc>
          <w:tcPr>
            <w:tcW w:w="2977" w:type="dxa"/>
            <w:tcBorders>
              <w:top w:val="dotted" w:sz="4" w:space="0" w:color="0070C0"/>
              <w:left w:val="dotted" w:sz="4" w:space="0" w:color="0070C0"/>
              <w:bottom w:val="dotted" w:sz="4" w:space="0" w:color="0070C0"/>
              <w:right w:val="dotted" w:sz="4" w:space="0" w:color="0070C0"/>
            </w:tcBorders>
          </w:tcPr>
          <w:p w14:paraId="216042C5" w14:textId="77777777" w:rsidR="00EA2FD3" w:rsidRPr="000229AD" w:rsidRDefault="00EA2FD3" w:rsidP="00716C22">
            <w:pPr>
              <w:pStyle w:val="Tabletext"/>
              <w:rPr>
                <w:b/>
                <w:bCs/>
                <w:lang w:val="fr-FR"/>
              </w:rPr>
            </w:pPr>
            <w:r w:rsidRPr="000229AD">
              <w:rPr>
                <w:b/>
                <w:bCs/>
                <w:lang w:val="fr-FR"/>
              </w:rPr>
              <w:t>Grandes orientations du SMSI</w:t>
            </w:r>
          </w:p>
        </w:tc>
        <w:tc>
          <w:tcPr>
            <w:tcW w:w="11873" w:type="dxa"/>
            <w:gridSpan w:val="2"/>
            <w:tcBorders>
              <w:top w:val="dotted" w:sz="4" w:space="0" w:color="0070C0"/>
              <w:left w:val="dotted" w:sz="4" w:space="0" w:color="0070C0"/>
              <w:bottom w:val="dotted" w:sz="4" w:space="0" w:color="0070C0"/>
              <w:right w:val="dotted" w:sz="4" w:space="0" w:color="0070C0"/>
            </w:tcBorders>
          </w:tcPr>
          <w:p w14:paraId="04EE4867" w14:textId="77777777" w:rsidR="00EA2FD3" w:rsidRPr="000229AD" w:rsidRDefault="00EA2FD3" w:rsidP="00716C22">
            <w:pPr>
              <w:pStyle w:val="Tabletext"/>
              <w:rPr>
                <w:lang w:val="fr-FR"/>
              </w:rPr>
            </w:pPr>
            <w:r w:rsidRPr="000229AD">
              <w:rPr>
                <w:lang w:val="fr-FR"/>
              </w:rPr>
              <w:t>C1, C2, C3, C4, C5, C6, C7, C11</w:t>
            </w:r>
          </w:p>
        </w:tc>
      </w:tr>
      <w:bookmarkEnd w:id="9"/>
    </w:tbl>
    <w:p w14:paraId="42DCB498" w14:textId="5343F4B7" w:rsidR="007C34B5" w:rsidRPr="000229AD" w:rsidRDefault="007C34B5" w:rsidP="00716C22">
      <w:pPr>
        <w:rPr>
          <w:lang w:val="fr-FR"/>
        </w:rPr>
      </w:pPr>
      <w:r w:rsidRPr="000229AD">
        <w:rPr>
          <w:lang w:val="fr-FR"/>
        </w:rPr>
        <w:br w:type="page"/>
      </w:r>
    </w:p>
    <w:tbl>
      <w:tblPr>
        <w:tblStyle w:val="TableGrid8"/>
        <w:tblW w:w="14850" w:type="dxa"/>
        <w:tblBorders>
          <w:top w:val="dotted" w:sz="4" w:space="0" w:color="0070C0"/>
          <w:left w:val="dotted" w:sz="4" w:space="0" w:color="0070C0"/>
          <w:bottom w:val="dotted" w:sz="4" w:space="0" w:color="0070C0"/>
          <w:right w:val="dotted" w:sz="4" w:space="0" w:color="0070C0"/>
          <w:insideH w:val="dotted" w:sz="4" w:space="0" w:color="0070C0"/>
          <w:insideV w:val="dotted" w:sz="4" w:space="0" w:color="0070C0"/>
        </w:tblBorders>
        <w:tblLayout w:type="fixed"/>
        <w:tblLook w:val="04A0" w:firstRow="1" w:lastRow="0" w:firstColumn="1" w:lastColumn="0" w:noHBand="0" w:noVBand="1"/>
      </w:tblPr>
      <w:tblGrid>
        <w:gridCol w:w="2972"/>
        <w:gridCol w:w="8908"/>
        <w:gridCol w:w="2970"/>
      </w:tblGrid>
      <w:tr w:rsidR="008F0090" w:rsidRPr="000229AD" w14:paraId="1DB2D08C" w14:textId="77777777" w:rsidTr="00774480">
        <w:tc>
          <w:tcPr>
            <w:tcW w:w="14850" w:type="dxa"/>
            <w:gridSpan w:val="3"/>
            <w:shd w:val="clear" w:color="auto" w:fill="365F91" w:themeFill="accent1" w:themeFillShade="BF"/>
          </w:tcPr>
          <w:p w14:paraId="592FC96F" w14:textId="5EDF1374" w:rsidR="008F0090" w:rsidRPr="000229AD" w:rsidRDefault="008F0090" w:rsidP="00716C22">
            <w:pPr>
              <w:pStyle w:val="Tablehead"/>
              <w:keepNext w:val="0"/>
              <w:rPr>
                <w:color w:val="FFFFFF" w:themeColor="background1"/>
                <w:lang w:val="fr-FR"/>
              </w:rPr>
            </w:pPr>
            <w:r w:rsidRPr="000229AD">
              <w:rPr>
                <w:color w:val="FFFFFF" w:themeColor="background1"/>
                <w:lang w:val="fr-FR"/>
              </w:rPr>
              <w:lastRenderedPageBreak/>
              <w:t>Catalyseur 2 de l</w:t>
            </w:r>
            <w:r w:rsidR="00125408" w:rsidRPr="000229AD">
              <w:rPr>
                <w:color w:val="FFFFFF" w:themeColor="background1"/>
                <w:lang w:val="fr-FR"/>
              </w:rPr>
              <w:t>'</w:t>
            </w:r>
            <w:r w:rsidRPr="000229AD">
              <w:rPr>
                <w:color w:val="FFFFFF" w:themeColor="background1"/>
                <w:lang w:val="fr-FR"/>
              </w:rPr>
              <w:t>UIT-D: Présence régionale</w:t>
            </w:r>
          </w:p>
          <w:p w14:paraId="194F9925" w14:textId="5E6D2CC8" w:rsidR="008F0090" w:rsidRPr="000229AD" w:rsidRDefault="008F0090" w:rsidP="00716C22">
            <w:pPr>
              <w:pStyle w:val="Tablehead"/>
              <w:keepNext w:val="0"/>
              <w:rPr>
                <w:i/>
                <w:iCs/>
                <w:color w:val="FFFFFF" w:themeColor="background1"/>
                <w:lang w:val="fr-FR"/>
              </w:rPr>
            </w:pPr>
            <w:r w:rsidRPr="000229AD">
              <w:rPr>
                <w:i/>
                <w:iCs/>
                <w:color w:val="FFFFFF" w:themeColor="background1"/>
                <w:lang w:val="fr-FR"/>
              </w:rPr>
              <w:t>Renforcer l</w:t>
            </w:r>
            <w:r w:rsidR="00125408" w:rsidRPr="000229AD">
              <w:rPr>
                <w:i/>
                <w:iCs/>
                <w:color w:val="FFFFFF" w:themeColor="background1"/>
                <w:lang w:val="fr-FR"/>
              </w:rPr>
              <w:t>'</w:t>
            </w:r>
            <w:r w:rsidRPr="000229AD">
              <w:rPr>
                <w:i/>
                <w:iCs/>
                <w:color w:val="FFFFFF" w:themeColor="background1"/>
                <w:lang w:val="fr-FR"/>
              </w:rPr>
              <w:t>efficacité et l</w:t>
            </w:r>
            <w:r w:rsidR="00125408" w:rsidRPr="000229AD">
              <w:rPr>
                <w:i/>
                <w:iCs/>
                <w:color w:val="FFFFFF" w:themeColor="background1"/>
                <w:lang w:val="fr-FR"/>
              </w:rPr>
              <w:t>'</w:t>
            </w:r>
            <w:r w:rsidRPr="000229AD">
              <w:rPr>
                <w:i/>
                <w:iCs/>
                <w:color w:val="FFFFFF" w:themeColor="background1"/>
                <w:lang w:val="fr-FR"/>
              </w:rPr>
              <w:t>incidence globales de l</w:t>
            </w:r>
            <w:r w:rsidR="00125408" w:rsidRPr="000229AD">
              <w:rPr>
                <w:i/>
                <w:iCs/>
                <w:color w:val="FFFFFF" w:themeColor="background1"/>
                <w:lang w:val="fr-FR"/>
              </w:rPr>
              <w:t>'</w:t>
            </w:r>
            <w:r w:rsidRPr="000229AD">
              <w:rPr>
                <w:i/>
                <w:iCs/>
                <w:color w:val="FFFFFF" w:themeColor="background1"/>
                <w:lang w:val="fr-FR"/>
              </w:rPr>
              <w:t>UIT à l</w:t>
            </w:r>
            <w:r w:rsidR="00125408" w:rsidRPr="000229AD">
              <w:rPr>
                <w:i/>
                <w:iCs/>
                <w:color w:val="FFFFFF" w:themeColor="background1"/>
                <w:lang w:val="fr-FR"/>
              </w:rPr>
              <w:t>'</w:t>
            </w:r>
            <w:r w:rsidRPr="000229AD">
              <w:rPr>
                <w:i/>
                <w:iCs/>
                <w:color w:val="FFFFFF" w:themeColor="background1"/>
                <w:lang w:val="fr-FR"/>
              </w:rPr>
              <w:t>échelle mondiale</w:t>
            </w:r>
          </w:p>
        </w:tc>
      </w:tr>
      <w:tr w:rsidR="008F0090" w:rsidRPr="000229AD" w14:paraId="7EA5D24D" w14:textId="77777777" w:rsidTr="00774480">
        <w:tc>
          <w:tcPr>
            <w:tcW w:w="14850" w:type="dxa"/>
            <w:gridSpan w:val="3"/>
            <w:shd w:val="clear" w:color="auto" w:fill="E5DFEC" w:themeFill="accent4" w:themeFillTint="33"/>
          </w:tcPr>
          <w:p w14:paraId="6FF755DC" w14:textId="575B46B2" w:rsidR="008F0090" w:rsidRPr="000229AD" w:rsidRDefault="008F0090" w:rsidP="00716C22">
            <w:pPr>
              <w:pStyle w:val="Tabletext"/>
              <w:spacing w:before="120"/>
              <w:rPr>
                <w:b/>
                <w:bCs/>
                <w:i/>
                <w:iCs/>
                <w:lang w:val="fr-FR"/>
              </w:rPr>
            </w:pPr>
            <w:r w:rsidRPr="000229AD">
              <w:rPr>
                <w:b/>
                <w:i/>
                <w:iCs/>
                <w:lang w:val="fr-FR"/>
              </w:rPr>
              <w:t>Réalisation:</w:t>
            </w:r>
            <w:r w:rsidRPr="000229AD">
              <w:rPr>
                <w:i/>
                <w:iCs/>
                <w:lang w:val="fr-FR"/>
              </w:rPr>
              <w:t xml:space="preserve"> renforcement de la collaboration et de la coopération entre les bureaux régionaux et avec l</w:t>
            </w:r>
            <w:r w:rsidR="00125408" w:rsidRPr="000229AD">
              <w:rPr>
                <w:i/>
                <w:iCs/>
                <w:lang w:val="fr-FR"/>
              </w:rPr>
              <w:t>'</w:t>
            </w:r>
            <w:r w:rsidRPr="000229AD">
              <w:rPr>
                <w:i/>
                <w:iCs/>
                <w:lang w:val="fr-FR"/>
              </w:rPr>
              <w:t>Organisation des Nations Unies et ses institutions spécialisées, les organisations de télécommunication régionales ainsi que les organismes de financement et de développement pour atteindre les ODD à l</w:t>
            </w:r>
            <w:r w:rsidR="00125408" w:rsidRPr="000229AD">
              <w:rPr>
                <w:i/>
                <w:iCs/>
                <w:lang w:val="fr-FR"/>
              </w:rPr>
              <w:t>'</w:t>
            </w:r>
            <w:r w:rsidRPr="000229AD">
              <w:rPr>
                <w:i/>
                <w:iCs/>
                <w:lang w:val="fr-FR"/>
              </w:rPr>
              <w:t>horizon 2030 se rapportant aux questions de développement de l</w:t>
            </w:r>
            <w:r w:rsidR="00125408" w:rsidRPr="000229AD">
              <w:rPr>
                <w:i/>
                <w:iCs/>
                <w:lang w:val="fr-FR"/>
              </w:rPr>
              <w:t>'</w:t>
            </w:r>
            <w:r w:rsidRPr="000229AD">
              <w:rPr>
                <w:i/>
                <w:iCs/>
                <w:lang w:val="fr-FR"/>
              </w:rPr>
              <w:t>économie numérique.</w:t>
            </w:r>
          </w:p>
        </w:tc>
      </w:tr>
      <w:tr w:rsidR="008F0090" w:rsidRPr="000229AD" w14:paraId="2A4DD6A5" w14:textId="77777777" w:rsidTr="00774480">
        <w:tc>
          <w:tcPr>
            <w:tcW w:w="11880" w:type="dxa"/>
            <w:gridSpan w:val="2"/>
          </w:tcPr>
          <w:p w14:paraId="3A81DE11" w14:textId="77777777" w:rsidR="008F0090" w:rsidRPr="000229AD" w:rsidRDefault="008F0090" w:rsidP="00716C22">
            <w:pPr>
              <w:pStyle w:val="Tabletext"/>
              <w:jc w:val="center"/>
              <w:rPr>
                <w:b/>
                <w:bCs/>
                <w:lang w:val="fr-FR"/>
              </w:rPr>
            </w:pPr>
            <w:r w:rsidRPr="000229AD">
              <w:rPr>
                <w:b/>
                <w:bCs/>
                <w:lang w:val="fr-FR"/>
              </w:rPr>
              <w:t>Produits</w:t>
            </w:r>
          </w:p>
        </w:tc>
        <w:tc>
          <w:tcPr>
            <w:tcW w:w="2970" w:type="dxa"/>
          </w:tcPr>
          <w:p w14:paraId="23310307" w14:textId="77777777" w:rsidR="008F0090" w:rsidRPr="000229AD" w:rsidRDefault="008F0090" w:rsidP="00716C22">
            <w:pPr>
              <w:pStyle w:val="Tabletext"/>
              <w:jc w:val="center"/>
              <w:rPr>
                <w:b/>
                <w:bCs/>
                <w:lang w:val="fr-FR"/>
              </w:rPr>
            </w:pPr>
            <w:r w:rsidRPr="000229AD">
              <w:rPr>
                <w:b/>
                <w:bCs/>
                <w:lang w:val="fr-FR"/>
              </w:rPr>
              <w:t>Points clés</w:t>
            </w:r>
          </w:p>
        </w:tc>
      </w:tr>
      <w:tr w:rsidR="008F0090" w:rsidRPr="000229AD" w14:paraId="2B78EC38" w14:textId="77777777" w:rsidTr="00774480">
        <w:tc>
          <w:tcPr>
            <w:tcW w:w="11880" w:type="dxa"/>
            <w:gridSpan w:val="2"/>
          </w:tcPr>
          <w:p w14:paraId="07304D23" w14:textId="517A1C5D" w:rsidR="008F0090" w:rsidRPr="000229AD" w:rsidRDefault="008F0090" w:rsidP="00716C22">
            <w:pPr>
              <w:pStyle w:val="Tabletext"/>
              <w:spacing w:before="120"/>
              <w:rPr>
                <w:rFonts w:eastAsiaTheme="minorEastAsia"/>
                <w:lang w:val="fr-FR"/>
              </w:rPr>
            </w:pPr>
            <w:r w:rsidRPr="000229AD">
              <w:rPr>
                <w:lang w:val="fr-FR"/>
              </w:rPr>
              <w:t>Au niveau régional, les bureaux régionaux de l</w:t>
            </w:r>
            <w:r w:rsidR="00125408" w:rsidRPr="000229AD">
              <w:rPr>
                <w:lang w:val="fr-FR"/>
              </w:rPr>
              <w:t>'</w:t>
            </w:r>
            <w:r w:rsidRPr="000229AD">
              <w:rPr>
                <w:lang w:val="fr-FR"/>
              </w:rPr>
              <w:t xml:space="preserve">UIT ont continué de jouer un rôle important en matière de mise en œuvre et de suivi. Entre 2023 et 2024, </w:t>
            </w:r>
            <w:r w:rsidRPr="000229AD">
              <w:rPr>
                <w:b/>
                <w:bCs/>
                <w:lang w:val="fr-FR"/>
              </w:rPr>
              <w:t>six Forums régionaux sur le développement de l</w:t>
            </w:r>
            <w:r w:rsidR="00125408" w:rsidRPr="000229AD">
              <w:rPr>
                <w:b/>
                <w:bCs/>
                <w:lang w:val="fr-FR"/>
              </w:rPr>
              <w:t>'</w:t>
            </w:r>
            <w:r w:rsidRPr="000229AD">
              <w:rPr>
                <w:b/>
                <w:bCs/>
                <w:lang w:val="fr-FR"/>
              </w:rPr>
              <w:t>UIT ont réuni plus de 1 500 parties prenantes du monde entier</w:t>
            </w:r>
            <w:r w:rsidRPr="000229AD">
              <w:rPr>
                <w:lang w:val="fr-FR"/>
              </w:rPr>
              <w:t>, offrant à ces dernières un cadre propice pour discuter de la mise en œuvre des initiatives régionales de l</w:t>
            </w:r>
            <w:r w:rsidR="00125408" w:rsidRPr="000229AD">
              <w:rPr>
                <w:lang w:val="fr-FR"/>
              </w:rPr>
              <w:t>'</w:t>
            </w:r>
            <w:r w:rsidRPr="000229AD">
              <w:rPr>
                <w:lang w:val="fr-FR"/>
              </w:rPr>
              <w:t>UIT-D adoptées par la CMDT-22 et de toutes les réalisations du Plan d</w:t>
            </w:r>
            <w:r w:rsidR="00125408" w:rsidRPr="000229AD">
              <w:rPr>
                <w:lang w:val="fr-FR"/>
              </w:rPr>
              <w:t>'</w:t>
            </w:r>
            <w:r w:rsidRPr="000229AD">
              <w:rPr>
                <w:lang w:val="fr-FR"/>
              </w:rPr>
              <w:t>Action de Kigali. Des représentants du système des Nations Unies, notamment des commissions régionales, des banques de développement, le secteur privé, des États Membres et des établissements universitaires ont participé à ces réunions. Au cours des Forums régionaux sur le développement, des tables rondes de mise en relation ont été organisées. Ces dernières visaient à apparier les engagements avec les priorités des pays et des régions, et sécuriser des contributions qui sont aujourd</w:t>
            </w:r>
            <w:r w:rsidR="00125408" w:rsidRPr="000229AD">
              <w:rPr>
                <w:lang w:val="fr-FR"/>
              </w:rPr>
              <w:t>'</w:t>
            </w:r>
            <w:r w:rsidRPr="000229AD">
              <w:rPr>
                <w:lang w:val="fr-FR"/>
              </w:rPr>
              <w:t>hui en cours de mise en œuvre. Sur la base de ces contributions, les bureaux régionaux assurent le suivi de l</w:t>
            </w:r>
            <w:r w:rsidR="00125408" w:rsidRPr="000229AD">
              <w:rPr>
                <w:lang w:val="fr-FR"/>
              </w:rPr>
              <w:t>'</w:t>
            </w:r>
            <w:r w:rsidRPr="000229AD">
              <w:rPr>
                <w:lang w:val="fr-FR"/>
              </w:rPr>
              <w:t>appui pendant la mise en œuvre.</w:t>
            </w:r>
          </w:p>
          <w:p w14:paraId="630BFF58" w14:textId="39CF5197" w:rsidR="008F0090" w:rsidRPr="000229AD" w:rsidRDefault="008F0090" w:rsidP="00716C22">
            <w:pPr>
              <w:pStyle w:val="Tabletext"/>
              <w:spacing w:before="240" w:after="120"/>
              <w:rPr>
                <w:lang w:val="fr-FR"/>
              </w:rPr>
            </w:pPr>
            <w:r w:rsidRPr="000229AD">
              <w:rPr>
                <w:b/>
                <w:bCs/>
                <w:lang w:val="fr-FR"/>
              </w:rPr>
              <w:t>Bureau régional de l</w:t>
            </w:r>
            <w:r w:rsidR="00125408" w:rsidRPr="000229AD">
              <w:rPr>
                <w:b/>
                <w:bCs/>
                <w:lang w:val="fr-FR"/>
              </w:rPr>
              <w:t>'</w:t>
            </w:r>
            <w:r w:rsidRPr="000229AD">
              <w:rPr>
                <w:b/>
                <w:bCs/>
                <w:lang w:val="fr-FR"/>
              </w:rPr>
              <w:t>UIT pour l</w:t>
            </w:r>
            <w:r w:rsidR="00125408" w:rsidRPr="000229AD">
              <w:rPr>
                <w:b/>
                <w:bCs/>
                <w:lang w:val="fr-FR"/>
              </w:rPr>
              <w:t>'</w:t>
            </w:r>
            <w:r w:rsidRPr="000229AD">
              <w:rPr>
                <w:b/>
                <w:bCs/>
                <w:lang w:val="fr-FR"/>
              </w:rPr>
              <w:t>Afrique</w:t>
            </w:r>
          </w:p>
          <w:p w14:paraId="5E4FC5AF" w14:textId="2BD08B16" w:rsidR="008F0090" w:rsidRPr="000229AD" w:rsidRDefault="008F0090" w:rsidP="00716C22">
            <w:pPr>
              <w:pStyle w:val="Tabletext"/>
              <w:spacing w:after="120"/>
              <w:rPr>
                <w:lang w:val="fr-FR"/>
              </w:rPr>
            </w:pPr>
            <w:r w:rsidRPr="000229AD">
              <w:rPr>
                <w:b/>
                <w:bCs/>
                <w:lang w:val="fr-FR"/>
              </w:rPr>
              <w:t>Le Bureau régional pour l</w:t>
            </w:r>
            <w:r w:rsidR="00125408" w:rsidRPr="000229AD">
              <w:rPr>
                <w:b/>
                <w:bCs/>
                <w:lang w:val="fr-FR"/>
              </w:rPr>
              <w:t>'</w:t>
            </w:r>
            <w:r w:rsidRPr="000229AD">
              <w:rPr>
                <w:b/>
                <w:bCs/>
                <w:lang w:val="fr-FR"/>
              </w:rPr>
              <w:t>Afrique a œuvré à la mise en œuvre de diverses initiatives et de divers projets dans la région en fournissant un appui aux États Membres dans le cadre de plusieurs activités visant à favoriser la transformation numérique, accélérer le passage à l</w:t>
            </w:r>
            <w:r w:rsidR="00125408" w:rsidRPr="000229AD">
              <w:rPr>
                <w:b/>
                <w:bCs/>
                <w:lang w:val="fr-FR"/>
              </w:rPr>
              <w:t>'</w:t>
            </w:r>
            <w:r w:rsidRPr="000229AD">
              <w:rPr>
                <w:b/>
                <w:bCs/>
                <w:lang w:val="fr-FR"/>
              </w:rPr>
              <w:t>économie numérique, améliorer les interventions en cas d</w:t>
            </w:r>
            <w:r w:rsidR="00125408" w:rsidRPr="000229AD">
              <w:rPr>
                <w:b/>
                <w:bCs/>
                <w:lang w:val="fr-FR"/>
              </w:rPr>
              <w:t>'</w:t>
            </w:r>
            <w:r w:rsidRPr="000229AD">
              <w:rPr>
                <w:b/>
                <w:bCs/>
                <w:lang w:val="fr-FR"/>
              </w:rPr>
              <w:t>incidents relatifs à la cybersécurité et promouvoir l</w:t>
            </w:r>
            <w:r w:rsidR="00125408" w:rsidRPr="000229AD">
              <w:rPr>
                <w:b/>
                <w:bCs/>
                <w:lang w:val="fr-FR"/>
              </w:rPr>
              <w:t>'</w:t>
            </w:r>
            <w:r w:rsidRPr="000229AD">
              <w:rPr>
                <w:b/>
                <w:bCs/>
                <w:lang w:val="fr-FR"/>
              </w:rPr>
              <w:t>inclusion numérique et une connectivité efficace, conformément aux quatre initiatives régionales énoncées dans le Plan d</w:t>
            </w:r>
            <w:r w:rsidR="00125408" w:rsidRPr="000229AD">
              <w:rPr>
                <w:b/>
                <w:bCs/>
                <w:lang w:val="fr-FR"/>
              </w:rPr>
              <w:t>'</w:t>
            </w:r>
            <w:r w:rsidRPr="000229AD">
              <w:rPr>
                <w:b/>
                <w:bCs/>
                <w:lang w:val="fr-FR"/>
              </w:rPr>
              <w:t>action de Kigali. Les principales activités et réalisations selon chaque initiative régionale sont les suivantes:</w:t>
            </w:r>
          </w:p>
          <w:p w14:paraId="355FA7F0" w14:textId="0AF6F040" w:rsidR="008F0090" w:rsidRPr="000229AD" w:rsidRDefault="008F0090" w:rsidP="00716C22">
            <w:pPr>
              <w:pStyle w:val="Tabletext"/>
              <w:tabs>
                <w:tab w:val="clear" w:pos="567"/>
              </w:tabs>
              <w:spacing w:before="80" w:after="0"/>
              <w:ind w:left="284" w:hanging="284"/>
              <w:rPr>
                <w:rFonts w:ascii="Calibri" w:eastAsia="Calibri" w:hAnsi="Calibri" w:cs="Calibri"/>
                <w:color w:val="000000" w:themeColor="text1"/>
                <w:lang w:val="fr-FR"/>
              </w:rPr>
            </w:pPr>
            <w:r w:rsidRPr="000229AD">
              <w:rPr>
                <w:lang w:val="fr-FR"/>
              </w:rPr>
              <w:t>•</w:t>
            </w:r>
            <w:r w:rsidRPr="000229AD">
              <w:rPr>
                <w:lang w:val="fr-FR"/>
              </w:rPr>
              <w:tab/>
            </w:r>
            <w:r w:rsidRPr="000229AD">
              <w:rPr>
                <w:b/>
                <w:bCs/>
                <w:lang w:val="fr-FR"/>
              </w:rPr>
              <w:t>La mobilisation des États Membres, du secteur privé, des établissements universitaires, des organisations régionales et des partenaires en faveur de la mise en œuvre du Plan d</w:t>
            </w:r>
            <w:r w:rsidR="00125408" w:rsidRPr="000229AD">
              <w:rPr>
                <w:b/>
                <w:bCs/>
                <w:lang w:val="fr-FR"/>
              </w:rPr>
              <w:t>'</w:t>
            </w:r>
            <w:r w:rsidRPr="000229AD">
              <w:rPr>
                <w:b/>
                <w:bCs/>
                <w:lang w:val="fr-FR"/>
              </w:rPr>
              <w:t>action de Kigali a été renforcée, les progrès accomplis et les réussites nationales ont été présentés au cours des échanges: le Forum régional sur le développement pour l</w:t>
            </w:r>
            <w:r w:rsidR="00125408" w:rsidRPr="000229AD">
              <w:rPr>
                <w:b/>
                <w:bCs/>
                <w:lang w:val="fr-FR"/>
              </w:rPr>
              <w:t>'</w:t>
            </w:r>
            <w:r w:rsidRPr="000229AD">
              <w:rPr>
                <w:b/>
                <w:bCs/>
                <w:lang w:val="fr-FR"/>
              </w:rPr>
              <w:t>Afrique (RDF-AFR)</w:t>
            </w:r>
            <w:r w:rsidRPr="000229AD">
              <w:rPr>
                <w:lang w:val="fr-FR"/>
              </w:rPr>
              <w:t xml:space="preserve"> de 2023 s</w:t>
            </w:r>
            <w:r w:rsidR="00125408" w:rsidRPr="000229AD">
              <w:rPr>
                <w:lang w:val="fr-FR"/>
              </w:rPr>
              <w:t>'</w:t>
            </w:r>
            <w:r w:rsidRPr="000229AD">
              <w:rPr>
                <w:lang w:val="fr-FR"/>
              </w:rPr>
              <w:t>est tenu à Addis-Abeba (Éthiopie) du 3 au 5 octobre 2023 sur le thème "La transformation numérique au service d</w:t>
            </w:r>
            <w:r w:rsidR="00125408" w:rsidRPr="000229AD">
              <w:rPr>
                <w:lang w:val="fr-FR"/>
              </w:rPr>
              <w:t>'</w:t>
            </w:r>
            <w:r w:rsidRPr="000229AD">
              <w:rPr>
                <w:lang w:val="fr-FR"/>
              </w:rPr>
              <w:t>un avenir numérique durable et équitable: accélérer la réalisation des ODD en Afrique grâce à la transformation numérique". Le Forum a réuni près de 300 participants, attiré 27 contributions et abouti à 20 nouveaux engagements en faveur de l</w:t>
            </w:r>
            <w:r w:rsidR="00125408" w:rsidRPr="000229AD">
              <w:rPr>
                <w:lang w:val="fr-FR"/>
              </w:rPr>
              <w:t>'</w:t>
            </w:r>
            <w:r w:rsidRPr="000229AD">
              <w:rPr>
                <w:lang w:val="fr-FR"/>
              </w:rPr>
              <w:t>initiative Partner2Connect pour l</w:t>
            </w:r>
            <w:r w:rsidR="00125408" w:rsidRPr="000229AD">
              <w:rPr>
                <w:lang w:val="fr-FR"/>
              </w:rPr>
              <w:t>'</w:t>
            </w:r>
            <w:r w:rsidRPr="000229AD">
              <w:rPr>
                <w:lang w:val="fr-FR"/>
              </w:rPr>
              <w:t>Afrique, qui a ainsi atteint le jalon du 800ème engagement.</w:t>
            </w:r>
          </w:p>
          <w:p w14:paraId="31BA621A" w14:textId="7A94019E" w:rsidR="008F0090" w:rsidRPr="000229AD" w:rsidRDefault="008F0090" w:rsidP="00716C22">
            <w:pPr>
              <w:pStyle w:val="Tabletext"/>
              <w:tabs>
                <w:tab w:val="clear" w:pos="567"/>
              </w:tabs>
              <w:spacing w:before="80" w:after="0"/>
              <w:ind w:left="284" w:hanging="284"/>
              <w:rPr>
                <w:rFonts w:ascii="Calibri" w:eastAsia="Calibri" w:hAnsi="Calibri" w:cs="Calibri"/>
                <w:color w:val="000000" w:themeColor="text1"/>
                <w:lang w:val="fr-FR"/>
              </w:rPr>
            </w:pPr>
            <w:r w:rsidRPr="000229AD">
              <w:rPr>
                <w:lang w:val="fr-FR"/>
              </w:rPr>
              <w:t>•</w:t>
            </w:r>
            <w:r w:rsidRPr="000229AD">
              <w:rPr>
                <w:lang w:val="fr-FR"/>
              </w:rPr>
              <w:tab/>
            </w:r>
            <w:r w:rsidRPr="000229AD">
              <w:rPr>
                <w:b/>
                <w:bCs/>
                <w:lang w:val="fr-FR"/>
              </w:rPr>
              <w:t>La collaboration stratégique avec les organismes des Nations Unies a été renforcée</w:t>
            </w:r>
            <w:r w:rsidRPr="000229AD">
              <w:rPr>
                <w:lang w:val="fr-FR"/>
              </w:rPr>
              <w:t>: en tant que signataires du Plan-cadre de coopération des Nations Unies pour le développement durable, un nombre croissant de pays du Bureau régional de l</w:t>
            </w:r>
            <w:r w:rsidR="00125408" w:rsidRPr="000229AD">
              <w:rPr>
                <w:lang w:val="fr-FR"/>
              </w:rPr>
              <w:t>'</w:t>
            </w:r>
            <w:r w:rsidRPr="000229AD">
              <w:rPr>
                <w:lang w:val="fr-FR"/>
              </w:rPr>
              <w:t>UIT pour l</w:t>
            </w:r>
            <w:r w:rsidR="00125408" w:rsidRPr="000229AD">
              <w:rPr>
                <w:lang w:val="fr-FR"/>
              </w:rPr>
              <w:t>'</w:t>
            </w:r>
            <w:r w:rsidRPr="000229AD">
              <w:rPr>
                <w:lang w:val="fr-FR"/>
              </w:rPr>
              <w:t>Afrique ont contribué à renforcer la collaboration au sein des équipes de pays des Nations Unies, dans le cadre de l</w:t>
            </w:r>
            <w:r w:rsidR="00125408" w:rsidRPr="000229AD">
              <w:rPr>
                <w:lang w:val="fr-FR"/>
              </w:rPr>
              <w:t>'</w:t>
            </w:r>
            <w:r w:rsidRPr="000229AD">
              <w:rPr>
                <w:lang w:val="fr-FR"/>
              </w:rPr>
              <w:t xml:space="preserve">initiative </w:t>
            </w:r>
            <w:r w:rsidRPr="000229AD">
              <w:rPr>
                <w:lang w:val="fr-FR"/>
              </w:rPr>
              <w:lastRenderedPageBreak/>
              <w:t>Unité d</w:t>
            </w:r>
            <w:r w:rsidR="00125408" w:rsidRPr="000229AD">
              <w:rPr>
                <w:lang w:val="fr-FR"/>
              </w:rPr>
              <w:t>'</w:t>
            </w:r>
            <w:r w:rsidRPr="000229AD">
              <w:rPr>
                <w:lang w:val="fr-FR"/>
              </w:rPr>
              <w:t>action des Nations Unies. L</w:t>
            </w:r>
            <w:r w:rsidR="00125408" w:rsidRPr="000229AD">
              <w:rPr>
                <w:lang w:val="fr-FR"/>
              </w:rPr>
              <w:t>'</w:t>
            </w:r>
            <w:r w:rsidRPr="000229AD">
              <w:rPr>
                <w:lang w:val="fr-FR"/>
              </w:rPr>
              <w:t>UIT est par ailleurs signataire des nouveaux plans-cadres de coopération au Cabo Verde, au Malawi, à Maurice et aux Seychelles, et a pris des mesures pour le devenir également dans d</w:t>
            </w:r>
            <w:r w:rsidR="00125408" w:rsidRPr="000229AD">
              <w:rPr>
                <w:lang w:val="fr-FR"/>
              </w:rPr>
              <w:t>'</w:t>
            </w:r>
            <w:r w:rsidRPr="000229AD">
              <w:rPr>
                <w:lang w:val="fr-FR"/>
              </w:rPr>
              <w:t>autres pays. En janvier 2024, l</w:t>
            </w:r>
            <w:r w:rsidR="00125408" w:rsidRPr="000229AD">
              <w:rPr>
                <w:lang w:val="fr-FR"/>
              </w:rPr>
              <w:t>'</w:t>
            </w:r>
            <w:r w:rsidRPr="000229AD">
              <w:rPr>
                <w:lang w:val="fr-FR"/>
              </w:rPr>
              <w:t>UIT et le Bureau de la coordination des activités de développement ont diffusé un aperçu des défis et des perspectives que représente la transformation numérique dans la région Afrique afin d</w:t>
            </w:r>
            <w:r w:rsidR="00125408" w:rsidRPr="000229AD">
              <w:rPr>
                <w:lang w:val="fr-FR"/>
              </w:rPr>
              <w:t>'</w:t>
            </w:r>
            <w:r w:rsidRPr="000229AD">
              <w:rPr>
                <w:lang w:val="fr-FR"/>
              </w:rPr>
              <w:t>aider les coordonnateurs résidents des Nations Unies du continent à acquérir une bonne compréhension de la transformation numérique dans le cadre de leurs pays.</w:t>
            </w:r>
          </w:p>
          <w:p w14:paraId="565256F6" w14:textId="77777777" w:rsidR="008F0090" w:rsidRPr="000229AD" w:rsidRDefault="008F0090" w:rsidP="00716C22">
            <w:pPr>
              <w:pStyle w:val="Tabletext"/>
              <w:tabs>
                <w:tab w:val="clear" w:pos="567"/>
              </w:tabs>
              <w:spacing w:before="80" w:after="0"/>
              <w:ind w:left="284" w:hanging="284"/>
              <w:rPr>
                <w:rFonts w:ascii="Calibri" w:eastAsia="Calibri" w:hAnsi="Calibri" w:cs="Calibri"/>
                <w:lang w:val="fr-FR"/>
              </w:rPr>
            </w:pPr>
            <w:r w:rsidRPr="000229AD">
              <w:rPr>
                <w:lang w:val="fr-FR"/>
              </w:rPr>
              <w:t>•</w:t>
            </w:r>
            <w:r w:rsidRPr="000229AD">
              <w:rPr>
                <w:lang w:val="fr-FR"/>
              </w:rPr>
              <w:tab/>
            </w:r>
            <w:r w:rsidRPr="000229AD">
              <w:rPr>
                <w:b/>
                <w:bCs/>
                <w:lang w:val="fr-FR"/>
              </w:rPr>
              <w:t>Les priorités régionales ont été ciblées</w:t>
            </w:r>
            <w:r w:rsidRPr="000229AD">
              <w:rPr>
                <w:lang w:val="fr-FR"/>
              </w:rPr>
              <w:t>: le BDT a fourni une assistance technique et mené des activités de renforcement des capacités pour favoriser le processus de transformation numérique et une connectivité efficace, tant au niveau national que régional, conformément aux initiatives régionales pour la région Afrique.</w:t>
            </w:r>
          </w:p>
          <w:p w14:paraId="2FDEFB34" w14:textId="6939DE48" w:rsidR="008F0090" w:rsidRPr="000229AD" w:rsidRDefault="008F0090" w:rsidP="00716C22">
            <w:pPr>
              <w:pStyle w:val="Tabletext"/>
              <w:spacing w:before="120" w:after="120"/>
              <w:rPr>
                <w:b/>
                <w:bCs/>
                <w:lang w:val="fr-FR"/>
              </w:rPr>
            </w:pPr>
            <w:r w:rsidRPr="000229AD">
              <w:rPr>
                <w:b/>
                <w:bCs/>
                <w:lang w:val="fr-FR"/>
              </w:rPr>
              <w:t>A</w:t>
            </w:r>
            <w:r w:rsidR="00864603" w:rsidRPr="000229AD">
              <w:rPr>
                <w:b/>
                <w:bCs/>
                <w:lang w:val="fr-FR"/>
              </w:rPr>
              <w:t>FR</w:t>
            </w:r>
            <w:r w:rsidRPr="000229AD">
              <w:rPr>
                <w:b/>
                <w:bCs/>
                <w:lang w:val="fr-FR"/>
              </w:rPr>
              <w:t> 1: Appuyer la transformation numérique pour permettre une transition rapide vers une économie numérique tout en accélérant l</w:t>
            </w:r>
            <w:r w:rsidR="00125408" w:rsidRPr="000229AD">
              <w:rPr>
                <w:b/>
                <w:bCs/>
                <w:lang w:val="fr-FR"/>
              </w:rPr>
              <w:t>'</w:t>
            </w:r>
            <w:r w:rsidRPr="000229AD">
              <w:rPr>
                <w:b/>
                <w:bCs/>
                <w:lang w:val="fr-FR"/>
              </w:rPr>
              <w:t>innovation en Afrique</w:t>
            </w:r>
          </w:p>
          <w:p w14:paraId="1857B995" w14:textId="4EDE7290" w:rsidR="008F0090" w:rsidRPr="000229AD" w:rsidRDefault="008F0090" w:rsidP="00716C22">
            <w:pPr>
              <w:pStyle w:val="Tabletext"/>
              <w:tabs>
                <w:tab w:val="clear" w:pos="567"/>
                <w:tab w:val="left" w:pos="1034"/>
              </w:tabs>
              <w:spacing w:before="80" w:after="0"/>
              <w:ind w:left="284" w:hanging="284"/>
              <w:rPr>
                <w:rFonts w:ascii="Calibri" w:eastAsia="Calibri" w:hAnsi="Calibri" w:cs="Calibri"/>
                <w:lang w:val="fr-FR"/>
              </w:rPr>
            </w:pPr>
            <w:r w:rsidRPr="000229AD">
              <w:rPr>
                <w:lang w:val="fr-FR"/>
              </w:rPr>
              <w:t>•</w:t>
            </w:r>
            <w:r w:rsidRPr="000229AD">
              <w:rPr>
                <w:lang w:val="fr-FR"/>
              </w:rPr>
              <w:tab/>
              <w:t>En collaboration avec les bureaux du Coordonnateur résident des Nations Unies, le BDT a fourni une assistance technique au Libéria et à Cabo Verde dans le cadre de l</w:t>
            </w:r>
            <w:r w:rsidR="00125408" w:rsidRPr="000229AD">
              <w:rPr>
                <w:lang w:val="fr-FR"/>
              </w:rPr>
              <w:t>'</w:t>
            </w:r>
            <w:r w:rsidRPr="000229AD">
              <w:rPr>
                <w:lang w:val="fr-FR"/>
              </w:rPr>
              <w:t>initiative Villages intelligents et îles intelligentes afin de faire progresser l</w:t>
            </w:r>
            <w:r w:rsidR="00125408" w:rsidRPr="000229AD">
              <w:rPr>
                <w:lang w:val="fr-FR"/>
              </w:rPr>
              <w:t>'</w:t>
            </w:r>
            <w:r w:rsidRPr="000229AD">
              <w:rPr>
                <w:lang w:val="fr-FR"/>
              </w:rPr>
              <w:t>objectif de transformation numérique pour tous.</w:t>
            </w:r>
          </w:p>
          <w:p w14:paraId="78774BBD" w14:textId="1A1B3E27" w:rsidR="008F0090" w:rsidRPr="000229AD" w:rsidRDefault="008F0090" w:rsidP="00716C22">
            <w:pPr>
              <w:pStyle w:val="Tabletext"/>
              <w:tabs>
                <w:tab w:val="clear" w:pos="567"/>
                <w:tab w:val="left" w:pos="1034"/>
              </w:tabs>
              <w:spacing w:before="80" w:after="0"/>
              <w:ind w:left="284" w:hanging="284"/>
              <w:rPr>
                <w:rFonts w:ascii="Calibri" w:eastAsia="Calibri" w:hAnsi="Calibri" w:cs="Calibri"/>
                <w:lang w:val="fr-FR"/>
              </w:rPr>
            </w:pPr>
            <w:r w:rsidRPr="000229AD">
              <w:rPr>
                <w:lang w:val="fr-FR"/>
              </w:rPr>
              <w:t>•</w:t>
            </w:r>
            <w:r w:rsidRPr="000229AD">
              <w:rPr>
                <w:lang w:val="fr-FR"/>
              </w:rPr>
              <w:tab/>
              <w:t>Pour soutenir la transformation numérique dans la région, dans le cadre de l</w:t>
            </w:r>
            <w:r w:rsidR="00125408" w:rsidRPr="000229AD">
              <w:rPr>
                <w:lang w:val="fr-FR"/>
              </w:rPr>
              <w:t>'</w:t>
            </w:r>
            <w:r w:rsidRPr="000229AD">
              <w:rPr>
                <w:lang w:val="fr-FR"/>
              </w:rPr>
              <w:t>initiative GovStack, des formations approfondies ont été organisées avec des pays, notamment en Gambie et au Lesotho, afin de fournir des informations sur l</w:t>
            </w:r>
            <w:r w:rsidR="00125408" w:rsidRPr="000229AD">
              <w:rPr>
                <w:lang w:val="fr-FR"/>
              </w:rPr>
              <w:t>'</w:t>
            </w:r>
            <w:r w:rsidRPr="000229AD">
              <w:rPr>
                <w:lang w:val="fr-FR"/>
              </w:rPr>
              <w:t>approche faisant intervenir toutes les entités publiques pour une fourniture efficace des services publics numériques.</w:t>
            </w:r>
          </w:p>
          <w:p w14:paraId="13A17DDC" w14:textId="246590A5" w:rsidR="008F0090" w:rsidRPr="000229AD" w:rsidRDefault="008F0090" w:rsidP="00716C22">
            <w:pPr>
              <w:pStyle w:val="Tabletext"/>
              <w:tabs>
                <w:tab w:val="clear" w:pos="567"/>
                <w:tab w:val="left" w:pos="1034"/>
              </w:tabs>
              <w:spacing w:before="80" w:after="0"/>
              <w:ind w:left="284" w:hanging="284"/>
              <w:rPr>
                <w:rFonts w:ascii="Calibri" w:eastAsia="Calibri" w:hAnsi="Calibri" w:cs="Calibri"/>
                <w:lang w:val="fr-FR"/>
              </w:rPr>
            </w:pPr>
            <w:r w:rsidRPr="000229AD">
              <w:rPr>
                <w:lang w:val="fr-FR"/>
              </w:rPr>
              <w:t>•</w:t>
            </w:r>
            <w:r w:rsidRPr="000229AD">
              <w:rPr>
                <w:lang w:val="fr-FR"/>
              </w:rPr>
              <w:tab/>
              <w:t>Dans le cadre de l</w:t>
            </w:r>
            <w:r w:rsidR="00125408" w:rsidRPr="000229AD">
              <w:rPr>
                <w:lang w:val="fr-FR"/>
              </w:rPr>
              <w:t>'</w:t>
            </w:r>
            <w:r w:rsidRPr="000229AD">
              <w:rPr>
                <w:lang w:val="fr-FR"/>
              </w:rPr>
              <w:t>économie circulaire et de la réduction de l</w:t>
            </w:r>
            <w:r w:rsidR="00125408" w:rsidRPr="000229AD">
              <w:rPr>
                <w:lang w:val="fr-FR"/>
              </w:rPr>
              <w:t>'</w:t>
            </w:r>
            <w:r w:rsidRPr="000229AD">
              <w:rPr>
                <w:lang w:val="fr-FR"/>
              </w:rPr>
              <w:t>empreinte environnementale de la transformation numérique en matière de déchets d</w:t>
            </w:r>
            <w:r w:rsidR="00125408" w:rsidRPr="000229AD">
              <w:rPr>
                <w:lang w:val="fr-FR"/>
              </w:rPr>
              <w:t>'</w:t>
            </w:r>
            <w:r w:rsidRPr="000229AD">
              <w:rPr>
                <w:lang w:val="fr-FR"/>
              </w:rPr>
              <w:t>équipements électriques et électroniques, le BDT a apporté en collaboration avec différents partenaires un appui à l</w:t>
            </w:r>
            <w:r w:rsidR="00125408" w:rsidRPr="000229AD">
              <w:rPr>
                <w:lang w:val="fr-FR"/>
              </w:rPr>
              <w:t>'</w:t>
            </w:r>
            <w:r w:rsidRPr="000229AD">
              <w:rPr>
                <w:lang w:val="fr-FR"/>
              </w:rPr>
              <w:t>élaboration et à la mise en œuvre de stratégies de gestion des déchets électroniques en faveur de l</w:t>
            </w:r>
            <w:r w:rsidR="00125408" w:rsidRPr="000229AD">
              <w:rPr>
                <w:lang w:val="fr-FR"/>
              </w:rPr>
              <w:t>'</w:t>
            </w:r>
            <w:r w:rsidRPr="000229AD">
              <w:rPr>
                <w:lang w:val="fr-FR"/>
              </w:rPr>
              <w:t>économie circulaire dans des États Membres, dont le Botswana, le Malawi, le Niger, l</w:t>
            </w:r>
            <w:r w:rsidR="00125408" w:rsidRPr="000229AD">
              <w:rPr>
                <w:lang w:val="fr-FR"/>
              </w:rPr>
              <w:t>'</w:t>
            </w:r>
            <w:r w:rsidRPr="000229AD">
              <w:rPr>
                <w:lang w:val="fr-FR"/>
              </w:rPr>
              <w:t>Ouganda, le Rwanda et la Zambie.</w:t>
            </w:r>
          </w:p>
          <w:p w14:paraId="35661F7D" w14:textId="77777777" w:rsidR="008F0090" w:rsidRPr="000229AD" w:rsidRDefault="008F0090" w:rsidP="00716C22">
            <w:pPr>
              <w:pStyle w:val="Tabletext"/>
              <w:spacing w:before="120" w:after="120"/>
              <w:rPr>
                <w:lang w:val="fr-FR"/>
              </w:rPr>
            </w:pPr>
            <w:r w:rsidRPr="000229AD">
              <w:rPr>
                <w:b/>
                <w:bCs/>
                <w:lang w:val="fr-FR"/>
              </w:rPr>
              <w:t>AFR2: Mise en œuvre et expansion des infrastructures à large bande, de la connectivité et des technologies émergentes</w:t>
            </w:r>
          </w:p>
          <w:p w14:paraId="29D2CB97" w14:textId="38A64349" w:rsidR="008F0090" w:rsidRPr="000229AD" w:rsidRDefault="008F0090" w:rsidP="00716C22">
            <w:pPr>
              <w:pStyle w:val="Tabletext"/>
              <w:tabs>
                <w:tab w:val="clear" w:pos="567"/>
              </w:tabs>
              <w:spacing w:before="80" w:after="0"/>
              <w:ind w:left="284" w:hanging="284"/>
              <w:rPr>
                <w:lang w:val="fr-FR"/>
              </w:rPr>
            </w:pPr>
            <w:r w:rsidRPr="000229AD">
              <w:rPr>
                <w:lang w:val="fr-FR"/>
              </w:rPr>
              <w:t>•</w:t>
            </w:r>
            <w:r w:rsidRPr="000229AD">
              <w:rPr>
                <w:lang w:val="fr-FR"/>
              </w:rPr>
              <w:tab/>
              <w:t>Dans le cadre du projet PRIDA, 42 pays ont bénéficié d</w:t>
            </w:r>
            <w:r w:rsidR="00125408" w:rsidRPr="000229AD">
              <w:rPr>
                <w:lang w:val="fr-FR"/>
              </w:rPr>
              <w:t>'</w:t>
            </w:r>
            <w:r w:rsidRPr="000229AD">
              <w:rPr>
                <w:lang w:val="fr-FR"/>
              </w:rPr>
              <w:t>un renforcement des capacités et d</w:t>
            </w:r>
            <w:r w:rsidR="00125408" w:rsidRPr="000229AD">
              <w:rPr>
                <w:lang w:val="fr-FR"/>
              </w:rPr>
              <w:t>'</w:t>
            </w:r>
            <w:r w:rsidRPr="000229AD">
              <w:rPr>
                <w:lang w:val="fr-FR"/>
              </w:rPr>
              <w:t>une assistance technique dans le domaine de la gestion du spectre et des technologies émergentes. Des données ont été collectées dans les 11 pays bénéficiaires du projet "Analyse comparative des TIC en Afrique centrale", à savoir l</w:t>
            </w:r>
            <w:r w:rsidR="00125408" w:rsidRPr="000229AD">
              <w:rPr>
                <w:lang w:val="fr-FR"/>
              </w:rPr>
              <w:t>'</w:t>
            </w:r>
            <w:r w:rsidRPr="000229AD">
              <w:rPr>
                <w:lang w:val="fr-FR"/>
              </w:rPr>
              <w:t>Angola, le Burundi, le Cameroun, le Congo, le Gabon, la Guinée équatoriale, la République centrafricaine, la République démocratique du Congo, le Rwanda, Sao Tomé</w:t>
            </w:r>
            <w:r w:rsidRPr="000229AD">
              <w:rPr>
                <w:lang w:val="fr-FR"/>
              </w:rPr>
              <w:noBreakHyphen/>
              <w:t>et</w:t>
            </w:r>
            <w:r w:rsidRPr="000229AD">
              <w:rPr>
                <w:lang w:val="fr-FR"/>
              </w:rPr>
              <w:noBreakHyphen/>
              <w:t>Principe et le Tchad. Ces données permettront d</w:t>
            </w:r>
            <w:r w:rsidR="00125408" w:rsidRPr="000229AD">
              <w:rPr>
                <w:lang w:val="fr-FR"/>
              </w:rPr>
              <w:t>'</w:t>
            </w:r>
            <w:r w:rsidRPr="000229AD">
              <w:rPr>
                <w:lang w:val="fr-FR"/>
              </w:rPr>
              <w:t>éclairer les recommandations et d</w:t>
            </w:r>
            <w:r w:rsidR="00125408" w:rsidRPr="000229AD">
              <w:rPr>
                <w:lang w:val="fr-FR"/>
              </w:rPr>
              <w:t>'</w:t>
            </w:r>
            <w:r w:rsidRPr="000229AD">
              <w:rPr>
                <w:lang w:val="fr-FR"/>
              </w:rPr>
              <w:t>adapter les programmes de renforcement des capacités aux besoins et aux priorités des pays.</w:t>
            </w:r>
          </w:p>
          <w:p w14:paraId="16D916C8" w14:textId="2A9863A2" w:rsidR="008F0090" w:rsidRPr="000229AD" w:rsidRDefault="008F0090" w:rsidP="00716C22">
            <w:pPr>
              <w:pStyle w:val="Tabletext"/>
              <w:tabs>
                <w:tab w:val="clear" w:pos="567"/>
              </w:tabs>
              <w:spacing w:before="80" w:after="0"/>
              <w:ind w:left="284" w:hanging="284"/>
              <w:rPr>
                <w:lang w:val="fr-FR"/>
              </w:rPr>
            </w:pPr>
            <w:r w:rsidRPr="000229AD">
              <w:rPr>
                <w:lang w:val="fr-FR"/>
              </w:rPr>
              <w:t>•</w:t>
            </w:r>
            <w:r w:rsidRPr="000229AD">
              <w:rPr>
                <w:lang w:val="fr-FR"/>
              </w:rPr>
              <w:tab/>
              <w:t>Une évaluation du marché sur l</w:t>
            </w:r>
            <w:r w:rsidR="00125408" w:rsidRPr="000229AD">
              <w:rPr>
                <w:lang w:val="fr-FR"/>
              </w:rPr>
              <w:t>'</w:t>
            </w:r>
            <w:r w:rsidRPr="000229AD">
              <w:rPr>
                <w:lang w:val="fr-FR"/>
              </w:rPr>
              <w:t>accessibilité financière des TIC a été entreprise en Zambie dans l</w:t>
            </w:r>
            <w:r w:rsidR="00125408" w:rsidRPr="000229AD">
              <w:rPr>
                <w:lang w:val="fr-FR"/>
              </w:rPr>
              <w:t>'</w:t>
            </w:r>
            <w:r w:rsidRPr="000229AD">
              <w:rPr>
                <w:lang w:val="fr-FR"/>
              </w:rPr>
              <w:t>objectif de garantir une concurrence efficace et des tarifs transparents, fondés sur les coûts et non discriminatoires.</w:t>
            </w:r>
          </w:p>
          <w:p w14:paraId="214BAF9B" w14:textId="2FCD93E0" w:rsidR="008F0090" w:rsidRPr="000229AD" w:rsidRDefault="008F0090" w:rsidP="00716C22">
            <w:pPr>
              <w:pStyle w:val="Tabletext"/>
              <w:tabs>
                <w:tab w:val="clear" w:pos="567"/>
              </w:tabs>
              <w:spacing w:before="80" w:after="0"/>
              <w:ind w:left="284" w:hanging="284"/>
              <w:rPr>
                <w:lang w:val="fr-FR"/>
              </w:rPr>
            </w:pPr>
            <w:r w:rsidRPr="000229AD">
              <w:rPr>
                <w:lang w:val="fr-FR"/>
              </w:rPr>
              <w:t>•</w:t>
            </w:r>
            <w:r w:rsidRPr="000229AD">
              <w:rPr>
                <w:lang w:val="fr-FR"/>
              </w:rPr>
              <w:tab/>
              <w:t>Dans le cadre du projet conjoint de transformation numérique entre le Gouvernement ougandais et l</w:t>
            </w:r>
            <w:r w:rsidR="00125408" w:rsidRPr="000229AD">
              <w:rPr>
                <w:lang w:val="fr-FR"/>
              </w:rPr>
              <w:t>'</w:t>
            </w:r>
            <w:r w:rsidRPr="000229AD">
              <w:rPr>
                <w:lang w:val="fr-FR"/>
              </w:rPr>
              <w:t>UIT financé par le Fonds d</w:t>
            </w:r>
            <w:r w:rsidR="00125408" w:rsidRPr="000229AD">
              <w:rPr>
                <w:lang w:val="fr-FR"/>
              </w:rPr>
              <w:t>'</w:t>
            </w:r>
            <w:r w:rsidRPr="000229AD">
              <w:rPr>
                <w:lang w:val="fr-FR"/>
              </w:rPr>
              <w:t>assistance pour la coopération Sud-Sud, le BDT a fourni des directives de politique générale sur la connectivité du dernier kilomètre, les applications des mégadonnées et la gestion des déchets d</w:t>
            </w:r>
            <w:r w:rsidR="00125408" w:rsidRPr="000229AD">
              <w:rPr>
                <w:lang w:val="fr-FR"/>
              </w:rPr>
              <w:t>'</w:t>
            </w:r>
            <w:r w:rsidRPr="000229AD">
              <w:rPr>
                <w:lang w:val="fr-FR"/>
              </w:rPr>
              <w:t xml:space="preserve">équipements électriques et électroniques. Ces </w:t>
            </w:r>
            <w:r w:rsidRPr="000229AD">
              <w:rPr>
                <w:lang w:val="fr-FR"/>
              </w:rPr>
              <w:lastRenderedPageBreak/>
              <w:t>actions contribuent en outre à l</w:t>
            </w:r>
            <w:r w:rsidR="00125408" w:rsidRPr="000229AD">
              <w:rPr>
                <w:lang w:val="fr-FR"/>
              </w:rPr>
              <w:t>'</w:t>
            </w:r>
            <w:r w:rsidRPr="000229AD">
              <w:rPr>
                <w:lang w:val="fr-FR"/>
              </w:rPr>
              <w:t>élaboration d</w:t>
            </w:r>
            <w:r w:rsidR="00125408" w:rsidRPr="000229AD">
              <w:rPr>
                <w:lang w:val="fr-FR"/>
              </w:rPr>
              <w:t>'</w:t>
            </w:r>
            <w:r w:rsidRPr="000229AD">
              <w:rPr>
                <w:lang w:val="fr-FR"/>
              </w:rPr>
              <w:t>un environnement réglementaire favorable au large bande et à l</w:t>
            </w:r>
            <w:r w:rsidR="00125408" w:rsidRPr="000229AD">
              <w:rPr>
                <w:lang w:val="fr-FR"/>
              </w:rPr>
              <w:t>'</w:t>
            </w:r>
            <w:r w:rsidRPr="000229AD">
              <w:rPr>
                <w:lang w:val="fr-FR"/>
              </w:rPr>
              <w:t>élaboration d</w:t>
            </w:r>
            <w:r w:rsidR="00125408" w:rsidRPr="000229AD">
              <w:rPr>
                <w:lang w:val="fr-FR"/>
              </w:rPr>
              <w:t>'</w:t>
            </w:r>
            <w:r w:rsidRPr="000229AD">
              <w:rPr>
                <w:lang w:val="fr-FR"/>
              </w:rPr>
              <w:t>une stratégie 5G, entre autres sujets d</w:t>
            </w:r>
            <w:r w:rsidR="00125408" w:rsidRPr="000229AD">
              <w:rPr>
                <w:lang w:val="fr-FR"/>
              </w:rPr>
              <w:t>'</w:t>
            </w:r>
            <w:r w:rsidRPr="000229AD">
              <w:rPr>
                <w:lang w:val="fr-FR"/>
              </w:rPr>
              <w:t>étude. Des activités de renforcement des capacités et des formations aboutissant à une certification sont mises en œuvre dans les domaines couverts par les directives.</w:t>
            </w:r>
          </w:p>
          <w:p w14:paraId="6F9C8294" w14:textId="2AE51F99" w:rsidR="008F0090" w:rsidRPr="000229AD" w:rsidRDefault="008F0090" w:rsidP="00716C22">
            <w:pPr>
              <w:pStyle w:val="Tabletext"/>
              <w:spacing w:before="120" w:after="120"/>
              <w:rPr>
                <w:lang w:val="fr-FR"/>
              </w:rPr>
            </w:pPr>
            <w:r w:rsidRPr="000229AD">
              <w:rPr>
                <w:b/>
                <w:bCs/>
                <w:lang w:val="fr-FR"/>
              </w:rPr>
              <w:t>AFR3: Renforcer la confiance, la sûreté et la sécurité dans l</w:t>
            </w:r>
            <w:r w:rsidR="00125408" w:rsidRPr="000229AD">
              <w:rPr>
                <w:b/>
                <w:bCs/>
                <w:lang w:val="fr-FR"/>
              </w:rPr>
              <w:t>'</w:t>
            </w:r>
            <w:r w:rsidRPr="000229AD">
              <w:rPr>
                <w:b/>
                <w:bCs/>
                <w:lang w:val="fr-FR"/>
              </w:rPr>
              <w:t>utilisation des télécommunications/technologies de l</w:t>
            </w:r>
            <w:r w:rsidR="00125408" w:rsidRPr="000229AD">
              <w:rPr>
                <w:b/>
                <w:bCs/>
                <w:lang w:val="fr-FR"/>
              </w:rPr>
              <w:t>'</w:t>
            </w:r>
            <w:r w:rsidRPr="000229AD">
              <w:rPr>
                <w:b/>
                <w:bCs/>
                <w:lang w:val="fr-FR"/>
              </w:rPr>
              <w:t>information et de la communication et la protection des données personnelles</w:t>
            </w:r>
          </w:p>
          <w:p w14:paraId="624A6D96" w14:textId="77777777" w:rsidR="008F0090" w:rsidRPr="000229AD" w:rsidRDefault="008F0090" w:rsidP="00716C22">
            <w:pPr>
              <w:pStyle w:val="Tabletext"/>
              <w:tabs>
                <w:tab w:val="clear" w:pos="567"/>
                <w:tab w:val="left" w:pos="1176"/>
              </w:tabs>
              <w:spacing w:before="80" w:after="0"/>
              <w:ind w:left="284" w:hanging="284"/>
              <w:rPr>
                <w:rFonts w:ascii="Calibri" w:eastAsia="Calibri" w:hAnsi="Calibri" w:cs="Calibri"/>
                <w:lang w:val="fr-FR"/>
              </w:rPr>
            </w:pPr>
            <w:r w:rsidRPr="000229AD">
              <w:rPr>
                <w:lang w:val="fr-FR"/>
              </w:rPr>
              <w:t>•</w:t>
            </w:r>
            <w:r w:rsidRPr="000229AD">
              <w:rPr>
                <w:lang w:val="fr-FR"/>
              </w:rPr>
              <w:tab/>
              <w:t>La cybersécurité étant une responsabilité partagée, le BDT a aidé le Tchad et le Rwanda à élaborer une stratégie nationale globale de cybersécurité fonctionnelle garantissant un monde numérique sûr, sécurisé et résilient. Cette stratégie sera mise en œuvre et exécutée dans une approche multi-parties prenantes.</w:t>
            </w:r>
          </w:p>
          <w:p w14:paraId="5C5AFD37" w14:textId="06C2DA9D" w:rsidR="008F0090" w:rsidRPr="000229AD" w:rsidRDefault="008F0090" w:rsidP="00716C22">
            <w:pPr>
              <w:pStyle w:val="Tabletext"/>
              <w:tabs>
                <w:tab w:val="clear" w:pos="567"/>
                <w:tab w:val="left" w:pos="1176"/>
              </w:tabs>
              <w:spacing w:before="80" w:after="0"/>
              <w:ind w:left="284" w:hanging="284"/>
              <w:rPr>
                <w:rFonts w:ascii="Calibri" w:eastAsia="Calibri" w:hAnsi="Calibri" w:cs="Calibri"/>
                <w:lang w:val="fr-FR"/>
              </w:rPr>
            </w:pPr>
            <w:r w:rsidRPr="000229AD">
              <w:rPr>
                <w:lang w:val="fr-FR"/>
              </w:rPr>
              <w:t>•</w:t>
            </w:r>
            <w:r w:rsidRPr="000229AD">
              <w:rPr>
                <w:lang w:val="fr-FR"/>
              </w:rPr>
              <w:tab/>
              <w:t>Afin d</w:t>
            </w:r>
            <w:r w:rsidR="00125408" w:rsidRPr="000229AD">
              <w:rPr>
                <w:lang w:val="fr-FR"/>
              </w:rPr>
              <w:t>'</w:t>
            </w:r>
            <w:r w:rsidRPr="000229AD">
              <w:rPr>
                <w:lang w:val="fr-FR"/>
              </w:rPr>
              <w:t>améliorer les interventions en cas d</w:t>
            </w:r>
            <w:r w:rsidR="00125408" w:rsidRPr="000229AD">
              <w:rPr>
                <w:lang w:val="fr-FR"/>
              </w:rPr>
              <w:t>'</w:t>
            </w:r>
            <w:r w:rsidRPr="000229AD">
              <w:rPr>
                <w:lang w:val="fr-FR"/>
              </w:rPr>
              <w:t>incidents de cybersécurité et de cyberattaques aux niveaux national et régional, l</w:t>
            </w:r>
            <w:r w:rsidR="00125408" w:rsidRPr="000229AD">
              <w:rPr>
                <w:lang w:val="fr-FR"/>
              </w:rPr>
              <w:t>'</w:t>
            </w:r>
            <w:r w:rsidRPr="000229AD">
              <w:rPr>
                <w:lang w:val="fr-FR"/>
              </w:rPr>
              <w:t>UIT a procédé, en plus du cyberexercice régional pour la région Afrique, à une évaluation de la maturité de l</w:t>
            </w:r>
            <w:r w:rsidR="00125408" w:rsidRPr="000229AD">
              <w:rPr>
                <w:lang w:val="fr-FR"/>
              </w:rPr>
              <w:t>'</w:t>
            </w:r>
            <w:r w:rsidRPr="000229AD">
              <w:rPr>
                <w:lang w:val="fr-FR"/>
              </w:rPr>
              <w:t>équipe CIRT du Zimbabwe et à une évaluation de l</w:t>
            </w:r>
            <w:r w:rsidR="00125408" w:rsidRPr="000229AD">
              <w:rPr>
                <w:lang w:val="fr-FR"/>
              </w:rPr>
              <w:t>'</w:t>
            </w:r>
            <w:r w:rsidRPr="000229AD">
              <w:rPr>
                <w:lang w:val="fr-FR"/>
              </w:rPr>
              <w:t>état de préparation de l</w:t>
            </w:r>
            <w:r w:rsidR="00125408" w:rsidRPr="000229AD">
              <w:rPr>
                <w:lang w:val="fr-FR"/>
              </w:rPr>
              <w:t>'</w:t>
            </w:r>
            <w:r w:rsidRPr="000229AD">
              <w:rPr>
                <w:lang w:val="fr-FR"/>
              </w:rPr>
              <w:t>équipe CIRT du Lesotho.</w:t>
            </w:r>
          </w:p>
          <w:p w14:paraId="29B10C23" w14:textId="2AAECE6A" w:rsidR="008F0090" w:rsidRPr="000229AD" w:rsidRDefault="008F0090" w:rsidP="00716C22">
            <w:pPr>
              <w:pStyle w:val="Tabletext"/>
              <w:tabs>
                <w:tab w:val="clear" w:pos="567"/>
                <w:tab w:val="left" w:pos="1176"/>
              </w:tabs>
              <w:spacing w:before="80" w:after="0"/>
              <w:ind w:left="284" w:hanging="284"/>
              <w:rPr>
                <w:rFonts w:ascii="Calibri" w:eastAsia="Calibri" w:hAnsi="Calibri" w:cs="Calibri"/>
                <w:lang w:val="fr-FR"/>
              </w:rPr>
            </w:pPr>
            <w:r w:rsidRPr="000229AD">
              <w:rPr>
                <w:lang w:val="fr-FR"/>
              </w:rPr>
              <w:t>•</w:t>
            </w:r>
            <w:r w:rsidRPr="000229AD">
              <w:rPr>
                <w:lang w:val="fr-FR"/>
              </w:rPr>
              <w:tab/>
              <w:t>Des activités de renforcement des compétences et des formations sur les technologies numériques émergentes et les lois sur le cyberespace ont été organisées à l</w:t>
            </w:r>
            <w:r w:rsidR="00125408" w:rsidRPr="000229AD">
              <w:rPr>
                <w:lang w:val="fr-FR"/>
              </w:rPr>
              <w:t>'</w:t>
            </w:r>
            <w:r w:rsidRPr="000229AD">
              <w:rPr>
                <w:lang w:val="fr-FR"/>
              </w:rPr>
              <w:t>intention de la communauté juridique et judiciaire du Malawi.</w:t>
            </w:r>
          </w:p>
          <w:p w14:paraId="082B5670" w14:textId="7A1345A8" w:rsidR="008F0090" w:rsidRPr="000229AD" w:rsidRDefault="008F0090" w:rsidP="00716C22">
            <w:pPr>
              <w:pStyle w:val="Tabletext"/>
              <w:spacing w:before="120" w:after="120"/>
              <w:rPr>
                <w:lang w:val="fr-FR"/>
              </w:rPr>
            </w:pPr>
            <w:r w:rsidRPr="000229AD">
              <w:rPr>
                <w:b/>
                <w:bCs/>
                <w:lang w:val="fr-FR"/>
              </w:rPr>
              <w:t>AFR4: Promouvoir les technologies émergentes et les écosystèmes d</w:t>
            </w:r>
            <w:r w:rsidR="00125408" w:rsidRPr="000229AD">
              <w:rPr>
                <w:b/>
                <w:bCs/>
                <w:lang w:val="fr-FR"/>
              </w:rPr>
              <w:t>'</w:t>
            </w:r>
            <w:r w:rsidRPr="000229AD">
              <w:rPr>
                <w:b/>
                <w:bCs/>
                <w:lang w:val="fr-FR"/>
              </w:rPr>
              <w:t>innovation</w:t>
            </w:r>
          </w:p>
          <w:p w14:paraId="019FB140" w14:textId="730CA2C9" w:rsidR="008F0090" w:rsidRPr="000229AD" w:rsidRDefault="008F0090" w:rsidP="00716C22">
            <w:pPr>
              <w:pStyle w:val="Tabletext"/>
              <w:tabs>
                <w:tab w:val="clear" w:pos="567"/>
                <w:tab w:val="left" w:pos="893"/>
              </w:tabs>
              <w:spacing w:before="80" w:after="0"/>
              <w:ind w:left="284" w:hanging="284"/>
              <w:rPr>
                <w:rFonts w:ascii="Calibri" w:eastAsia="Calibri" w:hAnsi="Calibri" w:cs="Calibri"/>
                <w:lang w:val="fr-FR"/>
              </w:rPr>
            </w:pPr>
            <w:r w:rsidRPr="000229AD">
              <w:rPr>
                <w:lang w:val="fr-FR"/>
              </w:rPr>
              <w:t>•</w:t>
            </w:r>
            <w:r w:rsidRPr="000229AD">
              <w:rPr>
                <w:lang w:val="fr-FR"/>
              </w:rPr>
              <w:tab/>
              <w:t>Un profil d</w:t>
            </w:r>
            <w:r w:rsidR="00125408" w:rsidRPr="000229AD">
              <w:rPr>
                <w:lang w:val="fr-FR"/>
              </w:rPr>
              <w:t>'</w:t>
            </w:r>
            <w:r w:rsidRPr="000229AD">
              <w:rPr>
                <w:lang w:val="fr-FR"/>
              </w:rPr>
              <w:t>innovation numérique a été réalisé pour le Zimbabwe. Les résultats contribueront au renforcement de l</w:t>
            </w:r>
            <w:r w:rsidR="00125408" w:rsidRPr="000229AD">
              <w:rPr>
                <w:lang w:val="fr-FR"/>
              </w:rPr>
              <w:t>'</w:t>
            </w:r>
            <w:r w:rsidRPr="000229AD">
              <w:rPr>
                <w:lang w:val="fr-FR"/>
              </w:rPr>
              <w:t>écosystème de l</w:t>
            </w:r>
            <w:r w:rsidR="00125408" w:rsidRPr="000229AD">
              <w:rPr>
                <w:lang w:val="fr-FR"/>
              </w:rPr>
              <w:t>'</w:t>
            </w:r>
            <w:r w:rsidRPr="000229AD">
              <w:rPr>
                <w:lang w:val="fr-FR"/>
              </w:rPr>
              <w:t>innovation numérique dans le pays. D</w:t>
            </w:r>
            <w:r w:rsidR="00125408" w:rsidRPr="000229AD">
              <w:rPr>
                <w:lang w:val="fr-FR"/>
              </w:rPr>
              <w:t>'</w:t>
            </w:r>
            <w:r w:rsidRPr="000229AD">
              <w:rPr>
                <w:lang w:val="fr-FR"/>
              </w:rPr>
              <w:t>autres profils d</w:t>
            </w:r>
            <w:r w:rsidR="00125408" w:rsidRPr="000229AD">
              <w:rPr>
                <w:lang w:val="fr-FR"/>
              </w:rPr>
              <w:t>'</w:t>
            </w:r>
            <w:r w:rsidRPr="000229AD">
              <w:rPr>
                <w:lang w:val="fr-FR"/>
              </w:rPr>
              <w:t>innovation sont en cours ou seront entrepris dans la région en 2024.</w:t>
            </w:r>
          </w:p>
          <w:p w14:paraId="665F9E51" w14:textId="683068AC" w:rsidR="008F0090" w:rsidRPr="000229AD" w:rsidRDefault="008F0090" w:rsidP="00716C22">
            <w:pPr>
              <w:pStyle w:val="Tabletext"/>
              <w:tabs>
                <w:tab w:val="clear" w:pos="567"/>
                <w:tab w:val="left" w:pos="893"/>
              </w:tabs>
              <w:spacing w:before="80" w:after="0"/>
              <w:ind w:left="284" w:hanging="284"/>
              <w:rPr>
                <w:rFonts w:ascii="Calibri" w:eastAsia="Calibri" w:hAnsi="Calibri" w:cs="Calibri"/>
                <w:lang w:val="fr-FR"/>
              </w:rPr>
            </w:pPr>
            <w:r w:rsidRPr="000229AD">
              <w:rPr>
                <w:lang w:val="fr-FR"/>
              </w:rPr>
              <w:t>•</w:t>
            </w:r>
            <w:r w:rsidRPr="000229AD">
              <w:rPr>
                <w:lang w:val="fr-FR"/>
              </w:rPr>
              <w:tab/>
              <w:t>Le Réseau des centres d</w:t>
            </w:r>
            <w:r w:rsidR="00125408" w:rsidRPr="000229AD">
              <w:rPr>
                <w:lang w:val="fr-FR"/>
              </w:rPr>
              <w:t>'</w:t>
            </w:r>
            <w:r w:rsidRPr="000229AD">
              <w:rPr>
                <w:lang w:val="fr-FR"/>
              </w:rPr>
              <w:t>accélération, mis en place pour libérer le potentiel d</w:t>
            </w:r>
            <w:r w:rsidR="00125408" w:rsidRPr="000229AD">
              <w:rPr>
                <w:lang w:val="fr-FR"/>
              </w:rPr>
              <w:t>'</w:t>
            </w:r>
            <w:r w:rsidRPr="000229AD">
              <w:rPr>
                <w:lang w:val="fr-FR"/>
              </w:rPr>
              <w:t>innovation en faveur d</w:t>
            </w:r>
            <w:r w:rsidR="00125408" w:rsidRPr="000229AD">
              <w:rPr>
                <w:lang w:val="fr-FR"/>
              </w:rPr>
              <w:t>'</w:t>
            </w:r>
            <w:r w:rsidRPr="000229AD">
              <w:rPr>
                <w:lang w:val="fr-FR"/>
              </w:rPr>
              <w:t>une transformation numérique durable, vise à stimuler la transformation numérique grâce à une approche écosystémique originale et à renforcer les compétences pour stimuler l</w:t>
            </w:r>
            <w:r w:rsidR="00125408" w:rsidRPr="000229AD">
              <w:rPr>
                <w:lang w:val="fr-FR"/>
              </w:rPr>
              <w:t>'</w:t>
            </w:r>
            <w:r w:rsidRPr="000229AD">
              <w:rPr>
                <w:lang w:val="fr-FR"/>
              </w:rPr>
              <w:t>innovation, l</w:t>
            </w:r>
            <w:r w:rsidR="00125408" w:rsidRPr="000229AD">
              <w:rPr>
                <w:lang w:val="fr-FR"/>
              </w:rPr>
              <w:t>'</w:t>
            </w:r>
            <w:r w:rsidRPr="000229AD">
              <w:rPr>
                <w:lang w:val="fr-FR"/>
              </w:rPr>
              <w:t>entrepreneuriat et le passage au numérique. Sur les 17 centres mis en place, 6 sont situés en Afrique: Gabon, Kenya, Malawi, Sénégal, Tanzanie et Zimbabwe.</w:t>
            </w:r>
          </w:p>
          <w:p w14:paraId="7D4980DC" w14:textId="789C98FF" w:rsidR="008F0090" w:rsidRPr="000229AD" w:rsidRDefault="008F0090" w:rsidP="00716C22">
            <w:pPr>
              <w:pStyle w:val="Tabletext"/>
              <w:tabs>
                <w:tab w:val="clear" w:pos="567"/>
                <w:tab w:val="left" w:pos="893"/>
              </w:tabs>
              <w:spacing w:before="80" w:after="0"/>
              <w:ind w:left="284" w:hanging="284"/>
              <w:rPr>
                <w:rFonts w:ascii="Calibri" w:eastAsia="Calibri" w:hAnsi="Calibri" w:cs="Calibri"/>
                <w:lang w:val="fr-FR"/>
              </w:rPr>
            </w:pPr>
            <w:r w:rsidRPr="000229AD">
              <w:rPr>
                <w:lang w:val="fr-FR"/>
              </w:rPr>
              <w:t>•</w:t>
            </w:r>
            <w:r w:rsidRPr="000229AD">
              <w:rPr>
                <w:lang w:val="fr-FR"/>
              </w:rPr>
              <w:tab/>
              <w:t>Le nouveau projet "Construire les bases de VaMoz Digital!" au Mozambique a été lancé fin 2023 avec le soutien de la délégation de l</w:t>
            </w:r>
            <w:r w:rsidR="00125408" w:rsidRPr="000229AD">
              <w:rPr>
                <w:lang w:val="fr-FR"/>
              </w:rPr>
              <w:t>'</w:t>
            </w:r>
            <w:r w:rsidRPr="000229AD">
              <w:rPr>
                <w:lang w:val="fr-FR"/>
              </w:rPr>
              <w:t>UE du pays. D</w:t>
            </w:r>
            <w:r w:rsidR="00125408" w:rsidRPr="000229AD">
              <w:rPr>
                <w:lang w:val="fr-FR"/>
              </w:rPr>
              <w:t>'</w:t>
            </w:r>
            <w:r w:rsidRPr="000229AD">
              <w:rPr>
                <w:lang w:val="fr-FR"/>
              </w:rPr>
              <w:t>une durée de 3,5 ans, le projet vise à contribuer à la réalisation d</w:t>
            </w:r>
            <w:r w:rsidR="00125408" w:rsidRPr="000229AD">
              <w:rPr>
                <w:lang w:val="fr-FR"/>
              </w:rPr>
              <w:t>'</w:t>
            </w:r>
            <w:r w:rsidRPr="000229AD">
              <w:rPr>
                <w:lang w:val="fr-FR"/>
              </w:rPr>
              <w:t>une transformation numérique centrée sur l</w:t>
            </w:r>
            <w:r w:rsidR="00125408" w:rsidRPr="000229AD">
              <w:rPr>
                <w:lang w:val="fr-FR"/>
              </w:rPr>
              <w:t>'</w:t>
            </w:r>
            <w:r w:rsidRPr="000229AD">
              <w:rPr>
                <w:lang w:val="fr-FR"/>
              </w:rPr>
              <w:t>humain en faveur du développement durable et de la croissance inclusive grâce à des interventions stratégiques et réglementaires, des écosystèmes renforcés favorisant l</w:t>
            </w:r>
            <w:r w:rsidR="00125408" w:rsidRPr="000229AD">
              <w:rPr>
                <w:lang w:val="fr-FR"/>
              </w:rPr>
              <w:t>'</w:t>
            </w:r>
            <w:r w:rsidRPr="000229AD">
              <w:rPr>
                <w:lang w:val="fr-FR"/>
              </w:rPr>
              <w:t>innovation numérique, l</w:t>
            </w:r>
            <w:r w:rsidR="00125408" w:rsidRPr="000229AD">
              <w:rPr>
                <w:lang w:val="fr-FR"/>
              </w:rPr>
              <w:t>'</w:t>
            </w:r>
            <w:r w:rsidRPr="000229AD">
              <w:rPr>
                <w:lang w:val="fr-FR"/>
              </w:rPr>
              <w:t>inclusion numérique et le renforcement des capacités.</w:t>
            </w:r>
          </w:p>
          <w:p w14:paraId="07E171C2" w14:textId="678CA593" w:rsidR="008F0090" w:rsidRPr="000229AD" w:rsidRDefault="008F0090" w:rsidP="00716C22">
            <w:pPr>
              <w:pStyle w:val="Tabletext"/>
              <w:tabs>
                <w:tab w:val="clear" w:pos="567"/>
                <w:tab w:val="left" w:pos="893"/>
              </w:tabs>
              <w:spacing w:before="80" w:after="0"/>
              <w:ind w:left="284" w:hanging="284"/>
              <w:rPr>
                <w:rFonts w:ascii="Calibri" w:eastAsia="Calibri" w:hAnsi="Calibri" w:cs="Calibri"/>
                <w:lang w:val="fr-FR"/>
              </w:rPr>
            </w:pPr>
            <w:r w:rsidRPr="000229AD">
              <w:rPr>
                <w:lang w:val="fr-FR"/>
              </w:rPr>
              <w:t>•</w:t>
            </w:r>
            <w:r w:rsidRPr="000229AD">
              <w:rPr>
                <w:lang w:val="fr-FR"/>
              </w:rPr>
              <w:tab/>
              <w:t>Le nouveau projet "Des compétences numériques pour l</w:t>
            </w:r>
            <w:r w:rsidR="00125408" w:rsidRPr="000229AD">
              <w:rPr>
                <w:lang w:val="fr-FR"/>
              </w:rPr>
              <w:t>'</w:t>
            </w:r>
            <w:r w:rsidRPr="000229AD">
              <w:rPr>
                <w:lang w:val="fr-FR"/>
              </w:rPr>
              <w:t>inclusion numérique des jeunes filles et des jeunes en Afrique", soutenu par Qualcomm, développe de nouveaux contenus techniques qui alimenteront diverses plates-formes de formation, dont la section de l</w:t>
            </w:r>
            <w:r w:rsidR="00125408" w:rsidRPr="000229AD">
              <w:rPr>
                <w:lang w:val="fr-FR"/>
              </w:rPr>
              <w:t>'</w:t>
            </w:r>
            <w:r w:rsidRPr="000229AD">
              <w:rPr>
                <w:lang w:val="fr-FR"/>
              </w:rPr>
              <w:t>Académie de l</w:t>
            </w:r>
            <w:r w:rsidR="00125408" w:rsidRPr="000229AD">
              <w:rPr>
                <w:lang w:val="fr-FR"/>
              </w:rPr>
              <w:t>'</w:t>
            </w:r>
            <w:r w:rsidRPr="000229AD">
              <w:rPr>
                <w:lang w:val="fr-FR"/>
              </w:rPr>
              <w:t>UIT consacrée aux interventions du programme "Girls Can Code" pour les jeunes et la région Afrique.</w:t>
            </w:r>
          </w:p>
          <w:p w14:paraId="6ED5E070" w14:textId="10E07B13" w:rsidR="008F0090" w:rsidRPr="000229AD" w:rsidRDefault="008F0090" w:rsidP="00716C22">
            <w:pPr>
              <w:pStyle w:val="Tabletext"/>
              <w:tabs>
                <w:tab w:val="clear" w:pos="284"/>
                <w:tab w:val="clear" w:pos="567"/>
                <w:tab w:val="clear" w:pos="851"/>
                <w:tab w:val="clear" w:pos="1134"/>
                <w:tab w:val="left" w:pos="609"/>
                <w:tab w:val="left" w:pos="1601"/>
              </w:tabs>
              <w:spacing w:before="80" w:after="0"/>
              <w:ind w:left="596" w:hanging="284"/>
              <w:rPr>
                <w:rFonts w:ascii="Calibri" w:eastAsia="Calibri" w:hAnsi="Calibri" w:cs="Calibri"/>
                <w:lang w:val="fr-FR"/>
              </w:rPr>
            </w:pPr>
            <w:r w:rsidRPr="000229AD">
              <w:rPr>
                <w:lang w:val="fr-FR"/>
              </w:rPr>
              <w:t>–</w:t>
            </w:r>
            <w:r w:rsidRPr="000229AD">
              <w:rPr>
                <w:lang w:val="fr-FR"/>
              </w:rPr>
              <w:tab/>
              <w:t>Le BDT a par ailleurs poursuivi sa collaboration étroite avec les organisations régionales, notamment l</w:t>
            </w:r>
            <w:r w:rsidR="00125408" w:rsidRPr="000229AD">
              <w:rPr>
                <w:lang w:val="fr-FR"/>
              </w:rPr>
              <w:t>'</w:t>
            </w:r>
            <w:r w:rsidRPr="000229AD">
              <w:rPr>
                <w:lang w:val="fr-FR"/>
              </w:rPr>
              <w:t>Union africaine des télécommunications, la Commission de l</w:t>
            </w:r>
            <w:r w:rsidR="00125408" w:rsidRPr="000229AD">
              <w:rPr>
                <w:lang w:val="fr-FR"/>
              </w:rPr>
              <w:t>'</w:t>
            </w:r>
            <w:r w:rsidRPr="000229AD">
              <w:rPr>
                <w:lang w:val="fr-FR"/>
              </w:rPr>
              <w:t xml:space="preserve">Union africaine, le Secrétariat de Smart Africa, les communautés économiques régionales et les associations régionales de régulateurs, dans le cadre de diverses initiatives, dont la collaboration avec la </w:t>
            </w:r>
            <w:r w:rsidRPr="000229AD">
              <w:rPr>
                <w:lang w:val="fr-FR"/>
              </w:rPr>
              <w:lastRenderedPageBreak/>
              <w:t>Commission de l</w:t>
            </w:r>
            <w:r w:rsidR="00125408" w:rsidRPr="000229AD">
              <w:rPr>
                <w:lang w:val="fr-FR"/>
              </w:rPr>
              <w:t>'</w:t>
            </w:r>
            <w:r w:rsidRPr="000229AD">
              <w:rPr>
                <w:lang w:val="fr-FR"/>
              </w:rPr>
              <w:t>Union africaine et les organismes des Nations Unies pour élaborer le Plan d</w:t>
            </w:r>
            <w:r w:rsidR="00125408" w:rsidRPr="000229AD">
              <w:rPr>
                <w:lang w:val="fr-FR"/>
              </w:rPr>
              <w:t>'</w:t>
            </w:r>
            <w:r w:rsidRPr="000229AD">
              <w:rPr>
                <w:lang w:val="fr-FR"/>
              </w:rPr>
              <w:t>action pour l</w:t>
            </w:r>
            <w:r w:rsidR="00125408" w:rsidRPr="000229AD">
              <w:rPr>
                <w:lang w:val="fr-FR"/>
              </w:rPr>
              <w:t>'</w:t>
            </w:r>
            <w:r w:rsidRPr="000229AD">
              <w:rPr>
                <w:lang w:val="fr-FR"/>
              </w:rPr>
              <w:t>Afrique de l</w:t>
            </w:r>
            <w:r w:rsidR="00125408" w:rsidRPr="000229AD">
              <w:rPr>
                <w:lang w:val="fr-FR"/>
              </w:rPr>
              <w:t>'</w:t>
            </w:r>
            <w:r w:rsidRPr="000229AD">
              <w:rPr>
                <w:lang w:val="fr-FR"/>
              </w:rPr>
              <w:t>initiative "Alertes précoces pour tous" afin d</w:t>
            </w:r>
            <w:r w:rsidR="00125408" w:rsidRPr="000229AD">
              <w:rPr>
                <w:lang w:val="fr-FR"/>
              </w:rPr>
              <w:t>'</w:t>
            </w:r>
            <w:r w:rsidRPr="000229AD">
              <w:rPr>
                <w:lang w:val="fr-FR"/>
              </w:rPr>
              <w:t>orienter la mise en œuvre de l</w:t>
            </w:r>
            <w:r w:rsidR="00125408" w:rsidRPr="000229AD">
              <w:rPr>
                <w:lang w:val="fr-FR"/>
              </w:rPr>
              <w:t>'</w:t>
            </w:r>
            <w:r w:rsidRPr="000229AD">
              <w:rPr>
                <w:lang w:val="fr-FR"/>
              </w:rPr>
              <w:t>initiative au niveau national, et l</w:t>
            </w:r>
            <w:r w:rsidR="00125408" w:rsidRPr="000229AD">
              <w:rPr>
                <w:lang w:val="fr-FR"/>
              </w:rPr>
              <w:t>'</w:t>
            </w:r>
            <w:r w:rsidRPr="000229AD">
              <w:rPr>
                <w:lang w:val="fr-FR"/>
              </w:rPr>
              <w:t>élaboration du modèle de plan national pour les télécommunications d</w:t>
            </w:r>
            <w:r w:rsidR="00125408" w:rsidRPr="000229AD">
              <w:rPr>
                <w:lang w:val="fr-FR"/>
              </w:rPr>
              <w:t>'</w:t>
            </w:r>
            <w:r w:rsidRPr="000229AD">
              <w:rPr>
                <w:lang w:val="fr-FR"/>
              </w:rPr>
              <w:t>urgence pour la région de la SADC en vue de mettre en place des liaisons de télécommunication efficaces pour les interventions et la coordination en cas de catastrophe qui puissent être adaptées et adoptées par d</w:t>
            </w:r>
            <w:r w:rsidR="00125408" w:rsidRPr="000229AD">
              <w:rPr>
                <w:lang w:val="fr-FR"/>
              </w:rPr>
              <w:t>'</w:t>
            </w:r>
            <w:r w:rsidRPr="000229AD">
              <w:rPr>
                <w:lang w:val="fr-FR"/>
              </w:rPr>
              <w:t>autres régions.</w:t>
            </w:r>
          </w:p>
          <w:p w14:paraId="1E101509" w14:textId="4A7FECDA" w:rsidR="008F0090" w:rsidRPr="000229AD" w:rsidRDefault="008F0090" w:rsidP="00716C22">
            <w:pPr>
              <w:pStyle w:val="Tabletext"/>
              <w:tabs>
                <w:tab w:val="clear" w:pos="567"/>
                <w:tab w:val="left" w:pos="893"/>
              </w:tabs>
              <w:spacing w:before="80" w:after="0"/>
              <w:ind w:left="284" w:hanging="284"/>
              <w:rPr>
                <w:lang w:val="fr-FR"/>
              </w:rPr>
            </w:pPr>
            <w:r w:rsidRPr="000229AD">
              <w:rPr>
                <w:lang w:val="fr-FR"/>
              </w:rPr>
              <w:t>•</w:t>
            </w:r>
            <w:r w:rsidRPr="000229AD">
              <w:rPr>
                <w:lang w:val="fr-FR"/>
              </w:rPr>
              <w:tab/>
              <w:t>La Coalition d</w:t>
            </w:r>
            <w:r w:rsidR="00125408" w:rsidRPr="000229AD">
              <w:rPr>
                <w:lang w:val="fr-FR"/>
              </w:rPr>
              <w:t>'</w:t>
            </w:r>
            <w:r w:rsidRPr="000229AD">
              <w:rPr>
                <w:lang w:val="fr-FR"/>
              </w:rPr>
              <w:t>opportunités et de thèmes sur le continent dédiée à l</w:t>
            </w:r>
            <w:r w:rsidR="00125408" w:rsidRPr="000229AD">
              <w:rPr>
                <w:lang w:val="fr-FR"/>
              </w:rPr>
              <w:t>'</w:t>
            </w:r>
            <w:r w:rsidRPr="000229AD">
              <w:rPr>
                <w:lang w:val="fr-FR"/>
              </w:rPr>
              <w:t>innovation, à la transformation numérique, à la jeunesse et à la transformation de l</w:t>
            </w:r>
            <w:r w:rsidR="00125408" w:rsidRPr="000229AD">
              <w:rPr>
                <w:lang w:val="fr-FR"/>
              </w:rPr>
              <w:t>'</w:t>
            </w:r>
            <w:r w:rsidRPr="000229AD">
              <w:rPr>
                <w:lang w:val="fr-FR"/>
              </w:rPr>
              <w:t>éducation, a été redynamisée afin de mieux répondre aux besoins des États Membres grâce à des actions conjointes qui rassemblent les compétences des organismes de manière coordonnée.</w:t>
            </w:r>
          </w:p>
          <w:p w14:paraId="6A03C6EB" w14:textId="5C9D82BB" w:rsidR="008F0090" w:rsidRPr="000229AD" w:rsidRDefault="008F0090" w:rsidP="00716C22">
            <w:pPr>
              <w:pStyle w:val="Tabletext"/>
              <w:tabs>
                <w:tab w:val="clear" w:pos="567"/>
                <w:tab w:val="left" w:pos="893"/>
              </w:tabs>
              <w:spacing w:before="80" w:after="0"/>
              <w:ind w:left="284" w:hanging="284"/>
              <w:rPr>
                <w:rFonts w:ascii="Calibri" w:eastAsia="Calibri" w:hAnsi="Calibri" w:cs="Calibri"/>
                <w:lang w:val="fr-FR"/>
              </w:rPr>
            </w:pPr>
            <w:r w:rsidRPr="000229AD">
              <w:rPr>
                <w:lang w:val="fr-FR"/>
              </w:rPr>
              <w:t>•</w:t>
            </w:r>
            <w:r w:rsidRPr="000229AD">
              <w:rPr>
                <w:lang w:val="fr-FR"/>
              </w:rPr>
              <w:tab/>
              <w:t>Le BDT a participé à la préparation de la Conférence mondiale des radiocommunications (CMR-23), aux réunions préparatoires de l</w:t>
            </w:r>
            <w:r w:rsidR="00125408" w:rsidRPr="000229AD">
              <w:rPr>
                <w:lang w:val="fr-FR"/>
              </w:rPr>
              <w:t>'</w:t>
            </w:r>
            <w:r w:rsidRPr="000229AD">
              <w:rPr>
                <w:lang w:val="fr-FR"/>
              </w:rPr>
              <w:t>Assemblée mondiale de normalisation des télécommunications (AMNT-24) et à la première réunion préparatoire de la CMDT-25, en coordination avec l</w:t>
            </w:r>
            <w:r w:rsidR="00125408" w:rsidRPr="000229AD">
              <w:rPr>
                <w:lang w:val="fr-FR"/>
              </w:rPr>
              <w:t>'</w:t>
            </w:r>
            <w:r w:rsidRPr="000229AD">
              <w:rPr>
                <w:lang w:val="fr-FR"/>
              </w:rPr>
              <w:t>Union africaine des télécommunications et les États Membres de l</w:t>
            </w:r>
            <w:r w:rsidR="00125408" w:rsidRPr="000229AD">
              <w:rPr>
                <w:lang w:val="fr-FR"/>
              </w:rPr>
              <w:t>'</w:t>
            </w:r>
            <w:r w:rsidRPr="000229AD">
              <w:rPr>
                <w:lang w:val="fr-FR"/>
              </w:rPr>
              <w:t>UIT.</w:t>
            </w:r>
          </w:p>
          <w:p w14:paraId="2DF31E9B" w14:textId="08E7F0ED" w:rsidR="008F0090" w:rsidRPr="000229AD" w:rsidRDefault="008F0090" w:rsidP="00716C22">
            <w:pPr>
              <w:pStyle w:val="Tabletext"/>
              <w:spacing w:before="240" w:after="120"/>
              <w:rPr>
                <w:lang w:val="fr-FR"/>
              </w:rPr>
            </w:pPr>
            <w:r w:rsidRPr="000229AD">
              <w:rPr>
                <w:b/>
                <w:bCs/>
                <w:lang w:val="fr-FR"/>
              </w:rPr>
              <w:t>Bureau régional de l</w:t>
            </w:r>
            <w:r w:rsidR="00125408" w:rsidRPr="000229AD">
              <w:rPr>
                <w:b/>
                <w:bCs/>
                <w:lang w:val="fr-FR"/>
              </w:rPr>
              <w:t>'</w:t>
            </w:r>
            <w:r w:rsidRPr="000229AD">
              <w:rPr>
                <w:b/>
                <w:bCs/>
                <w:lang w:val="fr-FR"/>
              </w:rPr>
              <w:t>UIT pour les Amériques</w:t>
            </w:r>
          </w:p>
          <w:p w14:paraId="62E9F61A" w14:textId="3F1CDC89" w:rsidR="008F0090" w:rsidRPr="000229AD" w:rsidRDefault="008F0090" w:rsidP="00716C22">
            <w:pPr>
              <w:pStyle w:val="Tabletext"/>
              <w:rPr>
                <w:lang w:val="fr-FR"/>
              </w:rPr>
            </w:pPr>
            <w:r w:rsidRPr="000229AD">
              <w:rPr>
                <w:b/>
                <w:bCs/>
                <w:lang w:val="fr-FR"/>
              </w:rPr>
              <w:t>Le Bureau régional pour les Amériques a activement soutenu les États Membres en mettant en œuvre divers projets et initiatives dans toute la région en vue de déployer l</w:t>
            </w:r>
            <w:r w:rsidR="00125408" w:rsidRPr="000229AD">
              <w:rPr>
                <w:b/>
                <w:bCs/>
                <w:lang w:val="fr-FR"/>
              </w:rPr>
              <w:t>'</w:t>
            </w:r>
            <w:r w:rsidRPr="000229AD">
              <w:rPr>
                <w:b/>
                <w:bCs/>
                <w:lang w:val="fr-FR"/>
              </w:rPr>
              <w:t>infrastructure des TIC, renforcer l</w:t>
            </w:r>
            <w:r w:rsidR="00125408" w:rsidRPr="000229AD">
              <w:rPr>
                <w:b/>
                <w:bCs/>
                <w:lang w:val="fr-FR"/>
              </w:rPr>
              <w:t>'</w:t>
            </w:r>
            <w:r w:rsidRPr="000229AD">
              <w:rPr>
                <w:b/>
                <w:bCs/>
                <w:lang w:val="fr-FR"/>
              </w:rPr>
              <w:t>inclusion numérique et l</w:t>
            </w:r>
            <w:r w:rsidR="00125408" w:rsidRPr="000229AD">
              <w:rPr>
                <w:b/>
                <w:bCs/>
                <w:lang w:val="fr-FR"/>
              </w:rPr>
              <w:t>'</w:t>
            </w:r>
            <w:r w:rsidRPr="000229AD">
              <w:rPr>
                <w:b/>
                <w:bCs/>
                <w:lang w:val="fr-FR"/>
              </w:rPr>
              <w:t>innovation, accélérer la transformation numérique et élaborer une réglementation dans le domaine du numérique, conformément aux quatre initiatives régionales énoncées dans le Plan d</w:t>
            </w:r>
            <w:r w:rsidR="00125408" w:rsidRPr="000229AD">
              <w:rPr>
                <w:b/>
                <w:bCs/>
                <w:lang w:val="fr-FR"/>
              </w:rPr>
              <w:t>'</w:t>
            </w:r>
            <w:r w:rsidRPr="000229AD">
              <w:rPr>
                <w:b/>
                <w:bCs/>
                <w:lang w:val="fr-FR"/>
              </w:rPr>
              <w:t>action de Kigali. Les principales activités et réalisations selon chaque initiative régionale sont les suivantes:</w:t>
            </w:r>
          </w:p>
          <w:p w14:paraId="44931C76" w14:textId="77ACE149" w:rsidR="008F0090" w:rsidRPr="000229AD" w:rsidRDefault="008F0090" w:rsidP="00716C22">
            <w:pPr>
              <w:pStyle w:val="Tabletext"/>
              <w:spacing w:before="240" w:after="120"/>
              <w:rPr>
                <w:lang w:val="fr-FR"/>
              </w:rPr>
            </w:pPr>
            <w:r w:rsidRPr="000229AD">
              <w:rPr>
                <w:b/>
                <w:bCs/>
                <w:lang w:val="fr-FR"/>
              </w:rPr>
              <w:t>AMS1: Déploiement d</w:t>
            </w:r>
            <w:r w:rsidR="00125408" w:rsidRPr="000229AD">
              <w:rPr>
                <w:b/>
                <w:bCs/>
                <w:lang w:val="fr-FR"/>
              </w:rPr>
              <w:t>'</w:t>
            </w:r>
            <w:r w:rsidRPr="000229AD">
              <w:rPr>
                <w:b/>
                <w:bCs/>
                <w:lang w:val="fr-FR"/>
              </w:rPr>
              <w:t>infrastructures de télécommunication/technologies de l</w:t>
            </w:r>
            <w:r w:rsidR="00125408" w:rsidRPr="000229AD">
              <w:rPr>
                <w:b/>
                <w:bCs/>
                <w:lang w:val="fr-FR"/>
              </w:rPr>
              <w:t>'</w:t>
            </w:r>
            <w:r w:rsidRPr="000229AD">
              <w:rPr>
                <w:b/>
                <w:bCs/>
                <w:lang w:val="fr-FR"/>
              </w:rPr>
              <w:t>information et de la communication modernes, résilientes, sécurisées et durables</w:t>
            </w:r>
          </w:p>
          <w:p w14:paraId="5AB7AC9D" w14:textId="3F97708C" w:rsidR="008F0090" w:rsidRPr="000229AD" w:rsidRDefault="008F0090" w:rsidP="00716C22">
            <w:pPr>
              <w:pStyle w:val="Tabletext"/>
              <w:tabs>
                <w:tab w:val="clear" w:pos="567"/>
              </w:tabs>
              <w:spacing w:before="80" w:after="0"/>
              <w:ind w:left="284" w:hanging="284"/>
              <w:rPr>
                <w:lang w:val="fr-FR"/>
              </w:rPr>
            </w:pPr>
            <w:r w:rsidRPr="000229AD">
              <w:rPr>
                <w:lang w:val="fr-FR"/>
              </w:rPr>
              <w:t>•</w:t>
            </w:r>
            <w:r w:rsidRPr="000229AD">
              <w:rPr>
                <w:lang w:val="fr-FR"/>
              </w:rPr>
              <w:tab/>
              <w:t>Le Bureau de la normalisation a participé au séminaire sur les réseaux ouverts organisé par Anatel et l</w:t>
            </w:r>
            <w:r w:rsidR="00125408" w:rsidRPr="000229AD">
              <w:rPr>
                <w:lang w:val="fr-FR"/>
              </w:rPr>
              <w:t>'</w:t>
            </w:r>
            <w:r w:rsidRPr="000229AD">
              <w:rPr>
                <w:lang w:val="fr-FR"/>
              </w:rPr>
              <w:t>ambassade du Japon au Brésil le 9 août 2023 Le Directeur a participé à la séance intitulée "Réseaux ouverts: désagrégation et virtualisation des réseaux" et fait une intervention sur l</w:t>
            </w:r>
            <w:r w:rsidR="00125408" w:rsidRPr="000229AD">
              <w:rPr>
                <w:lang w:val="fr-FR"/>
              </w:rPr>
              <w:t>'</w:t>
            </w:r>
            <w:r w:rsidRPr="000229AD">
              <w:rPr>
                <w:lang w:val="fr-FR"/>
              </w:rPr>
              <w:t>approche de l</w:t>
            </w:r>
            <w:r w:rsidR="00125408" w:rsidRPr="000229AD">
              <w:rPr>
                <w:lang w:val="fr-FR"/>
              </w:rPr>
              <w:t>'</w:t>
            </w:r>
            <w:r w:rsidRPr="000229AD">
              <w:rPr>
                <w:lang w:val="fr-FR"/>
              </w:rPr>
              <w:t>UIT et l</w:t>
            </w:r>
            <w:r w:rsidR="00125408" w:rsidRPr="000229AD">
              <w:rPr>
                <w:lang w:val="fr-FR"/>
              </w:rPr>
              <w:t>'</w:t>
            </w:r>
            <w:r w:rsidRPr="000229AD">
              <w:rPr>
                <w:lang w:val="fr-FR"/>
              </w:rPr>
              <w:t>expérience des opérateurs de réseau mobile. Plusieurs réunions bilatérales ont eu lieu.</w:t>
            </w:r>
          </w:p>
          <w:p w14:paraId="5365E364" w14:textId="476999BC" w:rsidR="008F0090" w:rsidRPr="000229AD" w:rsidRDefault="008F0090" w:rsidP="00716C22">
            <w:pPr>
              <w:pStyle w:val="Tabletext"/>
              <w:tabs>
                <w:tab w:val="clear" w:pos="567"/>
              </w:tabs>
              <w:spacing w:before="80" w:after="0"/>
              <w:ind w:left="284" w:hanging="284"/>
              <w:rPr>
                <w:lang w:val="fr-FR"/>
              </w:rPr>
            </w:pPr>
            <w:r w:rsidRPr="000229AD">
              <w:rPr>
                <w:lang w:val="fr-FR"/>
              </w:rPr>
              <w:t>•</w:t>
            </w:r>
            <w:r w:rsidRPr="000229AD">
              <w:rPr>
                <w:lang w:val="fr-FR"/>
              </w:rPr>
              <w:tab/>
              <w:t>Le Bureau des radiocommunications a activement participé à la Conférence sur la gestion du spectre en Amérique latine, qui s</w:t>
            </w:r>
            <w:r w:rsidR="00125408" w:rsidRPr="000229AD">
              <w:rPr>
                <w:lang w:val="fr-FR"/>
              </w:rPr>
              <w:t>'</w:t>
            </w:r>
            <w:r w:rsidRPr="000229AD">
              <w:rPr>
                <w:lang w:val="fr-FR"/>
              </w:rPr>
              <w:t>est tenue à Brasilia (Brésil) les 20 et 21 février 2024. Cette conférence, accueillie par Anatel, a permis aux principales parties prenantes de débattre des résultats de la CMR-23.</w:t>
            </w:r>
          </w:p>
          <w:p w14:paraId="06D163CD" w14:textId="00C0E618" w:rsidR="008F0090" w:rsidRPr="000229AD" w:rsidRDefault="008F0090" w:rsidP="00716C22">
            <w:pPr>
              <w:pStyle w:val="Tabletext"/>
              <w:tabs>
                <w:tab w:val="clear" w:pos="567"/>
              </w:tabs>
              <w:spacing w:before="80" w:after="0"/>
              <w:ind w:left="284" w:hanging="284"/>
              <w:rPr>
                <w:lang w:val="fr-FR"/>
              </w:rPr>
            </w:pPr>
            <w:r w:rsidRPr="000229AD">
              <w:rPr>
                <w:lang w:val="fr-FR"/>
              </w:rPr>
              <w:t>•</w:t>
            </w:r>
            <w:r w:rsidRPr="000229AD">
              <w:rPr>
                <w:lang w:val="fr-FR"/>
              </w:rPr>
              <w:tab/>
              <w:t>L</w:t>
            </w:r>
            <w:r w:rsidR="00125408" w:rsidRPr="000229AD">
              <w:rPr>
                <w:lang w:val="fr-FR"/>
              </w:rPr>
              <w:t>'</w:t>
            </w:r>
            <w:r w:rsidRPr="000229AD">
              <w:rPr>
                <w:lang w:val="fr-FR"/>
              </w:rPr>
              <w:t>UIT, l</w:t>
            </w:r>
            <w:r w:rsidR="00125408" w:rsidRPr="000229AD">
              <w:rPr>
                <w:lang w:val="fr-FR"/>
              </w:rPr>
              <w:t>'</w:t>
            </w:r>
            <w:r w:rsidRPr="000229AD">
              <w:rPr>
                <w:lang w:val="fr-FR"/>
              </w:rPr>
              <w:t>UNICEF et l</w:t>
            </w:r>
            <w:r w:rsidR="00125408" w:rsidRPr="000229AD">
              <w:rPr>
                <w:lang w:val="fr-FR"/>
              </w:rPr>
              <w:t>'</w:t>
            </w:r>
            <w:r w:rsidRPr="000229AD">
              <w:rPr>
                <w:lang w:val="fr-FR"/>
              </w:rPr>
              <w:t>Organisation des États des Caraïbes orientales ont collaboré dans des domaines d</w:t>
            </w:r>
            <w:r w:rsidR="00125408" w:rsidRPr="000229AD">
              <w:rPr>
                <w:lang w:val="fr-FR"/>
              </w:rPr>
              <w:t>'</w:t>
            </w:r>
            <w:r w:rsidRPr="000229AD">
              <w:rPr>
                <w:lang w:val="fr-FR"/>
              </w:rPr>
              <w:t>intérêt commun, y compris la connectivité des écoles et l</w:t>
            </w:r>
            <w:r w:rsidR="00125408" w:rsidRPr="000229AD">
              <w:rPr>
                <w:lang w:val="fr-FR"/>
              </w:rPr>
              <w:t>'</w:t>
            </w:r>
            <w:r w:rsidRPr="000229AD">
              <w:rPr>
                <w:lang w:val="fr-FR"/>
              </w:rPr>
              <w:t>initiative Giga dans la région des Caraïbes orientales, à travers l</w:t>
            </w:r>
            <w:r w:rsidR="00125408" w:rsidRPr="000229AD">
              <w:rPr>
                <w:lang w:val="fr-FR"/>
              </w:rPr>
              <w:t>'</w:t>
            </w:r>
            <w:r w:rsidRPr="000229AD">
              <w:rPr>
                <w:lang w:val="fr-FR"/>
              </w:rPr>
              <w:t>élaboration d</w:t>
            </w:r>
            <w:r w:rsidR="00125408" w:rsidRPr="000229AD">
              <w:rPr>
                <w:lang w:val="fr-FR"/>
              </w:rPr>
              <w:t>'</w:t>
            </w:r>
            <w:r w:rsidRPr="000229AD">
              <w:rPr>
                <w:lang w:val="fr-FR"/>
              </w:rPr>
              <w:t>une politique et d</w:t>
            </w:r>
            <w:r w:rsidR="00125408" w:rsidRPr="000229AD">
              <w:rPr>
                <w:lang w:val="fr-FR"/>
              </w:rPr>
              <w:t>'</w:t>
            </w:r>
            <w:r w:rsidRPr="000229AD">
              <w:rPr>
                <w:lang w:val="fr-FR"/>
              </w:rPr>
              <w:t>un cadre stratégique pour la protection en ligne des enfants, une étude pilote dans des communautés rurales de la Barbade (qui comprenait la fourniture d</w:t>
            </w:r>
            <w:r w:rsidR="00125408" w:rsidRPr="000229AD">
              <w:rPr>
                <w:lang w:val="fr-FR"/>
              </w:rPr>
              <w:t>'</w:t>
            </w:r>
            <w:r w:rsidRPr="000229AD">
              <w:rPr>
                <w:lang w:val="fr-FR"/>
              </w:rPr>
              <w:t>équipements informatiques et une formation) et la présentation aux États membres de l</w:t>
            </w:r>
            <w:r w:rsidR="00125408" w:rsidRPr="000229AD">
              <w:rPr>
                <w:lang w:val="fr-FR"/>
              </w:rPr>
              <w:t>'</w:t>
            </w:r>
            <w:r w:rsidRPr="000229AD">
              <w:rPr>
                <w:lang w:val="fr-FR"/>
              </w:rPr>
              <w:t>OECO de l</w:t>
            </w:r>
            <w:r w:rsidR="00125408" w:rsidRPr="000229AD">
              <w:rPr>
                <w:lang w:val="fr-FR"/>
              </w:rPr>
              <w:t>'</w:t>
            </w:r>
            <w:r w:rsidRPr="000229AD">
              <w:rPr>
                <w:lang w:val="fr-FR"/>
              </w:rPr>
              <w:t xml:space="preserve">appui de Giga à la mise à niveau du large bande. À la Barbade, le large bande a été amélioré dans 27 écoles pilotes, et plus </w:t>
            </w:r>
            <w:r w:rsidRPr="000229AD">
              <w:rPr>
                <w:lang w:val="fr-FR"/>
              </w:rPr>
              <w:lastRenderedPageBreak/>
              <w:t>de 18 057 élèves et 1 382 enseignants dans tout le pays en ont bénéficié. Le BDT et le BR ont organisé conjointement le Séminaire sur les radiocommunications pour la région Amériques qui s</w:t>
            </w:r>
            <w:r w:rsidR="00125408" w:rsidRPr="000229AD">
              <w:rPr>
                <w:lang w:val="fr-FR"/>
              </w:rPr>
              <w:t>'</w:t>
            </w:r>
            <w:r w:rsidRPr="000229AD">
              <w:rPr>
                <w:lang w:val="fr-FR"/>
              </w:rPr>
              <w:t>est tenu en mai 2023 à La Havane (Cuba). Ce séminaire a réuni de manière hybride près de 100 personnes, dont des délégués des 13 États Membres de l</w:t>
            </w:r>
            <w:r w:rsidR="00125408" w:rsidRPr="000229AD">
              <w:rPr>
                <w:lang w:val="fr-FR"/>
              </w:rPr>
              <w:t>'</w:t>
            </w:r>
            <w:r w:rsidRPr="000229AD">
              <w:rPr>
                <w:lang w:val="fr-FR"/>
              </w:rPr>
              <w:t>UIT de la région et de représentants du secteur privé et des organisations internationales.</w:t>
            </w:r>
          </w:p>
          <w:p w14:paraId="29EE553D" w14:textId="1A85EEE4" w:rsidR="008F0090" w:rsidRPr="000229AD" w:rsidRDefault="008F0090" w:rsidP="00716C22">
            <w:pPr>
              <w:pStyle w:val="Tabletext"/>
              <w:tabs>
                <w:tab w:val="clear" w:pos="567"/>
              </w:tabs>
              <w:spacing w:before="80" w:after="0"/>
              <w:ind w:left="284" w:hanging="284"/>
              <w:rPr>
                <w:rFonts w:ascii="Calibri" w:eastAsia="Calibri" w:hAnsi="Calibri" w:cs="Calibri"/>
                <w:lang w:val="fr-FR"/>
              </w:rPr>
            </w:pPr>
            <w:r w:rsidRPr="000229AD">
              <w:rPr>
                <w:lang w:val="fr-FR"/>
              </w:rPr>
              <w:t>•</w:t>
            </w:r>
            <w:r w:rsidRPr="000229AD">
              <w:rPr>
                <w:lang w:val="fr-FR"/>
              </w:rPr>
              <w:tab/>
              <w:t>Des ateliers sur les télécommunications d</w:t>
            </w:r>
            <w:r w:rsidR="00125408" w:rsidRPr="000229AD">
              <w:rPr>
                <w:lang w:val="fr-FR"/>
              </w:rPr>
              <w:t>'</w:t>
            </w:r>
            <w:r w:rsidRPr="000229AD">
              <w:rPr>
                <w:lang w:val="fr-FR"/>
              </w:rPr>
              <w:t>urgence ont été organisés à la Barbade, à Antigua-et-Barbuda et au Guatemala. Le BDT travaille actuellement à l</w:t>
            </w:r>
            <w:r w:rsidR="00125408" w:rsidRPr="000229AD">
              <w:rPr>
                <w:lang w:val="fr-FR"/>
              </w:rPr>
              <w:t>'</w:t>
            </w:r>
            <w:r w:rsidRPr="000229AD">
              <w:rPr>
                <w:lang w:val="fr-FR"/>
              </w:rPr>
              <w:t>élaboration d</w:t>
            </w:r>
            <w:r w:rsidR="00125408" w:rsidRPr="000229AD">
              <w:rPr>
                <w:lang w:val="fr-FR"/>
              </w:rPr>
              <w:t>'</w:t>
            </w:r>
            <w:r w:rsidRPr="000229AD">
              <w:rPr>
                <w:lang w:val="fr-FR"/>
              </w:rPr>
              <w:t>un plan national pour les télécommunications d</w:t>
            </w:r>
            <w:r w:rsidR="00125408" w:rsidRPr="000229AD">
              <w:rPr>
                <w:lang w:val="fr-FR"/>
              </w:rPr>
              <w:t>'</w:t>
            </w:r>
            <w:r w:rsidRPr="000229AD">
              <w:rPr>
                <w:lang w:val="fr-FR"/>
              </w:rPr>
              <w:t>urgence pour le Paraguay.</w:t>
            </w:r>
          </w:p>
          <w:p w14:paraId="3748CD9E" w14:textId="371ED86E" w:rsidR="008F0090" w:rsidRPr="000229AD" w:rsidRDefault="008F0090" w:rsidP="00716C22">
            <w:pPr>
              <w:pStyle w:val="Tabletext"/>
              <w:spacing w:before="240" w:after="120"/>
              <w:rPr>
                <w:lang w:val="fr-FR"/>
              </w:rPr>
            </w:pPr>
            <w:r w:rsidRPr="000229AD">
              <w:rPr>
                <w:b/>
                <w:bCs/>
                <w:lang w:val="fr-FR"/>
              </w:rPr>
              <w:t>AMS2: Amélioration et intensification des programmes de maîtrise des outils et compétences numériques et d</w:t>
            </w:r>
            <w:r w:rsidR="00125408" w:rsidRPr="000229AD">
              <w:rPr>
                <w:b/>
                <w:bCs/>
                <w:lang w:val="fr-FR"/>
              </w:rPr>
              <w:t>'</w:t>
            </w:r>
            <w:r w:rsidRPr="000229AD">
              <w:rPr>
                <w:b/>
                <w:bCs/>
                <w:lang w:val="fr-FR"/>
              </w:rPr>
              <w:t>inclusion numérique, en particulier pour les populations vulnérables</w:t>
            </w:r>
          </w:p>
          <w:p w14:paraId="7F04F2AC" w14:textId="695CDAED" w:rsidR="008F0090" w:rsidRPr="000229AD" w:rsidRDefault="008F0090" w:rsidP="00716C22">
            <w:pPr>
              <w:pStyle w:val="Tabletext"/>
              <w:tabs>
                <w:tab w:val="clear" w:pos="567"/>
                <w:tab w:val="clear" w:pos="851"/>
                <w:tab w:val="left" w:pos="751"/>
              </w:tabs>
              <w:spacing w:before="80" w:after="0"/>
              <w:ind w:left="284" w:hanging="284"/>
              <w:rPr>
                <w:lang w:val="fr-FR"/>
              </w:rPr>
            </w:pPr>
            <w:r w:rsidRPr="000229AD">
              <w:rPr>
                <w:lang w:val="fr-FR"/>
              </w:rPr>
              <w:t>•</w:t>
            </w:r>
            <w:r w:rsidRPr="000229AD">
              <w:rPr>
                <w:lang w:val="fr-FR"/>
              </w:rPr>
              <w:tab/>
              <w:t>Des projets portant sur le développement des compétences numériques des personnes vulnérables ont été mis en œuvre. En partenariat avec META, le projet "Americas Girls Can Code" a renforcé les compétences de plus de 2 300 filles et fourni un appui stratégique en matière d</w:t>
            </w:r>
            <w:r w:rsidR="00125408" w:rsidRPr="000229AD">
              <w:rPr>
                <w:lang w:val="fr-FR"/>
              </w:rPr>
              <w:t>'</w:t>
            </w:r>
            <w:r w:rsidRPr="000229AD">
              <w:rPr>
                <w:lang w:val="fr-FR"/>
              </w:rPr>
              <w:t>élaboration de politiques d</w:t>
            </w:r>
            <w:r w:rsidR="00125408" w:rsidRPr="000229AD">
              <w:rPr>
                <w:lang w:val="fr-FR"/>
              </w:rPr>
              <w:t>'</w:t>
            </w:r>
            <w:r w:rsidRPr="000229AD">
              <w:rPr>
                <w:lang w:val="fr-FR"/>
              </w:rPr>
              <w:t>égalité hommes-femmes à l</w:t>
            </w:r>
            <w:r w:rsidR="00125408" w:rsidRPr="000229AD">
              <w:rPr>
                <w:lang w:val="fr-FR"/>
              </w:rPr>
              <w:t>'</w:t>
            </w:r>
            <w:r w:rsidRPr="000229AD">
              <w:rPr>
                <w:lang w:val="fr-FR"/>
              </w:rPr>
              <w:t>Argentine, au Brésil, à l</w:t>
            </w:r>
            <w:r w:rsidR="00125408" w:rsidRPr="000229AD">
              <w:rPr>
                <w:lang w:val="fr-FR"/>
              </w:rPr>
              <w:t>'</w:t>
            </w:r>
            <w:r w:rsidRPr="000229AD">
              <w:rPr>
                <w:lang w:val="fr-FR"/>
              </w:rPr>
              <w:t>Équateur et au Mexique.</w:t>
            </w:r>
          </w:p>
          <w:p w14:paraId="7BDEAD3D" w14:textId="1B54C338" w:rsidR="008F0090" w:rsidRPr="000229AD" w:rsidRDefault="008F0090" w:rsidP="00716C22">
            <w:pPr>
              <w:pStyle w:val="Tabletext"/>
              <w:tabs>
                <w:tab w:val="clear" w:pos="567"/>
                <w:tab w:val="clear" w:pos="851"/>
                <w:tab w:val="left" w:pos="751"/>
              </w:tabs>
              <w:spacing w:before="80" w:after="0"/>
              <w:ind w:left="284" w:hanging="284"/>
              <w:rPr>
                <w:rFonts w:ascii="Calibri" w:eastAsia="Calibri" w:hAnsi="Calibri" w:cs="Calibri"/>
                <w:lang w:val="fr-FR"/>
              </w:rPr>
            </w:pPr>
            <w:r w:rsidRPr="000229AD">
              <w:rPr>
                <w:lang w:val="fr-FR"/>
              </w:rPr>
              <w:t>•</w:t>
            </w:r>
            <w:r w:rsidRPr="000229AD">
              <w:rPr>
                <w:lang w:val="fr-FR"/>
              </w:rPr>
              <w:tab/>
              <w:t>En partenariat avec la Fondation Gran Chaco, plus de 340 jeunes et femmes issus de communautés autochtones en Argentine, en Bolivie et au Paraguay ont bénéficié d</w:t>
            </w:r>
            <w:r w:rsidR="00125408" w:rsidRPr="000229AD">
              <w:rPr>
                <w:lang w:val="fr-FR"/>
              </w:rPr>
              <w:t>'</w:t>
            </w:r>
            <w:r w:rsidRPr="000229AD">
              <w:rPr>
                <w:lang w:val="fr-FR"/>
              </w:rPr>
              <w:t>activités de formation aux compétences numériques dans le cadre du projet "Inclusion numérique des jeunes").</w:t>
            </w:r>
          </w:p>
          <w:p w14:paraId="28A8E7A3" w14:textId="77777777" w:rsidR="008F0090" w:rsidRPr="000229AD" w:rsidRDefault="008F0090" w:rsidP="00716C22">
            <w:pPr>
              <w:pStyle w:val="Tabletext"/>
              <w:tabs>
                <w:tab w:val="clear" w:pos="567"/>
                <w:tab w:val="clear" w:pos="851"/>
                <w:tab w:val="left" w:pos="751"/>
              </w:tabs>
              <w:spacing w:before="80" w:after="0"/>
              <w:ind w:left="284" w:hanging="284"/>
              <w:rPr>
                <w:rFonts w:ascii="Calibri" w:eastAsia="Calibri" w:hAnsi="Calibri" w:cs="Calibri"/>
                <w:lang w:val="fr-FR"/>
              </w:rPr>
            </w:pPr>
            <w:r w:rsidRPr="000229AD">
              <w:rPr>
                <w:lang w:val="fr-FR"/>
              </w:rPr>
              <w:t>•</w:t>
            </w:r>
            <w:r w:rsidRPr="000229AD">
              <w:rPr>
                <w:lang w:val="fr-FR"/>
              </w:rPr>
              <w:tab/>
              <w:t>Le BDT-UIT a signé un accord avec Huawei pour appuyer la mise en œuvre des initiatives régionales de la région Amériques grâce à un financement de 150 000 USD pour la mise en œuvre de projets.</w:t>
            </w:r>
          </w:p>
          <w:p w14:paraId="72CB1009" w14:textId="1967C41A" w:rsidR="008F0090" w:rsidRPr="000229AD" w:rsidRDefault="008F0090" w:rsidP="00716C22">
            <w:pPr>
              <w:pStyle w:val="Tabletext"/>
              <w:tabs>
                <w:tab w:val="clear" w:pos="567"/>
                <w:tab w:val="clear" w:pos="851"/>
                <w:tab w:val="left" w:pos="751"/>
              </w:tabs>
              <w:spacing w:before="80" w:after="0"/>
              <w:ind w:left="284" w:hanging="284"/>
              <w:rPr>
                <w:rFonts w:ascii="Calibri" w:eastAsia="Calibri" w:hAnsi="Calibri" w:cs="Calibri"/>
                <w:lang w:val="fr-FR"/>
              </w:rPr>
            </w:pPr>
            <w:r w:rsidRPr="000229AD">
              <w:rPr>
                <w:lang w:val="fr-FR"/>
              </w:rPr>
              <w:t>•</w:t>
            </w:r>
            <w:r w:rsidRPr="000229AD">
              <w:rPr>
                <w:lang w:val="fr-FR"/>
              </w:rPr>
              <w:tab/>
              <w:t>Un projet de renforcement des capacités a été signé avec ICE, le fournisseur public d</w:t>
            </w:r>
            <w:r w:rsidR="00125408" w:rsidRPr="000229AD">
              <w:rPr>
                <w:lang w:val="fr-FR"/>
              </w:rPr>
              <w:t>'</w:t>
            </w:r>
            <w:r w:rsidRPr="000229AD">
              <w:rPr>
                <w:lang w:val="fr-FR"/>
              </w:rPr>
              <w:t>électricité et de services de télécommunication du Costa Rica.</w:t>
            </w:r>
          </w:p>
          <w:p w14:paraId="73330F78" w14:textId="0A791201" w:rsidR="008F0090" w:rsidRPr="000229AD" w:rsidRDefault="008F0090" w:rsidP="00716C22">
            <w:pPr>
              <w:pStyle w:val="Tabletext"/>
              <w:tabs>
                <w:tab w:val="clear" w:pos="567"/>
                <w:tab w:val="clear" w:pos="851"/>
                <w:tab w:val="left" w:pos="751"/>
              </w:tabs>
              <w:spacing w:before="80" w:after="0"/>
              <w:ind w:left="284" w:hanging="284"/>
              <w:rPr>
                <w:rFonts w:ascii="Calibri" w:eastAsia="Calibri" w:hAnsi="Calibri" w:cs="Calibri"/>
                <w:lang w:val="fr-FR"/>
              </w:rPr>
            </w:pPr>
            <w:r w:rsidRPr="000229AD">
              <w:rPr>
                <w:lang w:val="fr-FR"/>
              </w:rPr>
              <w:t>•</w:t>
            </w:r>
            <w:r w:rsidRPr="000229AD">
              <w:rPr>
                <w:lang w:val="fr-FR"/>
              </w:rPr>
              <w:tab/>
              <w:t>Des pays de la région ont appuyé les célébrations de la "Journée internationale des jeunes filles dans le secteur des TIC". En 2023, l</w:t>
            </w:r>
            <w:r w:rsidR="00125408" w:rsidRPr="000229AD">
              <w:rPr>
                <w:lang w:val="fr-FR"/>
              </w:rPr>
              <w:t>'</w:t>
            </w:r>
            <w:r w:rsidRPr="000229AD">
              <w:rPr>
                <w:lang w:val="fr-FR"/>
              </w:rPr>
              <w:t>initiative a connu une augmentation significative de la participation des jeunes filles issues de milieux divers, reflétant l</w:t>
            </w:r>
            <w:r w:rsidR="00125408" w:rsidRPr="000229AD">
              <w:rPr>
                <w:lang w:val="fr-FR"/>
              </w:rPr>
              <w:t>'</w:t>
            </w:r>
            <w:r w:rsidRPr="000229AD">
              <w:rPr>
                <w:lang w:val="fr-FR"/>
              </w:rPr>
              <w:t>intérêt croissant et la sensibilisation des jeunes femmes pour les carrières liées aux TIC. L</w:t>
            </w:r>
            <w:r w:rsidR="00125408" w:rsidRPr="000229AD">
              <w:rPr>
                <w:lang w:val="fr-FR"/>
              </w:rPr>
              <w:t>'</w:t>
            </w:r>
            <w:r w:rsidRPr="000229AD">
              <w:rPr>
                <w:lang w:val="fr-FR"/>
              </w:rPr>
              <w:t>initiative a permis aux jeunes filles de s</w:t>
            </w:r>
            <w:r w:rsidR="00125408" w:rsidRPr="000229AD">
              <w:rPr>
                <w:lang w:val="fr-FR"/>
              </w:rPr>
              <w:t>'</w:t>
            </w:r>
            <w:r w:rsidRPr="000229AD">
              <w:rPr>
                <w:lang w:val="fr-FR"/>
              </w:rPr>
              <w:t>inscrire dans un programme de mentorat avec des femmes influentes dans le secteur des TIC.</w:t>
            </w:r>
          </w:p>
          <w:p w14:paraId="08E56582" w14:textId="62F0A38C" w:rsidR="008F0090" w:rsidRPr="000229AD" w:rsidRDefault="008F0090" w:rsidP="00716C22">
            <w:pPr>
              <w:pStyle w:val="Tabletext"/>
              <w:spacing w:before="240" w:after="120"/>
              <w:rPr>
                <w:lang w:val="fr-FR"/>
              </w:rPr>
            </w:pPr>
            <w:r w:rsidRPr="000229AD">
              <w:rPr>
                <w:b/>
                <w:bCs/>
                <w:lang w:val="fr-FR"/>
              </w:rPr>
              <w:t>AMS3: Appui efficace à la transformation numérique et aux écosystèmes de l</w:t>
            </w:r>
            <w:r w:rsidR="00125408" w:rsidRPr="000229AD">
              <w:rPr>
                <w:b/>
                <w:bCs/>
                <w:lang w:val="fr-FR"/>
              </w:rPr>
              <w:t>'</w:t>
            </w:r>
            <w:r w:rsidRPr="000229AD">
              <w:rPr>
                <w:b/>
                <w:bCs/>
                <w:lang w:val="fr-FR"/>
              </w:rPr>
              <w:t>innovation dans le cadre de projets de connectivité modulables, financés et durables</w:t>
            </w:r>
          </w:p>
          <w:p w14:paraId="6373E9E4" w14:textId="7446F49F" w:rsidR="008F0090" w:rsidRPr="000229AD" w:rsidRDefault="008F0090" w:rsidP="00716C22">
            <w:pPr>
              <w:pStyle w:val="Tabletext"/>
              <w:tabs>
                <w:tab w:val="clear" w:pos="567"/>
              </w:tabs>
              <w:spacing w:before="80" w:after="0"/>
              <w:ind w:left="284" w:hanging="284"/>
              <w:rPr>
                <w:rFonts w:ascii="Calibri" w:eastAsia="Calibri" w:hAnsi="Calibri" w:cs="Calibri"/>
                <w:lang w:val="fr-FR"/>
              </w:rPr>
            </w:pPr>
            <w:r w:rsidRPr="000229AD">
              <w:rPr>
                <w:lang w:val="fr-FR"/>
              </w:rPr>
              <w:t>•</w:t>
            </w:r>
            <w:r w:rsidRPr="000229AD">
              <w:rPr>
                <w:lang w:val="fr-FR"/>
              </w:rPr>
              <w:tab/>
              <w:t>Le programme "Responsables des réseaux TIC dans les communautés autochtones et rurales" d</w:t>
            </w:r>
            <w:r w:rsidR="00125408" w:rsidRPr="000229AD">
              <w:rPr>
                <w:lang w:val="fr-FR"/>
              </w:rPr>
              <w:t>'</w:t>
            </w:r>
            <w:r w:rsidRPr="000229AD">
              <w:rPr>
                <w:lang w:val="fr-FR"/>
              </w:rPr>
              <w:t>Amérique latine pour la période 2023-2024 a été élaboré.</w:t>
            </w:r>
          </w:p>
          <w:p w14:paraId="70E0BC79" w14:textId="64C17BA7" w:rsidR="008F0090" w:rsidRPr="000229AD" w:rsidRDefault="008F0090" w:rsidP="00716C22">
            <w:pPr>
              <w:pStyle w:val="Tabletext"/>
              <w:tabs>
                <w:tab w:val="clear" w:pos="567"/>
              </w:tabs>
              <w:spacing w:before="80" w:after="0"/>
              <w:ind w:left="284" w:hanging="284"/>
              <w:rPr>
                <w:rFonts w:ascii="Calibri" w:eastAsia="Calibri" w:hAnsi="Calibri" w:cs="Calibri"/>
                <w:lang w:val="fr-FR"/>
              </w:rPr>
            </w:pPr>
            <w:r w:rsidRPr="000229AD">
              <w:rPr>
                <w:lang w:val="fr-FR"/>
              </w:rPr>
              <w:t>•</w:t>
            </w:r>
            <w:r w:rsidRPr="000229AD">
              <w:rPr>
                <w:lang w:val="fr-FR"/>
              </w:rPr>
              <w:tab/>
              <w:t>Le BDT-UIT a activement participé au Congrès latino-américain sur la transformation numérique organisé par ASIET et GSMA, qui s</w:t>
            </w:r>
            <w:r w:rsidR="00125408" w:rsidRPr="000229AD">
              <w:rPr>
                <w:lang w:val="fr-FR"/>
              </w:rPr>
              <w:t>'</w:t>
            </w:r>
            <w:r w:rsidRPr="000229AD">
              <w:rPr>
                <w:lang w:val="fr-FR"/>
              </w:rPr>
              <w:t>est tenu du 31 mai au 1</w:t>
            </w:r>
            <w:r w:rsidRPr="000229AD">
              <w:rPr>
                <w:vertAlign w:val="superscript"/>
                <w:lang w:val="fr-FR"/>
              </w:rPr>
              <w:t>er</w:t>
            </w:r>
            <w:r w:rsidRPr="000229AD">
              <w:rPr>
                <w:lang w:val="fr-FR"/>
              </w:rPr>
              <w:t> juin 2023, en présentant ses connaissances et l</w:t>
            </w:r>
            <w:r w:rsidR="00125408" w:rsidRPr="000229AD">
              <w:rPr>
                <w:lang w:val="fr-FR"/>
              </w:rPr>
              <w:t>'</w:t>
            </w:r>
            <w:r w:rsidRPr="000229AD">
              <w:rPr>
                <w:lang w:val="fr-FR"/>
              </w:rPr>
              <w:t>expérience qu</w:t>
            </w:r>
            <w:r w:rsidR="00125408" w:rsidRPr="000229AD">
              <w:rPr>
                <w:lang w:val="fr-FR"/>
              </w:rPr>
              <w:t>'</w:t>
            </w:r>
            <w:r w:rsidRPr="000229AD">
              <w:rPr>
                <w:lang w:val="fr-FR"/>
              </w:rPr>
              <w:t>elle a acquise dans les domaines de l</w:t>
            </w:r>
            <w:r w:rsidR="00125408" w:rsidRPr="000229AD">
              <w:rPr>
                <w:lang w:val="fr-FR"/>
              </w:rPr>
              <w:t>'</w:t>
            </w:r>
            <w:r w:rsidRPr="000229AD">
              <w:rPr>
                <w:lang w:val="fr-FR"/>
              </w:rPr>
              <w:t>accessibilité des TIC, l</w:t>
            </w:r>
            <w:r w:rsidR="00125408" w:rsidRPr="000229AD">
              <w:rPr>
                <w:lang w:val="fr-FR"/>
              </w:rPr>
              <w:t>'</w:t>
            </w:r>
            <w:r w:rsidRPr="000229AD">
              <w:rPr>
                <w:lang w:val="fr-FR"/>
              </w:rPr>
              <w:t>inclusion numérique et la mise en place d</w:t>
            </w:r>
            <w:r w:rsidR="00125408" w:rsidRPr="000229AD">
              <w:rPr>
                <w:lang w:val="fr-FR"/>
              </w:rPr>
              <w:t>'</w:t>
            </w:r>
            <w:r w:rsidRPr="000229AD">
              <w:rPr>
                <w:lang w:val="fr-FR"/>
              </w:rPr>
              <w:t>environnements réglementaires favorables dans la région.</w:t>
            </w:r>
          </w:p>
          <w:p w14:paraId="78AB5654" w14:textId="77777777" w:rsidR="008F0090" w:rsidRPr="000229AD" w:rsidRDefault="008F0090" w:rsidP="00716C22">
            <w:pPr>
              <w:pStyle w:val="Tabletext"/>
              <w:tabs>
                <w:tab w:val="clear" w:pos="567"/>
              </w:tabs>
              <w:spacing w:before="80" w:after="0"/>
              <w:ind w:left="284" w:hanging="284"/>
              <w:rPr>
                <w:rFonts w:ascii="Calibri" w:eastAsia="Calibri" w:hAnsi="Calibri" w:cs="Calibri"/>
                <w:lang w:val="fr-FR"/>
              </w:rPr>
            </w:pPr>
            <w:r w:rsidRPr="000229AD">
              <w:rPr>
                <w:lang w:val="fr-FR"/>
              </w:rPr>
              <w:t>•</w:t>
            </w:r>
            <w:r w:rsidRPr="000229AD">
              <w:rPr>
                <w:lang w:val="fr-FR"/>
              </w:rPr>
              <w:tab/>
              <w:t>Le Plan-cadre de coopération du Brésil a été signé.</w:t>
            </w:r>
          </w:p>
          <w:p w14:paraId="601BD5C4" w14:textId="2EBDFC8D" w:rsidR="008F0090" w:rsidRPr="000229AD" w:rsidRDefault="008F0090" w:rsidP="00716C22">
            <w:pPr>
              <w:pStyle w:val="Tabletext"/>
              <w:tabs>
                <w:tab w:val="clear" w:pos="567"/>
              </w:tabs>
              <w:spacing w:after="0"/>
              <w:ind w:left="284" w:hanging="284"/>
              <w:rPr>
                <w:rFonts w:ascii="Calibri" w:eastAsia="Calibri" w:hAnsi="Calibri" w:cs="Calibri"/>
                <w:lang w:val="fr-FR"/>
              </w:rPr>
            </w:pPr>
            <w:r w:rsidRPr="000229AD">
              <w:rPr>
                <w:lang w:val="fr-FR"/>
              </w:rPr>
              <w:lastRenderedPageBreak/>
              <w:t>•</w:t>
            </w:r>
            <w:r w:rsidRPr="000229AD">
              <w:rPr>
                <w:lang w:val="fr-FR"/>
              </w:rPr>
              <w:tab/>
              <w:t>En collaboration avec d</w:t>
            </w:r>
            <w:r w:rsidR="00125408" w:rsidRPr="000229AD">
              <w:rPr>
                <w:lang w:val="fr-FR"/>
              </w:rPr>
              <w:t>'</w:t>
            </w:r>
            <w:r w:rsidRPr="000229AD">
              <w:rPr>
                <w:lang w:val="fr-FR"/>
              </w:rPr>
              <w:t>autres institutions, fonds et programmes des Nations Unies, le BDT a présenté des projets en Colombie et en El Salvador pour financement dans le cadre de l</w:t>
            </w:r>
            <w:r w:rsidR="00125408" w:rsidRPr="000229AD">
              <w:rPr>
                <w:lang w:val="fr-FR"/>
              </w:rPr>
              <w:t>'</w:t>
            </w:r>
            <w:r w:rsidRPr="000229AD">
              <w:rPr>
                <w:lang w:val="fr-FR"/>
              </w:rPr>
              <w:t>enveloppe du Fonds commun pour les ODD dédiée aux projets numériques. En Colombie, la proposition conjointe entre l</w:t>
            </w:r>
            <w:r w:rsidR="00125408" w:rsidRPr="000229AD">
              <w:rPr>
                <w:lang w:val="fr-FR"/>
              </w:rPr>
              <w:t>'</w:t>
            </w:r>
            <w:r w:rsidRPr="000229AD">
              <w:rPr>
                <w:lang w:val="fr-FR"/>
              </w:rPr>
              <w:t>OIT, l</w:t>
            </w:r>
            <w:r w:rsidR="00125408" w:rsidRPr="000229AD">
              <w:rPr>
                <w:lang w:val="fr-FR"/>
              </w:rPr>
              <w:t>'</w:t>
            </w:r>
            <w:r w:rsidRPr="000229AD">
              <w:rPr>
                <w:lang w:val="fr-FR"/>
              </w:rPr>
              <w:t>UIT, le PNUD et le FNUAP a reçu la totalité des fonds demandés, et en El Salvador, la proposition conjointe entre l</w:t>
            </w:r>
            <w:r w:rsidR="00125408" w:rsidRPr="000229AD">
              <w:rPr>
                <w:lang w:val="fr-FR"/>
              </w:rPr>
              <w:t>'</w:t>
            </w:r>
            <w:r w:rsidRPr="000229AD">
              <w:rPr>
                <w:lang w:val="fr-FR"/>
              </w:rPr>
              <w:t>UIT, le FNUAP, l</w:t>
            </w:r>
            <w:r w:rsidR="00125408" w:rsidRPr="000229AD">
              <w:rPr>
                <w:lang w:val="fr-FR"/>
              </w:rPr>
              <w:t>'</w:t>
            </w:r>
            <w:r w:rsidRPr="000229AD">
              <w:rPr>
                <w:lang w:val="fr-FR"/>
              </w:rPr>
              <w:t>UNICEF et l</w:t>
            </w:r>
            <w:r w:rsidR="00125408" w:rsidRPr="000229AD">
              <w:rPr>
                <w:lang w:val="fr-FR"/>
              </w:rPr>
              <w:t>'</w:t>
            </w:r>
            <w:r w:rsidRPr="000229AD">
              <w:rPr>
                <w:lang w:val="fr-FR"/>
              </w:rPr>
              <w:t>OMS a reçu un financement initial de 250 000 USD. L</w:t>
            </w:r>
            <w:r w:rsidR="00125408" w:rsidRPr="000229AD">
              <w:rPr>
                <w:lang w:val="fr-FR"/>
              </w:rPr>
              <w:t>'</w:t>
            </w:r>
            <w:r w:rsidRPr="000229AD">
              <w:rPr>
                <w:lang w:val="fr-FR"/>
              </w:rPr>
              <w:t>UIT, la FAO et l</w:t>
            </w:r>
            <w:r w:rsidR="00125408" w:rsidRPr="000229AD">
              <w:rPr>
                <w:lang w:val="fr-FR"/>
              </w:rPr>
              <w:t>'</w:t>
            </w:r>
            <w:r w:rsidRPr="000229AD">
              <w:rPr>
                <w:lang w:val="fr-FR"/>
              </w:rPr>
              <w:t>UE ont signé le projet "Merian" sur l</w:t>
            </w:r>
            <w:r w:rsidR="00125408" w:rsidRPr="000229AD">
              <w:rPr>
                <w:lang w:val="fr-FR"/>
              </w:rPr>
              <w:t>'</w:t>
            </w:r>
            <w:r w:rsidRPr="000229AD">
              <w:rPr>
                <w:lang w:val="fr-FR"/>
              </w:rPr>
              <w:t>agriculture 5.0 pour El Salvador. Le budget total du projet s</w:t>
            </w:r>
            <w:r w:rsidR="00125408" w:rsidRPr="000229AD">
              <w:rPr>
                <w:lang w:val="fr-FR"/>
              </w:rPr>
              <w:t>'</w:t>
            </w:r>
            <w:r w:rsidRPr="000229AD">
              <w:rPr>
                <w:lang w:val="fr-FR"/>
              </w:rPr>
              <w:t>élève à</w:t>
            </w:r>
            <w:r w:rsidR="00D10AE5" w:rsidRPr="000229AD">
              <w:rPr>
                <w:lang w:val="fr-FR"/>
              </w:rPr>
              <w:t> </w:t>
            </w:r>
            <w:r w:rsidRPr="000229AD">
              <w:rPr>
                <w:lang w:val="fr-FR"/>
              </w:rPr>
              <w:t>5,2 millions EUR et l</w:t>
            </w:r>
            <w:r w:rsidR="00125408" w:rsidRPr="000229AD">
              <w:rPr>
                <w:lang w:val="fr-FR"/>
              </w:rPr>
              <w:t>'</w:t>
            </w:r>
            <w:r w:rsidRPr="000229AD">
              <w:rPr>
                <w:lang w:val="fr-FR"/>
              </w:rPr>
              <w:t>UIT mettra en œuvre des activités à hauteur de 1,09 million EUR.</w:t>
            </w:r>
          </w:p>
          <w:p w14:paraId="26E4A6C8" w14:textId="1747DD5E" w:rsidR="008F0090" w:rsidRPr="000229AD" w:rsidRDefault="008F0090" w:rsidP="00716C22">
            <w:pPr>
              <w:pStyle w:val="Tabletext"/>
              <w:spacing w:before="240" w:after="120"/>
              <w:rPr>
                <w:lang w:val="fr-FR"/>
              </w:rPr>
            </w:pPr>
            <w:r w:rsidRPr="000229AD">
              <w:rPr>
                <w:b/>
                <w:bCs/>
                <w:lang w:val="fr-FR"/>
              </w:rPr>
              <w:t>AMS4: Mise en place d</w:t>
            </w:r>
            <w:r w:rsidR="00125408" w:rsidRPr="000229AD">
              <w:rPr>
                <w:b/>
                <w:bCs/>
                <w:lang w:val="fr-FR"/>
              </w:rPr>
              <w:t>'</w:t>
            </w:r>
            <w:r w:rsidRPr="000229AD">
              <w:rPr>
                <w:b/>
                <w:bCs/>
                <w:lang w:val="fr-FR"/>
              </w:rPr>
              <w:t>environnements politiques et réglementaires propices pour connecter les personnes qui ne le sont pas encore grâce à des télécommunications/technologies de l</w:t>
            </w:r>
            <w:r w:rsidR="00125408" w:rsidRPr="000229AD">
              <w:rPr>
                <w:b/>
                <w:bCs/>
                <w:lang w:val="fr-FR"/>
              </w:rPr>
              <w:t>'</w:t>
            </w:r>
            <w:r w:rsidRPr="000229AD">
              <w:rPr>
                <w:b/>
                <w:bCs/>
                <w:lang w:val="fr-FR"/>
              </w:rPr>
              <w:t>information et de la communication accessibles et abordables qui favorisent la réalisation des Objectifs de développement durable et le passage à une économie numérique</w:t>
            </w:r>
          </w:p>
          <w:p w14:paraId="2CDF13AF" w14:textId="2975F154" w:rsidR="008F0090" w:rsidRPr="000229AD" w:rsidRDefault="008F0090" w:rsidP="00716C22">
            <w:pPr>
              <w:pStyle w:val="Tabletext"/>
              <w:tabs>
                <w:tab w:val="clear" w:pos="567"/>
              </w:tabs>
              <w:spacing w:before="80" w:after="0"/>
              <w:ind w:left="284" w:hanging="284"/>
              <w:rPr>
                <w:lang w:val="fr-FR"/>
              </w:rPr>
            </w:pPr>
            <w:r w:rsidRPr="000229AD">
              <w:rPr>
                <w:lang w:val="fr-FR"/>
              </w:rPr>
              <w:t>•</w:t>
            </w:r>
            <w:r w:rsidRPr="000229AD">
              <w:rPr>
                <w:lang w:val="fr-FR"/>
              </w:rPr>
              <w:tab/>
              <w:t>Une formation sur l</w:t>
            </w:r>
            <w:r w:rsidR="00125408" w:rsidRPr="000229AD">
              <w:rPr>
                <w:lang w:val="fr-FR"/>
              </w:rPr>
              <w:t>'</w:t>
            </w:r>
            <w:r w:rsidRPr="000229AD">
              <w:rPr>
                <w:lang w:val="fr-FR"/>
              </w:rPr>
              <w:t>inclusion financière numérique et les services financiers numériques a été dispensée en République dominicaine.</w:t>
            </w:r>
          </w:p>
          <w:p w14:paraId="0502EFED" w14:textId="0DDEEFD4" w:rsidR="008F0090" w:rsidRPr="000229AD" w:rsidRDefault="008F0090" w:rsidP="00716C22">
            <w:pPr>
              <w:pStyle w:val="Tabletext"/>
              <w:tabs>
                <w:tab w:val="clear" w:pos="567"/>
                <w:tab w:val="left" w:pos="751"/>
              </w:tabs>
              <w:spacing w:before="80" w:after="0"/>
              <w:ind w:left="284" w:hanging="284"/>
              <w:rPr>
                <w:lang w:val="fr-FR"/>
              </w:rPr>
            </w:pPr>
            <w:r w:rsidRPr="000229AD">
              <w:rPr>
                <w:lang w:val="fr-FR"/>
              </w:rPr>
              <w:t>•</w:t>
            </w:r>
            <w:r w:rsidRPr="000229AD">
              <w:rPr>
                <w:lang w:val="fr-FR"/>
              </w:rPr>
              <w:tab/>
              <w:t xml:space="preserve">Le </w:t>
            </w:r>
            <w:r w:rsidRPr="000229AD">
              <w:rPr>
                <w:b/>
                <w:bCs/>
                <w:lang w:val="fr-FR"/>
              </w:rPr>
              <w:t>Forum régional sur le développement pour les Amériques (RDF-AMS)</w:t>
            </w:r>
            <w:r w:rsidRPr="000229AD">
              <w:rPr>
                <w:lang w:val="fr-FR"/>
              </w:rPr>
              <w:t xml:space="preserve"> a été organisé par le BDT-UIT et accueilli par le Gouvernement d</w:t>
            </w:r>
            <w:r w:rsidR="00125408" w:rsidRPr="000229AD">
              <w:rPr>
                <w:lang w:val="fr-FR"/>
              </w:rPr>
              <w:t>'</w:t>
            </w:r>
            <w:r w:rsidRPr="000229AD">
              <w:rPr>
                <w:lang w:val="fr-FR"/>
              </w:rPr>
              <w:t>El Salvador. Le Forum s</w:t>
            </w:r>
            <w:r w:rsidR="00125408" w:rsidRPr="000229AD">
              <w:rPr>
                <w:lang w:val="fr-FR"/>
              </w:rPr>
              <w:t>'</w:t>
            </w:r>
            <w:r w:rsidRPr="000229AD">
              <w:rPr>
                <w:lang w:val="fr-FR"/>
              </w:rPr>
              <w:t>est tenu du 16 au 18 août 2023 à San Salvador en parallèle au colloque conjoint de l</w:t>
            </w:r>
            <w:r w:rsidR="00125408" w:rsidRPr="000229AD">
              <w:rPr>
                <w:lang w:val="fr-FR"/>
              </w:rPr>
              <w:t>'</w:t>
            </w:r>
            <w:r w:rsidRPr="000229AD">
              <w:rPr>
                <w:lang w:val="fr-FR"/>
              </w:rPr>
              <w:t>ITEC et de l</w:t>
            </w:r>
            <w:r w:rsidR="00125408" w:rsidRPr="000229AD">
              <w:rPr>
                <w:lang w:val="fr-FR"/>
              </w:rPr>
              <w:t>'</w:t>
            </w:r>
            <w:r w:rsidRPr="000229AD">
              <w:rPr>
                <w:lang w:val="fr-FR"/>
              </w:rPr>
              <w:t>UIT sur les nouvelles technologies et l</w:t>
            </w:r>
            <w:r w:rsidR="00125408" w:rsidRPr="000229AD">
              <w:rPr>
                <w:lang w:val="fr-FR"/>
              </w:rPr>
              <w:t>'</w:t>
            </w:r>
            <w:r w:rsidRPr="000229AD">
              <w:rPr>
                <w:lang w:val="fr-FR"/>
              </w:rPr>
              <w:t>Internet. 27 contributions ont été reçues et ont alimenté la plate-forme de soumission des engagements au titre de l</w:t>
            </w:r>
            <w:r w:rsidR="00125408" w:rsidRPr="000229AD">
              <w:rPr>
                <w:lang w:val="fr-FR"/>
              </w:rPr>
              <w:t>'</w:t>
            </w:r>
            <w:r w:rsidRPr="000229AD">
              <w:rPr>
                <w:lang w:val="fr-FR"/>
              </w:rPr>
              <w:t>initiative Partner2Connect. Lors du RDF, 147 contributions au titre de l</w:t>
            </w:r>
            <w:r w:rsidR="00125408" w:rsidRPr="000229AD">
              <w:rPr>
                <w:lang w:val="fr-FR"/>
              </w:rPr>
              <w:t>'</w:t>
            </w:r>
            <w:r w:rsidRPr="000229AD">
              <w:rPr>
                <w:lang w:val="fr-FR"/>
              </w:rPr>
              <w:t>initiative, d</w:t>
            </w:r>
            <w:r w:rsidR="00125408" w:rsidRPr="000229AD">
              <w:rPr>
                <w:lang w:val="fr-FR"/>
              </w:rPr>
              <w:t>'</w:t>
            </w:r>
            <w:r w:rsidRPr="000229AD">
              <w:rPr>
                <w:lang w:val="fr-FR"/>
              </w:rPr>
              <w:t>une valeur de 9,86 milliards USD, ont été annoncées sur la base des engagements pris par 91 entités de 39 pays, dont certains sont déjà mis en œuvre dans la région Amériques en vue d</w:t>
            </w:r>
            <w:r w:rsidR="00125408" w:rsidRPr="000229AD">
              <w:rPr>
                <w:lang w:val="fr-FR"/>
              </w:rPr>
              <w:t>'</w:t>
            </w:r>
            <w:r w:rsidRPr="000229AD">
              <w:rPr>
                <w:lang w:val="fr-FR"/>
              </w:rPr>
              <w:t>une connectivité efficace et de la transformation numérique. Le Forum a accueilli 268 participants provenant de 22 États Membres.</w:t>
            </w:r>
          </w:p>
          <w:p w14:paraId="5CBB1849" w14:textId="2633B46B" w:rsidR="008F0090" w:rsidRPr="000229AD" w:rsidRDefault="008F0090" w:rsidP="00716C22">
            <w:pPr>
              <w:pStyle w:val="Tabletext"/>
              <w:tabs>
                <w:tab w:val="clear" w:pos="567"/>
                <w:tab w:val="left" w:pos="751"/>
              </w:tabs>
              <w:spacing w:before="80" w:after="0"/>
              <w:ind w:left="284" w:hanging="284"/>
              <w:rPr>
                <w:rFonts w:ascii="Calibri" w:eastAsia="Calibri" w:hAnsi="Calibri" w:cs="Calibri"/>
                <w:lang w:val="fr-FR"/>
              </w:rPr>
            </w:pPr>
            <w:r w:rsidRPr="000229AD">
              <w:rPr>
                <w:lang w:val="fr-FR"/>
              </w:rPr>
              <w:t>•</w:t>
            </w:r>
            <w:r w:rsidRPr="000229AD">
              <w:rPr>
                <w:lang w:val="fr-FR"/>
              </w:rPr>
              <w:tab/>
              <w:t>Au cours de la réunion du Comité consultatif permanent I de la CITEL (PCC. I), le BDT-UIT a fourni un appui régional sur l</w:t>
            </w:r>
            <w:r w:rsidR="00125408" w:rsidRPr="000229AD">
              <w:rPr>
                <w:lang w:val="fr-FR"/>
              </w:rPr>
              <w:t>'</w:t>
            </w:r>
            <w:r w:rsidRPr="000229AD">
              <w:rPr>
                <w:lang w:val="fr-FR"/>
              </w:rPr>
              <w:t>approche novatrice du bac à sable réglementaire et a organisé un atelier à l</w:t>
            </w:r>
            <w:r w:rsidR="00125408" w:rsidRPr="000229AD">
              <w:rPr>
                <w:lang w:val="fr-FR"/>
              </w:rPr>
              <w:t>'</w:t>
            </w:r>
            <w:r w:rsidRPr="000229AD">
              <w:rPr>
                <w:lang w:val="fr-FR"/>
              </w:rPr>
              <w:t>intention des pays participants.</w:t>
            </w:r>
          </w:p>
          <w:p w14:paraId="109F8369" w14:textId="31502C97" w:rsidR="008F0090" w:rsidRPr="000229AD" w:rsidRDefault="008F0090" w:rsidP="00716C22">
            <w:pPr>
              <w:pStyle w:val="Tabletext"/>
              <w:spacing w:before="240" w:after="120"/>
              <w:rPr>
                <w:lang w:val="fr-FR"/>
              </w:rPr>
            </w:pPr>
            <w:r w:rsidRPr="000229AD">
              <w:rPr>
                <w:b/>
                <w:bCs/>
                <w:lang w:val="fr-FR"/>
              </w:rPr>
              <w:t>Bureau régional de l</w:t>
            </w:r>
            <w:r w:rsidR="00125408" w:rsidRPr="000229AD">
              <w:rPr>
                <w:b/>
                <w:bCs/>
                <w:lang w:val="fr-FR"/>
              </w:rPr>
              <w:t>'</w:t>
            </w:r>
            <w:r w:rsidRPr="000229AD">
              <w:rPr>
                <w:b/>
                <w:bCs/>
                <w:lang w:val="fr-FR"/>
              </w:rPr>
              <w:t>UIT pour les États arabes</w:t>
            </w:r>
          </w:p>
          <w:p w14:paraId="52811348" w14:textId="0F50F2E9" w:rsidR="008F0090" w:rsidRPr="000229AD" w:rsidRDefault="008F0090" w:rsidP="00716C22">
            <w:pPr>
              <w:pStyle w:val="Tabletext"/>
              <w:rPr>
                <w:lang w:val="fr-FR"/>
              </w:rPr>
            </w:pPr>
            <w:r w:rsidRPr="000229AD">
              <w:rPr>
                <w:lang w:val="fr-FR"/>
              </w:rPr>
              <w:t>Le Bureau régional pour les États arabes a été l</w:t>
            </w:r>
            <w:r w:rsidR="00125408" w:rsidRPr="000229AD">
              <w:rPr>
                <w:lang w:val="fr-FR"/>
              </w:rPr>
              <w:t>'</w:t>
            </w:r>
            <w:r w:rsidRPr="000229AD">
              <w:rPr>
                <w:lang w:val="fr-FR"/>
              </w:rPr>
              <w:t>initiateur de divers projets et initiatives dans toute la région, visant à accélérer la transformation numérique et à promouvoir une économie numérique durable. Les actions menées s</w:t>
            </w:r>
            <w:r w:rsidR="00125408" w:rsidRPr="000229AD">
              <w:rPr>
                <w:lang w:val="fr-FR"/>
              </w:rPr>
              <w:t>'</w:t>
            </w:r>
            <w:r w:rsidRPr="000229AD">
              <w:rPr>
                <w:lang w:val="fr-FR"/>
              </w:rPr>
              <w:t>inscrivent dans le droit fil des cinq initiatives régionales définies dans le Plan d</w:t>
            </w:r>
            <w:r w:rsidR="00125408" w:rsidRPr="000229AD">
              <w:rPr>
                <w:lang w:val="fr-FR"/>
              </w:rPr>
              <w:t>'</w:t>
            </w:r>
            <w:r w:rsidRPr="000229AD">
              <w:rPr>
                <w:lang w:val="fr-FR"/>
              </w:rPr>
              <w:t>action de Kigali, axées sur le renforcement des économies numériques, la cybersécurité, le développement des villes intelligentes, la promotion de l</w:t>
            </w:r>
            <w:r w:rsidR="00125408" w:rsidRPr="000229AD">
              <w:rPr>
                <w:lang w:val="fr-FR"/>
              </w:rPr>
              <w:t>'</w:t>
            </w:r>
            <w:r w:rsidRPr="000229AD">
              <w:rPr>
                <w:lang w:val="fr-FR"/>
              </w:rPr>
              <w:t>innovation et la formulation de cadres réglementaires pour le numérique. Les principales activités et réalisations au titre des initiatives régionales, qui témoignent de la volonté de l</w:t>
            </w:r>
            <w:r w:rsidR="00125408" w:rsidRPr="000229AD">
              <w:rPr>
                <w:lang w:val="fr-FR"/>
              </w:rPr>
              <w:t>'</w:t>
            </w:r>
            <w:r w:rsidRPr="000229AD">
              <w:rPr>
                <w:lang w:val="fr-FR"/>
              </w:rPr>
              <w:t>UIT de faire progresser les télécommunications et la technologie dans la région des États arabes, sont les suivantes.</w:t>
            </w:r>
          </w:p>
          <w:p w14:paraId="3CCD9D94" w14:textId="77777777" w:rsidR="008F0090" w:rsidRPr="000229AD" w:rsidRDefault="008F0090" w:rsidP="00716C22">
            <w:pPr>
              <w:pStyle w:val="Tabletext"/>
              <w:spacing w:before="240" w:after="120"/>
              <w:rPr>
                <w:lang w:val="fr-FR"/>
              </w:rPr>
            </w:pPr>
            <w:r w:rsidRPr="000229AD">
              <w:rPr>
                <w:b/>
                <w:bCs/>
                <w:lang w:val="fr-FR"/>
              </w:rPr>
              <w:t>ARB1: Initiative régionale 1: Parvenir à une économie numérique durable grâce à la transformation numérique</w:t>
            </w:r>
          </w:p>
          <w:p w14:paraId="37230A3D" w14:textId="72272047" w:rsidR="008F0090" w:rsidRPr="000229AD" w:rsidRDefault="008F0090" w:rsidP="00716C22">
            <w:pPr>
              <w:pStyle w:val="Tabletext"/>
              <w:spacing w:before="80" w:after="0"/>
              <w:ind w:left="284" w:hanging="284"/>
              <w:rPr>
                <w:lang w:val="fr-FR"/>
              </w:rPr>
            </w:pPr>
            <w:r w:rsidRPr="000229AD">
              <w:rPr>
                <w:lang w:val="fr-FR"/>
              </w:rPr>
              <w:t>•</w:t>
            </w:r>
            <w:r w:rsidRPr="000229AD">
              <w:rPr>
                <w:lang w:val="fr-FR"/>
              </w:rPr>
              <w:tab/>
              <w:t>Le BDT a organisé le GSR-23 qui portait cette année sur le thème "La réglementation au service d</w:t>
            </w:r>
            <w:r w:rsidR="00125408" w:rsidRPr="000229AD">
              <w:rPr>
                <w:lang w:val="fr-FR"/>
              </w:rPr>
              <w:t>'</w:t>
            </w:r>
            <w:r w:rsidRPr="000229AD">
              <w:rPr>
                <w:lang w:val="fr-FR"/>
              </w:rPr>
              <w:t>un avenir numérique durable". Accueilli par l</w:t>
            </w:r>
            <w:r w:rsidR="00125408" w:rsidRPr="000229AD">
              <w:rPr>
                <w:lang w:val="fr-FR"/>
              </w:rPr>
              <w:t>'</w:t>
            </w:r>
            <w:r w:rsidRPr="000229AD">
              <w:rPr>
                <w:lang w:val="fr-FR"/>
              </w:rPr>
              <w:t>Égypte, le colloque a démontré la volonté du pays de stimuler les échanges sur les télécommunications internationales.</w:t>
            </w:r>
          </w:p>
          <w:p w14:paraId="564C86F9" w14:textId="40D89C1E" w:rsidR="008F0090" w:rsidRPr="000229AD" w:rsidRDefault="008F0090" w:rsidP="00716C22">
            <w:pPr>
              <w:pStyle w:val="Tabletext"/>
              <w:spacing w:after="0"/>
              <w:ind w:left="284" w:hanging="284"/>
              <w:rPr>
                <w:lang w:val="fr-FR"/>
              </w:rPr>
            </w:pPr>
            <w:r w:rsidRPr="000229AD">
              <w:rPr>
                <w:lang w:val="fr-FR"/>
              </w:rPr>
              <w:lastRenderedPageBreak/>
              <w:t>•</w:t>
            </w:r>
            <w:r w:rsidRPr="000229AD">
              <w:rPr>
                <w:lang w:val="fr-FR"/>
              </w:rPr>
              <w:tab/>
              <w:t>Oman a achevé son profil d</w:t>
            </w:r>
            <w:r w:rsidR="00125408" w:rsidRPr="000229AD">
              <w:rPr>
                <w:lang w:val="fr-FR"/>
              </w:rPr>
              <w:t>'</w:t>
            </w:r>
            <w:r w:rsidRPr="000229AD">
              <w:rPr>
                <w:lang w:val="fr-FR"/>
              </w:rPr>
              <w:t>innovation numérique, une étape importante vers la compréhension et l</w:t>
            </w:r>
            <w:r w:rsidR="00125408" w:rsidRPr="000229AD">
              <w:rPr>
                <w:lang w:val="fr-FR"/>
              </w:rPr>
              <w:t>'</w:t>
            </w:r>
            <w:r w:rsidRPr="000229AD">
              <w:rPr>
                <w:lang w:val="fr-FR"/>
              </w:rPr>
              <w:t>amélioration de son environnement numérique.</w:t>
            </w:r>
          </w:p>
          <w:p w14:paraId="50E2DCDE" w14:textId="0062134D" w:rsidR="008F0090" w:rsidRPr="000229AD" w:rsidRDefault="008F0090" w:rsidP="00716C22">
            <w:pPr>
              <w:pStyle w:val="Tabletext"/>
              <w:spacing w:before="80" w:after="0"/>
              <w:ind w:left="284" w:hanging="284"/>
              <w:rPr>
                <w:rFonts w:ascii="Calibri" w:hAnsi="Calibri" w:cs="Calibri"/>
                <w:lang w:val="fr-FR"/>
              </w:rPr>
            </w:pPr>
            <w:r w:rsidRPr="000229AD">
              <w:rPr>
                <w:lang w:val="fr-FR"/>
              </w:rPr>
              <w:t>•</w:t>
            </w:r>
            <w:r w:rsidRPr="000229AD">
              <w:rPr>
                <w:lang w:val="fr-FR"/>
              </w:rPr>
              <w:tab/>
              <w:t>La Tunisie a soutenu l</w:t>
            </w:r>
            <w:r w:rsidR="00125408" w:rsidRPr="000229AD">
              <w:rPr>
                <w:lang w:val="fr-FR"/>
              </w:rPr>
              <w:t>'</w:t>
            </w:r>
            <w:r w:rsidRPr="000229AD">
              <w:rPr>
                <w:lang w:val="fr-FR"/>
              </w:rPr>
              <w:t>innovation et l</w:t>
            </w:r>
            <w:r w:rsidR="00125408" w:rsidRPr="000229AD">
              <w:rPr>
                <w:lang w:val="fr-FR"/>
              </w:rPr>
              <w:t>'</w:t>
            </w:r>
            <w:r w:rsidRPr="000229AD">
              <w:rPr>
                <w:lang w:val="fr-FR"/>
              </w:rPr>
              <w:t>esprit d</w:t>
            </w:r>
            <w:r w:rsidR="00125408" w:rsidRPr="000229AD">
              <w:rPr>
                <w:lang w:val="fr-FR"/>
              </w:rPr>
              <w:t>'</w:t>
            </w:r>
            <w:r w:rsidRPr="000229AD">
              <w:rPr>
                <w:lang w:val="fr-FR"/>
              </w:rPr>
              <w:t>entreprise au moyen de missions "d</w:t>
            </w:r>
            <w:r w:rsidR="00125408" w:rsidRPr="000229AD">
              <w:rPr>
                <w:lang w:val="fr-FR"/>
              </w:rPr>
              <w:t>'</w:t>
            </w:r>
            <w:r w:rsidRPr="000229AD">
              <w:rPr>
                <w:lang w:val="fr-FR"/>
              </w:rPr>
              <w:t>atterrissage en douceur", qui ont mis en avant le potentiel des startups émergentes et favorisé la collaboration transfrontière dans la région des États arabes.</w:t>
            </w:r>
          </w:p>
          <w:p w14:paraId="2A400565" w14:textId="6B19A2F2" w:rsidR="008F0090" w:rsidRPr="000229AD" w:rsidRDefault="008F0090" w:rsidP="00716C22">
            <w:pPr>
              <w:pStyle w:val="Tabletext"/>
              <w:spacing w:before="80" w:after="0"/>
              <w:ind w:left="284" w:hanging="284"/>
              <w:rPr>
                <w:rFonts w:ascii="Calibri" w:hAnsi="Calibri" w:cs="Calibri"/>
                <w:lang w:val="fr-FR"/>
              </w:rPr>
            </w:pPr>
            <w:r w:rsidRPr="000229AD">
              <w:rPr>
                <w:lang w:val="fr-FR"/>
              </w:rPr>
              <w:t>•</w:t>
            </w:r>
            <w:r w:rsidRPr="000229AD">
              <w:rPr>
                <w:lang w:val="fr-FR"/>
              </w:rPr>
              <w:tab/>
              <w:t>Le BDT a renforcé les capacités de la Jordanie pour accélérer la transformation numérique et le développement socio</w:t>
            </w:r>
            <w:r w:rsidRPr="000229AD">
              <w:rPr>
                <w:lang w:val="fr-FR"/>
              </w:rPr>
              <w:noBreakHyphen/>
              <w:t>économique durable dans le secteur de la santé en élaborant, en collaboration avec l</w:t>
            </w:r>
            <w:r w:rsidR="00125408" w:rsidRPr="000229AD">
              <w:rPr>
                <w:lang w:val="fr-FR"/>
              </w:rPr>
              <w:t>'</w:t>
            </w:r>
            <w:r w:rsidRPr="000229AD">
              <w:rPr>
                <w:lang w:val="fr-FR"/>
              </w:rPr>
              <w:t>OMS, une stratégie nationale de santé numérique.</w:t>
            </w:r>
          </w:p>
          <w:p w14:paraId="751BB7E0" w14:textId="28BC0B72" w:rsidR="008F0090" w:rsidRPr="000229AD" w:rsidRDefault="008F0090" w:rsidP="00716C22">
            <w:pPr>
              <w:pStyle w:val="Tabletext"/>
              <w:spacing w:before="80" w:after="0"/>
              <w:ind w:left="284" w:hanging="284"/>
              <w:rPr>
                <w:rFonts w:ascii="Calibri" w:hAnsi="Calibri" w:cs="Calibri"/>
                <w:lang w:val="fr-FR"/>
              </w:rPr>
            </w:pPr>
            <w:r w:rsidRPr="000229AD">
              <w:rPr>
                <w:lang w:val="fr-FR"/>
              </w:rPr>
              <w:t>•</w:t>
            </w:r>
            <w:r w:rsidRPr="000229AD">
              <w:rPr>
                <w:lang w:val="fr-FR"/>
              </w:rPr>
              <w:tab/>
              <w:t>Une étude d</w:t>
            </w:r>
            <w:r w:rsidR="00125408" w:rsidRPr="000229AD">
              <w:rPr>
                <w:lang w:val="fr-FR"/>
              </w:rPr>
              <w:t>'</w:t>
            </w:r>
            <w:r w:rsidRPr="000229AD">
              <w:rPr>
                <w:lang w:val="fr-FR"/>
              </w:rPr>
              <w:t>évaluation sur l</w:t>
            </w:r>
            <w:r w:rsidR="00125408" w:rsidRPr="000229AD">
              <w:rPr>
                <w:lang w:val="fr-FR"/>
              </w:rPr>
              <w:t>'</w:t>
            </w:r>
            <w:r w:rsidRPr="000229AD">
              <w:rPr>
                <w:lang w:val="fr-FR"/>
              </w:rPr>
              <w:t>environnement favorable à l</w:t>
            </w:r>
            <w:r w:rsidR="00125408" w:rsidRPr="000229AD">
              <w:rPr>
                <w:lang w:val="fr-FR"/>
              </w:rPr>
              <w:t>'</w:t>
            </w:r>
            <w:r w:rsidRPr="000229AD">
              <w:rPr>
                <w:lang w:val="fr-FR"/>
              </w:rPr>
              <w:t>écosystème des technologies immersives en Jordanie, élaboré en partenariat avec la Commission économique et sociale pour l</w:t>
            </w:r>
            <w:r w:rsidR="00125408" w:rsidRPr="000229AD">
              <w:rPr>
                <w:lang w:val="fr-FR"/>
              </w:rPr>
              <w:t>'</w:t>
            </w:r>
            <w:r w:rsidRPr="000229AD">
              <w:rPr>
                <w:lang w:val="fr-FR"/>
              </w:rPr>
              <w:t>Asie occidentale (CESAO), a également visé à renforcer les capacités du pays pour la transformation numérique et le développement socio-économique.</w:t>
            </w:r>
          </w:p>
          <w:p w14:paraId="4369F174" w14:textId="29A33153" w:rsidR="008F0090" w:rsidRPr="000229AD" w:rsidRDefault="008F0090" w:rsidP="00716C22">
            <w:pPr>
              <w:pStyle w:val="Tabletext"/>
              <w:spacing w:before="80" w:after="0"/>
              <w:ind w:left="284" w:hanging="284"/>
              <w:rPr>
                <w:rFonts w:ascii="Calibri" w:hAnsi="Calibri" w:cs="Calibri"/>
                <w:lang w:val="fr-FR"/>
              </w:rPr>
            </w:pPr>
            <w:r w:rsidRPr="000229AD">
              <w:rPr>
                <w:lang w:val="fr-FR"/>
              </w:rPr>
              <w:t>•</w:t>
            </w:r>
            <w:r w:rsidRPr="000229AD">
              <w:rPr>
                <w:lang w:val="fr-FR"/>
              </w:rPr>
              <w:tab/>
              <w:t>La collaboration et les partenariats dans le domaine des solutions innovantes en matière de cyberagriculture ont par ailleurs été renforcés lors du forum conjoint entre l</w:t>
            </w:r>
            <w:r w:rsidR="00125408" w:rsidRPr="000229AD">
              <w:rPr>
                <w:lang w:val="fr-FR"/>
              </w:rPr>
              <w:t>'</w:t>
            </w:r>
            <w:r w:rsidRPr="000229AD">
              <w:rPr>
                <w:lang w:val="fr-FR"/>
              </w:rPr>
              <w:t>UIT et la FAO sur les solutions de cyberagriculture qui s</w:t>
            </w:r>
            <w:r w:rsidR="00125408" w:rsidRPr="000229AD">
              <w:rPr>
                <w:lang w:val="fr-FR"/>
              </w:rPr>
              <w:t>'</w:t>
            </w:r>
            <w:r w:rsidRPr="000229AD">
              <w:rPr>
                <w:lang w:val="fr-FR"/>
              </w:rPr>
              <w:t>est tenu à Amman (Jordanie) du 10 au 12 juillet 2023.</w:t>
            </w:r>
          </w:p>
          <w:p w14:paraId="5260CA54" w14:textId="32A31FA4" w:rsidR="008F0090" w:rsidRPr="000229AD" w:rsidRDefault="008F0090" w:rsidP="00716C22">
            <w:pPr>
              <w:pStyle w:val="Tabletext"/>
              <w:spacing w:before="80" w:after="0"/>
              <w:ind w:left="284" w:hanging="284"/>
              <w:rPr>
                <w:rFonts w:ascii="Calibri" w:hAnsi="Calibri" w:cs="Calibri"/>
                <w:lang w:val="fr-FR"/>
              </w:rPr>
            </w:pPr>
            <w:r w:rsidRPr="000229AD">
              <w:rPr>
                <w:lang w:val="fr-FR"/>
              </w:rPr>
              <w:t>•</w:t>
            </w:r>
            <w:r w:rsidRPr="000229AD">
              <w:rPr>
                <w:lang w:val="fr-FR"/>
              </w:rPr>
              <w:tab/>
              <w:t>Le Réseau des femmes a lancé sa stratégie et son plan d</w:t>
            </w:r>
            <w:r w:rsidR="00125408" w:rsidRPr="000229AD">
              <w:rPr>
                <w:lang w:val="fr-FR"/>
              </w:rPr>
              <w:t>'</w:t>
            </w:r>
            <w:r w:rsidRPr="000229AD">
              <w:rPr>
                <w:lang w:val="fr-FR"/>
              </w:rPr>
              <w:t>action 2024. Dans le cadre de la mise en œuvre du plan d</w:t>
            </w:r>
            <w:r w:rsidR="00125408" w:rsidRPr="000229AD">
              <w:rPr>
                <w:lang w:val="fr-FR"/>
              </w:rPr>
              <w:t>'</w:t>
            </w:r>
            <w:r w:rsidRPr="000229AD">
              <w:rPr>
                <w:lang w:val="fr-FR"/>
              </w:rPr>
              <w:t>action, trois ateliers ont été organisés en collaboration avec Ogéro-Liban avec pour objectif de renforcer l</w:t>
            </w:r>
            <w:r w:rsidR="00125408" w:rsidRPr="000229AD">
              <w:rPr>
                <w:lang w:val="fr-FR"/>
              </w:rPr>
              <w:t>'</w:t>
            </w:r>
            <w:r w:rsidRPr="000229AD">
              <w:rPr>
                <w:lang w:val="fr-FR"/>
              </w:rPr>
              <w:t>esprit d</w:t>
            </w:r>
            <w:r w:rsidR="00125408" w:rsidRPr="000229AD">
              <w:rPr>
                <w:lang w:val="fr-FR"/>
              </w:rPr>
              <w:t>'</w:t>
            </w:r>
            <w:r w:rsidRPr="000229AD">
              <w:rPr>
                <w:lang w:val="fr-FR"/>
              </w:rPr>
              <w:t>initiative des femmes et les compétences de ces dernières en matière de communication et d</w:t>
            </w:r>
            <w:r w:rsidR="00125408" w:rsidRPr="000229AD">
              <w:rPr>
                <w:lang w:val="fr-FR"/>
              </w:rPr>
              <w:t>'</w:t>
            </w:r>
            <w:r w:rsidRPr="000229AD">
              <w:rPr>
                <w:lang w:val="fr-FR"/>
              </w:rPr>
              <w:t>exercice de l</w:t>
            </w:r>
            <w:r w:rsidR="00125408" w:rsidRPr="000229AD">
              <w:rPr>
                <w:lang w:val="fr-FR"/>
              </w:rPr>
              <w:t>'</w:t>
            </w:r>
            <w:r w:rsidRPr="000229AD">
              <w:rPr>
                <w:lang w:val="fr-FR"/>
              </w:rPr>
              <w:t>autorité dans la région des États arabes.</w:t>
            </w:r>
          </w:p>
          <w:p w14:paraId="663ED487" w14:textId="0D3C7C36" w:rsidR="008F0090" w:rsidRPr="000229AD" w:rsidRDefault="008F0090" w:rsidP="00716C22">
            <w:pPr>
              <w:pStyle w:val="Tabletext"/>
              <w:spacing w:before="80" w:after="0"/>
              <w:ind w:left="284" w:hanging="284"/>
              <w:rPr>
                <w:rFonts w:ascii="Calibri" w:hAnsi="Calibri" w:cs="Calibri"/>
                <w:lang w:val="fr-FR"/>
              </w:rPr>
            </w:pPr>
            <w:r w:rsidRPr="000229AD">
              <w:rPr>
                <w:lang w:val="fr-FR"/>
              </w:rPr>
              <w:t>•</w:t>
            </w:r>
            <w:r w:rsidRPr="000229AD">
              <w:rPr>
                <w:lang w:val="fr-FR"/>
              </w:rPr>
              <w:tab/>
              <w:t>Une formation à suivre à son rythme intitulée "Au-delà des villes intelligentes" est désormais disponible en arabe sur la plate</w:t>
            </w:r>
            <w:r w:rsidRPr="000229AD">
              <w:rPr>
                <w:lang w:val="fr-FR"/>
              </w:rPr>
              <w:noBreakHyphen/>
              <w:t>forme de l</w:t>
            </w:r>
            <w:r w:rsidR="00125408" w:rsidRPr="000229AD">
              <w:rPr>
                <w:lang w:val="fr-FR"/>
              </w:rPr>
              <w:t>'</w:t>
            </w:r>
            <w:r w:rsidRPr="000229AD">
              <w:rPr>
                <w:lang w:val="fr-FR"/>
              </w:rPr>
              <w:t>Académie de l</w:t>
            </w:r>
            <w:r w:rsidR="00125408" w:rsidRPr="000229AD">
              <w:rPr>
                <w:lang w:val="fr-FR"/>
              </w:rPr>
              <w:t>'</w:t>
            </w:r>
            <w:r w:rsidRPr="000229AD">
              <w:rPr>
                <w:lang w:val="fr-FR"/>
              </w:rPr>
              <w:t>UIT. Elle vise à promouvoir l</w:t>
            </w:r>
            <w:r w:rsidR="00125408" w:rsidRPr="000229AD">
              <w:rPr>
                <w:lang w:val="fr-FR"/>
              </w:rPr>
              <w:t>'</w:t>
            </w:r>
            <w:r w:rsidRPr="000229AD">
              <w:rPr>
                <w:lang w:val="fr-FR"/>
              </w:rPr>
              <w:t>accessibilité numérique pour les personnes ayant des besoins particuliers.</w:t>
            </w:r>
          </w:p>
          <w:p w14:paraId="136C1AFC" w14:textId="1AA6846A" w:rsidR="008F0090" w:rsidRPr="000229AD" w:rsidRDefault="008F0090" w:rsidP="00716C22">
            <w:pPr>
              <w:pStyle w:val="Tabletext"/>
              <w:spacing w:before="80" w:after="0"/>
              <w:ind w:left="284" w:hanging="284"/>
              <w:rPr>
                <w:rFonts w:ascii="Calibri" w:hAnsi="Calibri" w:cs="Calibri"/>
                <w:lang w:val="fr-FR"/>
              </w:rPr>
            </w:pPr>
            <w:r w:rsidRPr="000229AD">
              <w:rPr>
                <w:lang w:val="fr-FR"/>
              </w:rPr>
              <w:t>•</w:t>
            </w:r>
            <w:r w:rsidRPr="000229AD">
              <w:rPr>
                <w:lang w:val="fr-FR"/>
              </w:rPr>
              <w:tab/>
              <w:t>La troisième édition du rapport "États arabes accessibles", qui a été publiée en novembre 2023, a permis de sensibiliser les membres à l</w:t>
            </w:r>
            <w:r w:rsidR="00125408" w:rsidRPr="000229AD">
              <w:rPr>
                <w:lang w:val="fr-FR"/>
              </w:rPr>
              <w:t>'</w:t>
            </w:r>
            <w:r w:rsidRPr="000229AD">
              <w:rPr>
                <w:lang w:val="fr-FR"/>
              </w:rPr>
              <w:t>accessibilité des TIC. Ce nouveau rapport a également renforcé la volonté politique en faveur des politiques nationales dans des pays comme le Maroc et la Palestine, tout en renforçant les partenariats avec la CESAO.</w:t>
            </w:r>
          </w:p>
          <w:p w14:paraId="3553E427" w14:textId="3CD267EB" w:rsidR="008F0090" w:rsidRPr="000229AD" w:rsidRDefault="008F0090" w:rsidP="00716C22">
            <w:pPr>
              <w:pStyle w:val="Tabletext"/>
              <w:spacing w:before="80" w:after="0"/>
              <w:ind w:left="284" w:hanging="284"/>
              <w:rPr>
                <w:lang w:val="fr-FR"/>
              </w:rPr>
            </w:pPr>
            <w:r w:rsidRPr="000229AD">
              <w:rPr>
                <w:lang w:val="fr-FR"/>
              </w:rPr>
              <w:t>•</w:t>
            </w:r>
            <w:r w:rsidRPr="000229AD">
              <w:rPr>
                <w:lang w:val="fr-FR"/>
              </w:rPr>
              <w:tab/>
              <w:t>L</w:t>
            </w:r>
            <w:r w:rsidR="00125408" w:rsidRPr="000229AD">
              <w:rPr>
                <w:lang w:val="fr-FR"/>
              </w:rPr>
              <w:t>'</w:t>
            </w:r>
            <w:r w:rsidRPr="000229AD">
              <w:rPr>
                <w:lang w:val="fr-FR"/>
              </w:rPr>
              <w:t>organisation de la Journée internationale des jeunes filles dans le secteur des TIC a permis de renforcer les partenariats avec des États Membres tels que l</w:t>
            </w:r>
            <w:r w:rsidR="00125408" w:rsidRPr="000229AD">
              <w:rPr>
                <w:lang w:val="fr-FR"/>
              </w:rPr>
              <w:t>'</w:t>
            </w:r>
            <w:r w:rsidRPr="000229AD">
              <w:rPr>
                <w:lang w:val="fr-FR"/>
              </w:rPr>
              <w:t>Égypte, la Mauritanie, la Somalie et l</w:t>
            </w:r>
            <w:r w:rsidR="00125408" w:rsidRPr="000229AD">
              <w:rPr>
                <w:lang w:val="fr-FR"/>
              </w:rPr>
              <w:t>'</w:t>
            </w:r>
            <w:r w:rsidRPr="000229AD">
              <w:rPr>
                <w:lang w:val="fr-FR"/>
              </w:rPr>
              <w:t>État de Palestine. Ces efforts ont également favorisé la collaboration entre les parties prenantes, y compris le Réseau des femmes, afin de renforcer le nombre de femmes à des postes clés dans le secteur des TIC.</w:t>
            </w:r>
          </w:p>
          <w:p w14:paraId="6E648541" w14:textId="4520CB3F" w:rsidR="008F0090" w:rsidRPr="000229AD" w:rsidRDefault="008F0090" w:rsidP="00716C22">
            <w:pPr>
              <w:pStyle w:val="Tabletext"/>
              <w:spacing w:before="80" w:after="0"/>
              <w:ind w:left="284" w:hanging="284"/>
              <w:rPr>
                <w:lang w:val="fr-FR"/>
              </w:rPr>
            </w:pPr>
            <w:r w:rsidRPr="000229AD">
              <w:rPr>
                <w:lang w:val="fr-FR"/>
              </w:rPr>
              <w:t>•</w:t>
            </w:r>
            <w:r w:rsidRPr="000229AD">
              <w:rPr>
                <w:lang w:val="fr-FR"/>
              </w:rPr>
              <w:tab/>
              <w:t>La participation des jeunes aux activités de l</w:t>
            </w:r>
            <w:r w:rsidR="00125408" w:rsidRPr="000229AD">
              <w:rPr>
                <w:lang w:val="fr-FR"/>
              </w:rPr>
              <w:t>'</w:t>
            </w:r>
            <w:r w:rsidRPr="000229AD">
              <w:rPr>
                <w:lang w:val="fr-FR"/>
              </w:rPr>
              <w:t>UIT-D et aux mécanismes d</w:t>
            </w:r>
            <w:r w:rsidR="00125408" w:rsidRPr="000229AD">
              <w:rPr>
                <w:lang w:val="fr-FR"/>
              </w:rPr>
              <w:t>'</w:t>
            </w:r>
            <w:r w:rsidRPr="000229AD">
              <w:rPr>
                <w:lang w:val="fr-FR"/>
              </w:rPr>
              <w:t>élaboration des politiques a enregistré une augmentation grâce aux possibilités offertes aux 25 représentants des groupes pour la jeunesse de l</w:t>
            </w:r>
            <w:r w:rsidR="00125408" w:rsidRPr="000229AD">
              <w:rPr>
                <w:lang w:val="fr-FR"/>
              </w:rPr>
              <w:t>'</w:t>
            </w:r>
            <w:r w:rsidRPr="000229AD">
              <w:rPr>
                <w:lang w:val="fr-FR"/>
              </w:rPr>
              <w:t>initiative Generation Connect dans 8 pays. Ces jeunes représentants contribuent activement à façonner le paysage numérique de demain dans la région.</w:t>
            </w:r>
          </w:p>
          <w:p w14:paraId="21590DB2" w14:textId="58D45890" w:rsidR="008F0090" w:rsidRPr="000229AD" w:rsidRDefault="008F0090" w:rsidP="00716C22">
            <w:pPr>
              <w:pStyle w:val="Tabletext"/>
              <w:spacing w:after="0"/>
              <w:ind w:left="284" w:hanging="284"/>
              <w:rPr>
                <w:rFonts w:ascii="Calibri" w:hAnsi="Calibri" w:cs="Calibri"/>
                <w:lang w:val="fr-FR"/>
              </w:rPr>
            </w:pPr>
            <w:r w:rsidRPr="000229AD">
              <w:rPr>
                <w:lang w:val="fr-FR"/>
              </w:rPr>
              <w:lastRenderedPageBreak/>
              <w:t>•</w:t>
            </w:r>
            <w:r w:rsidRPr="000229AD">
              <w:rPr>
                <w:lang w:val="fr-FR"/>
              </w:rPr>
              <w:tab/>
              <w:t>L</w:t>
            </w:r>
            <w:r w:rsidR="00125408" w:rsidRPr="000229AD">
              <w:rPr>
                <w:lang w:val="fr-FR"/>
              </w:rPr>
              <w:t>'</w:t>
            </w:r>
            <w:r w:rsidRPr="000229AD">
              <w:rPr>
                <w:lang w:val="fr-FR"/>
              </w:rPr>
              <w:t>appel à candidatures pour la fonction de représentant de groupe pour la jeunesse de l</w:t>
            </w:r>
            <w:r w:rsidR="00125408" w:rsidRPr="000229AD">
              <w:rPr>
                <w:lang w:val="fr-FR"/>
              </w:rPr>
              <w:t>'</w:t>
            </w:r>
            <w:r w:rsidRPr="000229AD">
              <w:rPr>
                <w:lang w:val="fr-FR"/>
              </w:rPr>
              <w:t>initiative Génération Connect a recueilli 52 candidatures de 11 états arabes. Ces dernières ont été examinées et 36 nouveaux représentants ont été sélectionnés dans 10 États arabes.</w:t>
            </w:r>
          </w:p>
          <w:p w14:paraId="706F1B89" w14:textId="0B97C1DA" w:rsidR="008F0090" w:rsidRPr="000229AD" w:rsidRDefault="008F0090" w:rsidP="00716C22">
            <w:pPr>
              <w:pStyle w:val="Tabletext"/>
              <w:spacing w:before="240" w:after="120"/>
              <w:rPr>
                <w:lang w:val="fr-FR"/>
              </w:rPr>
            </w:pPr>
            <w:r w:rsidRPr="000229AD">
              <w:rPr>
                <w:b/>
                <w:bCs/>
                <w:lang w:val="fr-FR"/>
              </w:rPr>
              <w:t>ARB2: Renforcer la confiance, la sécurité et la confidentialité dans les télécommunications/TIC</w:t>
            </w:r>
          </w:p>
          <w:p w14:paraId="7180479C" w14:textId="7A5E3994" w:rsidR="008F0090" w:rsidRPr="000229AD" w:rsidRDefault="008F0090" w:rsidP="00716C22">
            <w:pPr>
              <w:pStyle w:val="Tabletext"/>
              <w:spacing w:before="80" w:after="0"/>
              <w:ind w:left="284" w:hanging="284"/>
              <w:rPr>
                <w:rFonts w:ascii="Calibri" w:hAnsi="Calibri" w:cs="Calibri"/>
                <w:lang w:val="fr-FR"/>
              </w:rPr>
            </w:pPr>
            <w:r w:rsidRPr="000229AD">
              <w:rPr>
                <w:lang w:val="fr-FR"/>
              </w:rPr>
              <w:t>•</w:t>
            </w:r>
            <w:r w:rsidRPr="000229AD">
              <w:rPr>
                <w:lang w:val="fr-FR"/>
              </w:rPr>
              <w:tab/>
              <w:t>En collaboration avec le Conseil des Émirats arabes unis sur la cybersécurité, le BDT a appuyé l</w:t>
            </w:r>
            <w:r w:rsidR="00125408" w:rsidRPr="000229AD">
              <w:rPr>
                <w:lang w:val="fr-FR"/>
              </w:rPr>
              <w:t>'</w:t>
            </w:r>
            <w:r w:rsidRPr="000229AD">
              <w:rPr>
                <w:lang w:val="fr-FR"/>
              </w:rPr>
              <w:t>organisation du cyberexercice mondial de l</w:t>
            </w:r>
            <w:r w:rsidR="00125408" w:rsidRPr="000229AD">
              <w:rPr>
                <w:lang w:val="fr-FR"/>
              </w:rPr>
              <w:t>'</w:t>
            </w:r>
            <w:r w:rsidRPr="000229AD">
              <w:rPr>
                <w:lang w:val="fr-FR"/>
              </w:rPr>
              <w:t>UIT à Dubaï du 23 au 25 avril.</w:t>
            </w:r>
          </w:p>
          <w:p w14:paraId="61481ACA" w14:textId="4AC81F1B" w:rsidR="008F0090" w:rsidRPr="000229AD" w:rsidRDefault="008F0090" w:rsidP="00716C22">
            <w:pPr>
              <w:pStyle w:val="Tabletext"/>
              <w:spacing w:before="80" w:after="0"/>
              <w:ind w:left="284" w:hanging="284"/>
              <w:rPr>
                <w:lang w:val="fr-FR"/>
              </w:rPr>
            </w:pPr>
            <w:r w:rsidRPr="000229AD">
              <w:rPr>
                <w:lang w:val="fr-FR"/>
              </w:rPr>
              <w:t>•</w:t>
            </w:r>
            <w:r w:rsidRPr="000229AD">
              <w:rPr>
                <w:lang w:val="fr-FR"/>
              </w:rPr>
              <w:tab/>
              <w:t>Pour encourager la mise en œuvre efficace des priorités du BDT-UIT en matière de cybersécurité et des initiatives régionales pour les États arabes, l</w:t>
            </w:r>
            <w:r w:rsidR="00125408" w:rsidRPr="000229AD">
              <w:rPr>
                <w:lang w:val="fr-FR"/>
              </w:rPr>
              <w:t>'</w:t>
            </w:r>
            <w:r w:rsidRPr="000229AD">
              <w:rPr>
                <w:lang w:val="fr-FR"/>
              </w:rPr>
              <w:t>UIT a collaboré avec le Conseil des Émirats arabes unis sur la cybersécurité à la réalisation d</w:t>
            </w:r>
            <w:r w:rsidR="00125408" w:rsidRPr="000229AD">
              <w:rPr>
                <w:lang w:val="fr-FR"/>
              </w:rPr>
              <w:t>'</w:t>
            </w:r>
            <w:r w:rsidRPr="000229AD">
              <w:rPr>
                <w:lang w:val="fr-FR"/>
              </w:rPr>
              <w:t>un exercice de simulation d</w:t>
            </w:r>
            <w:r w:rsidR="00125408" w:rsidRPr="000229AD">
              <w:rPr>
                <w:lang w:val="fr-FR"/>
              </w:rPr>
              <w:t>'</w:t>
            </w:r>
            <w:r w:rsidRPr="000229AD">
              <w:rPr>
                <w:lang w:val="fr-FR"/>
              </w:rPr>
              <w:t>incident de cybersécurité. Ces séances de renforcement des capacités ont eu lieu à D</w:t>
            </w:r>
            <w:r w:rsidR="000D4D4A" w:rsidRPr="000229AD">
              <w:rPr>
                <w:lang w:val="fr-FR"/>
              </w:rPr>
              <w:t>u</w:t>
            </w:r>
            <w:r w:rsidRPr="000229AD">
              <w:rPr>
                <w:lang w:val="fr-FR"/>
              </w:rPr>
              <w:t>baï (Émirats arabes unis), le 18 janvier 2024, avec la participation active de 25 experts.</w:t>
            </w:r>
          </w:p>
          <w:p w14:paraId="26389F9C" w14:textId="5828B78D" w:rsidR="008F0090" w:rsidRPr="000229AD" w:rsidRDefault="008F0090" w:rsidP="00716C22">
            <w:pPr>
              <w:pStyle w:val="Tabletext"/>
              <w:spacing w:before="80" w:after="0"/>
              <w:ind w:left="284" w:hanging="284"/>
              <w:rPr>
                <w:lang w:val="fr-FR"/>
              </w:rPr>
            </w:pPr>
            <w:r w:rsidRPr="000229AD">
              <w:rPr>
                <w:lang w:val="fr-FR"/>
              </w:rPr>
              <w:t>•</w:t>
            </w:r>
            <w:r w:rsidRPr="000229AD">
              <w:rPr>
                <w:lang w:val="fr-FR"/>
              </w:rPr>
              <w:tab/>
              <w:t>En collaboration avec le Conseil des Émirats arabes unis sur la cybersécurité et le Centre régional arabe pour la cybersécurité à Oman, la Semaine régionale de la cybersécurité 2023 a été organisée du 9 au 12 octobre 2023. Elle était axée cette année sur l</w:t>
            </w:r>
            <w:r w:rsidR="00125408" w:rsidRPr="000229AD">
              <w:rPr>
                <w:lang w:val="fr-FR"/>
              </w:rPr>
              <w:t>'</w:t>
            </w:r>
            <w:r w:rsidRPr="000229AD">
              <w:rPr>
                <w:lang w:val="fr-FR"/>
              </w:rPr>
              <w:t>innovation en matière de cybersécurité et de développement industriel. La manifestation a rassemblé plus de 100 experts et intervenants de 70 pays et de 10 organisations internationales.</w:t>
            </w:r>
          </w:p>
          <w:p w14:paraId="654FF08C" w14:textId="55AFE7F6" w:rsidR="008F0090" w:rsidRPr="000229AD" w:rsidRDefault="008F0090" w:rsidP="00716C22">
            <w:pPr>
              <w:pStyle w:val="Tabletext"/>
              <w:spacing w:before="80" w:after="0"/>
              <w:ind w:left="284" w:hanging="284"/>
              <w:rPr>
                <w:lang w:val="fr-FR"/>
              </w:rPr>
            </w:pPr>
            <w:r w:rsidRPr="000229AD">
              <w:rPr>
                <w:lang w:val="fr-FR"/>
              </w:rPr>
              <w:t>•</w:t>
            </w:r>
            <w:r w:rsidRPr="000229AD">
              <w:rPr>
                <w:lang w:val="fr-FR"/>
              </w:rPr>
              <w:tab/>
              <w:t>En collaboration avec le Centre national pour la cybersécurité du Royaume de Bahreïn, un atelier régional sur la gestion de la cybersécurité a été organisé. L</w:t>
            </w:r>
            <w:r w:rsidR="00125408" w:rsidRPr="000229AD">
              <w:rPr>
                <w:lang w:val="fr-FR"/>
              </w:rPr>
              <w:t>'</w:t>
            </w:r>
            <w:r w:rsidRPr="000229AD">
              <w:rPr>
                <w:lang w:val="fr-FR"/>
              </w:rPr>
              <w:t>objectif principal de cet atelier était de présenter les différents rôles et responsabilités impliqués dans la gestion des crises en cas de cyberattaque.</w:t>
            </w:r>
          </w:p>
          <w:p w14:paraId="46CC12A3" w14:textId="755700E2" w:rsidR="008F0090" w:rsidRPr="000229AD" w:rsidRDefault="008F0090" w:rsidP="00716C22">
            <w:pPr>
              <w:pStyle w:val="Tabletext"/>
              <w:spacing w:before="80" w:after="0"/>
              <w:ind w:left="284" w:hanging="284"/>
              <w:rPr>
                <w:rFonts w:ascii="Calibri" w:hAnsi="Calibri" w:cs="Calibri"/>
                <w:lang w:val="fr-FR"/>
              </w:rPr>
            </w:pPr>
            <w:r w:rsidRPr="000229AD">
              <w:rPr>
                <w:lang w:val="fr-FR"/>
              </w:rPr>
              <w:t>•</w:t>
            </w:r>
            <w:r w:rsidRPr="000229AD">
              <w:rPr>
                <w:lang w:val="fr-FR"/>
              </w:rPr>
              <w:tab/>
              <w:t>En outre, un appui technique a été fourni au Centre national pour la cybersécurité du Royaume de Bahreïn dans le cadre d</w:t>
            </w:r>
            <w:r w:rsidR="00125408" w:rsidRPr="000229AD">
              <w:rPr>
                <w:lang w:val="fr-FR"/>
              </w:rPr>
              <w:t>'</w:t>
            </w:r>
            <w:r w:rsidRPr="000229AD">
              <w:rPr>
                <w:lang w:val="fr-FR"/>
              </w:rPr>
              <w:t>un atelier sur l</w:t>
            </w:r>
            <w:r w:rsidR="00125408" w:rsidRPr="000229AD">
              <w:rPr>
                <w:lang w:val="fr-FR"/>
              </w:rPr>
              <w:t>'</w:t>
            </w:r>
            <w:r w:rsidRPr="000229AD">
              <w:rPr>
                <w:lang w:val="fr-FR"/>
              </w:rPr>
              <w:t>Indice mondial de cybersécurité.</w:t>
            </w:r>
          </w:p>
          <w:p w14:paraId="1DF3C0A6" w14:textId="52038EA6" w:rsidR="008F0090" w:rsidRPr="000229AD" w:rsidRDefault="008F0090" w:rsidP="00716C22">
            <w:pPr>
              <w:pStyle w:val="Tabletext"/>
              <w:spacing w:before="80" w:after="0"/>
              <w:ind w:left="284" w:hanging="284"/>
              <w:rPr>
                <w:lang w:val="fr-FR"/>
              </w:rPr>
            </w:pPr>
            <w:r w:rsidRPr="000229AD">
              <w:rPr>
                <w:lang w:val="fr-FR"/>
              </w:rPr>
              <w:t>•</w:t>
            </w:r>
            <w:r w:rsidRPr="000229AD">
              <w:rPr>
                <w:lang w:val="fr-FR"/>
              </w:rPr>
              <w:tab/>
              <w:t>En collaboration avec la CESAO, l</w:t>
            </w:r>
            <w:r w:rsidR="00125408" w:rsidRPr="000229AD">
              <w:rPr>
                <w:lang w:val="fr-FR"/>
              </w:rPr>
              <w:t>'</w:t>
            </w:r>
            <w:hyperlink r:id="rId81" w:history="1">
              <w:r w:rsidRPr="000229AD">
                <w:rPr>
                  <w:rStyle w:val="Hyperlink"/>
                  <w:lang w:val="fr-FR"/>
                </w:rPr>
                <w:t>Organisation arabe des technologies de l</w:t>
              </w:r>
              <w:r w:rsidR="00125408" w:rsidRPr="000229AD">
                <w:rPr>
                  <w:rStyle w:val="Hyperlink"/>
                  <w:lang w:val="fr-FR"/>
                </w:rPr>
                <w:t>'</w:t>
              </w:r>
              <w:r w:rsidRPr="000229AD">
                <w:rPr>
                  <w:rStyle w:val="Hyperlink"/>
                  <w:lang w:val="fr-FR"/>
                </w:rPr>
                <w:t>information et de la communication</w:t>
              </w:r>
            </w:hyperlink>
            <w:r w:rsidRPr="000229AD">
              <w:rPr>
                <w:lang w:val="fr-FR"/>
              </w:rPr>
              <w:t xml:space="preserve"> et l</w:t>
            </w:r>
            <w:r w:rsidR="00125408" w:rsidRPr="000229AD">
              <w:rPr>
                <w:lang w:val="fr-FR"/>
              </w:rPr>
              <w:t>'</w:t>
            </w:r>
            <w:hyperlink r:id="rId82" w:history="1">
              <w:r w:rsidRPr="000229AD">
                <w:rPr>
                  <w:rStyle w:val="Hyperlink"/>
                  <w:lang w:val="fr-FR"/>
                </w:rPr>
                <w:t>Internet Society</w:t>
              </w:r>
            </w:hyperlink>
            <w:r w:rsidRPr="000229AD">
              <w:rPr>
                <w:lang w:val="fr-FR"/>
              </w:rPr>
              <w:t>, un atelier sur l</w:t>
            </w:r>
            <w:r w:rsidR="00125408" w:rsidRPr="000229AD">
              <w:rPr>
                <w:lang w:val="fr-FR"/>
              </w:rPr>
              <w:t>'</w:t>
            </w:r>
            <w:r w:rsidRPr="000229AD">
              <w:rPr>
                <w:lang w:val="fr-FR"/>
              </w:rPr>
              <w:t>instauration de la confiance dans les services publics numériques a été organisé afin de présenter des stratégies concrètes pour améliorer la cybersécurité.</w:t>
            </w:r>
          </w:p>
          <w:p w14:paraId="2B325415" w14:textId="77777777" w:rsidR="008F0090" w:rsidRPr="000229AD" w:rsidRDefault="008F0090" w:rsidP="00716C22">
            <w:pPr>
              <w:pStyle w:val="Tabletext"/>
              <w:spacing w:before="80" w:after="0"/>
              <w:ind w:left="284" w:hanging="284"/>
              <w:rPr>
                <w:lang w:val="fr-FR"/>
              </w:rPr>
            </w:pPr>
            <w:r w:rsidRPr="000229AD">
              <w:rPr>
                <w:lang w:val="fr-FR"/>
              </w:rPr>
              <w:t>•</w:t>
            </w:r>
            <w:r w:rsidRPr="000229AD">
              <w:rPr>
                <w:lang w:val="fr-FR"/>
              </w:rPr>
              <w:tab/>
              <w:t>Des cyberexercices et des formations techniques ont été organisés afin de renforcer la culture de la cybersécurité dans les États arabes.</w:t>
            </w:r>
          </w:p>
          <w:p w14:paraId="44D070D0" w14:textId="0B3C75DD" w:rsidR="008F0090" w:rsidRPr="000229AD" w:rsidRDefault="008F0090" w:rsidP="00716C22">
            <w:pPr>
              <w:pStyle w:val="Tabletext"/>
              <w:spacing w:before="80" w:after="0"/>
              <w:ind w:left="284" w:hanging="284"/>
              <w:rPr>
                <w:rFonts w:ascii="Calibri" w:hAnsi="Calibri" w:cs="Calibri"/>
                <w:lang w:val="fr-FR"/>
              </w:rPr>
            </w:pPr>
            <w:r w:rsidRPr="000229AD">
              <w:rPr>
                <w:lang w:val="fr-FR"/>
              </w:rPr>
              <w:t>•</w:t>
            </w:r>
            <w:r w:rsidRPr="000229AD">
              <w:rPr>
                <w:lang w:val="fr-FR"/>
              </w:rPr>
              <w:tab/>
              <w:t>Des ateliers et des formations sur la réglementation numérique et la cybersécurité ont été organisés dans le cadre de la collaboration active entre le Royaume d</w:t>
            </w:r>
            <w:r w:rsidR="00125408" w:rsidRPr="000229AD">
              <w:rPr>
                <w:lang w:val="fr-FR"/>
              </w:rPr>
              <w:t>'</w:t>
            </w:r>
            <w:r w:rsidRPr="000229AD">
              <w:rPr>
                <w:lang w:val="fr-FR"/>
              </w:rPr>
              <w:t>Arabie saoudite et le BDT-UIT en matière de cybersécurité, renforçant le rôle du pays dans le paysage mondial des télécommunications.</w:t>
            </w:r>
          </w:p>
          <w:p w14:paraId="0B84A479" w14:textId="536481C3" w:rsidR="008F0090" w:rsidRPr="000229AD" w:rsidRDefault="008F0090" w:rsidP="00716C22">
            <w:pPr>
              <w:pStyle w:val="Tabletext"/>
              <w:keepNext/>
              <w:keepLines/>
              <w:spacing w:before="80" w:after="0"/>
              <w:ind w:left="284" w:hanging="284"/>
              <w:rPr>
                <w:lang w:val="fr-FR"/>
              </w:rPr>
            </w:pPr>
            <w:r w:rsidRPr="000229AD">
              <w:rPr>
                <w:lang w:val="fr-FR"/>
              </w:rPr>
              <w:lastRenderedPageBreak/>
              <w:t>•</w:t>
            </w:r>
            <w:r w:rsidRPr="000229AD">
              <w:rPr>
                <w:lang w:val="fr-FR"/>
              </w:rPr>
              <w:tab/>
              <w:t>Le Maroc a bénéficié d</w:t>
            </w:r>
            <w:r w:rsidR="00125408" w:rsidRPr="000229AD">
              <w:rPr>
                <w:lang w:val="fr-FR"/>
              </w:rPr>
              <w:t>'</w:t>
            </w:r>
            <w:r w:rsidRPr="000229AD">
              <w:rPr>
                <w:lang w:val="fr-FR"/>
              </w:rPr>
              <w:t>un appui dans le cadre du programme mondial de protection en ligne des enfants. Des ateliers de renforcement des capacités et de sensibilisation ont été organisés à Rabat du 18 au 20 décembre 2023 afin de mieux faire connaître la protection en ligne des enfants à un public composé de fonctionnaires, de professionnels des TIC et de membres de la société civile. Ils ont été l</w:t>
            </w:r>
            <w:r w:rsidR="00125408" w:rsidRPr="000229AD">
              <w:rPr>
                <w:lang w:val="fr-FR"/>
              </w:rPr>
              <w:t>'</w:t>
            </w:r>
            <w:r w:rsidRPr="000229AD">
              <w:rPr>
                <w:lang w:val="fr-FR"/>
              </w:rPr>
              <w:t>occasion d</w:t>
            </w:r>
            <w:r w:rsidR="00125408" w:rsidRPr="000229AD">
              <w:rPr>
                <w:lang w:val="fr-FR"/>
              </w:rPr>
              <w:t>'</w:t>
            </w:r>
            <w:r w:rsidRPr="000229AD">
              <w:rPr>
                <w:lang w:val="fr-FR"/>
              </w:rPr>
              <w:t>échanges interactifs sur les défis et les bonnes pratiques dans le domaine et ont démontré la mobilisation collective sur cette question importante.</w:t>
            </w:r>
          </w:p>
          <w:p w14:paraId="7AA65F50" w14:textId="77777777" w:rsidR="008F0090" w:rsidRPr="000229AD" w:rsidRDefault="008F0090" w:rsidP="00716C22">
            <w:pPr>
              <w:pStyle w:val="Tabletext"/>
              <w:spacing w:before="80" w:after="0"/>
              <w:ind w:left="284" w:hanging="284"/>
              <w:rPr>
                <w:rFonts w:ascii="Calibri" w:hAnsi="Calibri" w:cs="Calibri"/>
                <w:lang w:val="fr-FR"/>
              </w:rPr>
            </w:pPr>
            <w:r w:rsidRPr="000229AD">
              <w:rPr>
                <w:lang w:val="fr-FR"/>
              </w:rPr>
              <w:t>•</w:t>
            </w:r>
            <w:r w:rsidRPr="000229AD">
              <w:rPr>
                <w:lang w:val="fr-FR"/>
              </w:rPr>
              <w:tab/>
              <w:t>Parallèlement, des discussions sont en cours pour aider le Liban à élaborer sa stratégie nationale de protection en ligne des enfants.</w:t>
            </w:r>
          </w:p>
          <w:p w14:paraId="5BA38A74" w14:textId="0BD3DCC1" w:rsidR="008F0090" w:rsidRPr="000229AD" w:rsidRDefault="008F0090" w:rsidP="00716C22">
            <w:pPr>
              <w:pStyle w:val="Tabletext"/>
              <w:spacing w:before="80" w:after="0"/>
              <w:ind w:left="284" w:hanging="284"/>
              <w:rPr>
                <w:rFonts w:ascii="Calibri" w:hAnsi="Calibri" w:cs="Calibri"/>
                <w:lang w:val="fr-FR"/>
              </w:rPr>
            </w:pPr>
            <w:r w:rsidRPr="000229AD">
              <w:rPr>
                <w:lang w:val="fr-FR"/>
              </w:rPr>
              <w:t>•</w:t>
            </w:r>
            <w:r w:rsidRPr="000229AD">
              <w:rPr>
                <w:lang w:val="fr-FR"/>
              </w:rPr>
              <w:tab/>
              <w:t>En 2023, le BDT a organisé et tenu, conjointement avec le Conseil de la cybersécurité des Émirats arabes unis, des cyberexercices de renforcement des capacités auxquels ont participé un nombre record de pays. Cinq certificats du livre Guinness des records ont été décernés. En 2024, le premier cyberexercice mondial, qui s</w:t>
            </w:r>
            <w:r w:rsidR="00125408" w:rsidRPr="000229AD">
              <w:rPr>
                <w:lang w:val="fr-FR"/>
              </w:rPr>
              <w:t>'</w:t>
            </w:r>
            <w:r w:rsidRPr="000229AD">
              <w:rPr>
                <w:lang w:val="fr-FR"/>
              </w:rPr>
              <w:t>est tenu à Dubaï, a enregistré une participation record de plus de 104 pays avec des représentants de ministères et du secteur privé, des régulateurs et d</w:t>
            </w:r>
            <w:r w:rsidR="00125408" w:rsidRPr="000229AD">
              <w:rPr>
                <w:lang w:val="fr-FR"/>
              </w:rPr>
              <w:t>'</w:t>
            </w:r>
            <w:r w:rsidRPr="000229AD">
              <w:rPr>
                <w:lang w:val="fr-FR"/>
              </w:rPr>
              <w:t>autres parties prenantes. Les exercices ont eu un grand succès. Un nouveau record du monde a été enregistré dans le livre Guinness des records.</w:t>
            </w:r>
          </w:p>
          <w:p w14:paraId="2C0370DD" w14:textId="57F470CE" w:rsidR="008F0090" w:rsidRPr="000229AD" w:rsidRDefault="008F0090" w:rsidP="00716C22">
            <w:pPr>
              <w:pStyle w:val="Tabletext"/>
              <w:spacing w:before="240" w:after="120"/>
              <w:rPr>
                <w:b/>
                <w:bCs/>
                <w:lang w:val="fr-FR"/>
              </w:rPr>
            </w:pPr>
            <w:r w:rsidRPr="000229AD">
              <w:rPr>
                <w:b/>
                <w:bCs/>
                <w:lang w:val="fr-FR"/>
              </w:rPr>
              <w:t>ARB3: Développer l</w:t>
            </w:r>
            <w:r w:rsidR="00125408" w:rsidRPr="000229AD">
              <w:rPr>
                <w:b/>
                <w:bCs/>
                <w:lang w:val="fr-FR"/>
              </w:rPr>
              <w:t>'</w:t>
            </w:r>
            <w:r w:rsidRPr="000229AD">
              <w:rPr>
                <w:b/>
                <w:bCs/>
                <w:lang w:val="fr-FR"/>
              </w:rPr>
              <w:t>infrastructure numérique au service des villes et des communautés intelligentes</w:t>
            </w:r>
          </w:p>
          <w:p w14:paraId="1B0D9745" w14:textId="15A87DEC" w:rsidR="008F0090" w:rsidRPr="000229AD" w:rsidRDefault="008F0090" w:rsidP="00716C22">
            <w:pPr>
              <w:pStyle w:val="Tabletext"/>
              <w:spacing w:before="80" w:after="0"/>
              <w:ind w:left="284" w:hanging="284"/>
              <w:rPr>
                <w:rFonts w:ascii="Calibri" w:hAnsi="Calibri" w:cs="Calibri"/>
                <w:lang w:val="fr-FR"/>
              </w:rPr>
            </w:pPr>
            <w:r w:rsidRPr="000229AD">
              <w:rPr>
                <w:lang w:val="fr-FR"/>
              </w:rPr>
              <w:t>•</w:t>
            </w:r>
            <w:r w:rsidRPr="000229AD">
              <w:rPr>
                <w:lang w:val="fr-FR"/>
              </w:rPr>
              <w:tab/>
              <w:t>En janvier 2024, la collaboration entre le BDT et NTRA Egypt a abouti à la signature d</w:t>
            </w:r>
            <w:r w:rsidR="00125408" w:rsidRPr="000229AD">
              <w:rPr>
                <w:lang w:val="fr-FR"/>
              </w:rPr>
              <w:t>'</w:t>
            </w:r>
            <w:r w:rsidRPr="000229AD">
              <w:rPr>
                <w:lang w:val="fr-FR"/>
              </w:rPr>
              <w:t>un projet axé sur les villes et les communautés intelligentes et durables. L</w:t>
            </w:r>
            <w:r w:rsidR="00125408" w:rsidRPr="000229AD">
              <w:rPr>
                <w:lang w:val="fr-FR"/>
              </w:rPr>
              <w:t>'</w:t>
            </w:r>
            <w:r w:rsidRPr="000229AD">
              <w:rPr>
                <w:lang w:val="fr-FR"/>
              </w:rPr>
              <w:t>objectif de cette initiative est de faire progresser le développement de l</w:t>
            </w:r>
            <w:r w:rsidR="00125408" w:rsidRPr="000229AD">
              <w:rPr>
                <w:lang w:val="fr-FR"/>
              </w:rPr>
              <w:t>'</w:t>
            </w:r>
            <w:r w:rsidRPr="000229AD">
              <w:rPr>
                <w:lang w:val="fr-FR"/>
              </w:rPr>
              <w:t>infrastructure de télécommunication pour les villes et les communautés intelligentes et durables, parallèlement à l</w:t>
            </w:r>
            <w:r w:rsidR="00125408" w:rsidRPr="000229AD">
              <w:rPr>
                <w:lang w:val="fr-FR"/>
              </w:rPr>
              <w:t>'</w:t>
            </w:r>
            <w:r w:rsidRPr="000229AD">
              <w:rPr>
                <w:lang w:val="fr-FR"/>
              </w:rPr>
              <w:t>élaboration d</w:t>
            </w:r>
            <w:r w:rsidR="00125408" w:rsidRPr="000229AD">
              <w:rPr>
                <w:lang w:val="fr-FR"/>
              </w:rPr>
              <w:t>'</w:t>
            </w:r>
            <w:r w:rsidRPr="000229AD">
              <w:rPr>
                <w:lang w:val="fr-FR"/>
              </w:rPr>
              <w:t>un cadre réglementaire et d</w:t>
            </w:r>
            <w:r w:rsidR="00125408" w:rsidRPr="000229AD">
              <w:rPr>
                <w:lang w:val="fr-FR"/>
              </w:rPr>
              <w:t>'</w:t>
            </w:r>
            <w:r w:rsidRPr="000229AD">
              <w:rPr>
                <w:lang w:val="fr-FR"/>
              </w:rPr>
              <w:t>octroi de licences adapté aux villes et aux communautés intelligentes en Égypte.</w:t>
            </w:r>
          </w:p>
          <w:p w14:paraId="7370E264" w14:textId="27917117" w:rsidR="008F0090" w:rsidRPr="000229AD" w:rsidRDefault="008F0090" w:rsidP="00716C22">
            <w:pPr>
              <w:pStyle w:val="Tabletext"/>
              <w:spacing w:before="80" w:after="0"/>
              <w:ind w:left="284" w:hanging="284"/>
              <w:rPr>
                <w:lang w:val="fr-FR"/>
              </w:rPr>
            </w:pPr>
            <w:r w:rsidRPr="000229AD">
              <w:rPr>
                <w:lang w:val="fr-FR"/>
              </w:rPr>
              <w:t>•</w:t>
            </w:r>
            <w:r w:rsidRPr="000229AD">
              <w:rPr>
                <w:lang w:val="fr-FR"/>
              </w:rPr>
              <w:tab/>
              <w:t>Une collaboration avec l</w:t>
            </w:r>
            <w:r w:rsidR="00125408" w:rsidRPr="000229AD">
              <w:rPr>
                <w:lang w:val="fr-FR"/>
              </w:rPr>
              <w:t>'</w:t>
            </w:r>
            <w:r w:rsidRPr="000229AD">
              <w:rPr>
                <w:lang w:val="fr-FR"/>
              </w:rPr>
              <w:t>OMS a permis d</w:t>
            </w:r>
            <w:r w:rsidR="00125408" w:rsidRPr="000229AD">
              <w:rPr>
                <w:lang w:val="fr-FR"/>
              </w:rPr>
              <w:t>'</w:t>
            </w:r>
            <w:r w:rsidRPr="000229AD">
              <w:rPr>
                <w:lang w:val="fr-FR"/>
              </w:rPr>
              <w:t>élaborer une stratégie nationale de santé numérique pour la Jordanie et de mettre en avant l</w:t>
            </w:r>
            <w:r w:rsidR="00125408" w:rsidRPr="000229AD">
              <w:rPr>
                <w:lang w:val="fr-FR"/>
              </w:rPr>
              <w:t>'</w:t>
            </w:r>
            <w:r w:rsidRPr="000229AD">
              <w:rPr>
                <w:lang w:val="fr-FR"/>
              </w:rPr>
              <w:t>engagement du pays à intégrer les technologies numériques dans les systèmes de soins de santé.</w:t>
            </w:r>
          </w:p>
          <w:p w14:paraId="4CAA1C99" w14:textId="5B0655A1" w:rsidR="008F0090" w:rsidRPr="000229AD" w:rsidRDefault="008F0090" w:rsidP="00716C22">
            <w:pPr>
              <w:pStyle w:val="Tabletext"/>
              <w:spacing w:before="80" w:after="0"/>
              <w:ind w:left="284" w:hanging="284"/>
              <w:rPr>
                <w:rFonts w:ascii="Calibri" w:hAnsi="Calibri" w:cs="Calibri"/>
                <w:lang w:val="fr-FR"/>
              </w:rPr>
            </w:pPr>
            <w:r w:rsidRPr="000229AD">
              <w:rPr>
                <w:lang w:val="fr-FR"/>
              </w:rPr>
              <w:t>•</w:t>
            </w:r>
            <w:r w:rsidRPr="000229AD">
              <w:rPr>
                <w:lang w:val="fr-FR"/>
              </w:rPr>
              <w:tab/>
              <w:t>Les actions prises par Oman en faveur de la collaboration avec le BDT dans le domaine des villes intelligentes démontrent l</w:t>
            </w:r>
            <w:r w:rsidR="00125408" w:rsidRPr="000229AD">
              <w:rPr>
                <w:lang w:val="fr-FR"/>
              </w:rPr>
              <w:t>'</w:t>
            </w:r>
            <w:r w:rsidRPr="000229AD">
              <w:rPr>
                <w:lang w:val="fr-FR"/>
              </w:rPr>
              <w:t>accent mis par le Sultanat sur l</w:t>
            </w:r>
            <w:r w:rsidR="00125408" w:rsidRPr="000229AD">
              <w:rPr>
                <w:lang w:val="fr-FR"/>
              </w:rPr>
              <w:t>'</w:t>
            </w:r>
            <w:r w:rsidRPr="000229AD">
              <w:rPr>
                <w:lang w:val="fr-FR"/>
              </w:rPr>
              <w:t>exploitation de la technologie pour favoriser le développement urbain durable.</w:t>
            </w:r>
          </w:p>
          <w:p w14:paraId="3518069B" w14:textId="1E225F38" w:rsidR="008F0090" w:rsidRPr="000229AD" w:rsidRDefault="008F0090" w:rsidP="00716C22">
            <w:pPr>
              <w:pStyle w:val="Tabletext"/>
              <w:spacing w:before="80" w:after="0"/>
              <w:ind w:left="284" w:hanging="284"/>
              <w:rPr>
                <w:lang w:val="fr-FR"/>
              </w:rPr>
            </w:pPr>
            <w:r w:rsidRPr="000229AD">
              <w:rPr>
                <w:lang w:val="fr-FR"/>
              </w:rPr>
              <w:t>•</w:t>
            </w:r>
            <w:r w:rsidRPr="000229AD">
              <w:rPr>
                <w:lang w:val="fr-FR"/>
              </w:rPr>
              <w:tab/>
              <w:t>En collaboration avec la Commission jordanienne de régulation des télécommunications, une formation mixte des formateurs sur le programme de formation à la qualité de service et le programme de formation à la gestion du spectre a eu lieu du</w:t>
            </w:r>
            <w:r w:rsidR="000D4D4A" w:rsidRPr="000229AD">
              <w:rPr>
                <w:lang w:val="fr-FR"/>
              </w:rPr>
              <w:t> </w:t>
            </w:r>
            <w:r w:rsidRPr="000229AD">
              <w:rPr>
                <w:lang w:val="fr-FR"/>
              </w:rPr>
              <w:t>22</w:t>
            </w:r>
            <w:r w:rsidR="000D4D4A" w:rsidRPr="000229AD">
              <w:rPr>
                <w:lang w:val="fr-FR"/>
              </w:rPr>
              <w:t> </w:t>
            </w:r>
            <w:r w:rsidRPr="000229AD">
              <w:rPr>
                <w:lang w:val="fr-FR"/>
              </w:rPr>
              <w:t>au 26 octobre, en ligne sur la plate-forme de l</w:t>
            </w:r>
            <w:r w:rsidR="00125408" w:rsidRPr="000229AD">
              <w:rPr>
                <w:lang w:val="fr-FR"/>
              </w:rPr>
              <w:t>'</w:t>
            </w:r>
            <w:r w:rsidRPr="000229AD">
              <w:rPr>
                <w:lang w:val="fr-FR"/>
              </w:rPr>
              <w:t>Académie de l</w:t>
            </w:r>
            <w:r w:rsidR="00125408" w:rsidRPr="000229AD">
              <w:rPr>
                <w:lang w:val="fr-FR"/>
              </w:rPr>
              <w:t>'</w:t>
            </w:r>
            <w:r w:rsidRPr="000229AD">
              <w:rPr>
                <w:lang w:val="fr-FR"/>
              </w:rPr>
              <w:t>UIT, et en présence à Amman (Jordanie).</w:t>
            </w:r>
          </w:p>
          <w:p w14:paraId="75C226CC" w14:textId="1298AFAE" w:rsidR="008F0090" w:rsidRPr="000229AD" w:rsidRDefault="008F0090" w:rsidP="00716C22">
            <w:pPr>
              <w:pStyle w:val="Tabletext"/>
              <w:spacing w:before="240" w:after="120"/>
              <w:rPr>
                <w:b/>
                <w:bCs/>
                <w:lang w:val="fr-FR"/>
              </w:rPr>
            </w:pPr>
            <w:r w:rsidRPr="000229AD">
              <w:rPr>
                <w:b/>
                <w:bCs/>
                <w:lang w:val="fr-FR"/>
              </w:rPr>
              <w:t>ARB4: Renforcer les capacités et encourager l</w:t>
            </w:r>
            <w:r w:rsidR="00125408" w:rsidRPr="000229AD">
              <w:rPr>
                <w:b/>
                <w:bCs/>
                <w:lang w:val="fr-FR"/>
              </w:rPr>
              <w:t>'</w:t>
            </w:r>
            <w:r w:rsidRPr="000229AD">
              <w:rPr>
                <w:b/>
                <w:bCs/>
                <w:lang w:val="fr-FR"/>
              </w:rPr>
              <w:t>innovation, l</w:t>
            </w:r>
            <w:r w:rsidR="00125408" w:rsidRPr="000229AD">
              <w:rPr>
                <w:b/>
                <w:bCs/>
                <w:lang w:val="fr-FR"/>
              </w:rPr>
              <w:t>'</w:t>
            </w:r>
            <w:r w:rsidRPr="000229AD">
              <w:rPr>
                <w:b/>
                <w:bCs/>
                <w:lang w:val="fr-FR"/>
              </w:rPr>
              <w:t>entrepreneuriat et l</w:t>
            </w:r>
            <w:r w:rsidR="00125408" w:rsidRPr="000229AD">
              <w:rPr>
                <w:b/>
                <w:bCs/>
                <w:lang w:val="fr-FR"/>
              </w:rPr>
              <w:t>'</w:t>
            </w:r>
            <w:r w:rsidRPr="000229AD">
              <w:rPr>
                <w:b/>
                <w:bCs/>
                <w:lang w:val="fr-FR"/>
              </w:rPr>
              <w:t>anticipation dans le domaine du numérique</w:t>
            </w:r>
          </w:p>
          <w:p w14:paraId="34574CAE" w14:textId="3BD1ED70" w:rsidR="008F0090" w:rsidRPr="000229AD" w:rsidRDefault="008F0090" w:rsidP="00716C22">
            <w:pPr>
              <w:pStyle w:val="Tabletext"/>
              <w:spacing w:before="80" w:after="0"/>
              <w:ind w:left="284" w:hanging="284"/>
              <w:rPr>
                <w:lang w:val="fr-FR"/>
              </w:rPr>
            </w:pPr>
            <w:r w:rsidRPr="000229AD">
              <w:rPr>
                <w:lang w:val="fr-FR"/>
              </w:rPr>
              <w:t>•</w:t>
            </w:r>
            <w:r w:rsidRPr="000229AD">
              <w:rPr>
                <w:lang w:val="fr-FR"/>
              </w:rPr>
              <w:tab/>
              <w:t>Oman a achevé son profil d</w:t>
            </w:r>
            <w:r w:rsidR="00125408" w:rsidRPr="000229AD">
              <w:rPr>
                <w:lang w:val="fr-FR"/>
              </w:rPr>
              <w:t>'</w:t>
            </w:r>
            <w:r w:rsidRPr="000229AD">
              <w:rPr>
                <w:lang w:val="fr-FR"/>
              </w:rPr>
              <w:t>innovation numérique, ce qui constitue une étape importante vers la compréhension et l</w:t>
            </w:r>
            <w:r w:rsidR="00125408" w:rsidRPr="000229AD">
              <w:rPr>
                <w:lang w:val="fr-FR"/>
              </w:rPr>
              <w:t>'</w:t>
            </w:r>
            <w:r w:rsidRPr="000229AD">
              <w:rPr>
                <w:lang w:val="fr-FR"/>
              </w:rPr>
              <w:t>amélioration de son environnement numérique. Le BDT a fourni un appui au pays.</w:t>
            </w:r>
          </w:p>
          <w:p w14:paraId="142590B2" w14:textId="2B6880C2" w:rsidR="008F0090" w:rsidRPr="000229AD" w:rsidRDefault="008F0090" w:rsidP="00716C22">
            <w:pPr>
              <w:pStyle w:val="Tabletext"/>
              <w:spacing w:before="80" w:after="0"/>
              <w:ind w:left="284" w:hanging="284"/>
              <w:rPr>
                <w:lang w:val="fr-FR"/>
              </w:rPr>
            </w:pPr>
            <w:r w:rsidRPr="000229AD">
              <w:rPr>
                <w:lang w:val="fr-FR"/>
              </w:rPr>
              <w:t>•</w:t>
            </w:r>
            <w:r w:rsidRPr="000229AD">
              <w:rPr>
                <w:lang w:val="fr-FR"/>
              </w:rPr>
              <w:tab/>
              <w:t>En Tunisie, nous avons soutenu l</w:t>
            </w:r>
            <w:r w:rsidR="00125408" w:rsidRPr="000229AD">
              <w:rPr>
                <w:lang w:val="fr-FR"/>
              </w:rPr>
              <w:t>'</w:t>
            </w:r>
            <w:r w:rsidRPr="000229AD">
              <w:rPr>
                <w:lang w:val="fr-FR"/>
              </w:rPr>
              <w:t>innovation et l</w:t>
            </w:r>
            <w:r w:rsidR="00125408" w:rsidRPr="000229AD">
              <w:rPr>
                <w:lang w:val="fr-FR"/>
              </w:rPr>
              <w:t>'</w:t>
            </w:r>
            <w:r w:rsidRPr="000229AD">
              <w:rPr>
                <w:lang w:val="fr-FR"/>
              </w:rPr>
              <w:t>esprit d</w:t>
            </w:r>
            <w:r w:rsidR="00125408" w:rsidRPr="000229AD">
              <w:rPr>
                <w:lang w:val="fr-FR"/>
              </w:rPr>
              <w:t>'</w:t>
            </w:r>
            <w:r w:rsidRPr="000229AD">
              <w:rPr>
                <w:lang w:val="fr-FR"/>
              </w:rPr>
              <w:t>entreprise au moyen de missions "d</w:t>
            </w:r>
            <w:r w:rsidR="00125408" w:rsidRPr="000229AD">
              <w:rPr>
                <w:lang w:val="fr-FR"/>
              </w:rPr>
              <w:t>'</w:t>
            </w:r>
            <w:r w:rsidRPr="000229AD">
              <w:rPr>
                <w:lang w:val="fr-FR"/>
              </w:rPr>
              <w:t>atterrissage en douceur", qui ont mis en avant le potentiel des startups émergentes et favorisé la collaboration transfrontière dans la région des États arabes.</w:t>
            </w:r>
          </w:p>
          <w:p w14:paraId="002CBC35" w14:textId="3C4184D2" w:rsidR="008F0090" w:rsidRPr="000229AD" w:rsidRDefault="008F0090" w:rsidP="00716C22">
            <w:pPr>
              <w:pStyle w:val="Tabletext"/>
              <w:spacing w:before="80" w:after="0"/>
              <w:ind w:left="284" w:hanging="284"/>
              <w:rPr>
                <w:lang w:val="fr-FR"/>
              </w:rPr>
            </w:pPr>
            <w:r w:rsidRPr="000229AD">
              <w:rPr>
                <w:lang w:val="fr-FR"/>
              </w:rPr>
              <w:lastRenderedPageBreak/>
              <w:t>•</w:t>
            </w:r>
            <w:r w:rsidRPr="000229AD">
              <w:rPr>
                <w:lang w:val="fr-FR"/>
              </w:rPr>
              <w:tab/>
              <w:t>Le Réseau arabe de l</w:t>
            </w:r>
            <w:r w:rsidR="00125408" w:rsidRPr="000229AD">
              <w:rPr>
                <w:lang w:val="fr-FR"/>
              </w:rPr>
              <w:t>'</w:t>
            </w:r>
            <w:r w:rsidRPr="000229AD">
              <w:rPr>
                <w:lang w:val="fr-FR"/>
              </w:rPr>
              <w:t>innovation et de l</w:t>
            </w:r>
            <w:r w:rsidR="00125408" w:rsidRPr="000229AD">
              <w:rPr>
                <w:lang w:val="fr-FR"/>
              </w:rPr>
              <w:t>'</w:t>
            </w:r>
            <w:r w:rsidRPr="000229AD">
              <w:rPr>
                <w:lang w:val="fr-FR"/>
              </w:rPr>
              <w:t>entrepreneuriat a mis en place des programmes d</w:t>
            </w:r>
            <w:r w:rsidR="00125408" w:rsidRPr="000229AD">
              <w:rPr>
                <w:lang w:val="fr-FR"/>
              </w:rPr>
              <w:t>'</w:t>
            </w:r>
            <w:r w:rsidRPr="000229AD">
              <w:rPr>
                <w:lang w:val="fr-FR"/>
              </w:rPr>
              <w:t>"atterrissage en douceur" en Algérie, en Égypte et en Tunisie, favorisant ainsi la connaissance du marché et la mise en relation des startups prometteuses.</w:t>
            </w:r>
          </w:p>
          <w:p w14:paraId="4F3CF1EE" w14:textId="23BC280A" w:rsidR="008F0090" w:rsidRPr="000229AD" w:rsidRDefault="008F0090" w:rsidP="00716C22">
            <w:pPr>
              <w:pStyle w:val="Tabletext"/>
              <w:spacing w:before="80" w:after="0"/>
              <w:ind w:left="284" w:hanging="284"/>
              <w:rPr>
                <w:rFonts w:eastAsia="SimSun" w:cs="Times New Roman"/>
                <w:lang w:val="fr-FR"/>
              </w:rPr>
            </w:pPr>
            <w:r w:rsidRPr="000229AD">
              <w:rPr>
                <w:lang w:val="fr-FR"/>
              </w:rPr>
              <w:t>•</w:t>
            </w:r>
            <w:r w:rsidRPr="000229AD">
              <w:rPr>
                <w:lang w:val="fr-FR"/>
              </w:rPr>
              <w:tab/>
              <w:t>Renforcement du partenariat et de la collaboration entre l</w:t>
            </w:r>
            <w:r w:rsidR="00125408" w:rsidRPr="000229AD">
              <w:rPr>
                <w:lang w:val="fr-FR"/>
              </w:rPr>
              <w:t>'</w:t>
            </w:r>
            <w:r w:rsidRPr="000229AD">
              <w:rPr>
                <w:lang w:val="fr-FR"/>
              </w:rPr>
              <w:t>ONU et le Gouvernement égyptien grâce à la conceptualisation de quatre idées de projets innovants sur l</w:t>
            </w:r>
            <w:r w:rsidR="00125408" w:rsidRPr="000229AD">
              <w:rPr>
                <w:lang w:val="fr-FR"/>
              </w:rPr>
              <w:t>'</w:t>
            </w:r>
            <w:r w:rsidRPr="000229AD">
              <w:rPr>
                <w:lang w:val="fr-FR"/>
              </w:rPr>
              <w:t>énergie, l</w:t>
            </w:r>
            <w:r w:rsidR="00125408" w:rsidRPr="000229AD">
              <w:rPr>
                <w:lang w:val="fr-FR"/>
              </w:rPr>
              <w:t>'</w:t>
            </w:r>
            <w:r w:rsidRPr="000229AD">
              <w:rPr>
                <w:lang w:val="fr-FR"/>
              </w:rPr>
              <w:t>alimentation, l</w:t>
            </w:r>
            <w:r w:rsidR="00125408" w:rsidRPr="000229AD">
              <w:rPr>
                <w:lang w:val="fr-FR"/>
              </w:rPr>
              <w:t>'</w:t>
            </w:r>
            <w:r w:rsidRPr="000229AD">
              <w:rPr>
                <w:lang w:val="fr-FR"/>
              </w:rPr>
              <w:t>eau et les transports utilisant les technologies numériques dans le cadre de l</w:t>
            </w:r>
            <w:r w:rsidR="00125408" w:rsidRPr="000229AD">
              <w:rPr>
                <w:lang w:val="fr-FR"/>
              </w:rPr>
              <w:t>'</w:t>
            </w:r>
            <w:r w:rsidRPr="000229AD">
              <w:rPr>
                <w:lang w:val="fr-FR"/>
              </w:rPr>
              <w:t>atelier national d</w:t>
            </w:r>
            <w:r w:rsidR="00125408" w:rsidRPr="000229AD">
              <w:rPr>
                <w:lang w:val="fr-FR"/>
              </w:rPr>
              <w:t>'</w:t>
            </w:r>
            <w:r w:rsidRPr="000229AD">
              <w:rPr>
                <w:lang w:val="fr-FR"/>
              </w:rPr>
              <w:t>idéation qui s</w:t>
            </w:r>
            <w:r w:rsidR="00125408" w:rsidRPr="000229AD">
              <w:rPr>
                <w:lang w:val="fr-FR"/>
              </w:rPr>
              <w:t>'</w:t>
            </w:r>
            <w:r w:rsidRPr="000229AD">
              <w:rPr>
                <w:lang w:val="fr-FR"/>
              </w:rPr>
              <w:t>est tenu les 26 et 27 novembre 2023 au Caire (Égypte).</w:t>
            </w:r>
          </w:p>
          <w:p w14:paraId="701A0589" w14:textId="006D18CA" w:rsidR="008F0090" w:rsidRPr="000229AD" w:rsidRDefault="008F0090" w:rsidP="00716C22">
            <w:pPr>
              <w:pStyle w:val="Tabletext"/>
              <w:spacing w:before="80" w:after="0"/>
              <w:ind w:left="284" w:hanging="284"/>
              <w:rPr>
                <w:lang w:val="fr-FR"/>
              </w:rPr>
            </w:pPr>
            <w:r w:rsidRPr="000229AD">
              <w:rPr>
                <w:lang w:val="fr-FR"/>
              </w:rPr>
              <w:t>•</w:t>
            </w:r>
            <w:r w:rsidRPr="000229AD">
              <w:rPr>
                <w:lang w:val="fr-FR"/>
              </w:rPr>
              <w:tab/>
              <w:t>En Tunisie, quelque 200 employés du secteur public ont reçu une formation sur un éventail de compétences numériques à</w:t>
            </w:r>
            <w:r w:rsidR="000D4D4A" w:rsidRPr="000229AD">
              <w:rPr>
                <w:lang w:val="fr-FR"/>
              </w:rPr>
              <w:t> </w:t>
            </w:r>
            <w:r w:rsidRPr="000229AD">
              <w:rPr>
                <w:lang w:val="fr-FR"/>
              </w:rPr>
              <w:t>travers l</w:t>
            </w:r>
            <w:r w:rsidR="00125408" w:rsidRPr="000229AD">
              <w:rPr>
                <w:lang w:val="fr-FR"/>
              </w:rPr>
              <w:t>'</w:t>
            </w:r>
            <w:r w:rsidRPr="000229AD">
              <w:rPr>
                <w:lang w:val="fr-FR"/>
              </w:rPr>
              <w:t>Académie de l</w:t>
            </w:r>
            <w:r w:rsidR="00125408" w:rsidRPr="000229AD">
              <w:rPr>
                <w:lang w:val="fr-FR"/>
              </w:rPr>
              <w:t>'</w:t>
            </w:r>
            <w:r w:rsidRPr="000229AD">
              <w:rPr>
                <w:lang w:val="fr-FR"/>
              </w:rPr>
              <w:t>UIT dans le cadre d</w:t>
            </w:r>
            <w:r w:rsidR="00125408" w:rsidRPr="000229AD">
              <w:rPr>
                <w:lang w:val="fr-FR"/>
              </w:rPr>
              <w:t>'</w:t>
            </w:r>
            <w:r w:rsidRPr="000229AD">
              <w:rPr>
                <w:lang w:val="fr-FR"/>
              </w:rPr>
              <w:t>un projet conjoint avec GIZ.</w:t>
            </w:r>
          </w:p>
          <w:p w14:paraId="31534B56" w14:textId="558271A0" w:rsidR="008F0090" w:rsidRPr="000229AD" w:rsidRDefault="008F0090" w:rsidP="00716C22">
            <w:pPr>
              <w:pStyle w:val="Tabletext"/>
              <w:spacing w:before="80" w:after="0"/>
              <w:ind w:left="284" w:hanging="284"/>
              <w:rPr>
                <w:lang w:val="fr-FR"/>
              </w:rPr>
            </w:pPr>
            <w:r w:rsidRPr="000229AD">
              <w:rPr>
                <w:lang w:val="fr-FR"/>
              </w:rPr>
              <w:t>•</w:t>
            </w:r>
            <w:r w:rsidRPr="000229AD">
              <w:rPr>
                <w:lang w:val="fr-FR"/>
              </w:rPr>
              <w:tab/>
              <w:t>Au Liban, avec l</w:t>
            </w:r>
            <w:r w:rsidR="00125408" w:rsidRPr="000229AD">
              <w:rPr>
                <w:lang w:val="fr-FR"/>
              </w:rPr>
              <w:t>'</w:t>
            </w:r>
            <w:r w:rsidRPr="000229AD">
              <w:rPr>
                <w:lang w:val="fr-FR"/>
              </w:rPr>
              <w:t>appui considérable et la participation active d</w:t>
            </w:r>
            <w:r w:rsidR="00125408" w:rsidRPr="000229AD">
              <w:rPr>
                <w:lang w:val="fr-FR"/>
              </w:rPr>
              <w:t>'</w:t>
            </w:r>
            <w:r w:rsidRPr="000229AD">
              <w:rPr>
                <w:lang w:val="fr-FR"/>
              </w:rPr>
              <w:t>OGERO, l</w:t>
            </w:r>
            <w:r w:rsidR="00125408" w:rsidRPr="000229AD">
              <w:rPr>
                <w:lang w:val="fr-FR"/>
              </w:rPr>
              <w:t>'</w:t>
            </w:r>
            <w:r w:rsidRPr="000229AD">
              <w:rPr>
                <w:lang w:val="fr-FR"/>
              </w:rPr>
              <w:t>accent a été mis sur la protection en ligne des enfants, témoignant ainsi de la volonté de créer un environnement en ligne plus sûr pour la jeune génération.</w:t>
            </w:r>
          </w:p>
          <w:p w14:paraId="637DF1BD" w14:textId="59C88080" w:rsidR="008F0090" w:rsidRPr="000229AD" w:rsidRDefault="008F0090" w:rsidP="00716C22">
            <w:pPr>
              <w:pStyle w:val="Tabletext"/>
              <w:spacing w:before="240" w:after="120"/>
              <w:rPr>
                <w:lang w:val="fr-FR"/>
              </w:rPr>
            </w:pPr>
            <w:r w:rsidRPr="000229AD">
              <w:rPr>
                <w:b/>
                <w:bCs/>
                <w:lang w:val="fr-FR"/>
              </w:rPr>
              <w:t>ARB5: Élaborer des moyens pour réglementer le numérique</w:t>
            </w:r>
          </w:p>
          <w:p w14:paraId="71AFD525" w14:textId="08A5CB8D" w:rsidR="008F0090" w:rsidRPr="000229AD" w:rsidRDefault="008F0090" w:rsidP="00716C22">
            <w:pPr>
              <w:pStyle w:val="Tabletext"/>
              <w:spacing w:before="80" w:after="0"/>
              <w:ind w:left="284" w:hanging="284"/>
              <w:rPr>
                <w:lang w:val="fr-FR"/>
              </w:rPr>
            </w:pPr>
            <w:r w:rsidRPr="000229AD">
              <w:rPr>
                <w:lang w:val="fr-FR"/>
              </w:rPr>
              <w:t>•</w:t>
            </w:r>
            <w:r w:rsidRPr="000229AD">
              <w:rPr>
                <w:lang w:val="fr-FR"/>
              </w:rPr>
              <w:tab/>
              <w:t>En collaboration avec l</w:t>
            </w:r>
            <w:r w:rsidR="00125408" w:rsidRPr="000229AD">
              <w:rPr>
                <w:lang w:val="fr-FR"/>
              </w:rPr>
              <w:t>'</w:t>
            </w:r>
            <w:r w:rsidRPr="000229AD">
              <w:rPr>
                <w:lang w:val="fr-FR"/>
              </w:rPr>
              <w:t>Arabie saoudite, l</w:t>
            </w:r>
            <w:r w:rsidR="00125408" w:rsidRPr="000229AD">
              <w:rPr>
                <w:lang w:val="fr-FR"/>
              </w:rPr>
              <w:t>'</w:t>
            </w:r>
            <w:r w:rsidRPr="000229AD">
              <w:rPr>
                <w:lang w:val="fr-FR"/>
              </w:rPr>
              <w:t>appui pour les projets de télécommunication/TIC a mis l</w:t>
            </w:r>
            <w:r w:rsidR="00125408" w:rsidRPr="000229AD">
              <w:rPr>
                <w:lang w:val="fr-FR"/>
              </w:rPr>
              <w:t>'</w:t>
            </w:r>
            <w:r w:rsidRPr="000229AD">
              <w:rPr>
                <w:lang w:val="fr-FR"/>
              </w:rPr>
              <w:t xml:space="preserve">accent sur la formation et la transformation numérique et a contribué aux efforts de renforcement des capacités de la région en marge du </w:t>
            </w:r>
            <w:r w:rsidRPr="000229AD">
              <w:rPr>
                <w:b/>
                <w:bCs/>
                <w:lang w:val="fr-FR"/>
              </w:rPr>
              <w:t>Forum régional sur le développement</w:t>
            </w:r>
            <w:r w:rsidRPr="000229AD">
              <w:rPr>
                <w:lang w:val="fr-FR"/>
              </w:rPr>
              <w:t>.</w:t>
            </w:r>
          </w:p>
          <w:p w14:paraId="0190E574" w14:textId="22D8217C" w:rsidR="008F0090" w:rsidRPr="000229AD" w:rsidRDefault="008F0090" w:rsidP="00716C22">
            <w:pPr>
              <w:pStyle w:val="Tabletext"/>
              <w:spacing w:before="80" w:after="0"/>
              <w:ind w:left="284" w:hanging="284"/>
              <w:rPr>
                <w:lang w:val="fr-FR"/>
              </w:rPr>
            </w:pPr>
            <w:r w:rsidRPr="000229AD">
              <w:rPr>
                <w:lang w:val="fr-FR"/>
              </w:rPr>
              <w:t>•</w:t>
            </w:r>
            <w:r w:rsidRPr="000229AD">
              <w:rPr>
                <w:lang w:val="fr-FR"/>
              </w:rPr>
              <w:tab/>
              <w:t xml:space="preserve">Bahreïn a accueilli le </w:t>
            </w:r>
            <w:r w:rsidRPr="000229AD">
              <w:rPr>
                <w:b/>
                <w:bCs/>
                <w:lang w:val="fr-FR"/>
              </w:rPr>
              <w:t>Forum régional sur le développement pour les États arabes (RDF-ARB)</w:t>
            </w:r>
            <w:r w:rsidRPr="000229AD">
              <w:rPr>
                <w:lang w:val="fr-FR"/>
              </w:rPr>
              <w:t xml:space="preserve"> sur le thème de l</w:t>
            </w:r>
            <w:r w:rsidR="00125408" w:rsidRPr="000229AD">
              <w:rPr>
                <w:lang w:val="fr-FR"/>
              </w:rPr>
              <w:t>'</w:t>
            </w:r>
            <w:r w:rsidRPr="000229AD">
              <w:rPr>
                <w:lang w:val="fr-FR"/>
              </w:rPr>
              <w:t>accélération du développement numérique. La manifestation a démontré le rôle de chef de file du pays dans la transformation numérique.</w:t>
            </w:r>
          </w:p>
          <w:p w14:paraId="2EBF541B" w14:textId="0D63D4A4" w:rsidR="008F0090" w:rsidRPr="000229AD" w:rsidRDefault="008F0090" w:rsidP="00716C22">
            <w:pPr>
              <w:pStyle w:val="Tabletext"/>
              <w:spacing w:before="80" w:after="0"/>
              <w:ind w:left="284" w:hanging="284"/>
              <w:rPr>
                <w:lang w:val="fr-FR"/>
              </w:rPr>
            </w:pPr>
            <w:r w:rsidRPr="000229AD">
              <w:rPr>
                <w:lang w:val="fr-FR"/>
              </w:rPr>
              <w:t>•</w:t>
            </w:r>
            <w:r w:rsidRPr="000229AD">
              <w:rPr>
                <w:lang w:val="fr-FR"/>
              </w:rPr>
              <w:tab/>
              <w:t>L</w:t>
            </w:r>
            <w:r w:rsidR="00125408" w:rsidRPr="000229AD">
              <w:rPr>
                <w:lang w:val="fr-FR"/>
              </w:rPr>
              <w:t>'</w:t>
            </w:r>
            <w:r w:rsidRPr="000229AD">
              <w:rPr>
                <w:lang w:val="fr-FR"/>
              </w:rPr>
              <w:t>UIT a organisé des ateliers et des séances de formation sur la réglementation numérique dans plusieurs pays, notamment des débats sur l</w:t>
            </w:r>
            <w:r w:rsidR="00125408" w:rsidRPr="000229AD">
              <w:rPr>
                <w:lang w:val="fr-FR"/>
              </w:rPr>
              <w:t>'</w:t>
            </w:r>
            <w:r w:rsidRPr="000229AD">
              <w:rPr>
                <w:lang w:val="fr-FR"/>
              </w:rPr>
              <w:t>outil de suivi réglementaire et les critères de références pour la réglementation de cinquième génération, afin de mieux faire connaître l</w:t>
            </w:r>
            <w:r w:rsidR="00125408" w:rsidRPr="000229AD">
              <w:rPr>
                <w:lang w:val="fr-FR"/>
              </w:rPr>
              <w:t>'</w:t>
            </w:r>
            <w:r w:rsidRPr="000229AD">
              <w:rPr>
                <w:lang w:val="fr-FR"/>
              </w:rPr>
              <w:t>importance de la réglementation numérique et d</w:t>
            </w:r>
            <w:r w:rsidR="00125408" w:rsidRPr="000229AD">
              <w:rPr>
                <w:lang w:val="fr-FR"/>
              </w:rPr>
              <w:t>'</w:t>
            </w:r>
            <w:r w:rsidRPr="000229AD">
              <w:rPr>
                <w:lang w:val="fr-FR"/>
              </w:rPr>
              <w:t>encourager la mise en place de cette dernière.</w:t>
            </w:r>
          </w:p>
          <w:p w14:paraId="7D0A55CA" w14:textId="61571D49" w:rsidR="008F0090" w:rsidRPr="000229AD" w:rsidRDefault="008F0090" w:rsidP="00716C22">
            <w:pPr>
              <w:pStyle w:val="Tabletext"/>
              <w:spacing w:before="80" w:after="0"/>
              <w:ind w:left="284" w:hanging="284"/>
              <w:rPr>
                <w:lang w:val="fr-FR"/>
              </w:rPr>
            </w:pPr>
            <w:r w:rsidRPr="000229AD">
              <w:rPr>
                <w:lang w:val="fr-FR"/>
              </w:rPr>
              <w:t>•</w:t>
            </w:r>
            <w:r w:rsidRPr="000229AD">
              <w:rPr>
                <w:lang w:val="fr-FR"/>
              </w:rPr>
              <w:tab/>
              <w:t>Le projet de services consultatifs de l</w:t>
            </w:r>
            <w:r w:rsidR="00125408" w:rsidRPr="000229AD">
              <w:rPr>
                <w:lang w:val="fr-FR"/>
              </w:rPr>
              <w:t>'</w:t>
            </w:r>
            <w:r w:rsidRPr="000229AD">
              <w:rPr>
                <w:lang w:val="fr-FR"/>
              </w:rPr>
              <w:t>Arabie saoudite, que nous gérons, était axé sur les services de radiocommunication spatiale et les stratégies de transformation numérique, marquant ainsi des progrès importants dans la mise en place de moyens de réglementation numérique dans la région des États arabes.</w:t>
            </w:r>
          </w:p>
          <w:p w14:paraId="108A24C1" w14:textId="133F4219" w:rsidR="008F0090" w:rsidRPr="000229AD" w:rsidRDefault="008F0090" w:rsidP="00716C22">
            <w:pPr>
              <w:pStyle w:val="Tabletext"/>
              <w:spacing w:before="80"/>
              <w:ind w:left="284" w:hanging="284"/>
              <w:rPr>
                <w:lang w:val="fr-FR"/>
              </w:rPr>
            </w:pPr>
            <w:r w:rsidRPr="000229AD">
              <w:rPr>
                <w:lang w:val="fr-FR"/>
              </w:rPr>
              <w:t>•</w:t>
            </w:r>
            <w:r w:rsidRPr="000229AD">
              <w:rPr>
                <w:lang w:val="fr-FR"/>
              </w:rPr>
              <w:tab/>
              <w:t>Avec l</w:t>
            </w:r>
            <w:r w:rsidR="00125408" w:rsidRPr="000229AD">
              <w:rPr>
                <w:lang w:val="fr-FR"/>
              </w:rPr>
              <w:t>'</w:t>
            </w:r>
            <w:r w:rsidRPr="000229AD">
              <w:rPr>
                <w:lang w:val="fr-FR"/>
              </w:rPr>
              <w:t>appui du Bureau régional, le Qatar a poursuivi ses travaux sur la réglementation numérique et accueillera la PP-26, témoignant ainsi de son attachement au dialogue mondial et à l</w:t>
            </w:r>
            <w:r w:rsidR="00125408" w:rsidRPr="000229AD">
              <w:rPr>
                <w:lang w:val="fr-FR"/>
              </w:rPr>
              <w:t>'</w:t>
            </w:r>
            <w:r w:rsidRPr="000229AD">
              <w:rPr>
                <w:lang w:val="fr-FR"/>
              </w:rPr>
              <w:t>innovation.</w:t>
            </w:r>
          </w:p>
          <w:p w14:paraId="1EB0AD72" w14:textId="01278EAD" w:rsidR="008F0090" w:rsidRPr="000229AD" w:rsidRDefault="008F0090" w:rsidP="00716C22">
            <w:pPr>
              <w:pStyle w:val="Tabletext"/>
              <w:keepNext/>
              <w:keepLines/>
              <w:spacing w:after="120"/>
              <w:rPr>
                <w:lang w:val="fr-FR"/>
              </w:rPr>
            </w:pPr>
            <w:r w:rsidRPr="000229AD">
              <w:rPr>
                <w:b/>
                <w:bCs/>
                <w:lang w:val="fr-FR"/>
              </w:rPr>
              <w:lastRenderedPageBreak/>
              <w:t>Bureau régional de l</w:t>
            </w:r>
            <w:r w:rsidR="00125408" w:rsidRPr="000229AD">
              <w:rPr>
                <w:b/>
                <w:bCs/>
                <w:lang w:val="fr-FR"/>
              </w:rPr>
              <w:t>'</w:t>
            </w:r>
            <w:r w:rsidRPr="000229AD">
              <w:rPr>
                <w:b/>
                <w:bCs/>
                <w:lang w:val="fr-FR"/>
              </w:rPr>
              <w:t>UIT pour l</w:t>
            </w:r>
            <w:r w:rsidR="00125408" w:rsidRPr="000229AD">
              <w:rPr>
                <w:b/>
                <w:bCs/>
                <w:lang w:val="fr-FR"/>
              </w:rPr>
              <w:t>'</w:t>
            </w:r>
            <w:r w:rsidRPr="000229AD">
              <w:rPr>
                <w:b/>
                <w:bCs/>
                <w:lang w:val="fr-FR"/>
              </w:rPr>
              <w:t>Asie et le Pacifique</w:t>
            </w:r>
          </w:p>
          <w:p w14:paraId="7AFAC421" w14:textId="4D8289D5" w:rsidR="008F0090" w:rsidRPr="000229AD" w:rsidRDefault="008F0090" w:rsidP="00716C22">
            <w:pPr>
              <w:pStyle w:val="Tabletext"/>
              <w:keepNext/>
              <w:keepLines/>
              <w:spacing w:after="120"/>
              <w:rPr>
                <w:lang w:val="fr-FR"/>
              </w:rPr>
            </w:pPr>
            <w:r w:rsidRPr="000229AD">
              <w:rPr>
                <w:b/>
                <w:bCs/>
                <w:lang w:val="fr-FR"/>
              </w:rPr>
              <w:t>Le Bureau régional pour l</w:t>
            </w:r>
            <w:r w:rsidR="00125408" w:rsidRPr="000229AD">
              <w:rPr>
                <w:b/>
                <w:bCs/>
                <w:lang w:val="fr-FR"/>
              </w:rPr>
              <w:t>'</w:t>
            </w:r>
            <w:r w:rsidRPr="000229AD">
              <w:rPr>
                <w:b/>
                <w:bCs/>
                <w:lang w:val="fr-FR"/>
              </w:rPr>
              <w:t>Asie-Pacifique a collaboré activement à la mise en œuvre de plusieurs projets et activités dans l</w:t>
            </w:r>
            <w:r w:rsidR="00125408" w:rsidRPr="000229AD">
              <w:rPr>
                <w:b/>
                <w:bCs/>
                <w:lang w:val="fr-FR"/>
              </w:rPr>
              <w:t>'</w:t>
            </w:r>
            <w:r w:rsidRPr="000229AD">
              <w:rPr>
                <w:b/>
                <w:bCs/>
                <w:lang w:val="fr-FR"/>
              </w:rPr>
              <w:t>ensemble de la région, principalement en fournissant un appui aux États Membres dans le cadre de partenariats multipartites visant à accélérer la transformation numérique et le passage à l</w:t>
            </w:r>
            <w:r w:rsidR="00125408" w:rsidRPr="000229AD">
              <w:rPr>
                <w:b/>
                <w:bCs/>
                <w:lang w:val="fr-FR"/>
              </w:rPr>
              <w:t>'</w:t>
            </w:r>
            <w:r w:rsidRPr="000229AD">
              <w:rPr>
                <w:b/>
                <w:bCs/>
                <w:lang w:val="fr-FR"/>
              </w:rPr>
              <w:t>économie numérique, à renforcer les compétences numériques et à favoriser la coopération en vue d</w:t>
            </w:r>
            <w:r w:rsidR="00125408" w:rsidRPr="000229AD">
              <w:rPr>
                <w:b/>
                <w:bCs/>
                <w:lang w:val="fr-FR"/>
              </w:rPr>
              <w:t>'</w:t>
            </w:r>
            <w:r w:rsidRPr="000229AD">
              <w:rPr>
                <w:b/>
                <w:bCs/>
                <w:lang w:val="fr-FR"/>
              </w:rPr>
              <w:t>améliorer la connectivité conformément aux initiatives régionales énoncées dans le Plan d</w:t>
            </w:r>
            <w:r w:rsidR="00125408" w:rsidRPr="000229AD">
              <w:rPr>
                <w:b/>
                <w:bCs/>
                <w:lang w:val="fr-FR"/>
              </w:rPr>
              <w:t>'</w:t>
            </w:r>
            <w:r w:rsidRPr="000229AD">
              <w:rPr>
                <w:b/>
                <w:bCs/>
                <w:lang w:val="fr-FR"/>
              </w:rPr>
              <w:t>action de Kigali. Les principales activités et réalisations sont les suivantes:</w:t>
            </w:r>
          </w:p>
          <w:p w14:paraId="01431E67" w14:textId="600A616B" w:rsidR="008F0090" w:rsidRPr="000229AD" w:rsidRDefault="008F0090" w:rsidP="00716C22">
            <w:pPr>
              <w:pStyle w:val="Tabletext"/>
              <w:keepNext/>
              <w:keepLines/>
              <w:spacing w:before="80" w:after="0"/>
              <w:ind w:left="284" w:hanging="284"/>
              <w:rPr>
                <w:rFonts w:eastAsiaTheme="minorEastAsia"/>
                <w:lang w:val="fr-FR"/>
              </w:rPr>
            </w:pPr>
            <w:r w:rsidRPr="000229AD">
              <w:rPr>
                <w:lang w:val="fr-FR"/>
              </w:rPr>
              <w:t>•</w:t>
            </w:r>
            <w:r w:rsidRPr="000229AD">
              <w:rPr>
                <w:lang w:val="fr-FR"/>
              </w:rPr>
              <w:tab/>
              <w:t xml:space="preserve">En 2023, le BDT a continué de travailler étroitement avec les équipes de pays des Nations Unies de la région Asie-Pacifique ainsi que le Bureau de la coordination des activités de développement (BCAD), et de prendre part à des initiatives en faveur du passage au numérique. Cela a permis de renforcer les volets consacrés à la transformation numérique au sein des </w:t>
            </w:r>
            <w:hyperlink r:id="rId83" w:history="1">
              <w:r w:rsidRPr="000229AD">
                <w:rPr>
                  <w:rStyle w:val="Hyperlink"/>
                  <w:lang w:val="fr-FR"/>
                </w:rPr>
                <w:t xml:space="preserve">plans-cadres de coopération des Nations Unies pour </w:t>
              </w:r>
              <w:r w:rsidRPr="000229AD">
                <w:rPr>
                  <w:rStyle w:val="Hyperlink"/>
                  <w:lang w:val="fr-FR"/>
                </w:rPr>
                <w:t>l</w:t>
              </w:r>
              <w:r w:rsidRPr="000229AD">
                <w:rPr>
                  <w:rStyle w:val="Hyperlink"/>
                  <w:lang w:val="fr-FR"/>
                </w:rPr>
                <w:t>e développement durable dans le Pacifique</w:t>
              </w:r>
            </w:hyperlink>
            <w:r w:rsidRPr="000229AD">
              <w:rPr>
                <w:lang w:val="fr-FR"/>
              </w:rPr>
              <w:t>, dont l</w:t>
            </w:r>
            <w:r w:rsidR="00125408" w:rsidRPr="000229AD">
              <w:rPr>
                <w:lang w:val="fr-FR"/>
              </w:rPr>
              <w:t>'</w:t>
            </w:r>
            <w:r w:rsidRPr="000229AD">
              <w:rPr>
                <w:lang w:val="fr-FR"/>
              </w:rPr>
              <w:t>UIT est signataire. L</w:t>
            </w:r>
            <w:r w:rsidR="00125408" w:rsidRPr="000229AD">
              <w:rPr>
                <w:lang w:val="fr-FR"/>
              </w:rPr>
              <w:t>'</w:t>
            </w:r>
            <w:r w:rsidRPr="000229AD">
              <w:rPr>
                <w:lang w:val="fr-FR"/>
              </w:rPr>
              <w:t>UIT continue de mettre en œuvre les programmes conjoints suivants dans le Pacifique: "Accélérer la réalisation des ODD grâce à la transformation numérique afin de renforcer la résilience des communautés en Micronésie" et "Promouvoir la réalisation des ODD en améliorant les moyens d</w:t>
            </w:r>
            <w:r w:rsidR="00125408" w:rsidRPr="000229AD">
              <w:rPr>
                <w:lang w:val="fr-FR"/>
              </w:rPr>
              <w:t>'</w:t>
            </w:r>
            <w:r w:rsidRPr="000229AD">
              <w:rPr>
                <w:lang w:val="fr-FR"/>
              </w:rPr>
              <w:t>existence et la résilience, grâce à la diversification économique et à la transformation numérique". Ces initiatives conjointes ont contribué à l</w:t>
            </w:r>
            <w:r w:rsidR="00125408" w:rsidRPr="000229AD">
              <w:rPr>
                <w:lang w:val="fr-FR"/>
              </w:rPr>
              <w:t>'</w:t>
            </w:r>
            <w:r w:rsidRPr="000229AD">
              <w:rPr>
                <w:lang w:val="fr-FR"/>
              </w:rPr>
              <w:t>octroi de financement dans le cadre de l</w:t>
            </w:r>
            <w:r w:rsidR="00125408" w:rsidRPr="000229AD">
              <w:rPr>
                <w:lang w:val="fr-FR"/>
              </w:rPr>
              <w:t>'</w:t>
            </w:r>
            <w:r w:rsidRPr="000229AD">
              <w:rPr>
                <w:lang w:val="fr-FR"/>
              </w:rPr>
              <w:t xml:space="preserve">enveloppe du Fonds commun pour les ODD dédiée aux projets numériques. Les volets de la transformation numérique ont été renforcés dans le </w:t>
            </w:r>
            <w:hyperlink r:id="rId84" w:history="1">
              <w:r w:rsidRPr="000229AD">
                <w:rPr>
                  <w:rStyle w:val="Hyperlink"/>
                  <w:lang w:val="fr-FR"/>
                </w:rPr>
                <w:t>Plan-cadre de coopération de la Thaïlande pour la période 2022-2026</w:t>
              </w:r>
            </w:hyperlink>
            <w:r w:rsidRPr="000229AD">
              <w:rPr>
                <w:lang w:val="fr-FR"/>
              </w:rPr>
              <w:t>, dont l</w:t>
            </w:r>
            <w:r w:rsidR="00125408" w:rsidRPr="000229AD">
              <w:rPr>
                <w:lang w:val="fr-FR"/>
              </w:rPr>
              <w:t>'</w:t>
            </w:r>
            <w:r w:rsidRPr="000229AD">
              <w:rPr>
                <w:lang w:val="fr-FR"/>
              </w:rPr>
              <w:t>UIT est signataire. L</w:t>
            </w:r>
            <w:r w:rsidR="00125408" w:rsidRPr="000229AD">
              <w:rPr>
                <w:lang w:val="fr-FR"/>
              </w:rPr>
              <w:t>'</w:t>
            </w:r>
            <w:r w:rsidRPr="000229AD">
              <w:rPr>
                <w:lang w:val="fr-FR"/>
              </w:rPr>
              <w:t>UIT continue de contribuer à la mise en œuvre de la réalisation 2 qui porte sur le capital humain, le renforcement des institutions, les partenariats et l</w:t>
            </w:r>
            <w:r w:rsidR="00125408" w:rsidRPr="000229AD">
              <w:rPr>
                <w:lang w:val="fr-FR"/>
              </w:rPr>
              <w:t>'</w:t>
            </w:r>
            <w:r w:rsidRPr="000229AD">
              <w:rPr>
                <w:lang w:val="fr-FR"/>
              </w:rPr>
              <w:t>autonomisation de la population. Dans ce cadre, des actions telles que la Journée internationale des jeunes filles dans le secteur des TIC, l</w:t>
            </w:r>
            <w:r w:rsidR="00125408" w:rsidRPr="000229AD">
              <w:rPr>
                <w:lang w:val="fr-FR"/>
              </w:rPr>
              <w:t>'</w:t>
            </w:r>
            <w:r w:rsidRPr="000229AD">
              <w:rPr>
                <w:lang w:val="fr-FR"/>
              </w:rPr>
              <w:t>évaluation des compétences numériques des migrants en Thaïlande et une collaboration stratégique pour la mise en œuvre d</w:t>
            </w:r>
            <w:r w:rsidR="00125408" w:rsidRPr="000229AD">
              <w:rPr>
                <w:lang w:val="fr-FR"/>
              </w:rPr>
              <w:t>'</w:t>
            </w:r>
            <w:r w:rsidRPr="000229AD">
              <w:rPr>
                <w:lang w:val="fr-FR"/>
              </w:rPr>
              <w:t>un programme de santé sur mobile sur le vieillissement ont été menées conjointement avec des organismes des Nations Unies.</w:t>
            </w:r>
          </w:p>
          <w:p w14:paraId="06F20500" w14:textId="62C3690D" w:rsidR="008F0090" w:rsidRPr="000229AD" w:rsidRDefault="008F0090" w:rsidP="00716C22">
            <w:pPr>
              <w:pStyle w:val="Tabletext"/>
              <w:spacing w:before="80" w:after="0"/>
              <w:ind w:left="284" w:hanging="284"/>
              <w:rPr>
                <w:lang w:val="fr-FR"/>
              </w:rPr>
            </w:pPr>
            <w:r w:rsidRPr="000229AD">
              <w:rPr>
                <w:lang w:val="fr-FR"/>
              </w:rPr>
              <w:t>•</w:t>
            </w:r>
            <w:r w:rsidRPr="000229AD">
              <w:rPr>
                <w:lang w:val="fr-FR"/>
              </w:rPr>
              <w:tab/>
              <w:t>L</w:t>
            </w:r>
            <w:r w:rsidR="00125408" w:rsidRPr="000229AD">
              <w:rPr>
                <w:lang w:val="fr-FR"/>
              </w:rPr>
              <w:t>'</w:t>
            </w:r>
            <w:r w:rsidRPr="000229AD">
              <w:rPr>
                <w:lang w:val="fr-FR"/>
              </w:rPr>
              <w:t>UIT fait partie du nouveau partenariat multi-parties prenantes visant à promouvoir les compétences numériques, la sécurité numérique, la culture numérique et l</w:t>
            </w:r>
            <w:r w:rsidR="00125408" w:rsidRPr="000229AD">
              <w:rPr>
                <w:lang w:val="fr-FR"/>
              </w:rPr>
              <w:t>'</w:t>
            </w:r>
            <w:r w:rsidRPr="000229AD">
              <w:rPr>
                <w:lang w:val="fr-FR"/>
              </w:rPr>
              <w:t>éthique numérique en Indonésie. Le partenariat comprend l</w:t>
            </w:r>
            <w:r w:rsidR="00125408" w:rsidRPr="000229AD">
              <w:rPr>
                <w:lang w:val="fr-FR"/>
              </w:rPr>
              <w:t>'</w:t>
            </w:r>
            <w:r w:rsidRPr="000229AD">
              <w:rPr>
                <w:lang w:val="fr-FR"/>
              </w:rPr>
              <w:t>UNESCO, la FAO, ITC, le PNUD, l</w:t>
            </w:r>
            <w:r w:rsidR="00125408" w:rsidRPr="000229AD">
              <w:rPr>
                <w:lang w:val="fr-FR"/>
              </w:rPr>
              <w:t>'</w:t>
            </w:r>
            <w:r w:rsidRPr="000229AD">
              <w:rPr>
                <w:lang w:val="fr-FR"/>
              </w:rPr>
              <w:t>UNICEF, l</w:t>
            </w:r>
            <w:r w:rsidR="00125408" w:rsidRPr="000229AD">
              <w:rPr>
                <w:lang w:val="fr-FR"/>
              </w:rPr>
              <w:t>'</w:t>
            </w:r>
            <w:r w:rsidRPr="000229AD">
              <w:rPr>
                <w:lang w:val="fr-FR"/>
              </w:rPr>
              <w:t>ONUDI, l</w:t>
            </w:r>
            <w:r w:rsidR="00125408" w:rsidRPr="000229AD">
              <w:rPr>
                <w:lang w:val="fr-FR"/>
              </w:rPr>
              <w:t>'</w:t>
            </w:r>
            <w:r w:rsidRPr="000229AD">
              <w:rPr>
                <w:lang w:val="fr-FR"/>
              </w:rPr>
              <w:t>OMS, RCO, le Gouvernement de l</w:t>
            </w:r>
            <w:r w:rsidR="00125408" w:rsidRPr="000229AD">
              <w:rPr>
                <w:lang w:val="fr-FR"/>
              </w:rPr>
              <w:t>'</w:t>
            </w:r>
            <w:r w:rsidRPr="000229AD">
              <w:rPr>
                <w:lang w:val="fr-FR"/>
              </w:rPr>
              <w:t>Indonésie, le Réseau universitaire national d</w:t>
            </w:r>
            <w:r w:rsidR="00125408" w:rsidRPr="000229AD">
              <w:rPr>
                <w:lang w:val="fr-FR"/>
              </w:rPr>
              <w:t>'</w:t>
            </w:r>
            <w:r w:rsidRPr="000229AD">
              <w:rPr>
                <w:lang w:val="fr-FR"/>
              </w:rPr>
              <w:t>Indonésie et l</w:t>
            </w:r>
            <w:r w:rsidR="00125408" w:rsidRPr="000229AD">
              <w:rPr>
                <w:lang w:val="fr-FR"/>
              </w:rPr>
              <w:t>'</w:t>
            </w:r>
            <w:r w:rsidRPr="000229AD">
              <w:rPr>
                <w:lang w:val="fr-FR"/>
              </w:rPr>
              <w:t>APDI et vise à créer des synergies en faveur de résultats concrets.</w:t>
            </w:r>
          </w:p>
          <w:p w14:paraId="0DB69198" w14:textId="4869F3EB" w:rsidR="008F0090" w:rsidRPr="000229AD" w:rsidRDefault="008F0090" w:rsidP="00716C22">
            <w:pPr>
              <w:pStyle w:val="Tabletext"/>
              <w:spacing w:before="80"/>
              <w:ind w:left="284" w:hanging="284"/>
              <w:rPr>
                <w:rFonts w:eastAsiaTheme="minorEastAsia"/>
                <w:lang w:val="fr-FR"/>
              </w:rPr>
            </w:pPr>
            <w:r w:rsidRPr="000229AD">
              <w:rPr>
                <w:lang w:val="fr-FR"/>
              </w:rPr>
              <w:t>•</w:t>
            </w:r>
            <w:r w:rsidRPr="000229AD">
              <w:rPr>
                <w:lang w:val="fr-FR"/>
              </w:rPr>
              <w:tab/>
              <w:t xml:space="preserve">Lors du </w:t>
            </w:r>
            <w:r w:rsidRPr="000229AD">
              <w:rPr>
                <w:b/>
                <w:bCs/>
                <w:lang w:val="fr-FR"/>
              </w:rPr>
              <w:t>Forum régional sur le développement pour l</w:t>
            </w:r>
            <w:r w:rsidR="00125408" w:rsidRPr="000229AD">
              <w:rPr>
                <w:b/>
                <w:bCs/>
                <w:lang w:val="fr-FR"/>
              </w:rPr>
              <w:t>'</w:t>
            </w:r>
            <w:r w:rsidRPr="000229AD">
              <w:rPr>
                <w:b/>
                <w:bCs/>
                <w:lang w:val="fr-FR"/>
              </w:rPr>
              <w:t>Asie-Pacifique (RDF-ASP)</w:t>
            </w:r>
            <w:r w:rsidRPr="000229AD">
              <w:rPr>
                <w:lang w:val="fr-FR"/>
              </w:rPr>
              <w:t>, qui s</w:t>
            </w:r>
            <w:r w:rsidR="00125408" w:rsidRPr="000229AD">
              <w:rPr>
                <w:lang w:val="fr-FR"/>
              </w:rPr>
              <w:t>'</w:t>
            </w:r>
            <w:r w:rsidRPr="000229AD">
              <w:rPr>
                <w:lang w:val="fr-FR"/>
              </w:rPr>
              <w:t>est tenu en Thaïlande en septembre 2023, vingt pays et organisations partenaires de toute la région se sont réunis pour discuter des initiatives régionales pour la région Asie-Pacifique, du Plan d</w:t>
            </w:r>
            <w:r w:rsidR="00125408" w:rsidRPr="000229AD">
              <w:rPr>
                <w:lang w:val="fr-FR"/>
              </w:rPr>
              <w:t>'</w:t>
            </w:r>
            <w:r w:rsidRPr="000229AD">
              <w:rPr>
                <w:lang w:val="fr-FR"/>
              </w:rPr>
              <w:t>action de Kigali, ainsi que des besoins de la région et des pays candidats en matière de projets à mettre en œuvre. Le forum a permis de sensibiliser davantage les États Membres de la région Asie-Pacifique et de renforcer la coopération et la collaboration avec le BCAD, l</w:t>
            </w:r>
            <w:r w:rsidR="00125408" w:rsidRPr="000229AD">
              <w:rPr>
                <w:lang w:val="fr-FR"/>
              </w:rPr>
              <w:t>'</w:t>
            </w:r>
            <w:r w:rsidRPr="000229AD">
              <w:rPr>
                <w:lang w:val="fr-FR"/>
              </w:rPr>
              <w:t>équipe de pays des Nations Unies et des organismes comme le Fonds d</w:t>
            </w:r>
            <w:r w:rsidR="00125408" w:rsidRPr="000229AD">
              <w:rPr>
                <w:lang w:val="fr-FR"/>
              </w:rPr>
              <w:t>'</w:t>
            </w:r>
            <w:r w:rsidRPr="000229AD">
              <w:rPr>
                <w:lang w:val="fr-FR"/>
              </w:rPr>
              <w:t>équipement des Nations Unies (FENU) et l</w:t>
            </w:r>
            <w:r w:rsidR="00125408" w:rsidRPr="000229AD">
              <w:rPr>
                <w:lang w:val="fr-FR"/>
              </w:rPr>
              <w:t>'</w:t>
            </w:r>
            <w:r w:rsidRPr="000229AD">
              <w:rPr>
                <w:lang w:val="fr-FR"/>
              </w:rPr>
              <w:t>OMM. Davantage de fonds ont été mobilisés, notamment dans le cadre des tables rondes de mise en relation au titre de l</w:t>
            </w:r>
            <w:r w:rsidR="00125408" w:rsidRPr="000229AD">
              <w:rPr>
                <w:lang w:val="fr-FR"/>
              </w:rPr>
              <w:t>'</w:t>
            </w:r>
            <w:r w:rsidRPr="000229AD">
              <w:rPr>
                <w:lang w:val="fr-FR"/>
              </w:rPr>
              <w:t>initiative Partner2Connect: 11 nouveaux engagements Partner2Connect ont été annoncés, et plusieurs déclarations communes ont été signées, notamment avec Huawei, Indosat et IICF, permettant de mobiliser davantage de ressources et de compétences pour la mise en œuvre des initiatives régionales.</w:t>
            </w:r>
          </w:p>
          <w:p w14:paraId="2FFC22DD" w14:textId="480240B8" w:rsidR="008F0090" w:rsidRPr="000229AD" w:rsidRDefault="008F0090" w:rsidP="00716C22">
            <w:pPr>
              <w:pStyle w:val="Tabletext"/>
              <w:spacing w:before="80" w:after="0"/>
              <w:ind w:left="284" w:hanging="284"/>
              <w:rPr>
                <w:lang w:val="fr-FR"/>
              </w:rPr>
            </w:pPr>
            <w:r w:rsidRPr="000229AD">
              <w:rPr>
                <w:lang w:val="fr-FR"/>
              </w:rPr>
              <w:lastRenderedPageBreak/>
              <w:t>•</w:t>
            </w:r>
            <w:r w:rsidRPr="000229AD">
              <w:rPr>
                <w:lang w:val="fr-FR"/>
              </w:rPr>
              <w:tab/>
              <w:t>Le BDT a mené des actions de sensibilisation et obtenu des engagements formels en faveur de l</w:t>
            </w:r>
            <w:r w:rsidR="00125408" w:rsidRPr="000229AD">
              <w:rPr>
                <w:lang w:val="fr-FR"/>
              </w:rPr>
              <w:t>'</w:t>
            </w:r>
            <w:r w:rsidRPr="000229AD">
              <w:rPr>
                <w:lang w:val="fr-FR"/>
              </w:rPr>
              <w:t>accélération de la transformation numérique lors du premier Dialogue ministériel sur le numérique dans le secteur des TIC pour le Pacifique qui s</w:t>
            </w:r>
            <w:r w:rsidR="00125408" w:rsidRPr="000229AD">
              <w:rPr>
                <w:lang w:val="fr-FR"/>
              </w:rPr>
              <w:t>'</w:t>
            </w:r>
            <w:r w:rsidRPr="000229AD">
              <w:rPr>
                <w:lang w:val="fr-FR"/>
              </w:rPr>
              <w:t xml:space="preserve">est tenu le 28 août 2023 en Papouasie-Nouvelle-Guinée. La </w:t>
            </w:r>
            <w:hyperlink r:id="rId85" w:history="1">
              <w:r w:rsidRPr="000229AD">
                <w:rPr>
                  <w:rStyle w:val="Hyperlink"/>
                  <w:lang w:val="fr-FR"/>
                </w:rPr>
                <w:t>Déclaration de Lagatoi</w:t>
              </w:r>
            </w:hyperlink>
            <w:r w:rsidRPr="000229AD">
              <w:rPr>
                <w:lang w:val="fr-FR"/>
              </w:rPr>
              <w:t>, adoptée au cours de la réunion, appelle l</w:t>
            </w:r>
            <w:r w:rsidR="00125408" w:rsidRPr="000229AD">
              <w:rPr>
                <w:lang w:val="fr-FR"/>
              </w:rPr>
              <w:t>'</w:t>
            </w:r>
            <w:r w:rsidRPr="000229AD">
              <w:rPr>
                <w:lang w:val="fr-FR"/>
              </w:rPr>
              <w:t>UIT et les autres partenaires de développement à renforcer leur présence régionale dans le Pacifique. À la suite de la réunion ministérielle, un projet de deux ans, financé par le Ministère australien de l</w:t>
            </w:r>
            <w:r w:rsidR="00125408" w:rsidRPr="000229AD">
              <w:rPr>
                <w:lang w:val="fr-FR"/>
              </w:rPr>
              <w:t>'</w:t>
            </w:r>
            <w:r w:rsidRPr="000229AD">
              <w:rPr>
                <w:lang w:val="fr-FR"/>
              </w:rPr>
              <w:t>infrastructure, des transports, du développement régional, des communications et des arts et par l</w:t>
            </w:r>
            <w:r w:rsidR="00125408" w:rsidRPr="000229AD">
              <w:rPr>
                <w:lang w:val="fr-FR"/>
              </w:rPr>
              <w:t>'</w:t>
            </w:r>
            <w:r w:rsidRPr="000229AD">
              <w:rPr>
                <w:lang w:val="fr-FR"/>
              </w:rPr>
              <w:t>UIT, a été lancé par l</w:t>
            </w:r>
            <w:r w:rsidR="00125408" w:rsidRPr="000229AD">
              <w:rPr>
                <w:lang w:val="fr-FR"/>
              </w:rPr>
              <w:t>'</w:t>
            </w:r>
            <w:r w:rsidRPr="000229AD">
              <w:rPr>
                <w:lang w:val="fr-FR"/>
              </w:rPr>
              <w:t>UIT en 2024. Il vise à réaliser une étude de faisabilité pour à répondre aux besoins particuliers en matière de développement des télécommunications/TIC dans les petits États insulaires en développement du Pacifique.</w:t>
            </w:r>
          </w:p>
          <w:p w14:paraId="76D241AD" w14:textId="382836FD" w:rsidR="008F0090" w:rsidRPr="000229AD" w:rsidRDefault="008F0090" w:rsidP="00716C22">
            <w:pPr>
              <w:pStyle w:val="Tabletext"/>
              <w:spacing w:before="80" w:after="0"/>
              <w:ind w:left="284" w:hanging="284"/>
              <w:rPr>
                <w:rFonts w:eastAsiaTheme="minorEastAsia"/>
                <w:lang w:val="fr-FR"/>
              </w:rPr>
            </w:pPr>
            <w:r w:rsidRPr="000229AD">
              <w:rPr>
                <w:lang w:val="fr-FR"/>
              </w:rPr>
              <w:t>•</w:t>
            </w:r>
            <w:r w:rsidRPr="000229AD">
              <w:rPr>
                <w:lang w:val="fr-FR"/>
              </w:rPr>
              <w:tab/>
              <w:t>Le BDT a également continué à collaborer étroitement avec la Télécommunauté de l</w:t>
            </w:r>
            <w:r w:rsidR="00125408" w:rsidRPr="000229AD">
              <w:rPr>
                <w:lang w:val="fr-FR"/>
              </w:rPr>
              <w:t>'</w:t>
            </w:r>
            <w:r w:rsidRPr="000229AD">
              <w:rPr>
                <w:lang w:val="fr-FR"/>
              </w:rPr>
              <w:t>Asie et du Pacifique (TAP) afin de renforcer les capacités et la mise en cohérence stratégique des activités. Le BDT a contribué à l</w:t>
            </w:r>
            <w:r w:rsidR="00125408" w:rsidRPr="000229AD">
              <w:rPr>
                <w:lang w:val="fr-FR"/>
              </w:rPr>
              <w:t>'</w:t>
            </w:r>
            <w:r w:rsidRPr="000229AD">
              <w:rPr>
                <w:lang w:val="fr-FR"/>
              </w:rPr>
              <w:t>organisation des manifestations de premier plan de la TAP et de l</w:t>
            </w:r>
            <w:r w:rsidR="00125408" w:rsidRPr="000229AD">
              <w:rPr>
                <w:lang w:val="fr-FR"/>
              </w:rPr>
              <w:t>'</w:t>
            </w:r>
            <w:r w:rsidRPr="000229AD">
              <w:rPr>
                <w:lang w:val="fr-FR"/>
              </w:rPr>
              <w:t xml:space="preserve">UIT, dont le Colloque de la TAP sur la connectivité inclusive et le </w:t>
            </w:r>
            <w:r w:rsidRPr="000229AD">
              <w:rPr>
                <w:b/>
                <w:bCs/>
                <w:lang w:val="fr-FR"/>
              </w:rPr>
              <w:t>RDF-ASP</w:t>
            </w:r>
            <w:r w:rsidRPr="000229AD">
              <w:rPr>
                <w:lang w:val="fr-FR"/>
              </w:rPr>
              <w:t>, et a renforcé la participation des États Membres à ces dernières, en coordonnant les experts et en octroyant des bourses aux participants.</w:t>
            </w:r>
          </w:p>
          <w:p w14:paraId="7B2E73AE" w14:textId="2FE12F1E" w:rsidR="008F0090" w:rsidRPr="000229AD" w:rsidRDefault="008F0090" w:rsidP="00716C22">
            <w:pPr>
              <w:pStyle w:val="Tabletext"/>
              <w:spacing w:before="80" w:after="0"/>
              <w:ind w:left="284" w:hanging="284"/>
              <w:rPr>
                <w:rFonts w:eastAsiaTheme="minorEastAsia"/>
                <w:lang w:val="fr-FR"/>
              </w:rPr>
            </w:pPr>
            <w:r w:rsidRPr="000229AD">
              <w:rPr>
                <w:lang w:val="fr-FR"/>
              </w:rPr>
              <w:t>•</w:t>
            </w:r>
            <w:r w:rsidRPr="000229AD">
              <w:rPr>
                <w:lang w:val="fr-FR"/>
              </w:rPr>
              <w:tab/>
              <w:t>La présence régionale de l</w:t>
            </w:r>
            <w:r w:rsidR="00125408" w:rsidRPr="000229AD">
              <w:rPr>
                <w:lang w:val="fr-FR"/>
              </w:rPr>
              <w:t>'</w:t>
            </w:r>
            <w:r w:rsidRPr="000229AD">
              <w:rPr>
                <w:lang w:val="fr-FR"/>
              </w:rPr>
              <w:t>UIT a par ailleurs été consolidée avec l</w:t>
            </w:r>
            <w:r w:rsidR="00125408" w:rsidRPr="000229AD">
              <w:rPr>
                <w:lang w:val="fr-FR"/>
              </w:rPr>
              <w:t>'</w:t>
            </w:r>
            <w:r w:rsidRPr="000229AD">
              <w:rPr>
                <w:lang w:val="fr-FR"/>
              </w:rPr>
              <w:t>inauguration du Bureau de zone et du Centre d</w:t>
            </w:r>
            <w:r w:rsidR="00125408" w:rsidRPr="000229AD">
              <w:rPr>
                <w:lang w:val="fr-FR"/>
              </w:rPr>
              <w:t>'</w:t>
            </w:r>
            <w:r w:rsidRPr="000229AD">
              <w:rPr>
                <w:lang w:val="fr-FR"/>
              </w:rPr>
              <w:t>innovation de l</w:t>
            </w:r>
            <w:r w:rsidR="00125408" w:rsidRPr="000229AD">
              <w:rPr>
                <w:lang w:val="fr-FR"/>
              </w:rPr>
              <w:t>'</w:t>
            </w:r>
            <w:r w:rsidRPr="000229AD">
              <w:rPr>
                <w:lang w:val="fr-FR"/>
              </w:rPr>
              <w:t>UIT pour l</w:t>
            </w:r>
            <w:r w:rsidR="00125408" w:rsidRPr="000229AD">
              <w:rPr>
                <w:lang w:val="fr-FR"/>
              </w:rPr>
              <w:t>'</w:t>
            </w:r>
            <w:r w:rsidRPr="000229AD">
              <w:rPr>
                <w:lang w:val="fr-FR"/>
              </w:rPr>
              <w:t>Asie du Sud à New Delhi (Inde) en mars 2023. Le nouveau bureau de zone a déjà commencé à produire des résultats tangibles, dont l</w:t>
            </w:r>
            <w:r w:rsidR="00125408" w:rsidRPr="000229AD">
              <w:rPr>
                <w:lang w:val="fr-FR"/>
              </w:rPr>
              <w:t>'</w:t>
            </w:r>
            <w:r w:rsidRPr="000229AD">
              <w:rPr>
                <w:lang w:val="fr-FR"/>
              </w:rPr>
              <w:t>amélioration des compétences techniques d</w:t>
            </w:r>
            <w:r w:rsidR="00125408" w:rsidRPr="000229AD">
              <w:rPr>
                <w:lang w:val="fr-FR"/>
              </w:rPr>
              <w:t>'</w:t>
            </w:r>
            <w:r w:rsidRPr="000229AD">
              <w:rPr>
                <w:lang w:val="fr-FR"/>
              </w:rPr>
              <w:t>experts provenant de 10 pays dans le cadre d</w:t>
            </w:r>
            <w:r w:rsidR="00125408" w:rsidRPr="000229AD">
              <w:rPr>
                <w:lang w:val="fr-FR"/>
              </w:rPr>
              <w:t>'</w:t>
            </w:r>
            <w:r w:rsidRPr="000229AD">
              <w:rPr>
                <w:lang w:val="fr-FR"/>
              </w:rPr>
              <w:t>une formation sur la mise en œuvre de l</w:t>
            </w:r>
            <w:r w:rsidR="00125408" w:rsidRPr="000229AD">
              <w:rPr>
                <w:lang w:val="fr-FR"/>
              </w:rPr>
              <w:t>'</w:t>
            </w:r>
            <w:r w:rsidRPr="000229AD">
              <w:rPr>
                <w:lang w:val="fr-FR"/>
              </w:rPr>
              <w:t>outil GovStack et sur l</w:t>
            </w:r>
            <w:r w:rsidR="00125408" w:rsidRPr="000229AD">
              <w:rPr>
                <w:lang w:val="fr-FR"/>
              </w:rPr>
              <w:t>'</w:t>
            </w:r>
            <w:r w:rsidRPr="000229AD">
              <w:rPr>
                <w:lang w:val="fr-FR"/>
              </w:rPr>
              <w:t>approche faisant intervenir toutes les entités publiques. En outre, le Bureau a renforcé les capacités de 20 experts du Ministère indien des communications dans le cadre d</w:t>
            </w:r>
            <w:r w:rsidR="00125408" w:rsidRPr="000229AD">
              <w:rPr>
                <w:lang w:val="fr-FR"/>
              </w:rPr>
              <w:t>'</w:t>
            </w:r>
            <w:r w:rsidRPr="000229AD">
              <w:rPr>
                <w:lang w:val="fr-FR"/>
              </w:rPr>
              <w:t>une formation sur SMS4DC, axée sur la gestion du spectre et l</w:t>
            </w:r>
            <w:r w:rsidR="00125408" w:rsidRPr="000229AD">
              <w:rPr>
                <w:lang w:val="fr-FR"/>
              </w:rPr>
              <w:t>'</w:t>
            </w:r>
            <w:r w:rsidRPr="000229AD">
              <w:rPr>
                <w:lang w:val="fr-FR"/>
              </w:rPr>
              <w:t>utilisation efficace des outils.</w:t>
            </w:r>
          </w:p>
          <w:p w14:paraId="4018DD1C" w14:textId="2FA0D7AB" w:rsidR="008F0090" w:rsidRPr="000229AD" w:rsidRDefault="008F0090" w:rsidP="00716C22">
            <w:pPr>
              <w:pStyle w:val="Tabletext"/>
              <w:spacing w:before="80" w:after="0"/>
              <w:ind w:left="284" w:hanging="284"/>
              <w:rPr>
                <w:rFonts w:eastAsiaTheme="minorEastAsia"/>
                <w:lang w:val="fr-FR"/>
              </w:rPr>
            </w:pPr>
            <w:r w:rsidRPr="000229AD">
              <w:rPr>
                <w:lang w:val="fr-FR"/>
              </w:rPr>
              <w:t>•</w:t>
            </w:r>
            <w:r w:rsidRPr="000229AD">
              <w:rPr>
                <w:lang w:val="fr-FR"/>
              </w:rPr>
              <w:tab/>
              <w:t>Dans le domaine de l</w:t>
            </w:r>
            <w:r w:rsidR="00125408" w:rsidRPr="000229AD">
              <w:rPr>
                <w:lang w:val="fr-FR"/>
              </w:rPr>
              <w:t>'</w:t>
            </w:r>
            <w:r w:rsidRPr="000229AD">
              <w:rPr>
                <w:lang w:val="fr-FR"/>
              </w:rPr>
              <w:t>innovation, les activités menées par le BDT ont permis de renforcer les capacités des États Membres. Le succès du Forum régional de l</w:t>
            </w:r>
            <w:r w:rsidR="00125408" w:rsidRPr="000229AD">
              <w:rPr>
                <w:lang w:val="fr-FR"/>
              </w:rPr>
              <w:t>'</w:t>
            </w:r>
            <w:r w:rsidRPr="000229AD">
              <w:rPr>
                <w:lang w:val="fr-FR"/>
              </w:rPr>
              <w:t>innovation, de l</w:t>
            </w:r>
            <w:r w:rsidR="00125408" w:rsidRPr="000229AD">
              <w:rPr>
                <w:lang w:val="fr-FR"/>
              </w:rPr>
              <w:t>'</w:t>
            </w:r>
            <w:r w:rsidRPr="000229AD">
              <w:rPr>
                <w:lang w:val="fr-FR"/>
              </w:rPr>
              <w:t>Atelier sur la santé numérique et de la manifestation intitulée "Innovation et esprit d</w:t>
            </w:r>
            <w:r w:rsidR="00125408" w:rsidRPr="000229AD">
              <w:rPr>
                <w:lang w:val="fr-FR"/>
              </w:rPr>
              <w:t>'</w:t>
            </w:r>
            <w:r w:rsidRPr="000229AD">
              <w:rPr>
                <w:lang w:val="fr-FR"/>
              </w:rPr>
              <w:t>entreprise au service des ODD" en est la preuve. Ces activités sont destinées aux pouvoirs publics, aux acteurs du secteur, aux établissements universitaires et aux entrepreneurs, et visent à les faire avancer de façon significative dans leur parcours d</w:t>
            </w:r>
            <w:r w:rsidR="00125408" w:rsidRPr="000229AD">
              <w:rPr>
                <w:lang w:val="fr-FR"/>
              </w:rPr>
              <w:t>'</w:t>
            </w:r>
            <w:r w:rsidRPr="000229AD">
              <w:rPr>
                <w:lang w:val="fr-FR"/>
              </w:rPr>
              <w:t>innovation.</w:t>
            </w:r>
          </w:p>
          <w:p w14:paraId="14E7619A" w14:textId="4271A53E" w:rsidR="008F0090" w:rsidRPr="000229AD" w:rsidRDefault="008F0090" w:rsidP="00716C22">
            <w:pPr>
              <w:pStyle w:val="Tabletext"/>
              <w:spacing w:before="80" w:after="0"/>
              <w:ind w:left="284" w:hanging="284"/>
              <w:rPr>
                <w:lang w:val="fr-FR"/>
              </w:rPr>
            </w:pPr>
            <w:r w:rsidRPr="000229AD">
              <w:rPr>
                <w:lang w:val="fr-FR"/>
              </w:rPr>
              <w:t>•</w:t>
            </w:r>
            <w:r w:rsidRPr="000229AD">
              <w:rPr>
                <w:lang w:val="fr-FR"/>
              </w:rPr>
              <w:tab/>
              <w:t>Au cours de la période considérée, le BDT a signé huit accords d</w:t>
            </w:r>
            <w:r w:rsidR="00125408" w:rsidRPr="000229AD">
              <w:rPr>
                <w:lang w:val="fr-FR"/>
              </w:rPr>
              <w:t>'</w:t>
            </w:r>
            <w:r w:rsidRPr="000229AD">
              <w:rPr>
                <w:lang w:val="fr-FR"/>
              </w:rPr>
              <w:t>un montant de plus de 3,1 millions USD pour de nouveaux projets extrabudgétaires et des contributions volontaires pour la région Asie-Pacifique. Ils constituent un résultat concret de l</w:t>
            </w:r>
            <w:r w:rsidR="00125408" w:rsidRPr="000229AD">
              <w:rPr>
                <w:lang w:val="fr-FR"/>
              </w:rPr>
              <w:t>'</w:t>
            </w:r>
            <w:r w:rsidRPr="000229AD">
              <w:rPr>
                <w:lang w:val="fr-FR"/>
              </w:rPr>
              <w:t>assistance technique, de l</w:t>
            </w:r>
            <w:r w:rsidR="00125408" w:rsidRPr="000229AD">
              <w:rPr>
                <w:lang w:val="fr-FR"/>
              </w:rPr>
              <w:t>'</w:t>
            </w:r>
            <w:r w:rsidRPr="000229AD">
              <w:rPr>
                <w:lang w:val="fr-FR"/>
              </w:rPr>
              <w:t>analyse et du renforcement des capacités du BDT.</w:t>
            </w:r>
          </w:p>
          <w:p w14:paraId="0B98100A" w14:textId="36B816BA" w:rsidR="008F0090" w:rsidRPr="000229AD" w:rsidRDefault="008F0090" w:rsidP="00716C22">
            <w:pPr>
              <w:pStyle w:val="Tabletext"/>
              <w:spacing w:before="80" w:after="0"/>
              <w:ind w:left="284" w:hanging="284"/>
              <w:rPr>
                <w:rFonts w:ascii="Times New Roman" w:eastAsia="Times New Roman" w:hAnsi="Times New Roman"/>
                <w:lang w:val="fr-FR"/>
              </w:rPr>
            </w:pPr>
            <w:r w:rsidRPr="000229AD">
              <w:rPr>
                <w:lang w:val="fr-FR"/>
              </w:rPr>
              <w:t>•</w:t>
            </w:r>
            <w:r w:rsidRPr="000229AD">
              <w:rPr>
                <w:lang w:val="fr-FR"/>
              </w:rPr>
              <w:tab/>
              <w:t>L</w:t>
            </w:r>
            <w:r w:rsidR="00125408" w:rsidRPr="000229AD">
              <w:rPr>
                <w:lang w:val="fr-FR"/>
              </w:rPr>
              <w:t>'</w:t>
            </w:r>
            <w:r w:rsidRPr="000229AD">
              <w:rPr>
                <w:lang w:val="fr-FR"/>
              </w:rPr>
              <w:t>UIT a poursuivi son partenariat de longue date avec le Ministère chinois de l</w:t>
            </w:r>
            <w:r w:rsidR="00125408" w:rsidRPr="000229AD">
              <w:rPr>
                <w:lang w:val="fr-FR"/>
              </w:rPr>
              <w:t>'</w:t>
            </w:r>
            <w:r w:rsidRPr="000229AD">
              <w:rPr>
                <w:lang w:val="fr-FR"/>
              </w:rPr>
              <w:t>industrie et des technologies de l</w:t>
            </w:r>
            <w:r w:rsidR="00125408" w:rsidRPr="000229AD">
              <w:rPr>
                <w:lang w:val="fr-FR"/>
              </w:rPr>
              <w:t>'</w:t>
            </w:r>
            <w:r w:rsidRPr="000229AD">
              <w:rPr>
                <w:lang w:val="fr-FR"/>
              </w:rPr>
              <w:t>information en organisant avec ce dernier une manifestation annuelle de haut niveau. En 2023, la manifestation avait pour thème "</w:t>
            </w:r>
            <w:r w:rsidRPr="000229AD">
              <w:rPr>
                <w:b/>
                <w:bCs/>
                <w:lang w:val="fr-FR"/>
              </w:rPr>
              <w:t>Bâtir un avenir numérique pour tous</w:t>
            </w:r>
            <w:r w:rsidRPr="000229AD">
              <w:rPr>
                <w:lang w:val="fr-FR"/>
              </w:rPr>
              <w:t>".</w:t>
            </w:r>
          </w:p>
          <w:p w14:paraId="63AC00DC" w14:textId="521DE445" w:rsidR="008F0090" w:rsidRPr="000229AD" w:rsidRDefault="008F0090" w:rsidP="00716C22">
            <w:pPr>
              <w:pStyle w:val="Tabletext"/>
              <w:spacing w:before="80"/>
              <w:ind w:left="284" w:hanging="284"/>
              <w:rPr>
                <w:rStyle w:val="ui-provider"/>
                <w:lang w:val="fr-FR"/>
              </w:rPr>
            </w:pPr>
            <w:r w:rsidRPr="000229AD">
              <w:rPr>
                <w:lang w:val="fr-FR"/>
              </w:rPr>
              <w:t>•</w:t>
            </w:r>
            <w:r w:rsidRPr="000229AD">
              <w:rPr>
                <w:lang w:val="fr-FR"/>
              </w:rPr>
              <w:tab/>
              <w:t xml:space="preserve">Le BDT a mis en place une coopération avec le </w:t>
            </w:r>
            <w:hyperlink r:id="rId86" w:history="1">
              <w:r w:rsidRPr="000229AD">
                <w:rPr>
                  <w:rStyle w:val="Hyperlink"/>
                  <w:lang w:val="fr-FR"/>
                </w:rPr>
                <w:t>Centre d</w:t>
              </w:r>
              <w:r w:rsidR="00125408" w:rsidRPr="000229AD">
                <w:rPr>
                  <w:rStyle w:val="Hyperlink"/>
                  <w:lang w:val="fr-FR"/>
                </w:rPr>
                <w:t>'</w:t>
              </w:r>
              <w:r w:rsidRPr="000229AD">
                <w:rPr>
                  <w:rStyle w:val="Hyperlink"/>
                  <w:lang w:val="fr-FR"/>
                </w:rPr>
                <w:t>étude et d</w:t>
              </w:r>
              <w:r w:rsidR="00125408" w:rsidRPr="000229AD">
                <w:rPr>
                  <w:rStyle w:val="Hyperlink"/>
                  <w:lang w:val="fr-FR"/>
                </w:rPr>
                <w:t>'</w:t>
              </w:r>
              <w:r w:rsidRPr="000229AD">
                <w:rPr>
                  <w:rStyle w:val="Hyperlink"/>
                  <w:lang w:val="fr-FR"/>
                </w:rPr>
                <w:t>analyse sur les pays en développement sans littoral</w:t>
              </w:r>
            </w:hyperlink>
            <w:r w:rsidRPr="000229AD">
              <w:rPr>
                <w:lang w:val="fr-FR"/>
              </w:rPr>
              <w:t xml:space="preserve"> et organisé avec ce dernier une manifestation axée sur les défis communs auxquels sont confrontés les pays en développement sans littoral d</w:t>
            </w:r>
            <w:r w:rsidR="00125408" w:rsidRPr="000229AD">
              <w:rPr>
                <w:lang w:val="fr-FR"/>
              </w:rPr>
              <w:t>'</w:t>
            </w:r>
            <w:r w:rsidRPr="000229AD">
              <w:rPr>
                <w:lang w:val="fr-FR"/>
              </w:rPr>
              <w:t>Asie-Pacifique et de la région de la CEI pour élaborer des politiques efficaces dans un secteur numérique en constante expansion. Le Centre a demandé à devenir membre de Secteur de l</w:t>
            </w:r>
            <w:r w:rsidR="00125408" w:rsidRPr="000229AD">
              <w:rPr>
                <w:lang w:val="fr-FR"/>
              </w:rPr>
              <w:t>'</w:t>
            </w:r>
            <w:r w:rsidRPr="000229AD">
              <w:rPr>
                <w:lang w:val="fr-FR"/>
              </w:rPr>
              <w:t>UIT-D en 2024.</w:t>
            </w:r>
          </w:p>
          <w:p w14:paraId="58A9DEB9" w14:textId="190551B1" w:rsidR="008F0090" w:rsidRPr="000229AD" w:rsidRDefault="008F0090" w:rsidP="00716C22">
            <w:pPr>
              <w:pStyle w:val="Tabletext"/>
              <w:spacing w:before="80" w:after="0"/>
              <w:ind w:left="284" w:hanging="284"/>
              <w:rPr>
                <w:rStyle w:val="ui-provider"/>
                <w:lang w:val="fr-FR"/>
              </w:rPr>
            </w:pPr>
            <w:r w:rsidRPr="000229AD">
              <w:rPr>
                <w:lang w:val="fr-FR"/>
              </w:rPr>
              <w:lastRenderedPageBreak/>
              <w:t>•</w:t>
            </w:r>
            <w:r w:rsidRPr="000229AD">
              <w:rPr>
                <w:lang w:val="fr-FR"/>
              </w:rPr>
              <w:tab/>
              <w:t>En collaboration avec d</w:t>
            </w:r>
            <w:r w:rsidR="00125408" w:rsidRPr="000229AD">
              <w:rPr>
                <w:lang w:val="fr-FR"/>
              </w:rPr>
              <w:t>'</w:t>
            </w:r>
            <w:r w:rsidRPr="000229AD">
              <w:rPr>
                <w:lang w:val="fr-FR"/>
              </w:rPr>
              <w:t>autres organismes et partenaires, le BDT a organisé huit manifestations dans le cadre de la Journée internationale des jeunes filles dans le secteur des TIC dans de nombreux pays, dont les Fidji, l</w:t>
            </w:r>
            <w:r w:rsidR="00125408" w:rsidRPr="000229AD">
              <w:rPr>
                <w:lang w:val="fr-FR"/>
              </w:rPr>
              <w:t>'</w:t>
            </w:r>
            <w:r w:rsidRPr="000229AD">
              <w:rPr>
                <w:lang w:val="fr-FR"/>
              </w:rPr>
              <w:t>Indonésie, Kiribati, Micronésie, Nauru, le Pakistan, les Philippines, la Thaïlande, le Timor-Leste, les Tonga, et dans les pays membres de l</w:t>
            </w:r>
            <w:r w:rsidR="00125408" w:rsidRPr="000229AD">
              <w:rPr>
                <w:lang w:val="fr-FR"/>
              </w:rPr>
              <w:t>'</w:t>
            </w:r>
            <w:r w:rsidRPr="000229AD">
              <w:rPr>
                <w:lang w:val="fr-FR"/>
              </w:rPr>
              <w:t>ASEAN, avec l</w:t>
            </w:r>
            <w:r w:rsidR="00125408" w:rsidRPr="000229AD">
              <w:rPr>
                <w:lang w:val="fr-FR"/>
              </w:rPr>
              <w:t>'</w:t>
            </w:r>
            <w:r w:rsidRPr="000229AD">
              <w:rPr>
                <w:lang w:val="fr-FR"/>
              </w:rPr>
              <w:t>objectif de contribuer à la mise en œuvre de programmes de formation aux compétences numériques et d</w:t>
            </w:r>
            <w:r w:rsidR="00125408" w:rsidRPr="000229AD">
              <w:rPr>
                <w:lang w:val="fr-FR"/>
              </w:rPr>
              <w:t>'</w:t>
            </w:r>
            <w:r w:rsidRPr="000229AD">
              <w:rPr>
                <w:lang w:val="fr-FR"/>
              </w:rPr>
              <w:t>autres activités connexes en faveur des filles et des jeunes femmes de la région. Ces manifestations ont attiré plus de 2 200 participants, dont des filles, des jeunes femmes et des enseignants, qui ont pris part à 63 programmes de formation aux compétences numériques et à des activités s</w:t>
            </w:r>
            <w:r w:rsidR="00125408" w:rsidRPr="000229AD">
              <w:rPr>
                <w:lang w:val="fr-FR"/>
              </w:rPr>
              <w:t>'</w:t>
            </w:r>
            <w:r w:rsidRPr="000229AD">
              <w:rPr>
                <w:lang w:val="fr-FR"/>
              </w:rPr>
              <w:t>y rapportant dans le cadre de la Journée internationale des jeunes filles dans le secteur des TIC, qui s</w:t>
            </w:r>
            <w:r w:rsidR="00125408" w:rsidRPr="000229AD">
              <w:rPr>
                <w:lang w:val="fr-FR"/>
              </w:rPr>
              <w:t>'</w:t>
            </w:r>
            <w:r w:rsidRPr="000229AD">
              <w:rPr>
                <w:lang w:val="fr-FR"/>
              </w:rPr>
              <w:t>est déroulée du 27 avril au 17 novembre 2023. Ces activités ont demandé des échanges avec les responsables des questions de genre dans les 11 pays de la région susmentionnés et ont été réalisées grâce à la collaboration de plus de 100 partenaires issus des secteurs public et privé, d</w:t>
            </w:r>
            <w:r w:rsidR="00125408" w:rsidRPr="000229AD">
              <w:rPr>
                <w:lang w:val="fr-FR"/>
              </w:rPr>
              <w:t>'</w:t>
            </w:r>
            <w:r w:rsidRPr="000229AD">
              <w:rPr>
                <w:lang w:val="fr-FR"/>
              </w:rPr>
              <w:t>organismes des Nations Unies, d</w:t>
            </w:r>
            <w:r w:rsidR="00125408" w:rsidRPr="000229AD">
              <w:rPr>
                <w:lang w:val="fr-FR"/>
              </w:rPr>
              <w:t>'</w:t>
            </w:r>
            <w:r w:rsidRPr="000229AD">
              <w:rPr>
                <w:lang w:val="fr-FR"/>
              </w:rPr>
              <w:t>universités et d</w:t>
            </w:r>
            <w:r w:rsidR="00125408" w:rsidRPr="000229AD">
              <w:rPr>
                <w:lang w:val="fr-FR"/>
              </w:rPr>
              <w:t>'</w:t>
            </w:r>
            <w:r w:rsidRPr="000229AD">
              <w:rPr>
                <w:lang w:val="fr-FR"/>
              </w:rPr>
              <w:t>organisations de la société civile.</w:t>
            </w:r>
          </w:p>
          <w:p w14:paraId="07D24124" w14:textId="4D248318" w:rsidR="008F0090" w:rsidRPr="000229AD" w:rsidRDefault="008F0090" w:rsidP="00716C22">
            <w:pPr>
              <w:pStyle w:val="Tabletext"/>
              <w:spacing w:before="240" w:after="120"/>
              <w:rPr>
                <w:lang w:val="fr-FR"/>
              </w:rPr>
            </w:pPr>
            <w:r w:rsidRPr="000229AD">
              <w:rPr>
                <w:b/>
                <w:bCs/>
                <w:lang w:val="fr-FR"/>
              </w:rPr>
              <w:t>Bureau régional de l</w:t>
            </w:r>
            <w:r w:rsidR="00125408" w:rsidRPr="000229AD">
              <w:rPr>
                <w:b/>
                <w:bCs/>
                <w:lang w:val="fr-FR"/>
              </w:rPr>
              <w:t>'</w:t>
            </w:r>
            <w:r w:rsidRPr="000229AD">
              <w:rPr>
                <w:b/>
                <w:bCs/>
                <w:lang w:val="fr-FR"/>
              </w:rPr>
              <w:t>UIT pour la Communauté des États indépendants</w:t>
            </w:r>
          </w:p>
          <w:p w14:paraId="2819C511" w14:textId="7CEDDDAD" w:rsidR="008F0090" w:rsidRPr="000229AD" w:rsidRDefault="008F0090" w:rsidP="00716C22">
            <w:pPr>
              <w:pStyle w:val="Tabletext"/>
              <w:spacing w:after="120"/>
              <w:rPr>
                <w:lang w:val="fr-FR"/>
              </w:rPr>
            </w:pPr>
            <w:r w:rsidRPr="000229AD">
              <w:rPr>
                <w:b/>
                <w:bCs/>
                <w:lang w:val="fr-FR"/>
              </w:rPr>
              <w:t>Le Bureau régional pour la Communauté des États indépendants a participé activement à la mise en œuvre de projets et d</w:t>
            </w:r>
            <w:r w:rsidR="00125408" w:rsidRPr="000229AD">
              <w:rPr>
                <w:b/>
                <w:bCs/>
                <w:lang w:val="fr-FR"/>
              </w:rPr>
              <w:t>'</w:t>
            </w:r>
            <w:r w:rsidRPr="000229AD">
              <w:rPr>
                <w:b/>
                <w:bCs/>
                <w:lang w:val="fr-FR"/>
              </w:rPr>
              <w:t>initiatives dans toute la région, principalement en aidant les États Membres à mieux faire connaître les technologies 5G et leur déploiement, à améliorer la réglementation numérique et les données relatives aux TIC, à réagir aux incidents de cybersécurité et à accélérer le processus de transformation numérique conformément aux initiatives régionales énoncées dans le Plan d</w:t>
            </w:r>
            <w:r w:rsidR="00125408" w:rsidRPr="000229AD">
              <w:rPr>
                <w:b/>
                <w:bCs/>
                <w:lang w:val="fr-FR"/>
              </w:rPr>
              <w:t>'</w:t>
            </w:r>
            <w:r w:rsidRPr="000229AD">
              <w:rPr>
                <w:b/>
                <w:bCs/>
                <w:lang w:val="fr-FR"/>
              </w:rPr>
              <w:t>action de Kigali.</w:t>
            </w:r>
          </w:p>
          <w:p w14:paraId="7FA9DF7C" w14:textId="713E495A" w:rsidR="008F0090" w:rsidRPr="000229AD" w:rsidRDefault="008F0090" w:rsidP="00716C22">
            <w:pPr>
              <w:pStyle w:val="Tabletext"/>
              <w:rPr>
                <w:lang w:val="fr-FR"/>
              </w:rPr>
            </w:pPr>
            <w:r w:rsidRPr="000229AD">
              <w:rPr>
                <w:lang w:val="fr-FR"/>
              </w:rPr>
              <w:t>Les priorités régionales sont prises en compte dans le cadre de l</w:t>
            </w:r>
            <w:r w:rsidR="00125408" w:rsidRPr="000229AD">
              <w:rPr>
                <w:lang w:val="fr-FR"/>
              </w:rPr>
              <w:t>'</w:t>
            </w:r>
            <w:r w:rsidRPr="000229AD">
              <w:rPr>
                <w:lang w:val="fr-FR"/>
              </w:rPr>
              <w:t>assistance technique, du renforcement des capacités et de l</w:t>
            </w:r>
            <w:r w:rsidR="00125408" w:rsidRPr="000229AD">
              <w:rPr>
                <w:lang w:val="fr-FR"/>
              </w:rPr>
              <w:t>'</w:t>
            </w:r>
            <w:r w:rsidRPr="000229AD">
              <w:rPr>
                <w:lang w:val="fr-FR"/>
              </w:rPr>
              <w:t>échange des connaissances dans la région, de concert avec les initiatives régionales CIS 1 sur les réseaux et l</w:t>
            </w:r>
            <w:r w:rsidR="00125408" w:rsidRPr="000229AD">
              <w:rPr>
                <w:lang w:val="fr-FR"/>
              </w:rPr>
              <w:t>'</w:t>
            </w:r>
            <w:r w:rsidRPr="000229AD">
              <w:rPr>
                <w:lang w:val="fr-FR"/>
              </w:rPr>
              <w:t>infrastructure,</w:t>
            </w:r>
            <w:r w:rsidR="000229AD">
              <w:rPr>
                <w:lang w:val="fr-FR"/>
              </w:rPr>
              <w:t xml:space="preserve"> </w:t>
            </w:r>
            <w:r w:rsidRPr="000229AD">
              <w:rPr>
                <w:lang w:val="fr-FR"/>
              </w:rPr>
              <w:t>CIS 2 sur la cybersécurité, CIS 3 sur les mesures politiques et réglementaires propres à soutenir la transformation numérique, CIS 4 sur les compétences numériques pour tous, y compris les personnes handicapées, et CIS 5 sur les villes intelligentes. À ces initiatives s</w:t>
            </w:r>
            <w:r w:rsidR="00125408" w:rsidRPr="000229AD">
              <w:rPr>
                <w:lang w:val="fr-FR"/>
              </w:rPr>
              <w:t>'</w:t>
            </w:r>
            <w:r w:rsidRPr="000229AD">
              <w:rPr>
                <w:lang w:val="fr-FR"/>
              </w:rPr>
              <w:t>ajoutent les programmes et initiatives mondiaux tels que la protection en ligne des enfants, GovStack, Connect2Recover, l</w:t>
            </w:r>
            <w:r w:rsidR="00125408" w:rsidRPr="000229AD">
              <w:rPr>
                <w:lang w:val="fr-FR"/>
              </w:rPr>
              <w:t>'</w:t>
            </w:r>
            <w:r w:rsidRPr="000229AD">
              <w:rPr>
                <w:lang w:val="fr-FR"/>
              </w:rPr>
              <w:t>Alliance pour l</w:t>
            </w:r>
            <w:r w:rsidR="00125408" w:rsidRPr="000229AD">
              <w:rPr>
                <w:lang w:val="fr-FR"/>
              </w:rPr>
              <w:t>'</w:t>
            </w:r>
            <w:r w:rsidRPr="000229AD">
              <w:rPr>
                <w:lang w:val="fr-FR"/>
              </w:rPr>
              <w:t>innovation et l</w:t>
            </w:r>
            <w:r w:rsidR="00125408" w:rsidRPr="000229AD">
              <w:rPr>
                <w:lang w:val="fr-FR"/>
              </w:rPr>
              <w:t>'</w:t>
            </w:r>
            <w:r w:rsidRPr="000229AD">
              <w:rPr>
                <w:lang w:val="fr-FR"/>
              </w:rPr>
              <w:t>entrepreneuriat au service du développement du numérique et Generation Connect. Les principales activités sont les suivantes:</w:t>
            </w:r>
          </w:p>
          <w:p w14:paraId="32EF8EBC" w14:textId="389288FB" w:rsidR="008F0090" w:rsidRPr="000229AD" w:rsidRDefault="008F0090" w:rsidP="00716C22">
            <w:pPr>
              <w:pStyle w:val="Tabletext"/>
              <w:spacing w:before="80"/>
              <w:ind w:left="284" w:hanging="284"/>
              <w:rPr>
                <w:lang w:val="fr-FR"/>
              </w:rPr>
            </w:pPr>
            <w:r w:rsidRPr="000229AD">
              <w:rPr>
                <w:lang w:val="fr-FR"/>
              </w:rPr>
              <w:t>•</w:t>
            </w:r>
            <w:r w:rsidRPr="000229AD">
              <w:rPr>
                <w:lang w:val="fr-FR"/>
              </w:rPr>
              <w:tab/>
              <w:t>Concernant l</w:t>
            </w:r>
            <w:r w:rsidR="00125408" w:rsidRPr="000229AD">
              <w:rPr>
                <w:lang w:val="fr-FR"/>
              </w:rPr>
              <w:t>'</w:t>
            </w:r>
            <w:r w:rsidRPr="000229AD">
              <w:rPr>
                <w:lang w:val="fr-FR"/>
              </w:rPr>
              <w:t>infrastructure numérique, plus de 700 représentants du secteur public de l</w:t>
            </w:r>
            <w:r w:rsidR="00125408" w:rsidRPr="000229AD">
              <w:rPr>
                <w:lang w:val="fr-FR"/>
              </w:rPr>
              <w:t>'</w:t>
            </w:r>
            <w:r w:rsidRPr="000229AD">
              <w:rPr>
                <w:lang w:val="fr-FR"/>
              </w:rPr>
              <w:t>Arménie, du Tadjikistan et du Turkménistan ont été formés aux technologies de la 5G et au déploiement de ces dernières. Au Tadjikistan ainsi que dans quinze autres pays, le BDT a lancé l</w:t>
            </w:r>
            <w:r w:rsidR="00125408" w:rsidRPr="000229AD">
              <w:rPr>
                <w:lang w:val="fr-FR"/>
              </w:rPr>
              <w:t>'</w:t>
            </w:r>
            <w:r w:rsidRPr="000229AD">
              <w:rPr>
                <w:lang w:val="fr-FR"/>
              </w:rPr>
              <w:t>initiative "Alertes précoces pour tous". Un nouveau projet sur les réseaux communautaires, lancé conjointement avec l</w:t>
            </w:r>
            <w:r w:rsidR="00125408" w:rsidRPr="000229AD">
              <w:rPr>
                <w:lang w:val="fr-FR"/>
              </w:rPr>
              <w:t>'</w:t>
            </w:r>
            <w:r w:rsidRPr="000229AD">
              <w:rPr>
                <w:lang w:val="fr-FR"/>
              </w:rPr>
              <w:t>Union des opérateurs d</w:t>
            </w:r>
            <w:r w:rsidR="00125408" w:rsidRPr="000229AD">
              <w:rPr>
                <w:lang w:val="fr-FR"/>
              </w:rPr>
              <w:t>'</w:t>
            </w:r>
            <w:r w:rsidRPr="000229AD">
              <w:rPr>
                <w:lang w:val="fr-FR"/>
              </w:rPr>
              <w:t>Arménie et d</w:t>
            </w:r>
            <w:r w:rsidR="00125408" w:rsidRPr="000229AD">
              <w:rPr>
                <w:lang w:val="fr-FR"/>
              </w:rPr>
              <w:t>'</w:t>
            </w:r>
            <w:r w:rsidRPr="000229AD">
              <w:rPr>
                <w:lang w:val="fr-FR"/>
              </w:rPr>
              <w:t>autres partenaires, vise à connecter cinq communautés montagneuses et isolées comptant plus de 1 500 ménages.</w:t>
            </w:r>
          </w:p>
          <w:p w14:paraId="2B439159" w14:textId="0F791E26" w:rsidR="008F0090" w:rsidRPr="000229AD" w:rsidRDefault="008F0090" w:rsidP="00716C22">
            <w:pPr>
              <w:pStyle w:val="Tabletext"/>
              <w:keepNext/>
              <w:keepLines/>
              <w:spacing w:before="80" w:after="0"/>
              <w:ind w:left="284" w:hanging="284"/>
              <w:rPr>
                <w:lang w:val="fr-FR"/>
              </w:rPr>
            </w:pPr>
            <w:r w:rsidRPr="000229AD">
              <w:rPr>
                <w:lang w:val="fr-FR"/>
              </w:rPr>
              <w:lastRenderedPageBreak/>
              <w:t>•</w:t>
            </w:r>
            <w:r w:rsidRPr="000229AD">
              <w:rPr>
                <w:lang w:val="fr-FR"/>
              </w:rPr>
              <w:tab/>
              <w:t>Concernant les compétences numériques et l</w:t>
            </w:r>
            <w:r w:rsidR="00125408" w:rsidRPr="000229AD">
              <w:rPr>
                <w:lang w:val="fr-FR"/>
              </w:rPr>
              <w:t>'</w:t>
            </w:r>
            <w:r w:rsidRPr="000229AD">
              <w:rPr>
                <w:lang w:val="fr-FR"/>
              </w:rPr>
              <w:t>accessibilité, plus de 120 étudiants d</w:t>
            </w:r>
            <w:r w:rsidR="00125408" w:rsidRPr="000229AD">
              <w:rPr>
                <w:lang w:val="fr-FR"/>
              </w:rPr>
              <w:t>'</w:t>
            </w:r>
            <w:r w:rsidRPr="000229AD">
              <w:rPr>
                <w:lang w:val="fr-FR"/>
              </w:rPr>
              <w:t>université ont été formés à la création et à</w:t>
            </w:r>
            <w:r w:rsidR="000229AD">
              <w:rPr>
                <w:lang w:val="fr-FR"/>
              </w:rPr>
              <w:t> </w:t>
            </w:r>
            <w:r w:rsidRPr="000229AD">
              <w:rPr>
                <w:lang w:val="fr-FR"/>
              </w:rPr>
              <w:t>l</w:t>
            </w:r>
            <w:r w:rsidR="00125408" w:rsidRPr="000229AD">
              <w:rPr>
                <w:lang w:val="fr-FR"/>
              </w:rPr>
              <w:t>'</w:t>
            </w:r>
            <w:r w:rsidRPr="000229AD">
              <w:rPr>
                <w:lang w:val="fr-FR"/>
              </w:rPr>
              <w:t>accélération de startups en Arménie, au Kazakhstan et en Russie. Une étude sur les compétences numériques des personnes handicapées a été menée et a permis d</w:t>
            </w:r>
            <w:r w:rsidR="00125408" w:rsidRPr="000229AD">
              <w:rPr>
                <w:lang w:val="fr-FR"/>
              </w:rPr>
              <w:t>'</w:t>
            </w:r>
            <w:r w:rsidRPr="000229AD">
              <w:rPr>
                <w:lang w:val="fr-FR"/>
              </w:rPr>
              <w:t>évaluer la situation actuelle et les besoins de formation pour permettre aux personnes handicapées d</w:t>
            </w:r>
            <w:r w:rsidR="00125408" w:rsidRPr="000229AD">
              <w:rPr>
                <w:lang w:val="fr-FR"/>
              </w:rPr>
              <w:t>'</w:t>
            </w:r>
            <w:r w:rsidRPr="000229AD">
              <w:rPr>
                <w:lang w:val="fr-FR"/>
              </w:rPr>
              <w:t>utiliser les technologies numériques dans leur vie quotidienne. Les résultats ont été présentés lors de la table ronde régionale tenue en décembre 2023. Une assistance technique a été fournie à trois centres de formation en Arménie, au Bélarus et au Kirghizistan afin d</w:t>
            </w:r>
            <w:r w:rsidR="00125408" w:rsidRPr="000229AD">
              <w:rPr>
                <w:lang w:val="fr-FR"/>
              </w:rPr>
              <w:t>'</w:t>
            </w:r>
            <w:r w:rsidRPr="000229AD">
              <w:rPr>
                <w:lang w:val="fr-FR"/>
              </w:rPr>
              <w:t>améliorer les équipements et logiciels utilisés pour la formation des personnes handicapées aux</w:t>
            </w:r>
            <w:r w:rsidR="00E83BB0" w:rsidRPr="000229AD">
              <w:rPr>
                <w:lang w:val="fr-FR"/>
              </w:rPr>
              <w:t> </w:t>
            </w:r>
            <w:r w:rsidRPr="000229AD">
              <w:rPr>
                <w:lang w:val="fr-FR"/>
              </w:rPr>
              <w:t>TIC.</w:t>
            </w:r>
          </w:p>
          <w:p w14:paraId="5A2BCF02" w14:textId="3EF2550A" w:rsidR="008F0090" w:rsidRPr="000229AD" w:rsidRDefault="008F0090" w:rsidP="00716C22">
            <w:pPr>
              <w:pStyle w:val="Tabletext"/>
              <w:spacing w:before="80" w:after="0"/>
              <w:ind w:left="284" w:hanging="284"/>
              <w:rPr>
                <w:lang w:val="fr-FR"/>
              </w:rPr>
            </w:pPr>
            <w:r w:rsidRPr="000229AD">
              <w:rPr>
                <w:lang w:val="fr-FR"/>
              </w:rPr>
              <w:t>•</w:t>
            </w:r>
            <w:r w:rsidRPr="000229AD">
              <w:rPr>
                <w:lang w:val="fr-FR"/>
              </w:rPr>
              <w:tab/>
              <w:t>Afin d</w:t>
            </w:r>
            <w:r w:rsidR="00125408" w:rsidRPr="000229AD">
              <w:rPr>
                <w:lang w:val="fr-FR"/>
              </w:rPr>
              <w:t>'</w:t>
            </w:r>
            <w:r w:rsidRPr="000229AD">
              <w:rPr>
                <w:lang w:val="fr-FR"/>
              </w:rPr>
              <w:t>appuyer la transformation numérique des États Membres dans le domaine de la réglementation numérique et des données relatives aux TIC, le BDT a aidé l</w:t>
            </w:r>
            <w:r w:rsidR="00125408" w:rsidRPr="000229AD">
              <w:rPr>
                <w:lang w:val="fr-FR"/>
              </w:rPr>
              <w:t>'</w:t>
            </w:r>
            <w:r w:rsidRPr="000229AD">
              <w:rPr>
                <w:lang w:val="fr-FR"/>
              </w:rPr>
              <w:t>Azerbaïdjan à rendre ses statistiques nationales et systèmes de données sur les TIC conformes aux normes de l</w:t>
            </w:r>
            <w:r w:rsidR="00125408" w:rsidRPr="000229AD">
              <w:rPr>
                <w:lang w:val="fr-FR"/>
              </w:rPr>
              <w:t>'</w:t>
            </w:r>
            <w:r w:rsidRPr="000229AD">
              <w:rPr>
                <w:lang w:val="fr-FR"/>
              </w:rPr>
              <w:t>UIT. Une évaluation des compétences numériques a ensuite été réalisée, au moyen d</w:t>
            </w:r>
            <w:r w:rsidR="00125408" w:rsidRPr="000229AD">
              <w:rPr>
                <w:lang w:val="fr-FR"/>
              </w:rPr>
              <w:t>'</w:t>
            </w:r>
            <w:r w:rsidRPr="000229AD">
              <w:rPr>
                <w:lang w:val="fr-FR"/>
              </w:rPr>
              <w:t>une enquête auprès de 34 500 personnes sur l</w:t>
            </w:r>
            <w:r w:rsidR="00125408" w:rsidRPr="000229AD">
              <w:rPr>
                <w:lang w:val="fr-FR"/>
              </w:rPr>
              <w:t>'</w:t>
            </w:r>
            <w:r w:rsidRPr="000229AD">
              <w:rPr>
                <w:lang w:val="fr-FR"/>
              </w:rPr>
              <w:t>ensemble du territoire, dont des étudiants et enseignants d</w:t>
            </w:r>
            <w:r w:rsidR="00125408" w:rsidRPr="000229AD">
              <w:rPr>
                <w:lang w:val="fr-FR"/>
              </w:rPr>
              <w:t>'</w:t>
            </w:r>
            <w:r w:rsidRPr="000229AD">
              <w:rPr>
                <w:lang w:val="fr-FR"/>
              </w:rPr>
              <w:t>université, des membres du secteur privé et du secteur public. La diffusion du rapport final en 2024 contribuera à l</w:t>
            </w:r>
            <w:r w:rsidR="00125408" w:rsidRPr="000229AD">
              <w:rPr>
                <w:lang w:val="fr-FR"/>
              </w:rPr>
              <w:t>'</w:t>
            </w:r>
            <w:r w:rsidRPr="000229AD">
              <w:rPr>
                <w:lang w:val="fr-FR"/>
              </w:rPr>
              <w:t>élaboration d</w:t>
            </w:r>
            <w:r w:rsidR="00125408" w:rsidRPr="000229AD">
              <w:rPr>
                <w:lang w:val="fr-FR"/>
              </w:rPr>
              <w:t>'</w:t>
            </w:r>
            <w:r w:rsidRPr="000229AD">
              <w:rPr>
                <w:lang w:val="fr-FR"/>
              </w:rPr>
              <w:t>une approche stratégique globale pour faire progresser la maîtrise des outils et compétences numériques dans l</w:t>
            </w:r>
            <w:r w:rsidR="00125408" w:rsidRPr="000229AD">
              <w:rPr>
                <w:lang w:val="fr-FR"/>
              </w:rPr>
              <w:t>'</w:t>
            </w:r>
            <w:r w:rsidRPr="000229AD">
              <w:rPr>
                <w:lang w:val="fr-FR"/>
              </w:rPr>
              <w:t>ensemble du pays.</w:t>
            </w:r>
          </w:p>
          <w:p w14:paraId="5DB16B19" w14:textId="21CF0CB1" w:rsidR="008F0090" w:rsidRPr="000229AD" w:rsidRDefault="008F0090" w:rsidP="00716C22">
            <w:pPr>
              <w:pStyle w:val="Tabletext"/>
              <w:spacing w:before="80" w:after="0"/>
              <w:ind w:left="284" w:hanging="284"/>
              <w:rPr>
                <w:lang w:val="fr-FR"/>
              </w:rPr>
            </w:pPr>
            <w:r w:rsidRPr="000229AD">
              <w:rPr>
                <w:lang w:val="fr-FR"/>
              </w:rPr>
              <w:t>•</w:t>
            </w:r>
            <w:r w:rsidRPr="000229AD">
              <w:rPr>
                <w:lang w:val="fr-FR"/>
              </w:rPr>
              <w:tab/>
              <w:t>Après l</w:t>
            </w:r>
            <w:r w:rsidR="00125408" w:rsidRPr="000229AD">
              <w:rPr>
                <w:lang w:val="fr-FR"/>
              </w:rPr>
              <w:t>'</w:t>
            </w:r>
            <w:r w:rsidRPr="000229AD">
              <w:rPr>
                <w:lang w:val="fr-FR"/>
              </w:rPr>
              <w:t>Arménie et le Kazakhstan, une évaluation de la résilience numérique a été menée au Kirghizistan dans le cadre de l</w:t>
            </w:r>
            <w:r w:rsidR="00125408" w:rsidRPr="000229AD">
              <w:rPr>
                <w:lang w:val="fr-FR"/>
              </w:rPr>
              <w:t>'</w:t>
            </w:r>
            <w:r w:rsidRPr="000229AD">
              <w:rPr>
                <w:lang w:val="fr-FR"/>
              </w:rPr>
              <w:t>initiative Connect2Recover, en réalisant une analyse des systèmes de données sur les TIC. Le rapport de l</w:t>
            </w:r>
            <w:r w:rsidR="00125408" w:rsidRPr="000229AD">
              <w:rPr>
                <w:lang w:val="fr-FR"/>
              </w:rPr>
              <w:t>'</w:t>
            </w:r>
            <w:r w:rsidRPr="000229AD">
              <w:rPr>
                <w:lang w:val="fr-FR"/>
              </w:rPr>
              <w:t>évaluation contenait en outre des recommandations politiques à l</w:t>
            </w:r>
            <w:r w:rsidR="00125408" w:rsidRPr="000229AD">
              <w:rPr>
                <w:lang w:val="fr-FR"/>
              </w:rPr>
              <w:t>'</w:t>
            </w:r>
            <w:r w:rsidRPr="000229AD">
              <w:rPr>
                <w:lang w:val="fr-FR"/>
              </w:rPr>
              <w:t>intention des autorités.</w:t>
            </w:r>
          </w:p>
          <w:p w14:paraId="7A668315" w14:textId="0BD6E21B" w:rsidR="008F0090" w:rsidRPr="000229AD" w:rsidRDefault="008F0090" w:rsidP="00716C22">
            <w:pPr>
              <w:pStyle w:val="Tabletext"/>
              <w:spacing w:before="80" w:after="0"/>
              <w:ind w:left="284" w:hanging="284"/>
              <w:rPr>
                <w:lang w:val="fr-FR"/>
              </w:rPr>
            </w:pPr>
            <w:r w:rsidRPr="000229AD">
              <w:rPr>
                <w:lang w:val="fr-FR"/>
              </w:rPr>
              <w:t>•</w:t>
            </w:r>
            <w:r w:rsidRPr="000229AD">
              <w:rPr>
                <w:lang w:val="fr-FR"/>
              </w:rPr>
              <w:tab/>
              <w:t>Concernant l</w:t>
            </w:r>
            <w:r w:rsidR="00125408" w:rsidRPr="000229AD">
              <w:rPr>
                <w:lang w:val="fr-FR"/>
              </w:rPr>
              <w:t>'</w:t>
            </w:r>
            <w:r w:rsidRPr="000229AD">
              <w:rPr>
                <w:lang w:val="fr-FR"/>
              </w:rPr>
              <w:t xml:space="preserve">administration publique et les services publics numériques, plus de 60 professionnels se sont réunis dans le cadre du </w:t>
            </w:r>
            <w:hyperlink r:id="rId87" w:history="1">
              <w:r w:rsidRPr="000229AD">
                <w:rPr>
                  <w:rStyle w:val="Hyperlink"/>
                  <w:lang w:val="fr-FR"/>
                </w:rPr>
                <w:t>forum régional sur les services publics numériques</w:t>
              </w:r>
            </w:hyperlink>
            <w:r w:rsidRPr="000229AD">
              <w:rPr>
                <w:lang w:val="fr-FR"/>
              </w:rPr>
              <w:t xml:space="preserve"> afin d</w:t>
            </w:r>
            <w:r w:rsidR="00125408" w:rsidRPr="000229AD">
              <w:rPr>
                <w:lang w:val="fr-FR"/>
              </w:rPr>
              <w:t>'</w:t>
            </w:r>
            <w:r w:rsidRPr="000229AD">
              <w:rPr>
                <w:lang w:val="fr-FR"/>
              </w:rPr>
              <w:t>examiner les outils et services de l</w:t>
            </w:r>
            <w:r w:rsidR="00125408" w:rsidRPr="000229AD">
              <w:rPr>
                <w:lang w:val="fr-FR"/>
              </w:rPr>
              <w:t>'</w:t>
            </w:r>
            <w:r w:rsidRPr="000229AD">
              <w:rPr>
                <w:lang w:val="fr-FR"/>
              </w:rPr>
              <w:t>initiative GovStack et de discuter de la mise en œuvre des services de cybergouvernement, des problèmes rencontrés et des moyens de les résoudre grâce à la collaboration dans le cadre de l</w:t>
            </w:r>
            <w:r w:rsidR="00125408" w:rsidRPr="000229AD">
              <w:rPr>
                <w:lang w:val="fr-FR"/>
              </w:rPr>
              <w:t>'</w:t>
            </w:r>
            <w:r w:rsidRPr="000229AD">
              <w:rPr>
                <w:lang w:val="fr-FR"/>
              </w:rPr>
              <w:t>initiative. Il s</w:t>
            </w:r>
            <w:r w:rsidR="00125408" w:rsidRPr="000229AD">
              <w:rPr>
                <w:lang w:val="fr-FR"/>
              </w:rPr>
              <w:t>'</w:t>
            </w:r>
            <w:r w:rsidRPr="000229AD">
              <w:rPr>
                <w:lang w:val="fr-FR"/>
              </w:rPr>
              <w:t>agissait du premier grand événement réunissant les membres du mécanisme de coopération régionale de l</w:t>
            </w:r>
            <w:r w:rsidR="00125408" w:rsidRPr="000229AD">
              <w:rPr>
                <w:lang w:val="fr-FR"/>
              </w:rPr>
              <w:t>'</w:t>
            </w:r>
            <w:r w:rsidRPr="000229AD">
              <w:rPr>
                <w:lang w:val="fr-FR"/>
              </w:rPr>
              <w:t>initiative GovStack lancé</w:t>
            </w:r>
            <w:r w:rsidR="000229AD">
              <w:rPr>
                <w:lang w:val="fr-FR"/>
              </w:rPr>
              <w:t xml:space="preserve"> </w:t>
            </w:r>
            <w:r w:rsidRPr="000229AD">
              <w:rPr>
                <w:lang w:val="fr-FR"/>
              </w:rPr>
              <w:t>en octobre 2023 conjointement avec le Kazakhstan pour l</w:t>
            </w:r>
            <w:r w:rsidR="00125408" w:rsidRPr="000229AD">
              <w:rPr>
                <w:lang w:val="fr-FR"/>
              </w:rPr>
              <w:t>'</w:t>
            </w:r>
            <w:r w:rsidRPr="000229AD">
              <w:rPr>
                <w:lang w:val="fr-FR"/>
              </w:rPr>
              <w:t>Asie centrale et les pays du Caucase.</w:t>
            </w:r>
          </w:p>
          <w:p w14:paraId="49BFB723" w14:textId="04B4EC68" w:rsidR="008F0090" w:rsidRPr="000229AD" w:rsidRDefault="008F0090" w:rsidP="00716C22">
            <w:pPr>
              <w:pStyle w:val="Tabletext"/>
              <w:spacing w:before="80" w:after="0"/>
              <w:ind w:left="284" w:hanging="284"/>
              <w:rPr>
                <w:rFonts w:eastAsiaTheme="minorEastAsia"/>
                <w:lang w:val="fr-FR"/>
              </w:rPr>
            </w:pPr>
            <w:r w:rsidRPr="000229AD">
              <w:rPr>
                <w:lang w:val="fr-FR"/>
              </w:rPr>
              <w:t>•</w:t>
            </w:r>
            <w:r w:rsidRPr="000229AD">
              <w:rPr>
                <w:lang w:val="fr-FR"/>
              </w:rPr>
              <w:tab/>
              <w:t>Concernant la cybersécurité, une évaluation de l</w:t>
            </w:r>
            <w:r w:rsidR="00125408" w:rsidRPr="000229AD">
              <w:rPr>
                <w:lang w:val="fr-FR"/>
              </w:rPr>
              <w:t>'</w:t>
            </w:r>
            <w:r w:rsidRPr="000229AD">
              <w:rPr>
                <w:lang w:val="fr-FR"/>
              </w:rPr>
              <w:t>état de préparation de l</w:t>
            </w:r>
            <w:r w:rsidR="00125408" w:rsidRPr="000229AD">
              <w:rPr>
                <w:lang w:val="fr-FR"/>
              </w:rPr>
              <w:t>'</w:t>
            </w:r>
            <w:r w:rsidRPr="000229AD">
              <w:rPr>
                <w:lang w:val="fr-FR"/>
              </w:rPr>
              <w:t>équipe CIRT a été réalisée en Azerbaïdjan. Un projet de création d</w:t>
            </w:r>
            <w:r w:rsidR="00125408" w:rsidRPr="000229AD">
              <w:rPr>
                <w:lang w:val="fr-FR"/>
              </w:rPr>
              <w:t>'</w:t>
            </w:r>
            <w:r w:rsidRPr="000229AD">
              <w:rPr>
                <w:lang w:val="fr-FR"/>
              </w:rPr>
              <w:t>une équipe CIRT est en cours au Kirghizistan. Des actions régulières sont entreprises pour renforcer les capacités humaines, grâce à des formations, des cyberexercices et des discussions stratégiques lors de manifestations nationales et régionales.</w:t>
            </w:r>
          </w:p>
          <w:p w14:paraId="5AE192F4" w14:textId="3BC3EBC1" w:rsidR="008F0090" w:rsidRPr="000229AD" w:rsidRDefault="008F0090" w:rsidP="00716C22">
            <w:pPr>
              <w:pStyle w:val="Tabletext"/>
              <w:spacing w:before="80"/>
              <w:ind w:left="284" w:hanging="284"/>
              <w:rPr>
                <w:lang w:val="fr-FR"/>
              </w:rPr>
            </w:pPr>
            <w:r w:rsidRPr="000229AD">
              <w:rPr>
                <w:lang w:val="fr-FR"/>
              </w:rPr>
              <w:t>•</w:t>
            </w:r>
            <w:r w:rsidRPr="000229AD">
              <w:rPr>
                <w:lang w:val="fr-FR"/>
              </w:rPr>
              <w:tab/>
              <w:t>La protection en ligne des enfants est un domaine prioritaire. En Arménie, le BDT a financé la formation de plus de 340 enseignants, parents et écoliers, et une campagne de promotion a permis de toucher plus de 23 000 téléspectateurs. Une vaste enquête a été menée auprès de 7 805 écoliers répartis dans l</w:t>
            </w:r>
            <w:r w:rsidR="00125408" w:rsidRPr="000229AD">
              <w:rPr>
                <w:lang w:val="fr-FR"/>
              </w:rPr>
              <w:t>'</w:t>
            </w:r>
            <w:r w:rsidRPr="000229AD">
              <w:rPr>
                <w:lang w:val="fr-FR"/>
              </w:rPr>
              <w:t>ensemble du pays pour analyser l</w:t>
            </w:r>
            <w:r w:rsidR="00125408" w:rsidRPr="000229AD">
              <w:rPr>
                <w:lang w:val="fr-FR"/>
              </w:rPr>
              <w:t>'</w:t>
            </w:r>
            <w:r w:rsidRPr="000229AD">
              <w:rPr>
                <w:lang w:val="fr-FR"/>
              </w:rPr>
              <w:t>utilisation de l</w:t>
            </w:r>
            <w:r w:rsidR="00125408" w:rsidRPr="000229AD">
              <w:rPr>
                <w:lang w:val="fr-FR"/>
              </w:rPr>
              <w:t>'</w:t>
            </w:r>
            <w:r w:rsidRPr="000229AD">
              <w:rPr>
                <w:lang w:val="fr-FR"/>
              </w:rPr>
              <w:t>Internet chez les enfants, recenser les problèmes et évaluer le niveau de connaissance des menaces liées à l</w:t>
            </w:r>
            <w:r w:rsidR="00125408" w:rsidRPr="000229AD">
              <w:rPr>
                <w:lang w:val="fr-FR"/>
              </w:rPr>
              <w:t>'</w:t>
            </w:r>
            <w:r w:rsidRPr="000229AD">
              <w:rPr>
                <w:lang w:val="fr-FR"/>
              </w:rPr>
              <w:t>utilisation de l</w:t>
            </w:r>
            <w:r w:rsidR="00125408" w:rsidRPr="000229AD">
              <w:rPr>
                <w:lang w:val="fr-FR"/>
              </w:rPr>
              <w:t>'</w:t>
            </w:r>
            <w:r w:rsidRPr="000229AD">
              <w:rPr>
                <w:lang w:val="fr-FR"/>
              </w:rPr>
              <w:t>Internet. Un important débat sur la politique à mener, réunissant une quinzaine d</w:t>
            </w:r>
            <w:r w:rsidR="00125408" w:rsidRPr="000229AD">
              <w:rPr>
                <w:lang w:val="fr-FR"/>
              </w:rPr>
              <w:t>'</w:t>
            </w:r>
            <w:r w:rsidRPr="000229AD">
              <w:rPr>
                <w:lang w:val="fr-FR"/>
              </w:rPr>
              <w:t>autorités et d</w:t>
            </w:r>
            <w:r w:rsidR="00125408" w:rsidRPr="000229AD">
              <w:rPr>
                <w:lang w:val="fr-FR"/>
              </w:rPr>
              <w:t>'</w:t>
            </w:r>
            <w:r w:rsidRPr="000229AD">
              <w:rPr>
                <w:lang w:val="fr-FR"/>
              </w:rPr>
              <w:t>organismes publics, a abouti à</w:t>
            </w:r>
            <w:r w:rsidR="000229AD">
              <w:rPr>
                <w:lang w:val="fr-FR"/>
              </w:rPr>
              <w:t> </w:t>
            </w:r>
            <w:r w:rsidRPr="000229AD">
              <w:rPr>
                <w:lang w:val="fr-FR"/>
              </w:rPr>
              <w:t>l</w:t>
            </w:r>
            <w:r w:rsidR="00125408" w:rsidRPr="000229AD">
              <w:rPr>
                <w:lang w:val="fr-FR"/>
              </w:rPr>
              <w:t>'</w:t>
            </w:r>
            <w:r w:rsidRPr="000229AD">
              <w:rPr>
                <w:lang w:val="fr-FR"/>
              </w:rPr>
              <w:t>élaboration d</w:t>
            </w:r>
            <w:r w:rsidR="00125408" w:rsidRPr="000229AD">
              <w:rPr>
                <w:lang w:val="fr-FR"/>
              </w:rPr>
              <w:t>'</w:t>
            </w:r>
            <w:r w:rsidRPr="000229AD">
              <w:rPr>
                <w:lang w:val="fr-FR"/>
              </w:rPr>
              <w:t>un plan national visant à renforcer les politiques existantes relatives à la protection en ligne des enfants.</w:t>
            </w:r>
          </w:p>
          <w:p w14:paraId="1ACF814C" w14:textId="666FCA2E" w:rsidR="008F0090" w:rsidRPr="000229AD" w:rsidRDefault="008F0090" w:rsidP="00716C22">
            <w:pPr>
              <w:pStyle w:val="Tabletext"/>
              <w:spacing w:before="80" w:after="0"/>
              <w:ind w:left="284" w:hanging="284"/>
              <w:rPr>
                <w:lang w:val="fr-FR"/>
              </w:rPr>
            </w:pPr>
            <w:r w:rsidRPr="000229AD">
              <w:rPr>
                <w:lang w:val="fr-FR"/>
              </w:rPr>
              <w:lastRenderedPageBreak/>
              <w:t>•</w:t>
            </w:r>
            <w:r w:rsidRPr="000229AD">
              <w:rPr>
                <w:lang w:val="fr-FR"/>
              </w:rPr>
              <w:tab/>
              <w:t>En Ouzbékistan, un cours sur la sécurité de l</w:t>
            </w:r>
            <w:r w:rsidR="00125408" w:rsidRPr="000229AD">
              <w:rPr>
                <w:lang w:val="fr-FR"/>
              </w:rPr>
              <w:t>'</w:t>
            </w:r>
            <w:r w:rsidRPr="000229AD">
              <w:rPr>
                <w:lang w:val="fr-FR"/>
              </w:rPr>
              <w:t>information a été organisé à l</w:t>
            </w:r>
            <w:r w:rsidR="00125408" w:rsidRPr="000229AD">
              <w:rPr>
                <w:lang w:val="fr-FR"/>
              </w:rPr>
              <w:t>'</w:t>
            </w:r>
            <w:r w:rsidRPr="000229AD">
              <w:rPr>
                <w:lang w:val="fr-FR"/>
              </w:rPr>
              <w:t>intention des formateurs. Des formations sur les mesures et les risques en matière de sécurité, ainsi que sur les moyens d</w:t>
            </w:r>
            <w:r w:rsidR="00125408" w:rsidRPr="000229AD">
              <w:rPr>
                <w:lang w:val="fr-FR"/>
              </w:rPr>
              <w:t>'</w:t>
            </w:r>
            <w:r w:rsidRPr="000229AD">
              <w:rPr>
                <w:lang w:val="fr-FR"/>
              </w:rPr>
              <w:t>aborder ces aspects en personne avec les enfants ont été organisées à l</w:t>
            </w:r>
            <w:r w:rsidR="00125408" w:rsidRPr="000229AD">
              <w:rPr>
                <w:lang w:val="fr-FR"/>
              </w:rPr>
              <w:t>'</w:t>
            </w:r>
            <w:r w:rsidRPr="000229AD">
              <w:rPr>
                <w:lang w:val="fr-FR"/>
              </w:rPr>
              <w:t>intention de 305 formateurs provenant de 14 régions d</w:t>
            </w:r>
            <w:r w:rsidR="00125408" w:rsidRPr="000229AD">
              <w:rPr>
                <w:lang w:val="fr-FR"/>
              </w:rPr>
              <w:t>'</w:t>
            </w:r>
            <w:r w:rsidRPr="000229AD">
              <w:rPr>
                <w:lang w:val="fr-FR"/>
              </w:rPr>
              <w:t>Ouzbékistan. De même, au Kirghizistan, le BDT a appuyé la création de cours en langues locales, et mis en place des programmes de formation à l</w:t>
            </w:r>
            <w:r w:rsidR="00125408" w:rsidRPr="000229AD">
              <w:rPr>
                <w:lang w:val="fr-FR"/>
              </w:rPr>
              <w:t>'</w:t>
            </w:r>
            <w:r w:rsidRPr="000229AD">
              <w:rPr>
                <w:lang w:val="fr-FR"/>
              </w:rPr>
              <w:t>intention de 86 enseignants en technologie de l</w:t>
            </w:r>
            <w:r w:rsidR="00125408" w:rsidRPr="000229AD">
              <w:rPr>
                <w:lang w:val="fr-FR"/>
              </w:rPr>
              <w:t>'</w:t>
            </w:r>
            <w:r w:rsidRPr="000229AD">
              <w:rPr>
                <w:lang w:val="fr-FR"/>
              </w:rPr>
              <w:t>information travaillant dans des écoles et établissement d</w:t>
            </w:r>
            <w:r w:rsidR="00125408" w:rsidRPr="000229AD">
              <w:rPr>
                <w:lang w:val="fr-FR"/>
              </w:rPr>
              <w:t>'</w:t>
            </w:r>
            <w:r w:rsidRPr="000229AD">
              <w:rPr>
                <w:lang w:val="fr-FR"/>
              </w:rPr>
              <w:t>enseignement de sept régions et de la capitale du Kirghizistan, ainsi que de 516 enseignants de zones rurales. L</w:t>
            </w:r>
            <w:r w:rsidR="00125408" w:rsidRPr="000229AD">
              <w:rPr>
                <w:lang w:val="fr-FR"/>
              </w:rPr>
              <w:t>'</w:t>
            </w:r>
            <w:r w:rsidRPr="000229AD">
              <w:rPr>
                <w:lang w:val="fr-FR"/>
              </w:rPr>
              <w:t>Organisation a en outre lancé une campagne d</w:t>
            </w:r>
            <w:r w:rsidR="00125408" w:rsidRPr="000229AD">
              <w:rPr>
                <w:lang w:val="fr-FR"/>
              </w:rPr>
              <w:t>'</w:t>
            </w:r>
            <w:r w:rsidRPr="000229AD">
              <w:rPr>
                <w:lang w:val="fr-FR"/>
              </w:rPr>
              <w:t>information sur les lignes directrices relatives à la protection en ligne des enfants à l</w:t>
            </w:r>
            <w:r w:rsidR="00125408" w:rsidRPr="000229AD">
              <w:rPr>
                <w:lang w:val="fr-FR"/>
              </w:rPr>
              <w:t>'</w:t>
            </w:r>
            <w:r w:rsidRPr="000229AD">
              <w:rPr>
                <w:lang w:val="fr-FR"/>
              </w:rPr>
              <w:t>intention de plus de 2 500 parents et enseignants.</w:t>
            </w:r>
          </w:p>
          <w:p w14:paraId="259FEE3E" w14:textId="42594BC4" w:rsidR="008F0090" w:rsidRPr="000229AD" w:rsidRDefault="008F0090" w:rsidP="00716C22">
            <w:pPr>
              <w:pStyle w:val="Tabletext"/>
              <w:spacing w:before="80" w:after="0"/>
              <w:ind w:left="284" w:hanging="284"/>
              <w:rPr>
                <w:lang w:val="fr-FR"/>
              </w:rPr>
            </w:pPr>
            <w:r w:rsidRPr="000229AD">
              <w:rPr>
                <w:lang w:val="fr-FR"/>
              </w:rPr>
              <w:t>•</w:t>
            </w:r>
            <w:r w:rsidRPr="000229AD">
              <w:rPr>
                <w:lang w:val="fr-FR"/>
              </w:rPr>
              <w:tab/>
              <w:t>Concernant l</w:t>
            </w:r>
            <w:r w:rsidR="00125408" w:rsidRPr="000229AD">
              <w:rPr>
                <w:lang w:val="fr-FR"/>
              </w:rPr>
              <w:t>'</w:t>
            </w:r>
            <w:r w:rsidRPr="000229AD">
              <w:rPr>
                <w:lang w:val="fr-FR"/>
              </w:rPr>
              <w:t>initiative des villes intelligentes, plus de 550 représentants de collectivités locales et régionales au Bélarus ont eu l</w:t>
            </w:r>
            <w:r w:rsidR="00125408" w:rsidRPr="000229AD">
              <w:rPr>
                <w:lang w:val="fr-FR"/>
              </w:rPr>
              <w:t>'</w:t>
            </w:r>
            <w:r w:rsidRPr="000229AD">
              <w:rPr>
                <w:lang w:val="fr-FR"/>
              </w:rPr>
              <w:t>occasion d</w:t>
            </w:r>
            <w:r w:rsidR="00125408" w:rsidRPr="000229AD">
              <w:rPr>
                <w:lang w:val="fr-FR"/>
              </w:rPr>
              <w:t>'</w:t>
            </w:r>
            <w:r w:rsidRPr="000229AD">
              <w:rPr>
                <w:lang w:val="fr-FR"/>
              </w:rPr>
              <w:t>approfondir leurs connaissances en matière de mise en œuvre de solutions intelligentes, de renforcement des compétences numériques et de facilitation des interactions entre les citoyens, les entreprises et les pouvoirs publics grâce à la technologie.</w:t>
            </w:r>
          </w:p>
          <w:p w14:paraId="03838BC1" w14:textId="4E11848B" w:rsidR="008F0090" w:rsidRPr="000229AD" w:rsidRDefault="008F0090" w:rsidP="00716C22">
            <w:pPr>
              <w:pStyle w:val="Tabletext"/>
              <w:spacing w:before="80" w:after="0"/>
              <w:ind w:left="284" w:hanging="284"/>
              <w:rPr>
                <w:lang w:val="fr-FR"/>
              </w:rPr>
            </w:pPr>
            <w:r w:rsidRPr="000229AD">
              <w:rPr>
                <w:lang w:val="fr-FR"/>
              </w:rPr>
              <w:t>•</w:t>
            </w:r>
            <w:r w:rsidRPr="000229AD">
              <w:rPr>
                <w:lang w:val="fr-FR"/>
              </w:rPr>
              <w:tab/>
              <w:t>La collaboration avec les équipes de pays des Nations Unies, les organismes des Nations Unies et les commissions économiques s</w:t>
            </w:r>
            <w:r w:rsidR="00125408" w:rsidRPr="000229AD">
              <w:rPr>
                <w:lang w:val="fr-FR"/>
              </w:rPr>
              <w:t>'</w:t>
            </w:r>
            <w:r w:rsidRPr="000229AD">
              <w:rPr>
                <w:lang w:val="fr-FR"/>
              </w:rPr>
              <w:t>est poursuivie tant au niveau régional qu</w:t>
            </w:r>
            <w:r w:rsidR="00125408" w:rsidRPr="000229AD">
              <w:rPr>
                <w:lang w:val="fr-FR"/>
              </w:rPr>
              <w:t>'</w:t>
            </w:r>
            <w:r w:rsidRPr="000229AD">
              <w:rPr>
                <w:lang w:val="fr-FR"/>
              </w:rPr>
              <w:t>au niveau national. L</w:t>
            </w:r>
            <w:r w:rsidR="00125408" w:rsidRPr="000229AD">
              <w:rPr>
                <w:lang w:val="fr-FR"/>
              </w:rPr>
              <w:t>'</w:t>
            </w:r>
            <w:r w:rsidRPr="000229AD">
              <w:rPr>
                <w:lang w:val="fr-FR"/>
              </w:rPr>
              <w:t>UIT est membre des équipes de pays des Nations Unies au Bélarus, au Kazakhstan, au Kirghizistan, en Russie et en Ouzbékistan, et appuie le dialogue avec les coordonnateurs résidents des Nations Unies dans d</w:t>
            </w:r>
            <w:r w:rsidR="00125408" w:rsidRPr="000229AD">
              <w:rPr>
                <w:lang w:val="fr-FR"/>
              </w:rPr>
              <w:t>'</w:t>
            </w:r>
            <w:r w:rsidRPr="000229AD">
              <w:rPr>
                <w:lang w:val="fr-FR"/>
              </w:rPr>
              <w:t>autres pays de la région. Les projets d</w:t>
            </w:r>
            <w:r w:rsidR="00125408" w:rsidRPr="000229AD">
              <w:rPr>
                <w:lang w:val="fr-FR"/>
              </w:rPr>
              <w:t>'</w:t>
            </w:r>
            <w:r w:rsidRPr="000229AD">
              <w:rPr>
                <w:lang w:val="fr-FR"/>
              </w:rPr>
              <w:t>assistance technique et les activités de renforcement des capacités du BDT sont enregistrés sur le portail de données des Nations Unies sur les ODD. L</w:t>
            </w:r>
            <w:r w:rsidR="00125408" w:rsidRPr="000229AD">
              <w:rPr>
                <w:lang w:val="fr-FR"/>
              </w:rPr>
              <w:t>'</w:t>
            </w:r>
            <w:r w:rsidRPr="000229AD">
              <w:rPr>
                <w:lang w:val="fr-FR"/>
              </w:rPr>
              <w:t>UIT participe aux exercices de planification et d</w:t>
            </w:r>
            <w:r w:rsidR="00125408" w:rsidRPr="000229AD">
              <w:rPr>
                <w:lang w:val="fr-FR"/>
              </w:rPr>
              <w:t>'</w:t>
            </w:r>
            <w:r w:rsidRPr="000229AD">
              <w:rPr>
                <w:lang w:val="fr-FR"/>
              </w:rPr>
              <w:t>établissement de rapports des équipes de pays, et les produits statistiques de l</w:t>
            </w:r>
            <w:r w:rsidR="00125408" w:rsidRPr="000229AD">
              <w:rPr>
                <w:lang w:val="fr-FR"/>
              </w:rPr>
              <w:t>'</w:t>
            </w:r>
            <w:r w:rsidRPr="000229AD">
              <w:rPr>
                <w:lang w:val="fr-FR"/>
              </w:rPr>
              <w:t>UIT et les études par pays sont incorporés dans leurs rapports analytiques.</w:t>
            </w:r>
          </w:p>
          <w:p w14:paraId="68952CAC" w14:textId="60BBBC36" w:rsidR="008F0090" w:rsidRPr="000229AD" w:rsidRDefault="008F0090" w:rsidP="00716C22">
            <w:pPr>
              <w:pStyle w:val="Tabletext"/>
              <w:spacing w:before="80" w:after="0"/>
              <w:ind w:left="284" w:hanging="284"/>
              <w:rPr>
                <w:lang w:val="fr-FR"/>
              </w:rPr>
            </w:pPr>
            <w:r w:rsidRPr="000229AD">
              <w:rPr>
                <w:lang w:val="fr-FR"/>
              </w:rPr>
              <w:t>•</w:t>
            </w:r>
            <w:r w:rsidRPr="000229AD">
              <w:rPr>
                <w:lang w:val="fr-FR"/>
              </w:rPr>
              <w:tab/>
              <w:t>En collaboration avec le Bureau régional de l</w:t>
            </w:r>
            <w:r w:rsidR="00125408" w:rsidRPr="000229AD">
              <w:rPr>
                <w:lang w:val="fr-FR"/>
              </w:rPr>
              <w:t>'</w:t>
            </w:r>
            <w:r w:rsidRPr="000229AD">
              <w:rPr>
                <w:lang w:val="fr-FR"/>
              </w:rPr>
              <w:t>UIT pour l</w:t>
            </w:r>
            <w:r w:rsidR="00125408" w:rsidRPr="000229AD">
              <w:rPr>
                <w:lang w:val="fr-FR"/>
              </w:rPr>
              <w:t>'</w:t>
            </w:r>
            <w:r w:rsidRPr="000229AD">
              <w:rPr>
                <w:lang w:val="fr-FR"/>
              </w:rPr>
              <w:t>Europe et la Commission économique pour l</w:t>
            </w:r>
            <w:r w:rsidR="00125408" w:rsidRPr="000229AD">
              <w:rPr>
                <w:lang w:val="fr-FR"/>
              </w:rPr>
              <w:t>'</w:t>
            </w:r>
            <w:r w:rsidRPr="000229AD">
              <w:rPr>
                <w:lang w:val="fr-FR"/>
              </w:rPr>
              <w:t>Europe (CEE), le Bureau régional de l</w:t>
            </w:r>
            <w:r w:rsidR="00125408" w:rsidRPr="000229AD">
              <w:rPr>
                <w:lang w:val="fr-FR"/>
              </w:rPr>
              <w:t>'</w:t>
            </w:r>
            <w:r w:rsidRPr="000229AD">
              <w:rPr>
                <w:lang w:val="fr-FR"/>
              </w:rPr>
              <w:t>UIT pour les pays de la région de la CEI coordonne les travaux du Groupe sur la transformation numérique pour l</w:t>
            </w:r>
            <w:r w:rsidR="00125408" w:rsidRPr="000229AD">
              <w:rPr>
                <w:lang w:val="fr-FR"/>
              </w:rPr>
              <w:t>'</w:t>
            </w:r>
            <w:r w:rsidRPr="000229AD">
              <w:rPr>
                <w:lang w:val="fr-FR"/>
              </w:rPr>
              <w:t>Europe et l</w:t>
            </w:r>
            <w:r w:rsidR="00125408" w:rsidRPr="000229AD">
              <w:rPr>
                <w:lang w:val="fr-FR"/>
              </w:rPr>
              <w:t>'</w:t>
            </w:r>
            <w:r w:rsidRPr="000229AD">
              <w:rPr>
                <w:lang w:val="fr-FR"/>
              </w:rPr>
              <w:t>Asie centrale. Au cours des forums régionaux de la CEE sur le développement durable, le groupe a organisé des tables rondes relatives aux ODD 9 et 17.</w:t>
            </w:r>
          </w:p>
          <w:p w14:paraId="3DDFC037" w14:textId="15FD4101" w:rsidR="008F0090" w:rsidRPr="000229AD" w:rsidRDefault="008F0090" w:rsidP="00716C22">
            <w:pPr>
              <w:pStyle w:val="Tabletext"/>
              <w:spacing w:before="80"/>
              <w:ind w:left="284" w:hanging="284"/>
              <w:rPr>
                <w:lang w:val="fr-FR"/>
              </w:rPr>
            </w:pPr>
            <w:r w:rsidRPr="000229AD">
              <w:rPr>
                <w:lang w:val="fr-FR"/>
              </w:rPr>
              <w:t>•</w:t>
            </w:r>
            <w:r w:rsidRPr="000229AD">
              <w:rPr>
                <w:lang w:val="fr-FR"/>
              </w:rPr>
              <w:tab/>
              <w:t xml:space="preserve">Le </w:t>
            </w:r>
            <w:r w:rsidRPr="000229AD">
              <w:rPr>
                <w:b/>
                <w:bCs/>
                <w:lang w:val="fr-FR"/>
              </w:rPr>
              <w:t>Forum régional sur le développement pour la région de la CEI</w:t>
            </w:r>
            <w:r w:rsidRPr="000229AD">
              <w:rPr>
                <w:lang w:val="fr-FR"/>
              </w:rPr>
              <w:t xml:space="preserve"> </w:t>
            </w:r>
            <w:hyperlink r:id="rId88" w:history="1">
              <w:r w:rsidRPr="000229AD">
                <w:rPr>
                  <w:rStyle w:val="Hyperlink"/>
                  <w:lang w:val="fr-FR"/>
                </w:rPr>
                <w:t>(RDF-CIS)</w:t>
              </w:r>
            </w:hyperlink>
            <w:r w:rsidRPr="000229AD">
              <w:rPr>
                <w:lang w:val="fr-FR"/>
              </w:rPr>
              <w:t>, qui s</w:t>
            </w:r>
            <w:r w:rsidR="00125408" w:rsidRPr="000229AD">
              <w:rPr>
                <w:lang w:val="fr-FR"/>
              </w:rPr>
              <w:t>'</w:t>
            </w:r>
            <w:r w:rsidRPr="000229AD">
              <w:rPr>
                <w:lang w:val="fr-FR"/>
              </w:rPr>
              <w:t>est tenu en mars 2024, a permis aux États Membres, aux Membres de Secteur, aux partenaires et aux autres parties prenantes de l</w:t>
            </w:r>
            <w:r w:rsidR="00125408" w:rsidRPr="000229AD">
              <w:rPr>
                <w:lang w:val="fr-FR"/>
              </w:rPr>
              <w:t>'</w:t>
            </w:r>
            <w:r w:rsidRPr="000229AD">
              <w:rPr>
                <w:lang w:val="fr-FR"/>
              </w:rPr>
              <w:t>UIT d</w:t>
            </w:r>
            <w:r w:rsidR="00125408" w:rsidRPr="000229AD">
              <w:rPr>
                <w:lang w:val="fr-FR"/>
              </w:rPr>
              <w:t>'</w:t>
            </w:r>
            <w:r w:rsidRPr="000229AD">
              <w:rPr>
                <w:lang w:val="fr-FR"/>
              </w:rPr>
              <w:t xml:space="preserve">échanger sur les priorités des Membres. Le BDT a rendu compte des progrès accomplis à ce jour dans la mise en œuvre des résultats de la </w:t>
            </w:r>
            <w:hyperlink r:id="rId89" w:history="1">
              <w:r w:rsidRPr="000229AD">
                <w:rPr>
                  <w:rStyle w:val="Hyperlink"/>
                  <w:lang w:val="fr-FR"/>
                </w:rPr>
                <w:t>Conférence mondiale de développement des télécommunications de 2022 (CMDT-22)</w:t>
              </w:r>
            </w:hyperlink>
            <w:r w:rsidRPr="000229AD">
              <w:rPr>
                <w:lang w:val="fr-FR"/>
              </w:rPr>
              <w:t xml:space="preserve">, dont les </w:t>
            </w:r>
            <w:hyperlink r:id="rId90" w:history="1">
              <w:r w:rsidRPr="000229AD">
                <w:rPr>
                  <w:rStyle w:val="Hyperlink"/>
                  <w:lang w:val="fr-FR"/>
                </w:rPr>
                <w:t>initiatives régionales pour la région de la CEI</w:t>
              </w:r>
            </w:hyperlink>
            <w:r w:rsidRPr="000229AD">
              <w:rPr>
                <w:lang w:val="fr-FR"/>
              </w:rPr>
              <w:t xml:space="preserve">. Une partie du Forum a été consacrée aux tables rondes de mise en relation de la </w:t>
            </w:r>
            <w:hyperlink r:id="rId91" w:history="1">
              <w:r w:rsidRPr="000229AD">
                <w:rPr>
                  <w:rStyle w:val="Hyperlink"/>
                  <w:lang w:val="fr-FR"/>
                </w:rPr>
                <w:t>Coalition pour le numérique Partner2Connect</w:t>
              </w:r>
            </w:hyperlink>
            <w:r w:rsidRPr="000229AD">
              <w:rPr>
                <w:lang w:val="fr-FR"/>
              </w:rPr>
              <w:t>, où les membres et les parties prenantes ont exprimé leurs engagements sur la base de contributions ou d</w:t>
            </w:r>
            <w:r w:rsidR="00125408" w:rsidRPr="000229AD">
              <w:rPr>
                <w:lang w:val="fr-FR"/>
              </w:rPr>
              <w:t>'</w:t>
            </w:r>
            <w:r w:rsidRPr="000229AD">
              <w:rPr>
                <w:lang w:val="fr-FR"/>
              </w:rPr>
              <w:t>engagements visant à répondre aux besoins prioritaires des pays de la région de la CEI, dans le but de faire progresser le développement numérique et la mise en œuvre des initiatives régionales.</w:t>
            </w:r>
          </w:p>
          <w:p w14:paraId="4BDDCFE0" w14:textId="65B8CC44" w:rsidR="008F0090" w:rsidRPr="000229AD" w:rsidRDefault="008F0090" w:rsidP="00716C22">
            <w:pPr>
              <w:pStyle w:val="Tabletext"/>
              <w:keepNext/>
              <w:keepLines/>
              <w:spacing w:after="120"/>
              <w:rPr>
                <w:lang w:val="fr-FR"/>
              </w:rPr>
            </w:pPr>
            <w:r w:rsidRPr="000229AD">
              <w:rPr>
                <w:b/>
                <w:bCs/>
                <w:lang w:val="fr-FR"/>
              </w:rPr>
              <w:lastRenderedPageBreak/>
              <w:t>Bureau de l</w:t>
            </w:r>
            <w:r w:rsidR="00125408" w:rsidRPr="000229AD">
              <w:rPr>
                <w:b/>
                <w:bCs/>
                <w:lang w:val="fr-FR"/>
              </w:rPr>
              <w:t>'</w:t>
            </w:r>
            <w:r w:rsidRPr="000229AD">
              <w:rPr>
                <w:b/>
                <w:bCs/>
                <w:lang w:val="fr-FR"/>
              </w:rPr>
              <w:t>UIT pour l</w:t>
            </w:r>
            <w:r w:rsidR="00125408" w:rsidRPr="000229AD">
              <w:rPr>
                <w:b/>
                <w:bCs/>
                <w:lang w:val="fr-FR"/>
              </w:rPr>
              <w:t>'</w:t>
            </w:r>
            <w:r w:rsidRPr="000229AD">
              <w:rPr>
                <w:b/>
                <w:bCs/>
                <w:lang w:val="fr-FR"/>
              </w:rPr>
              <w:t>Europe</w:t>
            </w:r>
          </w:p>
          <w:p w14:paraId="177CB2AC" w14:textId="37F76687" w:rsidR="008F0090" w:rsidRPr="000229AD" w:rsidRDefault="008F0090" w:rsidP="00716C22">
            <w:pPr>
              <w:pStyle w:val="Tabletext"/>
              <w:keepNext/>
              <w:keepLines/>
              <w:spacing w:after="120"/>
              <w:rPr>
                <w:lang w:val="fr-FR"/>
              </w:rPr>
            </w:pPr>
            <w:r w:rsidRPr="000229AD">
              <w:rPr>
                <w:b/>
                <w:bCs/>
                <w:lang w:val="fr-FR"/>
              </w:rPr>
              <w:t>Le Bureau pour la région Europe a participé à diverses activités de coordination régionale en fournissant un appui aux États Membres, essentiellement pour faciliter le développement numérique et renforcer les possibilités de coopération dans les domaines de la cybersécurité, de l</w:t>
            </w:r>
            <w:r w:rsidR="00125408" w:rsidRPr="000229AD">
              <w:rPr>
                <w:b/>
                <w:bCs/>
                <w:lang w:val="fr-FR"/>
              </w:rPr>
              <w:t>'</w:t>
            </w:r>
            <w:r w:rsidRPr="000229AD">
              <w:rPr>
                <w:b/>
                <w:bCs/>
                <w:lang w:val="fr-FR"/>
              </w:rPr>
              <w:t>inclusion numérique, de la réglementation et du développement des compétences numériques conformément aux initiatives régionales énoncées dans le Plan d</w:t>
            </w:r>
            <w:r w:rsidR="00125408" w:rsidRPr="000229AD">
              <w:rPr>
                <w:b/>
                <w:bCs/>
                <w:lang w:val="fr-FR"/>
              </w:rPr>
              <w:t>'</w:t>
            </w:r>
            <w:r w:rsidRPr="000229AD">
              <w:rPr>
                <w:b/>
                <w:bCs/>
                <w:lang w:val="fr-FR"/>
              </w:rPr>
              <w:t>action de Kigali.</w:t>
            </w:r>
          </w:p>
          <w:p w14:paraId="25DF3259" w14:textId="14E425FB" w:rsidR="008F0090" w:rsidRPr="000229AD" w:rsidRDefault="008F0090" w:rsidP="00716C22">
            <w:pPr>
              <w:pStyle w:val="Tabletext"/>
              <w:spacing w:before="80" w:after="0"/>
              <w:ind w:left="284" w:hanging="284"/>
              <w:rPr>
                <w:rFonts w:eastAsiaTheme="minorEastAsia"/>
                <w:lang w:val="fr-FR"/>
              </w:rPr>
            </w:pPr>
            <w:r w:rsidRPr="000229AD">
              <w:rPr>
                <w:lang w:val="fr-FR"/>
              </w:rPr>
              <w:t>•</w:t>
            </w:r>
            <w:r w:rsidRPr="000229AD">
              <w:rPr>
                <w:lang w:val="fr-FR"/>
              </w:rPr>
              <w:tab/>
              <w:t>La collaboration avec plusieurs institutions européennes, dont la CE, l</w:t>
            </w:r>
            <w:r w:rsidR="00125408" w:rsidRPr="000229AD">
              <w:rPr>
                <w:lang w:val="fr-FR"/>
              </w:rPr>
              <w:t>'</w:t>
            </w:r>
            <w:r w:rsidRPr="000229AD">
              <w:rPr>
                <w:lang w:val="fr-FR"/>
              </w:rPr>
              <w:t>Organe des régulateurs européens des communications électroniques (ORECE), EaPeReg et EMERG, a été renforcée. Un mémorandum d</w:t>
            </w:r>
            <w:r w:rsidR="00125408" w:rsidRPr="000229AD">
              <w:rPr>
                <w:lang w:val="fr-FR"/>
              </w:rPr>
              <w:t>'</w:t>
            </w:r>
            <w:r w:rsidRPr="000229AD">
              <w:rPr>
                <w:lang w:val="fr-FR"/>
              </w:rPr>
              <w:t>accord a été signé avec EMERG, en vue de la réalisation d</w:t>
            </w:r>
            <w:r w:rsidR="00125408" w:rsidRPr="000229AD">
              <w:rPr>
                <w:lang w:val="fr-FR"/>
              </w:rPr>
              <w:t>'</w:t>
            </w:r>
            <w:r w:rsidRPr="000229AD">
              <w:rPr>
                <w:lang w:val="fr-FR"/>
              </w:rPr>
              <w:t>une série d</w:t>
            </w:r>
            <w:r w:rsidR="00125408" w:rsidRPr="000229AD">
              <w:rPr>
                <w:lang w:val="fr-FR"/>
              </w:rPr>
              <w:t>'</w:t>
            </w:r>
            <w:r w:rsidRPr="000229AD">
              <w:rPr>
                <w:lang w:val="fr-FR"/>
              </w:rPr>
              <w:t>actions concrètes. Des possibilités de financement ont été recensées, ce qui a permis de faciliter la co</w:t>
            </w:r>
            <w:r w:rsidRPr="000229AD">
              <w:rPr>
                <w:lang w:val="fr-FR"/>
              </w:rPr>
              <w:noBreakHyphen/>
              <w:t>création de nouveaux projets mondiaux et régionaux. Ces derniers sont financés par la CE à hauteur de 25 millions d</w:t>
            </w:r>
            <w:r w:rsidR="00125408" w:rsidRPr="000229AD">
              <w:rPr>
                <w:lang w:val="fr-FR"/>
              </w:rPr>
              <w:t>'</w:t>
            </w:r>
            <w:r w:rsidRPr="000229AD">
              <w:rPr>
                <w:lang w:val="fr-FR"/>
              </w:rPr>
              <w:t>euros.</w:t>
            </w:r>
          </w:p>
          <w:p w14:paraId="7E9B4D34" w14:textId="2486A849" w:rsidR="008F0090" w:rsidRPr="000229AD" w:rsidRDefault="008F0090" w:rsidP="00716C22">
            <w:pPr>
              <w:pStyle w:val="Tabletext"/>
              <w:spacing w:before="80" w:after="0"/>
              <w:ind w:left="284" w:hanging="284"/>
              <w:rPr>
                <w:rFonts w:ascii="Calibri" w:eastAsia="Aptos" w:hAnsi="Calibri" w:cs="Calibri"/>
                <w:lang w:val="fr-FR"/>
              </w:rPr>
            </w:pPr>
            <w:r w:rsidRPr="000229AD">
              <w:rPr>
                <w:lang w:val="fr-FR"/>
              </w:rPr>
              <w:t>•</w:t>
            </w:r>
            <w:r w:rsidRPr="000229AD">
              <w:rPr>
                <w:lang w:val="fr-FR"/>
              </w:rPr>
              <w:tab/>
            </w:r>
            <w:r w:rsidRPr="00716C22">
              <w:rPr>
                <w:lang w:val="fr-FR"/>
              </w:rPr>
              <w:t xml:space="preserve">Le </w:t>
            </w:r>
            <w:r w:rsidRPr="000229AD">
              <w:rPr>
                <w:b/>
                <w:bCs/>
                <w:lang w:val="fr-FR"/>
              </w:rPr>
              <w:t>RDF-EUR</w:t>
            </w:r>
            <w:r w:rsidRPr="000229AD">
              <w:rPr>
                <w:lang w:val="fr-FR"/>
              </w:rPr>
              <w:t>, qui s</w:t>
            </w:r>
            <w:r w:rsidR="00125408" w:rsidRPr="000229AD">
              <w:rPr>
                <w:lang w:val="fr-FR"/>
              </w:rPr>
              <w:t>'</w:t>
            </w:r>
            <w:r w:rsidRPr="000229AD">
              <w:rPr>
                <w:lang w:val="fr-FR"/>
              </w:rPr>
              <w:t>est tenu les 22 et 23 mai 2023 en Roumanie, parallèlement à la réunion du Comité des politiques de l</w:t>
            </w:r>
            <w:r w:rsidR="00125408" w:rsidRPr="000229AD">
              <w:rPr>
                <w:lang w:val="fr-FR"/>
              </w:rPr>
              <w:t>'</w:t>
            </w:r>
            <w:r w:rsidRPr="000229AD">
              <w:rPr>
                <w:lang w:val="fr-FR"/>
              </w:rPr>
              <w:t>UIT (Com-UIT) de la Conférence européenne des administrations des postes et des télécommunications (CEPT), a réuni plus de 200 participants (dont 95 personnes sur place), représentant 40 États Membres, 5 organisations régionales et 7 institutions spécialisées des Nations Unies. À l</w:t>
            </w:r>
            <w:r w:rsidR="00125408" w:rsidRPr="000229AD">
              <w:rPr>
                <w:lang w:val="fr-FR"/>
              </w:rPr>
              <w:t>'</w:t>
            </w:r>
            <w:r w:rsidRPr="000229AD">
              <w:rPr>
                <w:lang w:val="fr-FR"/>
              </w:rPr>
              <w:t>issue de la réunion, un plan de mise en œuvre des initiatives régionales pour l</w:t>
            </w:r>
            <w:r w:rsidR="00125408" w:rsidRPr="000229AD">
              <w:rPr>
                <w:lang w:val="fr-FR"/>
              </w:rPr>
              <w:t>'</w:t>
            </w:r>
            <w:r w:rsidRPr="000229AD">
              <w:rPr>
                <w:lang w:val="fr-FR"/>
              </w:rPr>
              <w:t>Europe pour la période 2023-2024 a été adopté et 109 contributions, converties en engagements au titre de l</w:t>
            </w:r>
            <w:r w:rsidR="00125408" w:rsidRPr="000229AD">
              <w:rPr>
                <w:lang w:val="fr-FR"/>
              </w:rPr>
              <w:t>'</w:t>
            </w:r>
            <w:r w:rsidRPr="000229AD">
              <w:rPr>
                <w:lang w:val="fr-FR"/>
              </w:rPr>
              <w:t>initiative Partner2Connect, ont été annoncées. En outre, la réunion a également abouti à une déclaration sur le renforcement des capacités et l</w:t>
            </w:r>
            <w:r w:rsidR="00125408" w:rsidRPr="000229AD">
              <w:rPr>
                <w:lang w:val="fr-FR"/>
              </w:rPr>
              <w:t>'</w:t>
            </w:r>
            <w:r w:rsidRPr="000229AD">
              <w:rPr>
                <w:lang w:val="fr-FR"/>
              </w:rPr>
              <w:t>intégration des femmes dans le secteur de la cybersécurité dans les Balkans occidentaux, signée avec le Gouvernement de la Slovénie, représentant également la France et le Monténégro, un partenariat avec 5G Techritory pour faire progresser les technologies 5G en Europe et dans le monde, et le lancement régional du nouveau projet financé par l</w:t>
            </w:r>
            <w:r w:rsidR="00125408" w:rsidRPr="000229AD">
              <w:rPr>
                <w:lang w:val="fr-FR"/>
              </w:rPr>
              <w:t>'</w:t>
            </w:r>
            <w:r w:rsidRPr="000229AD">
              <w:rPr>
                <w:lang w:val="fr-FR"/>
              </w:rPr>
              <w:t>UE sur la connectivité universelle efficace pour l</w:t>
            </w:r>
            <w:r w:rsidR="00125408" w:rsidRPr="000229AD">
              <w:rPr>
                <w:lang w:val="fr-FR"/>
              </w:rPr>
              <w:t>'</w:t>
            </w:r>
            <w:r w:rsidRPr="000229AD">
              <w:rPr>
                <w:lang w:val="fr-FR"/>
              </w:rPr>
              <w:t>Europe.</w:t>
            </w:r>
          </w:p>
          <w:p w14:paraId="26EDD208" w14:textId="77777777" w:rsidR="008F0090" w:rsidRPr="000229AD" w:rsidRDefault="008F0090" w:rsidP="00716C22">
            <w:pPr>
              <w:pStyle w:val="Tabletext"/>
              <w:spacing w:before="80" w:after="0"/>
              <w:ind w:left="284" w:hanging="284"/>
              <w:rPr>
                <w:lang w:val="fr-FR"/>
              </w:rPr>
            </w:pPr>
            <w:r w:rsidRPr="000229AD">
              <w:rPr>
                <w:lang w:val="fr-FR"/>
              </w:rPr>
              <w:t>•</w:t>
            </w:r>
            <w:r w:rsidRPr="000229AD">
              <w:rPr>
                <w:lang w:val="fr-FR"/>
              </w:rPr>
              <w:tab/>
            </w:r>
            <w:r w:rsidRPr="000229AD">
              <w:rPr>
                <w:b/>
                <w:bCs/>
                <w:lang w:val="fr-FR"/>
              </w:rPr>
              <w:t>En réponse aux engagements pris lors du RDF-EUR</w:t>
            </w:r>
            <w:r w:rsidRPr="000229AD">
              <w:rPr>
                <w:lang w:val="fr-FR"/>
              </w:rPr>
              <w:t>, le BDT facilite la mise en œuvre des contributions annoncées dans les pays bénéficiaires.</w:t>
            </w:r>
          </w:p>
          <w:p w14:paraId="0C9F466A" w14:textId="3F2DA730" w:rsidR="008F0090" w:rsidRPr="000229AD" w:rsidRDefault="008F0090" w:rsidP="00716C22">
            <w:pPr>
              <w:pStyle w:val="Tabletext"/>
              <w:spacing w:before="80" w:after="0"/>
              <w:ind w:left="284" w:hanging="284"/>
              <w:rPr>
                <w:lang w:val="fr-FR"/>
              </w:rPr>
            </w:pPr>
            <w:r w:rsidRPr="000229AD">
              <w:rPr>
                <w:lang w:val="fr-FR"/>
              </w:rPr>
              <w:t>•</w:t>
            </w:r>
            <w:r w:rsidRPr="000229AD">
              <w:rPr>
                <w:lang w:val="fr-FR"/>
              </w:rPr>
              <w:tab/>
              <w:t>Les priorités régionales ont été prises en compte à travers la mise en œuvre de plusieurs mesures au titre d</w:t>
            </w:r>
            <w:r w:rsidR="00125408" w:rsidRPr="000229AD">
              <w:rPr>
                <w:lang w:val="fr-FR"/>
              </w:rPr>
              <w:t>'</w:t>
            </w:r>
            <w:r w:rsidRPr="000229AD">
              <w:rPr>
                <w:lang w:val="fr-FR"/>
              </w:rPr>
              <w:t>initiatives régionales de l</w:t>
            </w:r>
            <w:r w:rsidR="00125408" w:rsidRPr="000229AD">
              <w:rPr>
                <w:lang w:val="fr-FR"/>
              </w:rPr>
              <w:t>'</w:t>
            </w:r>
            <w:r w:rsidRPr="000229AD">
              <w:rPr>
                <w:lang w:val="fr-FR"/>
              </w:rPr>
              <w:t>UIT-D. Une assistance technique a été fournie à 9 pays dans les domaines de la connectivité, de la résilience numérique, des compétences numériques, de l</w:t>
            </w:r>
            <w:r w:rsidR="00125408" w:rsidRPr="000229AD">
              <w:rPr>
                <w:lang w:val="fr-FR"/>
              </w:rPr>
              <w:t>'</w:t>
            </w:r>
            <w:r w:rsidRPr="000229AD">
              <w:rPr>
                <w:lang w:val="fr-FR"/>
              </w:rPr>
              <w:t>inclusion numérique et de la protection en ligne des enfants, entre autres.</w:t>
            </w:r>
          </w:p>
          <w:p w14:paraId="555D0B40" w14:textId="220E2B65" w:rsidR="008F0090" w:rsidRPr="000229AD" w:rsidRDefault="008F0090" w:rsidP="00716C22">
            <w:pPr>
              <w:pStyle w:val="Tabletext"/>
              <w:spacing w:before="80" w:after="0"/>
              <w:ind w:left="284" w:hanging="284"/>
              <w:rPr>
                <w:rFonts w:ascii="Calibri" w:hAnsi="Calibri" w:cs="Calibri"/>
                <w:lang w:val="fr-FR"/>
              </w:rPr>
            </w:pPr>
            <w:r w:rsidRPr="000229AD">
              <w:rPr>
                <w:lang w:val="fr-FR"/>
              </w:rPr>
              <w:t>•</w:t>
            </w:r>
            <w:r w:rsidRPr="000229AD">
              <w:rPr>
                <w:lang w:val="fr-FR"/>
              </w:rPr>
              <w:tab/>
              <w:t>Une assistance spéciale a également été fournie à l</w:t>
            </w:r>
            <w:r w:rsidR="00125408" w:rsidRPr="000229AD">
              <w:rPr>
                <w:lang w:val="fr-FR"/>
              </w:rPr>
              <w:t>'</w:t>
            </w:r>
            <w:r w:rsidRPr="000229AD">
              <w:rPr>
                <w:lang w:val="fr-FR"/>
              </w:rPr>
              <w:t>Ukraine en application de la Résolution 1408 du Conseil de l</w:t>
            </w:r>
            <w:r w:rsidR="00125408" w:rsidRPr="000229AD">
              <w:rPr>
                <w:lang w:val="fr-FR"/>
              </w:rPr>
              <w:t>'</w:t>
            </w:r>
            <w:r w:rsidRPr="000229AD">
              <w:rPr>
                <w:lang w:val="fr-FR"/>
              </w:rPr>
              <w:t>UIT. L</w:t>
            </w:r>
            <w:r w:rsidR="00125408" w:rsidRPr="000229AD">
              <w:rPr>
                <w:lang w:val="fr-FR"/>
              </w:rPr>
              <w:t>'</w:t>
            </w:r>
            <w:r w:rsidRPr="000229AD">
              <w:rPr>
                <w:lang w:val="fr-FR"/>
              </w:rPr>
              <w:t>assistance technique à l</w:t>
            </w:r>
            <w:r w:rsidR="00125408" w:rsidRPr="000229AD">
              <w:rPr>
                <w:lang w:val="fr-FR"/>
              </w:rPr>
              <w:t>'</w:t>
            </w:r>
            <w:r w:rsidRPr="000229AD">
              <w:rPr>
                <w:lang w:val="fr-FR"/>
              </w:rPr>
              <w:t>Ukraine a porté sur la remise en état de 40 stations de radiodiffusion touchées par la guerre. Dix premières stations ont en cours d</w:t>
            </w:r>
            <w:r w:rsidR="00125408" w:rsidRPr="000229AD">
              <w:rPr>
                <w:lang w:val="fr-FR"/>
              </w:rPr>
              <w:t>'</w:t>
            </w:r>
            <w:r w:rsidRPr="000229AD">
              <w:rPr>
                <w:lang w:val="fr-FR"/>
              </w:rPr>
              <w:t>évaluation. Elles pourront à terme desservir plus de 10 millions de personnes.</w:t>
            </w:r>
          </w:p>
          <w:p w14:paraId="6D857FAC" w14:textId="617ACA11" w:rsidR="008F0090" w:rsidRPr="000229AD" w:rsidRDefault="008F0090" w:rsidP="00716C22">
            <w:pPr>
              <w:pStyle w:val="Tabletext"/>
              <w:spacing w:before="80" w:after="0"/>
              <w:ind w:left="284" w:hanging="284"/>
              <w:rPr>
                <w:lang w:val="fr-FR"/>
              </w:rPr>
            </w:pPr>
            <w:r w:rsidRPr="000229AD">
              <w:rPr>
                <w:lang w:val="fr-FR"/>
              </w:rPr>
              <w:t>•</w:t>
            </w:r>
            <w:r w:rsidRPr="000229AD">
              <w:rPr>
                <w:lang w:val="fr-FR"/>
              </w:rPr>
              <w:tab/>
              <w:t>D</w:t>
            </w:r>
            <w:r w:rsidR="00125408" w:rsidRPr="000229AD">
              <w:rPr>
                <w:lang w:val="fr-FR"/>
              </w:rPr>
              <w:t>'</w:t>
            </w:r>
            <w:r w:rsidRPr="000229AD">
              <w:rPr>
                <w:lang w:val="fr-FR"/>
              </w:rPr>
              <w:t>importantes plates-formes régionales et interrégionales d</w:t>
            </w:r>
            <w:r w:rsidR="00125408" w:rsidRPr="000229AD">
              <w:rPr>
                <w:lang w:val="fr-FR"/>
              </w:rPr>
              <w:t>'</w:t>
            </w:r>
            <w:r w:rsidRPr="000229AD">
              <w:rPr>
                <w:lang w:val="fr-FR"/>
              </w:rPr>
              <w:t>échange de connaissances et de bonnes pratiques ont été mises en place, axées sur des thèmes prioritaires tels que "Europe accessible – Les TIC pour TOUS", auxquelles ont participé plus de 400 parties prenantes de 50 pays. En outre, un cyberexercice interrégional a vu la participation de plus de 200 personnes provenant de 40 pays des régions Europe et Asie-Pacifique.</w:t>
            </w:r>
          </w:p>
          <w:p w14:paraId="357FD921" w14:textId="206526D7" w:rsidR="008F0090" w:rsidRPr="000229AD" w:rsidRDefault="008F0090" w:rsidP="00716C22">
            <w:pPr>
              <w:pStyle w:val="Tabletext"/>
              <w:spacing w:before="80"/>
              <w:ind w:left="284" w:hanging="284"/>
              <w:rPr>
                <w:lang w:val="fr-FR"/>
              </w:rPr>
            </w:pPr>
            <w:r w:rsidRPr="000229AD">
              <w:rPr>
                <w:lang w:val="fr-FR"/>
              </w:rPr>
              <w:t>•</w:t>
            </w:r>
            <w:r w:rsidRPr="000229AD">
              <w:rPr>
                <w:lang w:val="fr-FR"/>
              </w:rPr>
              <w:tab/>
              <w:t>Le BDT a collaboré avec plusieurs nouvelles parties prenantes européennes qui sont devenues membres de Secteur de l</w:t>
            </w:r>
            <w:r w:rsidR="00125408" w:rsidRPr="000229AD">
              <w:rPr>
                <w:lang w:val="fr-FR"/>
              </w:rPr>
              <w:t>'</w:t>
            </w:r>
            <w:r w:rsidRPr="000229AD">
              <w:rPr>
                <w:lang w:val="fr-FR"/>
              </w:rPr>
              <w:t>UIT.</w:t>
            </w:r>
          </w:p>
          <w:p w14:paraId="04B99358" w14:textId="2D50E4D2" w:rsidR="008F0090" w:rsidRPr="000229AD" w:rsidRDefault="008F0090" w:rsidP="00716C22">
            <w:pPr>
              <w:pStyle w:val="Tabletext"/>
              <w:spacing w:after="0"/>
              <w:ind w:left="284" w:hanging="284"/>
              <w:rPr>
                <w:lang w:val="fr-FR"/>
              </w:rPr>
            </w:pPr>
            <w:r w:rsidRPr="000229AD">
              <w:rPr>
                <w:lang w:val="fr-FR"/>
              </w:rPr>
              <w:lastRenderedPageBreak/>
              <w:t>•</w:t>
            </w:r>
            <w:r w:rsidRPr="000229AD">
              <w:rPr>
                <w:lang w:val="fr-FR"/>
              </w:rPr>
              <w:tab/>
              <w:t>Le BDT a également continué à travailler en étroite collaboration avec la CEPT, en assurant régulièrement la coordination, l</w:t>
            </w:r>
            <w:r w:rsidR="00125408" w:rsidRPr="000229AD">
              <w:rPr>
                <w:lang w:val="fr-FR"/>
              </w:rPr>
              <w:t>'</w:t>
            </w:r>
            <w:r w:rsidRPr="000229AD">
              <w:rPr>
                <w:lang w:val="fr-FR"/>
              </w:rPr>
              <w:t>établissement de rapports et l</w:t>
            </w:r>
            <w:r w:rsidR="00125408" w:rsidRPr="000229AD">
              <w:rPr>
                <w:lang w:val="fr-FR"/>
              </w:rPr>
              <w:t>'</w:t>
            </w:r>
            <w:r w:rsidRPr="000229AD">
              <w:rPr>
                <w:lang w:val="fr-FR"/>
              </w:rPr>
              <w:t>assistance ou en élaborant conjointement certaines actions régionales.</w:t>
            </w:r>
          </w:p>
          <w:p w14:paraId="5E564DF7" w14:textId="7E59B3D8" w:rsidR="008F0090" w:rsidRPr="000229AD" w:rsidRDefault="008F0090" w:rsidP="00716C22">
            <w:pPr>
              <w:pStyle w:val="Tabletext"/>
              <w:spacing w:before="80" w:after="0"/>
              <w:ind w:left="284" w:hanging="284"/>
              <w:rPr>
                <w:lang w:val="fr-FR"/>
              </w:rPr>
            </w:pPr>
            <w:r w:rsidRPr="000229AD">
              <w:rPr>
                <w:lang w:val="fr-FR"/>
              </w:rPr>
              <w:t>•</w:t>
            </w:r>
            <w:r w:rsidRPr="000229AD">
              <w:rPr>
                <w:lang w:val="fr-FR"/>
              </w:rPr>
              <w:tab/>
              <w:t>La collaboration stratégique avec les organismes des Nations Unies a été davantage renforcée, en plaçant l</w:t>
            </w:r>
            <w:r w:rsidR="00125408" w:rsidRPr="000229AD">
              <w:rPr>
                <w:lang w:val="fr-FR"/>
              </w:rPr>
              <w:t>'</w:t>
            </w:r>
            <w:r w:rsidRPr="000229AD">
              <w:rPr>
                <w:lang w:val="fr-FR"/>
              </w:rPr>
              <w:t>UIT au centre de tous les mécanismes de coordination en matière de développement numérique. Ainsi, l</w:t>
            </w:r>
            <w:r w:rsidR="00125408" w:rsidRPr="000229AD">
              <w:rPr>
                <w:lang w:val="fr-FR"/>
              </w:rPr>
              <w:t>'</w:t>
            </w:r>
            <w:r w:rsidRPr="000229AD">
              <w:rPr>
                <w:lang w:val="fr-FR"/>
              </w:rPr>
              <w:t>UIT a assuré la coprésidence régionale du Groupe des Nations Unies sur la transformation numérique pour l</w:t>
            </w:r>
            <w:r w:rsidR="00125408" w:rsidRPr="000229AD">
              <w:rPr>
                <w:lang w:val="fr-FR"/>
              </w:rPr>
              <w:t>'</w:t>
            </w:r>
            <w:r w:rsidRPr="000229AD">
              <w:rPr>
                <w:lang w:val="fr-FR"/>
              </w:rPr>
              <w:t>Europe et l</w:t>
            </w:r>
            <w:r w:rsidR="00125408" w:rsidRPr="000229AD">
              <w:rPr>
                <w:lang w:val="fr-FR"/>
              </w:rPr>
              <w:t>'</w:t>
            </w:r>
            <w:r w:rsidRPr="000229AD">
              <w:rPr>
                <w:lang w:val="fr-FR"/>
              </w:rPr>
              <w:t>Asie centrale, la coprésidence du Groupe spécial des Nations Unies sur le passage au numérique au service du développement durable à Bruxelles et, au niveau national, la coprésidence des équipes spéciales sur le passage au numérique relevant des équipes de pays des Nations Unies.</w:t>
            </w:r>
          </w:p>
          <w:p w14:paraId="2FF9E302" w14:textId="4CDF7F1D" w:rsidR="008F0090" w:rsidRPr="000229AD" w:rsidRDefault="008F0090" w:rsidP="00716C22">
            <w:pPr>
              <w:pStyle w:val="Tabletext"/>
              <w:keepNext/>
              <w:keepLines/>
              <w:spacing w:before="80" w:after="0"/>
              <w:ind w:left="284" w:hanging="284"/>
              <w:rPr>
                <w:lang w:val="fr-FR"/>
              </w:rPr>
            </w:pPr>
            <w:r w:rsidRPr="000229AD">
              <w:rPr>
                <w:lang w:val="fr-FR"/>
              </w:rPr>
              <w:t>•</w:t>
            </w:r>
            <w:r w:rsidRPr="000229AD">
              <w:rPr>
                <w:lang w:val="fr-FR"/>
              </w:rPr>
              <w:tab/>
              <w:t>Une table ronde sur l</w:t>
            </w:r>
            <w:r w:rsidR="00125408" w:rsidRPr="000229AD">
              <w:rPr>
                <w:lang w:val="fr-FR"/>
              </w:rPr>
              <w:t>'</w:t>
            </w:r>
            <w:r w:rsidRPr="000229AD">
              <w:rPr>
                <w:lang w:val="fr-FR"/>
              </w:rPr>
              <w:t xml:space="preserve">ODD 17 "Établir des partenariats efficaces pour la transformation numérique" a été organisée dans le cadre du </w:t>
            </w:r>
            <w:hyperlink r:id="rId92" w:history="1">
              <w:r w:rsidRPr="000229AD">
                <w:rPr>
                  <w:rStyle w:val="Hyperlink"/>
                  <w:lang w:val="fr-FR"/>
                </w:rPr>
                <w:t>Forum régional sur le développement durable pour la région de la CEE</w:t>
              </w:r>
            </w:hyperlink>
            <w:r w:rsidRPr="000229AD">
              <w:rPr>
                <w:lang w:val="fr-FR"/>
              </w:rPr>
              <w:t>, avec deux autres manifestations parallèles "Approche de la transformation numérique centrée sur l</w:t>
            </w:r>
            <w:r w:rsidR="00125408" w:rsidRPr="000229AD">
              <w:rPr>
                <w:lang w:val="fr-FR"/>
              </w:rPr>
              <w:t>'</w:t>
            </w:r>
            <w:r w:rsidRPr="000229AD">
              <w:rPr>
                <w:lang w:val="fr-FR"/>
              </w:rPr>
              <w:t>humain" et le lancement de la publication conjointe de l</w:t>
            </w:r>
            <w:r w:rsidR="00125408" w:rsidRPr="000229AD">
              <w:rPr>
                <w:lang w:val="fr-FR"/>
              </w:rPr>
              <w:t>'</w:t>
            </w:r>
            <w:r w:rsidRPr="000229AD">
              <w:rPr>
                <w:lang w:val="fr-FR"/>
              </w:rPr>
              <w:t>UIT et de la FAO sur "Les exigences de l</w:t>
            </w:r>
            <w:r w:rsidR="00125408" w:rsidRPr="000229AD">
              <w:rPr>
                <w:lang w:val="fr-FR"/>
              </w:rPr>
              <w:t>'</w:t>
            </w:r>
            <w:r w:rsidRPr="000229AD">
              <w:rPr>
                <w:lang w:val="fr-FR"/>
              </w:rPr>
              <w:t>UE en matière d</w:t>
            </w:r>
            <w:r w:rsidR="00125408" w:rsidRPr="000229AD">
              <w:rPr>
                <w:lang w:val="fr-FR"/>
              </w:rPr>
              <w:t>'</w:t>
            </w:r>
            <w:r w:rsidRPr="000229AD">
              <w:rPr>
                <w:lang w:val="fr-FR"/>
              </w:rPr>
              <w:t>agriculture numérique: Un recueil pour les pays en phase de préadhésion", qui a servi de fil conducteur à la table ronde sur l</w:t>
            </w:r>
            <w:r w:rsidR="00125408" w:rsidRPr="000229AD">
              <w:rPr>
                <w:lang w:val="fr-FR"/>
              </w:rPr>
              <w:t>'</w:t>
            </w:r>
            <w:r w:rsidRPr="000229AD">
              <w:rPr>
                <w:lang w:val="fr-FR"/>
              </w:rPr>
              <w:t>ODD 17.</w:t>
            </w:r>
          </w:p>
          <w:p w14:paraId="20869B3F" w14:textId="0587D222" w:rsidR="008F0090" w:rsidRPr="000229AD" w:rsidRDefault="008F0090" w:rsidP="00716C22">
            <w:pPr>
              <w:pStyle w:val="Tabletext"/>
              <w:spacing w:before="80" w:after="0"/>
              <w:ind w:left="284" w:hanging="284"/>
              <w:rPr>
                <w:lang w:val="fr-FR"/>
              </w:rPr>
            </w:pPr>
            <w:r w:rsidRPr="000229AD">
              <w:rPr>
                <w:lang w:val="fr-FR"/>
              </w:rPr>
              <w:t>•</w:t>
            </w:r>
            <w:r w:rsidRPr="000229AD">
              <w:rPr>
                <w:lang w:val="fr-FR"/>
              </w:rPr>
              <w:tab/>
              <w:t>Plusieurs publications interinstitutions ont été élaborées, notamment la Boîte à outils des Nations Unies pour le développement numérique, neuf profils de pays sur le développement numérique, le Recueil conjoint de l</w:t>
            </w:r>
            <w:r w:rsidR="00125408" w:rsidRPr="000229AD">
              <w:rPr>
                <w:lang w:val="fr-FR"/>
              </w:rPr>
              <w:t>'</w:t>
            </w:r>
            <w:r w:rsidRPr="000229AD">
              <w:rPr>
                <w:lang w:val="fr-FR"/>
              </w:rPr>
              <w:t>UIT et de la FAO sur l</w:t>
            </w:r>
            <w:r w:rsidR="00125408" w:rsidRPr="000229AD">
              <w:rPr>
                <w:lang w:val="fr-FR"/>
              </w:rPr>
              <w:t>'</w:t>
            </w:r>
            <w:r w:rsidRPr="000229AD">
              <w:rPr>
                <w:lang w:val="fr-FR"/>
              </w:rPr>
              <w:t>agriculture numérique pour les pays en phase de préadhésion à l</w:t>
            </w:r>
            <w:r w:rsidR="00125408" w:rsidRPr="000229AD">
              <w:rPr>
                <w:lang w:val="fr-FR"/>
              </w:rPr>
              <w:t>'</w:t>
            </w:r>
            <w:r w:rsidRPr="000229AD">
              <w:rPr>
                <w:lang w:val="fr-FR"/>
              </w:rPr>
              <w:t>UE, et le Rapport régional sur les déchets d</w:t>
            </w:r>
            <w:r w:rsidR="00125408" w:rsidRPr="000229AD">
              <w:rPr>
                <w:lang w:val="fr-FR"/>
              </w:rPr>
              <w:t>'</w:t>
            </w:r>
            <w:r w:rsidRPr="000229AD">
              <w:rPr>
                <w:lang w:val="fr-FR"/>
              </w:rPr>
              <w:t>équipements électriques et électroniques pour les Balkans occidentaux élaboré conjointement par l</w:t>
            </w:r>
            <w:r w:rsidR="00125408" w:rsidRPr="000229AD">
              <w:rPr>
                <w:lang w:val="fr-FR"/>
              </w:rPr>
              <w:t>'</w:t>
            </w:r>
            <w:r w:rsidRPr="000229AD">
              <w:rPr>
                <w:lang w:val="fr-FR"/>
              </w:rPr>
              <w:t>UIT, le PNUE et l</w:t>
            </w:r>
            <w:r w:rsidR="00125408" w:rsidRPr="000229AD">
              <w:rPr>
                <w:lang w:val="fr-FR"/>
              </w:rPr>
              <w:t>'</w:t>
            </w:r>
            <w:r w:rsidRPr="000229AD">
              <w:rPr>
                <w:lang w:val="fr-FR"/>
              </w:rPr>
              <w:t>UNITAR.</w:t>
            </w:r>
          </w:p>
          <w:p w14:paraId="66FE795B" w14:textId="29163841" w:rsidR="008F0090" w:rsidRPr="000229AD" w:rsidRDefault="008F0090" w:rsidP="00716C22">
            <w:pPr>
              <w:pStyle w:val="Tabletext"/>
              <w:spacing w:before="80"/>
              <w:ind w:left="284" w:hanging="284"/>
              <w:rPr>
                <w:rFonts w:eastAsiaTheme="minorEastAsia"/>
                <w:lang w:val="fr-FR"/>
              </w:rPr>
            </w:pPr>
            <w:r w:rsidRPr="000229AD">
              <w:rPr>
                <w:lang w:val="fr-FR"/>
              </w:rPr>
              <w:t>•</w:t>
            </w:r>
            <w:r w:rsidRPr="000229AD">
              <w:rPr>
                <w:lang w:val="fr-FR"/>
              </w:rPr>
              <w:tab/>
              <w:t>Trois projets conçus conjointement ont été acceptés dans le cadre de l</w:t>
            </w:r>
            <w:r w:rsidR="00125408" w:rsidRPr="000229AD">
              <w:rPr>
                <w:lang w:val="fr-FR"/>
              </w:rPr>
              <w:t>'</w:t>
            </w:r>
            <w:r w:rsidRPr="000229AD">
              <w:rPr>
                <w:lang w:val="fr-FR"/>
              </w:rPr>
              <w:t>enveloppe du Fonds commun pour les ODD dédiée aux projets numériques, à savoir le projet UIT-UNOPS (sur les villes intelligentes) au Monténégro, le projet UIT-FAO-OIT (sur l</w:t>
            </w:r>
            <w:r w:rsidR="00125408" w:rsidRPr="000229AD">
              <w:rPr>
                <w:lang w:val="fr-FR"/>
              </w:rPr>
              <w:t>'</w:t>
            </w:r>
            <w:r w:rsidRPr="000229AD">
              <w:rPr>
                <w:lang w:val="fr-FR"/>
              </w:rPr>
              <w:t>agriculture numérique) en Albanie et le projet UIT-PNUD-FAO (sur les services publics numériques) en Serbie. Des fonds ont été mobilisés dans le cadre de nouveaux mécanismes de financement, notamment l</w:t>
            </w:r>
            <w:r w:rsidR="00125408" w:rsidRPr="000229AD">
              <w:rPr>
                <w:lang w:val="fr-FR"/>
              </w:rPr>
              <w:t>'</w:t>
            </w:r>
            <w:r w:rsidRPr="000229AD">
              <w:rPr>
                <w:lang w:val="fr-FR"/>
              </w:rPr>
              <w:t>enveloppe du Fonds commun pour les ODD dédiée aux projets numériques (Monténégro et Serbie) et le Fonds d</w:t>
            </w:r>
            <w:r w:rsidR="00125408" w:rsidRPr="000229AD">
              <w:rPr>
                <w:lang w:val="fr-FR"/>
              </w:rPr>
              <w:t>'</w:t>
            </w:r>
            <w:r w:rsidRPr="000229AD">
              <w:rPr>
                <w:lang w:val="fr-FR"/>
              </w:rPr>
              <w:t xml:space="preserve">accélération commun au Monténégro. </w:t>
            </w:r>
          </w:p>
        </w:tc>
        <w:tc>
          <w:tcPr>
            <w:tcW w:w="2970" w:type="dxa"/>
            <w:shd w:val="clear" w:color="auto" w:fill="auto"/>
          </w:tcPr>
          <w:p w14:paraId="4B827E1C" w14:textId="77777777" w:rsidR="008F0090" w:rsidRPr="000229AD" w:rsidRDefault="008F0090" w:rsidP="00716C22">
            <w:pPr>
              <w:pStyle w:val="Tabletext"/>
              <w:spacing w:before="120"/>
              <w:rPr>
                <w:lang w:val="fr-FR"/>
              </w:rPr>
            </w:pPr>
            <w:r w:rsidRPr="000229AD">
              <w:rPr>
                <w:b/>
                <w:bCs/>
                <w:lang w:val="fr-FR"/>
              </w:rPr>
              <w:lastRenderedPageBreak/>
              <w:t>Afrique:</w:t>
            </w:r>
          </w:p>
          <w:p w14:paraId="682CE125" w14:textId="3AF7CFCF" w:rsidR="008F0090" w:rsidRPr="000229AD" w:rsidRDefault="008F0090" w:rsidP="00716C22">
            <w:pPr>
              <w:pStyle w:val="Tabletext"/>
              <w:spacing w:before="80" w:after="0"/>
              <w:ind w:left="284" w:hanging="284"/>
              <w:rPr>
                <w:rFonts w:eastAsia="Calibri" w:cs="Times New Roman"/>
                <w:lang w:val="fr-FR"/>
              </w:rPr>
            </w:pPr>
            <w:r w:rsidRPr="000229AD">
              <w:rPr>
                <w:lang w:val="fr-FR"/>
              </w:rPr>
              <w:t>–</w:t>
            </w:r>
            <w:r w:rsidRPr="000229AD">
              <w:rPr>
                <w:lang w:val="fr-FR"/>
              </w:rPr>
              <w:tab/>
            </w:r>
            <w:hyperlink r:id="rId93" w:history="1">
              <w:r w:rsidRPr="000229AD">
                <w:rPr>
                  <w:rStyle w:val="Hyperlink"/>
                  <w:b/>
                  <w:bCs/>
                  <w:lang w:val="fr-FR"/>
                </w:rPr>
                <w:t>RDF-AFR</w:t>
              </w:r>
            </w:hyperlink>
            <w:r w:rsidRPr="000229AD">
              <w:rPr>
                <w:lang w:val="fr-FR"/>
              </w:rPr>
              <w:t>: accélérer la réalisation des ODD. vingt nouveaux engagements et 800 annonces de contribution au titre de l</w:t>
            </w:r>
            <w:r w:rsidR="00125408" w:rsidRPr="000229AD">
              <w:rPr>
                <w:lang w:val="fr-FR"/>
              </w:rPr>
              <w:t>'</w:t>
            </w:r>
            <w:r w:rsidRPr="000229AD">
              <w:rPr>
                <w:lang w:val="fr-FR"/>
              </w:rPr>
              <w:t>initiative Partner2Connect.</w:t>
            </w:r>
          </w:p>
          <w:p w14:paraId="1CC634A4" w14:textId="77777777" w:rsidR="008F0090" w:rsidRPr="000229AD" w:rsidRDefault="008F0090" w:rsidP="00716C22">
            <w:pPr>
              <w:pStyle w:val="Tabletext"/>
              <w:spacing w:before="80" w:after="0"/>
              <w:ind w:left="284" w:hanging="284"/>
              <w:rPr>
                <w:rFonts w:eastAsia="Calibri" w:cs="Times New Roman"/>
                <w:lang w:val="fr-FR"/>
              </w:rPr>
            </w:pPr>
            <w:r w:rsidRPr="000229AD">
              <w:rPr>
                <w:lang w:val="fr-FR"/>
              </w:rPr>
              <w:t>–</w:t>
            </w:r>
            <w:r w:rsidRPr="000229AD">
              <w:rPr>
                <w:lang w:val="fr-FR"/>
              </w:rPr>
              <w:tab/>
              <w:t>Collaboration stratégique au sein des plans-cadres de coopération de Cabo Verde, du Malawi, de Maurice et des Seychelles.</w:t>
            </w:r>
          </w:p>
          <w:p w14:paraId="7ADE3624" w14:textId="77777777" w:rsidR="008F0090" w:rsidRPr="000229AD" w:rsidRDefault="008F0090" w:rsidP="00716C22">
            <w:pPr>
              <w:pStyle w:val="Tabletext"/>
              <w:spacing w:before="80" w:after="0"/>
              <w:ind w:left="284" w:hanging="284"/>
              <w:rPr>
                <w:rFonts w:eastAsia="Calibri" w:cs="Times New Roman"/>
                <w:lang w:val="fr-FR"/>
              </w:rPr>
            </w:pPr>
            <w:r w:rsidRPr="000229AD">
              <w:rPr>
                <w:lang w:val="fr-FR"/>
              </w:rPr>
              <w:t>–</w:t>
            </w:r>
            <w:r w:rsidRPr="000229AD">
              <w:rPr>
                <w:lang w:val="fr-FR"/>
              </w:rPr>
              <w:tab/>
              <w:t>Collecte de données dans les 11 pays bénéficiaires du projet "Analyse comparative des TIC en Afrique centrale" en vue de formuler des recommandations et les programmes de renforcement des capacités.</w:t>
            </w:r>
          </w:p>
          <w:p w14:paraId="39CFF69E" w14:textId="6F61FA0D" w:rsidR="008F0090" w:rsidRPr="000229AD" w:rsidRDefault="008F0090" w:rsidP="00716C22">
            <w:pPr>
              <w:pStyle w:val="Tabletext"/>
              <w:keepNext/>
              <w:keepLines/>
              <w:spacing w:after="0"/>
              <w:ind w:left="284" w:hanging="284"/>
              <w:rPr>
                <w:rFonts w:eastAsia="Calibri" w:cs="Times New Roman"/>
                <w:lang w:val="fr-FR"/>
              </w:rPr>
            </w:pPr>
            <w:r w:rsidRPr="000229AD">
              <w:rPr>
                <w:lang w:val="fr-FR"/>
              </w:rPr>
              <w:lastRenderedPageBreak/>
              <w:t>–</w:t>
            </w:r>
            <w:r w:rsidRPr="000229AD">
              <w:rPr>
                <w:lang w:val="fr-FR"/>
              </w:rPr>
              <w:tab/>
              <w:t>Sur les 17 centres d</w:t>
            </w:r>
            <w:r w:rsidR="00125408" w:rsidRPr="000229AD">
              <w:rPr>
                <w:lang w:val="fr-FR"/>
              </w:rPr>
              <w:t>'</w:t>
            </w:r>
            <w:r w:rsidRPr="000229AD">
              <w:rPr>
                <w:lang w:val="fr-FR"/>
              </w:rPr>
              <w:t>accélération de l</w:t>
            </w:r>
            <w:r w:rsidR="00125408" w:rsidRPr="000229AD">
              <w:rPr>
                <w:lang w:val="fr-FR"/>
              </w:rPr>
              <w:t>'</w:t>
            </w:r>
            <w:r w:rsidRPr="000229AD">
              <w:rPr>
                <w:lang w:val="fr-FR"/>
              </w:rPr>
              <w:t>UIT mis en place, 6 sont situés en Afrique: Gabon, Kenya, Malawi, Sénégal, Tanzanie, Zimbabwe.</w:t>
            </w:r>
          </w:p>
          <w:p w14:paraId="7A34E8D5" w14:textId="75577D4B" w:rsidR="008F0090" w:rsidRPr="000229AD" w:rsidRDefault="008F0090" w:rsidP="00716C22">
            <w:pPr>
              <w:pStyle w:val="Tabletext"/>
              <w:spacing w:before="80" w:after="0"/>
              <w:ind w:left="284" w:hanging="284"/>
              <w:rPr>
                <w:rFonts w:eastAsia="Calibri" w:cs="Times New Roman"/>
                <w:lang w:val="fr-FR"/>
              </w:rPr>
            </w:pPr>
            <w:r w:rsidRPr="000229AD">
              <w:rPr>
                <w:lang w:val="fr-FR"/>
              </w:rPr>
              <w:t>–</w:t>
            </w:r>
            <w:r w:rsidRPr="000229AD">
              <w:rPr>
                <w:lang w:val="fr-FR"/>
              </w:rPr>
              <w:tab/>
              <w:t>L</w:t>
            </w:r>
            <w:r w:rsidR="00125408" w:rsidRPr="000229AD">
              <w:rPr>
                <w:lang w:val="fr-FR"/>
              </w:rPr>
              <w:t>'</w:t>
            </w:r>
            <w:r w:rsidRPr="000229AD">
              <w:rPr>
                <w:lang w:val="fr-FR"/>
              </w:rPr>
              <w:t>UIT a aidé le Tchad et le Rwanda à élaborer leur stratégie nationale globale en matière de cybersécurité.</w:t>
            </w:r>
          </w:p>
          <w:p w14:paraId="5AD520A0" w14:textId="77777777" w:rsidR="008F0090" w:rsidRPr="000229AD" w:rsidRDefault="008F0090" w:rsidP="00716C22">
            <w:pPr>
              <w:pStyle w:val="Tabletext"/>
              <w:spacing w:before="120"/>
              <w:rPr>
                <w:lang w:val="fr-FR"/>
              </w:rPr>
            </w:pPr>
            <w:r w:rsidRPr="000229AD">
              <w:rPr>
                <w:b/>
                <w:bCs/>
                <w:lang w:val="fr-FR"/>
              </w:rPr>
              <w:t>Amériques:</w:t>
            </w:r>
          </w:p>
          <w:p w14:paraId="3D516DAC" w14:textId="349BAD53" w:rsidR="008F0090" w:rsidRPr="000229AD" w:rsidRDefault="008F0090" w:rsidP="00716C22">
            <w:pPr>
              <w:pStyle w:val="Tabletext"/>
              <w:spacing w:before="80" w:after="0"/>
              <w:ind w:left="284" w:hanging="284"/>
              <w:rPr>
                <w:rFonts w:eastAsia="Calibri" w:cs="Times New Roman"/>
                <w:lang w:val="fr-FR"/>
              </w:rPr>
            </w:pPr>
            <w:r w:rsidRPr="000229AD">
              <w:rPr>
                <w:lang w:val="fr-FR"/>
              </w:rPr>
              <w:t>–</w:t>
            </w:r>
            <w:r w:rsidRPr="000229AD">
              <w:rPr>
                <w:lang w:val="fr-FR"/>
              </w:rPr>
              <w:tab/>
            </w:r>
            <w:hyperlink r:id="rId94" w:history="1">
              <w:r w:rsidRPr="000229AD">
                <w:rPr>
                  <w:rStyle w:val="Hyperlink"/>
                  <w:b/>
                  <w:bCs/>
                  <w:lang w:val="fr-FR"/>
                </w:rPr>
                <w:t>RDF-AMS</w:t>
              </w:r>
            </w:hyperlink>
            <w:r w:rsidRPr="000229AD">
              <w:rPr>
                <w:lang w:val="fr-FR"/>
              </w:rPr>
              <w:t>: 147 engagements au titre de l</w:t>
            </w:r>
            <w:r w:rsidR="00125408" w:rsidRPr="000229AD">
              <w:rPr>
                <w:lang w:val="fr-FR"/>
              </w:rPr>
              <w:t>'</w:t>
            </w:r>
            <w:r w:rsidRPr="000229AD">
              <w:rPr>
                <w:lang w:val="fr-FR"/>
              </w:rPr>
              <w:t>initiative Partner2Connect, d</w:t>
            </w:r>
            <w:r w:rsidR="00125408" w:rsidRPr="000229AD">
              <w:rPr>
                <w:lang w:val="fr-FR"/>
              </w:rPr>
              <w:t>'</w:t>
            </w:r>
            <w:r w:rsidRPr="000229AD">
              <w:rPr>
                <w:lang w:val="fr-FR"/>
              </w:rPr>
              <w:t>une valeur de 9,86 milliards USD, pris par 91 entités de 39 pays.</w:t>
            </w:r>
          </w:p>
          <w:p w14:paraId="77E92743" w14:textId="1A9818ED" w:rsidR="008F0090" w:rsidRPr="000229AD" w:rsidRDefault="008F0090" w:rsidP="00716C22">
            <w:pPr>
              <w:pStyle w:val="Tabletext"/>
              <w:spacing w:before="80" w:after="0"/>
              <w:ind w:left="284" w:hanging="284"/>
              <w:rPr>
                <w:rFonts w:eastAsia="Calibri" w:cs="Times New Roman"/>
                <w:lang w:val="fr-FR"/>
              </w:rPr>
            </w:pPr>
            <w:r w:rsidRPr="000229AD">
              <w:rPr>
                <w:lang w:val="fr-FR"/>
              </w:rPr>
              <w:t>–</w:t>
            </w:r>
            <w:r w:rsidRPr="000229AD">
              <w:rPr>
                <w:lang w:val="fr-FR"/>
              </w:rPr>
              <w:tab/>
              <w:t>Collaboration étroite avec le Secteur des radiocommunications de l</w:t>
            </w:r>
            <w:r w:rsidR="00125408" w:rsidRPr="000229AD">
              <w:rPr>
                <w:lang w:val="fr-FR"/>
              </w:rPr>
              <w:t>'</w:t>
            </w:r>
            <w:r w:rsidRPr="000229AD">
              <w:rPr>
                <w:lang w:val="fr-FR"/>
              </w:rPr>
              <w:t>UIT: séminaire sur les radiocommunications pour la région Amériques et conférence sur la gestion du spectre en Amérique latine. Collaboration étroite avec le Secteur de la normalisation de l</w:t>
            </w:r>
            <w:r w:rsidR="00125408" w:rsidRPr="000229AD">
              <w:rPr>
                <w:lang w:val="fr-FR"/>
              </w:rPr>
              <w:t>'</w:t>
            </w:r>
            <w:r w:rsidRPr="000229AD">
              <w:rPr>
                <w:lang w:val="fr-FR"/>
              </w:rPr>
              <w:t>UIT: séminaire sur les réseaux ouverts au Brésil.</w:t>
            </w:r>
          </w:p>
          <w:p w14:paraId="469435FE" w14:textId="074DD8DB" w:rsidR="008F0090" w:rsidRPr="000229AD" w:rsidRDefault="008F0090" w:rsidP="00716C22">
            <w:pPr>
              <w:pStyle w:val="Tabletext"/>
              <w:keepNext/>
              <w:keepLines/>
              <w:spacing w:after="0"/>
              <w:ind w:left="284" w:hanging="284"/>
              <w:rPr>
                <w:rFonts w:eastAsia="Calibri" w:cs="Times New Roman"/>
                <w:lang w:val="fr-FR"/>
              </w:rPr>
            </w:pPr>
            <w:r w:rsidRPr="000229AD">
              <w:rPr>
                <w:lang w:val="fr-FR"/>
              </w:rPr>
              <w:lastRenderedPageBreak/>
              <w:t>–</w:t>
            </w:r>
            <w:r w:rsidRPr="000229AD">
              <w:rPr>
                <w:lang w:val="fr-FR"/>
              </w:rPr>
              <w:tab/>
              <w:t>Collaboration stratégique au sein du Plan-cadre du Brésil. L</w:t>
            </w:r>
            <w:r w:rsidR="00125408" w:rsidRPr="000229AD">
              <w:rPr>
                <w:lang w:val="fr-FR"/>
              </w:rPr>
              <w:t>'</w:t>
            </w:r>
            <w:r w:rsidRPr="000229AD">
              <w:rPr>
                <w:lang w:val="fr-FR"/>
              </w:rPr>
              <w:t>UIT et la FAO ont signé un projet conjoint "Merian" sur l</w:t>
            </w:r>
            <w:r w:rsidR="00125408" w:rsidRPr="000229AD">
              <w:rPr>
                <w:lang w:val="fr-FR"/>
              </w:rPr>
              <w:t>'</w:t>
            </w:r>
            <w:r w:rsidRPr="000229AD">
              <w:rPr>
                <w:lang w:val="fr-FR"/>
              </w:rPr>
              <w:t>agriculture 5.0 avec l</w:t>
            </w:r>
            <w:r w:rsidR="00125408" w:rsidRPr="000229AD">
              <w:rPr>
                <w:lang w:val="fr-FR"/>
              </w:rPr>
              <w:t>'</w:t>
            </w:r>
            <w:r w:rsidRPr="000229AD">
              <w:rPr>
                <w:lang w:val="fr-FR"/>
              </w:rPr>
              <w:t>UE pour El Salvador pour un budget total de 5,2 millions d</w:t>
            </w:r>
            <w:r w:rsidR="00125408" w:rsidRPr="000229AD">
              <w:rPr>
                <w:lang w:val="fr-FR"/>
              </w:rPr>
              <w:t>'</w:t>
            </w:r>
            <w:r w:rsidRPr="000229AD">
              <w:rPr>
                <w:lang w:val="fr-FR"/>
              </w:rPr>
              <w:t>euros.</w:t>
            </w:r>
          </w:p>
          <w:p w14:paraId="3EE82678" w14:textId="679D1EB8" w:rsidR="008F0090" w:rsidRPr="000229AD" w:rsidRDefault="008F0090" w:rsidP="00716C22">
            <w:pPr>
              <w:pStyle w:val="Tabletext"/>
              <w:spacing w:before="80" w:after="0"/>
              <w:ind w:left="284" w:hanging="284"/>
              <w:rPr>
                <w:lang w:val="fr-FR"/>
              </w:rPr>
            </w:pPr>
            <w:r w:rsidRPr="000229AD">
              <w:rPr>
                <w:lang w:val="fr-FR"/>
              </w:rPr>
              <w:t>–</w:t>
            </w:r>
            <w:r w:rsidRPr="000229AD">
              <w:rPr>
                <w:lang w:val="fr-FR"/>
              </w:rPr>
              <w:tab/>
              <w:t>Plus de 2</w:t>
            </w:r>
            <w:r w:rsidR="000D4D4A" w:rsidRPr="000229AD">
              <w:rPr>
                <w:lang w:val="fr-FR"/>
              </w:rPr>
              <w:t> </w:t>
            </w:r>
            <w:r w:rsidRPr="000229AD">
              <w:rPr>
                <w:lang w:val="fr-FR"/>
              </w:rPr>
              <w:t>300 filles et femmes ont bénéficié d</w:t>
            </w:r>
            <w:r w:rsidR="00125408" w:rsidRPr="000229AD">
              <w:rPr>
                <w:lang w:val="fr-FR"/>
              </w:rPr>
              <w:t>'</w:t>
            </w:r>
            <w:r w:rsidRPr="000229AD">
              <w:rPr>
                <w:lang w:val="fr-FR"/>
              </w:rPr>
              <w:t>activités relatives aux compétences numériques dans le cadre du projet "Girls Can Code" pour la région Amériques.</w:t>
            </w:r>
          </w:p>
          <w:p w14:paraId="6B189139" w14:textId="77777777" w:rsidR="008F0090" w:rsidRPr="000229AD" w:rsidRDefault="008F0090" w:rsidP="00716C22">
            <w:pPr>
              <w:pStyle w:val="Tabletext"/>
              <w:spacing w:before="80" w:after="0"/>
              <w:ind w:left="284" w:hanging="284"/>
              <w:rPr>
                <w:rFonts w:eastAsia="Calibri" w:cs="Times New Roman"/>
                <w:lang w:val="fr-FR"/>
              </w:rPr>
            </w:pPr>
            <w:r w:rsidRPr="000229AD">
              <w:rPr>
                <w:lang w:val="fr-FR"/>
              </w:rPr>
              <w:t>–</w:t>
            </w:r>
            <w:r w:rsidRPr="000229AD">
              <w:rPr>
                <w:lang w:val="fr-FR"/>
              </w:rPr>
              <w:tab/>
              <w:t>Plus de 340 jeunes et femmes de populations isolées ont renforcé leurs compétences numériques grâce au projet "Inclusion numérique des jeunes".</w:t>
            </w:r>
          </w:p>
          <w:p w14:paraId="28882A6D" w14:textId="77777777" w:rsidR="008F0090" w:rsidRPr="000229AD" w:rsidRDefault="008F0090" w:rsidP="00716C22">
            <w:pPr>
              <w:pStyle w:val="Tabletext"/>
              <w:spacing w:before="80" w:after="0"/>
              <w:ind w:left="284" w:hanging="284"/>
              <w:rPr>
                <w:rFonts w:eastAsia="Calibri" w:cs="Times New Roman"/>
                <w:lang w:val="fr-FR"/>
              </w:rPr>
            </w:pPr>
            <w:r w:rsidRPr="000229AD">
              <w:rPr>
                <w:lang w:val="fr-FR"/>
              </w:rPr>
              <w:t>–</w:t>
            </w:r>
            <w:r w:rsidRPr="000229AD">
              <w:rPr>
                <w:lang w:val="fr-FR"/>
              </w:rPr>
              <w:tab/>
              <w:t>GIGA-OECO: Mise à niveau du large bande dans 27 écoles pilotes à la Barbade, bénéficiant à plus de 18 057 élèves et 1 382 enseignants.</w:t>
            </w:r>
          </w:p>
          <w:p w14:paraId="0AD04EAC" w14:textId="77777777" w:rsidR="008F0090" w:rsidRPr="000229AD" w:rsidRDefault="008F0090" w:rsidP="00716C22">
            <w:pPr>
              <w:pStyle w:val="Tabletext"/>
              <w:spacing w:before="120"/>
              <w:rPr>
                <w:b/>
                <w:bCs/>
                <w:lang w:val="fr-FR"/>
              </w:rPr>
            </w:pPr>
            <w:r w:rsidRPr="000229AD">
              <w:rPr>
                <w:b/>
                <w:bCs/>
                <w:lang w:val="fr-FR"/>
              </w:rPr>
              <w:t>Région de la CEI:</w:t>
            </w:r>
          </w:p>
          <w:p w14:paraId="7466E35D" w14:textId="77777777" w:rsidR="008F0090" w:rsidRPr="000229AD" w:rsidRDefault="008F0090" w:rsidP="00716C22">
            <w:pPr>
              <w:pStyle w:val="Tabletext"/>
              <w:spacing w:before="80" w:after="0"/>
              <w:ind w:left="284" w:hanging="284"/>
              <w:rPr>
                <w:rFonts w:eastAsia="Calibri" w:cs="Times New Roman"/>
                <w:lang w:val="fr-FR"/>
              </w:rPr>
            </w:pPr>
            <w:r w:rsidRPr="000229AD">
              <w:rPr>
                <w:lang w:val="fr-FR"/>
              </w:rPr>
              <w:t>–</w:t>
            </w:r>
            <w:r w:rsidRPr="000229AD">
              <w:rPr>
                <w:lang w:val="fr-FR"/>
              </w:rPr>
              <w:tab/>
            </w:r>
            <w:hyperlink r:id="rId95" w:history="1">
              <w:r w:rsidRPr="000229AD">
                <w:rPr>
                  <w:rStyle w:val="Hyperlink"/>
                  <w:b/>
                  <w:bCs/>
                  <w:lang w:val="fr-FR"/>
                </w:rPr>
                <w:t>RDF-CEI</w:t>
              </w:r>
            </w:hyperlink>
            <w:r w:rsidRPr="000229AD">
              <w:rPr>
                <w:lang w:val="fr-FR"/>
              </w:rPr>
              <w:t>: avancées obtenues en matière de développement numérique et mise en œuvre des initiatives régionales.</w:t>
            </w:r>
          </w:p>
          <w:p w14:paraId="2A2D608C" w14:textId="6DC115ED" w:rsidR="008F0090" w:rsidRPr="000229AD" w:rsidRDefault="008F0090" w:rsidP="00716C22">
            <w:pPr>
              <w:pStyle w:val="Tabletext"/>
              <w:spacing w:before="0" w:after="0"/>
              <w:ind w:left="284" w:hanging="284"/>
              <w:rPr>
                <w:lang w:val="fr-FR"/>
              </w:rPr>
            </w:pPr>
            <w:r w:rsidRPr="000229AD">
              <w:rPr>
                <w:lang w:val="fr-FR"/>
              </w:rPr>
              <w:lastRenderedPageBreak/>
              <w:t>–</w:t>
            </w:r>
            <w:r w:rsidRPr="000229AD">
              <w:rPr>
                <w:lang w:val="fr-FR"/>
              </w:rPr>
              <w:tab/>
              <w:t>Plus de 700 représentants du secteur public d</w:t>
            </w:r>
            <w:r w:rsidR="00125408" w:rsidRPr="000229AD">
              <w:rPr>
                <w:lang w:val="fr-FR"/>
              </w:rPr>
              <w:t>'</w:t>
            </w:r>
            <w:r w:rsidRPr="000229AD">
              <w:rPr>
                <w:lang w:val="fr-FR"/>
              </w:rPr>
              <w:t>Arménie</w:t>
            </w:r>
            <w:r w:rsidR="00B35C89" w:rsidRPr="000229AD">
              <w:rPr>
                <w:lang w:val="fr-FR"/>
              </w:rPr>
              <w:t xml:space="preserve">, </w:t>
            </w:r>
            <w:r w:rsidRPr="000229AD">
              <w:rPr>
                <w:lang w:val="fr-FR"/>
              </w:rPr>
              <w:t>du Tadjikistan</w:t>
            </w:r>
            <w:r w:rsidR="00B35C89" w:rsidRPr="000229AD">
              <w:rPr>
                <w:lang w:val="fr-FR"/>
              </w:rPr>
              <w:t xml:space="preserve"> et du </w:t>
            </w:r>
            <w:r w:rsidR="00B35C89" w:rsidRPr="000229AD">
              <w:rPr>
                <w:lang w:val="fr-FR"/>
              </w:rPr>
              <w:t xml:space="preserve">Turkménistan </w:t>
            </w:r>
            <w:r w:rsidR="00B35C89" w:rsidRPr="000229AD">
              <w:rPr>
                <w:lang w:val="fr-FR"/>
              </w:rPr>
              <w:t xml:space="preserve">ont </w:t>
            </w:r>
            <w:r w:rsidR="00B35C89" w:rsidRPr="000229AD">
              <w:rPr>
                <w:lang w:val="fr-FR"/>
              </w:rPr>
              <w:t>reçu une formation sur les technologies 5G et leur déploiement.</w:t>
            </w:r>
          </w:p>
          <w:p w14:paraId="29DD94C8" w14:textId="77777777" w:rsidR="008F0090" w:rsidRPr="000229AD" w:rsidRDefault="008F0090" w:rsidP="00716C22">
            <w:pPr>
              <w:pStyle w:val="Tabletext"/>
              <w:spacing w:before="120"/>
              <w:rPr>
                <w:lang w:val="fr-FR"/>
              </w:rPr>
            </w:pPr>
            <w:r w:rsidRPr="000229AD">
              <w:rPr>
                <w:b/>
                <w:bCs/>
                <w:lang w:val="fr-FR"/>
              </w:rPr>
              <w:t>États arabes:</w:t>
            </w:r>
          </w:p>
          <w:p w14:paraId="34A17FCB" w14:textId="6D1EE3B7" w:rsidR="008F0090" w:rsidRPr="000229AD" w:rsidRDefault="008F0090" w:rsidP="00716C22">
            <w:pPr>
              <w:pStyle w:val="Tabletext"/>
              <w:spacing w:before="80" w:after="0"/>
              <w:ind w:left="284" w:hanging="284"/>
              <w:rPr>
                <w:lang w:val="fr-FR"/>
              </w:rPr>
            </w:pPr>
            <w:r w:rsidRPr="000229AD">
              <w:rPr>
                <w:lang w:val="fr-FR"/>
              </w:rPr>
              <w:t>–</w:t>
            </w:r>
            <w:r w:rsidRPr="000229AD">
              <w:rPr>
                <w:lang w:val="fr-FR"/>
              </w:rPr>
              <w:tab/>
            </w:r>
            <w:hyperlink r:id="rId96" w:history="1">
              <w:r w:rsidRPr="000229AD">
                <w:rPr>
                  <w:rStyle w:val="Hyperlink"/>
                  <w:b/>
                  <w:bCs/>
                  <w:lang w:val="fr-FR"/>
                </w:rPr>
                <w:t>RDF-ARB</w:t>
              </w:r>
            </w:hyperlink>
            <w:r w:rsidRPr="000229AD">
              <w:rPr>
                <w:lang w:val="fr-FR"/>
              </w:rPr>
              <w:t>: Participation active de représentants de 19 États Membres et de l</w:t>
            </w:r>
            <w:r w:rsidR="00125408" w:rsidRPr="000229AD">
              <w:rPr>
                <w:lang w:val="fr-FR"/>
              </w:rPr>
              <w:t>'</w:t>
            </w:r>
            <w:r w:rsidRPr="000229AD">
              <w:rPr>
                <w:lang w:val="fr-FR"/>
              </w:rPr>
              <w:t>État de Palestine pour examiner la mise en œuvre des cinq initiatives régionales pour la région des États arabes ainsi que d</w:t>
            </w:r>
            <w:r w:rsidR="00125408" w:rsidRPr="000229AD">
              <w:rPr>
                <w:lang w:val="fr-FR"/>
              </w:rPr>
              <w:t>'</w:t>
            </w:r>
            <w:r w:rsidRPr="000229AD">
              <w:rPr>
                <w:lang w:val="fr-FR"/>
              </w:rPr>
              <w:t>autres activités relevant des cinq domaines thématiques prioritaires adoptés à la CMDT-22. Vingt-huit contributions écrites ont été soumises, dont de nouveaux engagements au titre de l</w:t>
            </w:r>
            <w:r w:rsidR="00125408" w:rsidRPr="000229AD">
              <w:rPr>
                <w:lang w:val="fr-FR"/>
              </w:rPr>
              <w:t>'</w:t>
            </w:r>
            <w:r w:rsidRPr="000229AD">
              <w:rPr>
                <w:lang w:val="fr-FR"/>
              </w:rPr>
              <w:t>initiative</w:t>
            </w:r>
            <w:r w:rsidR="00D10AE5" w:rsidRPr="000229AD">
              <w:rPr>
                <w:lang w:val="fr-FR"/>
              </w:rPr>
              <w:t xml:space="preserve"> </w:t>
            </w:r>
            <w:r w:rsidRPr="000229AD">
              <w:rPr>
                <w:lang w:val="fr-FR"/>
              </w:rPr>
              <w:t>Partner2Connect, pour parvenir à une connectivité efficace et à une transformation numérique durable dans la région.</w:t>
            </w:r>
          </w:p>
          <w:p w14:paraId="32B05EFF" w14:textId="38630714" w:rsidR="008F0090" w:rsidRPr="000229AD" w:rsidRDefault="008F0090" w:rsidP="00716C22">
            <w:pPr>
              <w:pStyle w:val="Tabletext"/>
              <w:keepNext/>
              <w:keepLines/>
              <w:spacing w:after="0"/>
              <w:ind w:left="284" w:hanging="284"/>
              <w:rPr>
                <w:lang w:val="fr-FR"/>
              </w:rPr>
            </w:pPr>
            <w:r w:rsidRPr="000229AD">
              <w:rPr>
                <w:lang w:val="fr-FR"/>
              </w:rPr>
              <w:lastRenderedPageBreak/>
              <w:t>–</w:t>
            </w:r>
            <w:r w:rsidRPr="000229AD">
              <w:rPr>
                <w:lang w:val="fr-FR"/>
              </w:rPr>
              <w:tab/>
              <w:t>Collaboration avec la</w:t>
            </w:r>
            <w:r w:rsidR="000D4D4A" w:rsidRPr="000229AD">
              <w:rPr>
                <w:lang w:val="fr-FR"/>
              </w:rPr>
              <w:t> </w:t>
            </w:r>
            <w:r w:rsidRPr="000229AD">
              <w:rPr>
                <w:lang w:val="fr-FR"/>
              </w:rPr>
              <w:t>CESAO et la Ligue des États arabes pour élaborer la stratégie régionale en matière de TIC.</w:t>
            </w:r>
          </w:p>
          <w:p w14:paraId="333924B8" w14:textId="77777777" w:rsidR="008F0090" w:rsidRPr="000229AD" w:rsidRDefault="008F0090" w:rsidP="00716C22">
            <w:pPr>
              <w:pStyle w:val="Tabletext"/>
              <w:keepNext/>
              <w:keepLines/>
              <w:spacing w:before="80" w:after="0"/>
              <w:ind w:left="284" w:hanging="284"/>
              <w:rPr>
                <w:lang w:val="fr-FR"/>
              </w:rPr>
            </w:pPr>
            <w:r w:rsidRPr="000229AD">
              <w:rPr>
                <w:lang w:val="fr-FR"/>
              </w:rPr>
              <w:t>–</w:t>
            </w:r>
            <w:r w:rsidRPr="000229AD">
              <w:rPr>
                <w:lang w:val="fr-FR"/>
              </w:rPr>
              <w:tab/>
              <w:t>Collaboration stratégique pour appuyer le développement de plusieurs plans-cadres de coopération dans la région.</w:t>
            </w:r>
          </w:p>
          <w:p w14:paraId="324276A5" w14:textId="77777777" w:rsidR="008F0090" w:rsidRPr="000229AD" w:rsidRDefault="008F0090" w:rsidP="00716C22">
            <w:pPr>
              <w:pStyle w:val="Tabletext"/>
              <w:keepNext/>
              <w:keepLines/>
              <w:spacing w:before="120"/>
              <w:rPr>
                <w:lang w:val="fr-FR"/>
              </w:rPr>
            </w:pPr>
            <w:r w:rsidRPr="000229AD">
              <w:rPr>
                <w:b/>
                <w:bCs/>
                <w:lang w:val="fr-FR"/>
              </w:rPr>
              <w:t>Asie-Pacifique:</w:t>
            </w:r>
          </w:p>
          <w:p w14:paraId="3ACE5C94" w14:textId="4D824741" w:rsidR="008F0090" w:rsidRPr="000229AD" w:rsidRDefault="008F0090" w:rsidP="00716C22">
            <w:pPr>
              <w:pStyle w:val="Tabletext"/>
              <w:keepNext/>
              <w:keepLines/>
              <w:spacing w:before="80" w:after="0"/>
              <w:ind w:left="284" w:hanging="284"/>
              <w:rPr>
                <w:lang w:val="fr-FR"/>
              </w:rPr>
            </w:pPr>
            <w:r w:rsidRPr="000229AD">
              <w:rPr>
                <w:lang w:val="fr-FR"/>
              </w:rPr>
              <w:t>–</w:t>
            </w:r>
            <w:r w:rsidRPr="000229AD">
              <w:rPr>
                <w:lang w:val="fr-FR"/>
              </w:rPr>
              <w:tab/>
            </w:r>
            <w:hyperlink r:id="rId97" w:history="1">
              <w:r w:rsidRPr="000229AD">
                <w:rPr>
                  <w:rStyle w:val="Hyperlink"/>
                  <w:b/>
                  <w:bCs/>
                  <w:lang w:val="fr-FR"/>
                </w:rPr>
                <w:t>RDF-ASP</w:t>
              </w:r>
            </w:hyperlink>
            <w:r w:rsidRPr="000229AD">
              <w:rPr>
                <w:lang w:val="fr-FR"/>
              </w:rPr>
              <w:t>: 11 nouveaux engagements au titre de l</w:t>
            </w:r>
            <w:r w:rsidR="00125408" w:rsidRPr="000229AD">
              <w:rPr>
                <w:lang w:val="fr-FR"/>
              </w:rPr>
              <w:t>'</w:t>
            </w:r>
            <w:r w:rsidRPr="000229AD">
              <w:rPr>
                <w:lang w:val="fr-FR"/>
              </w:rPr>
              <w:t>initiative Partner2Connect ont été annoncés, et plusieurs déclarations communes ont été signées lors du Forum.</w:t>
            </w:r>
          </w:p>
          <w:p w14:paraId="19C25BEE" w14:textId="6CF5D8FC" w:rsidR="008F0090" w:rsidRPr="000229AD" w:rsidRDefault="008F0090" w:rsidP="00716C22">
            <w:pPr>
              <w:pStyle w:val="Tabletext"/>
              <w:spacing w:before="80" w:after="0"/>
              <w:ind w:left="284" w:hanging="284"/>
              <w:rPr>
                <w:lang w:val="fr-FR"/>
              </w:rPr>
            </w:pPr>
            <w:r w:rsidRPr="000229AD">
              <w:rPr>
                <w:lang w:val="fr-FR"/>
              </w:rPr>
              <w:t>–</w:t>
            </w:r>
            <w:r w:rsidRPr="000229AD">
              <w:rPr>
                <w:lang w:val="fr-FR"/>
              </w:rPr>
              <w:tab/>
              <w:t>Signature de 8 accords d</w:t>
            </w:r>
            <w:r w:rsidR="00125408" w:rsidRPr="000229AD">
              <w:rPr>
                <w:lang w:val="fr-FR"/>
              </w:rPr>
              <w:t>'</w:t>
            </w:r>
            <w:r w:rsidRPr="000229AD">
              <w:rPr>
                <w:lang w:val="fr-FR"/>
              </w:rPr>
              <w:t>une valeur de plus de 3,1 millions USD pour l</w:t>
            </w:r>
            <w:r w:rsidR="00125408" w:rsidRPr="000229AD">
              <w:rPr>
                <w:lang w:val="fr-FR"/>
              </w:rPr>
              <w:t>'</w:t>
            </w:r>
            <w:r w:rsidRPr="000229AD">
              <w:rPr>
                <w:lang w:val="fr-FR"/>
              </w:rPr>
              <w:t>assistance technique, l</w:t>
            </w:r>
            <w:r w:rsidR="00125408" w:rsidRPr="000229AD">
              <w:rPr>
                <w:lang w:val="fr-FR"/>
              </w:rPr>
              <w:t>'</w:t>
            </w:r>
            <w:r w:rsidRPr="000229AD">
              <w:rPr>
                <w:lang w:val="fr-FR"/>
              </w:rPr>
              <w:t>analyse et le renforcement des capacités.</w:t>
            </w:r>
          </w:p>
          <w:p w14:paraId="504D7BD9" w14:textId="794AB33B" w:rsidR="008F0090" w:rsidRPr="000229AD" w:rsidRDefault="008F0090" w:rsidP="00716C22">
            <w:pPr>
              <w:pStyle w:val="Tabletext"/>
              <w:spacing w:before="80" w:after="0"/>
              <w:ind w:left="284" w:hanging="284"/>
              <w:rPr>
                <w:lang w:val="fr-FR"/>
              </w:rPr>
            </w:pPr>
            <w:r w:rsidRPr="000229AD">
              <w:rPr>
                <w:lang w:val="fr-FR"/>
              </w:rPr>
              <w:t>–</w:t>
            </w:r>
            <w:r w:rsidRPr="000229AD">
              <w:rPr>
                <w:lang w:val="fr-FR"/>
              </w:rPr>
              <w:tab/>
              <w:t>Amélioration de l</w:t>
            </w:r>
            <w:r w:rsidR="00125408" w:rsidRPr="000229AD">
              <w:rPr>
                <w:lang w:val="fr-FR"/>
              </w:rPr>
              <w:t>'</w:t>
            </w:r>
            <w:r w:rsidRPr="000229AD">
              <w:rPr>
                <w:lang w:val="fr-FR"/>
              </w:rPr>
              <w:t>expertise technique de 10 pays grâce à une formation au projet GovStack et à l</w:t>
            </w:r>
            <w:r w:rsidR="00125408" w:rsidRPr="000229AD">
              <w:rPr>
                <w:lang w:val="fr-FR"/>
              </w:rPr>
              <w:t>'</w:t>
            </w:r>
            <w:r w:rsidRPr="000229AD">
              <w:rPr>
                <w:lang w:val="fr-FR"/>
              </w:rPr>
              <w:t>approche faisant intervenir toutes les entités publiques.</w:t>
            </w:r>
          </w:p>
          <w:p w14:paraId="47950B20" w14:textId="5F1ABE9B" w:rsidR="008F0090" w:rsidRPr="000229AD" w:rsidRDefault="008F0090" w:rsidP="00716C22">
            <w:pPr>
              <w:pStyle w:val="Tabletext"/>
              <w:keepNext/>
              <w:keepLines/>
              <w:spacing w:after="0"/>
              <w:ind w:left="284" w:hanging="284"/>
              <w:rPr>
                <w:lang w:val="fr-FR"/>
              </w:rPr>
            </w:pPr>
            <w:r w:rsidRPr="000229AD">
              <w:rPr>
                <w:lang w:val="fr-FR"/>
              </w:rPr>
              <w:lastRenderedPageBreak/>
              <w:t>–</w:t>
            </w:r>
            <w:r w:rsidRPr="000229AD">
              <w:rPr>
                <w:lang w:val="fr-FR"/>
              </w:rPr>
              <w:tab/>
              <w:t>L</w:t>
            </w:r>
            <w:r w:rsidR="00125408" w:rsidRPr="000229AD">
              <w:rPr>
                <w:lang w:val="fr-FR"/>
              </w:rPr>
              <w:t>'</w:t>
            </w:r>
            <w:r w:rsidRPr="000229AD">
              <w:rPr>
                <w:lang w:val="fr-FR"/>
              </w:rPr>
              <w:t>UIT a obtenu des engagements formels en faveur de l</w:t>
            </w:r>
            <w:r w:rsidR="00125408" w:rsidRPr="000229AD">
              <w:rPr>
                <w:lang w:val="fr-FR"/>
              </w:rPr>
              <w:t>'</w:t>
            </w:r>
            <w:r w:rsidRPr="000229AD">
              <w:rPr>
                <w:lang w:val="fr-FR"/>
              </w:rPr>
              <w:t>accélération de la transformation numérique lors du premier Dialogue ministériel sur le numérique dans le secteur des TIC pour le Pacifique (la Déclaration de Lagatoi).</w:t>
            </w:r>
          </w:p>
          <w:p w14:paraId="3BD8958E" w14:textId="0310FFF1" w:rsidR="008F0090" w:rsidRPr="000229AD" w:rsidRDefault="008F0090" w:rsidP="00716C22">
            <w:pPr>
              <w:pStyle w:val="Tabletext"/>
              <w:keepNext/>
              <w:keepLines/>
              <w:spacing w:after="0"/>
              <w:ind w:left="284" w:hanging="284"/>
              <w:rPr>
                <w:lang w:val="fr-FR"/>
              </w:rPr>
            </w:pPr>
            <w:r w:rsidRPr="000229AD">
              <w:rPr>
                <w:lang w:val="fr-FR"/>
              </w:rPr>
              <w:t>–</w:t>
            </w:r>
            <w:r w:rsidRPr="000229AD">
              <w:rPr>
                <w:lang w:val="fr-FR"/>
              </w:rPr>
              <w:tab/>
              <w:t>Partenariat multi-parties prenantes visant à promouvoir les compétences numériques, la sécurité numérique, la culture numérique et l</w:t>
            </w:r>
            <w:r w:rsidR="00125408" w:rsidRPr="000229AD">
              <w:rPr>
                <w:lang w:val="fr-FR"/>
              </w:rPr>
              <w:t>'</w:t>
            </w:r>
            <w:r w:rsidRPr="000229AD">
              <w:rPr>
                <w:lang w:val="fr-FR"/>
              </w:rPr>
              <w:t>éthique numérique en Indonésie.</w:t>
            </w:r>
          </w:p>
          <w:p w14:paraId="7EEE34A2" w14:textId="2731BDC0" w:rsidR="008F0090" w:rsidRPr="000229AD" w:rsidRDefault="008F0090" w:rsidP="00716C22">
            <w:pPr>
              <w:pStyle w:val="Tabletext"/>
              <w:spacing w:before="80" w:after="0"/>
              <w:ind w:left="284" w:hanging="284"/>
              <w:rPr>
                <w:rFonts w:eastAsia="Calibri" w:cs="Times New Roman"/>
                <w:szCs w:val="20"/>
                <w:lang w:val="fr-FR"/>
              </w:rPr>
            </w:pPr>
            <w:r w:rsidRPr="000229AD">
              <w:rPr>
                <w:lang w:val="fr-FR"/>
              </w:rPr>
              <w:t>–</w:t>
            </w:r>
            <w:r w:rsidRPr="000229AD">
              <w:rPr>
                <w:lang w:val="fr-FR"/>
              </w:rPr>
              <w:tab/>
              <w:t>L</w:t>
            </w:r>
            <w:r w:rsidR="00125408" w:rsidRPr="000229AD">
              <w:rPr>
                <w:lang w:val="fr-FR"/>
              </w:rPr>
              <w:t>'</w:t>
            </w:r>
            <w:r w:rsidRPr="000229AD">
              <w:rPr>
                <w:lang w:val="fr-FR"/>
              </w:rPr>
              <w:t>UIT continue de mettre en œuvre des programmes communs dans la région: "Accélérer la réalisation des ODD grâce à la transformation numérique afin de renforcer la résilience des communautés en Micronésie" et "Promouvoir la réalisation des ODD en améliorant les moyens d</w:t>
            </w:r>
            <w:r w:rsidR="00125408" w:rsidRPr="000229AD">
              <w:rPr>
                <w:lang w:val="fr-FR"/>
              </w:rPr>
              <w:t>'</w:t>
            </w:r>
            <w:r w:rsidRPr="000229AD">
              <w:rPr>
                <w:lang w:val="fr-FR"/>
              </w:rPr>
              <w:t>existence et la résilience, grâce à la diversification économique et à la transformation numérique".</w:t>
            </w:r>
          </w:p>
          <w:p w14:paraId="13663912" w14:textId="77777777" w:rsidR="008F0090" w:rsidRPr="000229AD" w:rsidRDefault="008F0090" w:rsidP="00716C22">
            <w:pPr>
              <w:pStyle w:val="Tabletext"/>
              <w:rPr>
                <w:rFonts w:eastAsia="Calibri" w:cs="Times New Roman"/>
                <w:b/>
                <w:bCs/>
                <w:lang w:val="fr-FR"/>
              </w:rPr>
            </w:pPr>
            <w:r w:rsidRPr="000229AD">
              <w:rPr>
                <w:b/>
                <w:bCs/>
                <w:lang w:val="fr-FR"/>
              </w:rPr>
              <w:lastRenderedPageBreak/>
              <w:t>Région de la CEI:</w:t>
            </w:r>
          </w:p>
          <w:p w14:paraId="71BCCA29" w14:textId="354CDA6E" w:rsidR="008F0090" w:rsidRPr="000229AD" w:rsidRDefault="008F0090" w:rsidP="00716C22">
            <w:pPr>
              <w:pStyle w:val="Tabletext"/>
              <w:spacing w:before="80" w:after="0"/>
              <w:ind w:left="284" w:hanging="284"/>
              <w:rPr>
                <w:lang w:val="fr-FR"/>
              </w:rPr>
            </w:pPr>
            <w:r w:rsidRPr="000229AD">
              <w:rPr>
                <w:lang w:val="fr-FR"/>
              </w:rPr>
              <w:t>–</w:t>
            </w:r>
            <w:r w:rsidRPr="000229AD">
              <w:rPr>
                <w:lang w:val="fr-FR"/>
              </w:rPr>
              <w:tab/>
              <w:t>Plus de 120 étudiants d</w:t>
            </w:r>
            <w:r w:rsidR="00125408" w:rsidRPr="000229AD">
              <w:rPr>
                <w:lang w:val="fr-FR"/>
              </w:rPr>
              <w:t>'</w:t>
            </w:r>
            <w:r w:rsidRPr="000229AD">
              <w:rPr>
                <w:lang w:val="fr-FR"/>
              </w:rPr>
              <w:t>université ont été formés à la création et à l</w:t>
            </w:r>
            <w:r w:rsidR="00125408" w:rsidRPr="000229AD">
              <w:rPr>
                <w:lang w:val="fr-FR"/>
              </w:rPr>
              <w:t>'</w:t>
            </w:r>
            <w:r w:rsidRPr="000229AD">
              <w:rPr>
                <w:lang w:val="fr-FR"/>
              </w:rPr>
              <w:t>accélération de startups en Arménie, au Kazakhstan et en Russie.</w:t>
            </w:r>
          </w:p>
          <w:p w14:paraId="72A46C92" w14:textId="256AB8BE" w:rsidR="008F0090" w:rsidRPr="000229AD" w:rsidRDefault="008F0090" w:rsidP="00716C22">
            <w:pPr>
              <w:pStyle w:val="Tabletext"/>
              <w:keepNext/>
              <w:keepLines/>
              <w:spacing w:before="80" w:after="0"/>
              <w:ind w:left="284" w:hanging="284"/>
              <w:rPr>
                <w:lang w:val="fr-FR"/>
              </w:rPr>
            </w:pPr>
            <w:r w:rsidRPr="000229AD">
              <w:rPr>
                <w:lang w:val="fr-FR"/>
              </w:rPr>
              <w:t>–</w:t>
            </w:r>
            <w:r w:rsidRPr="000229AD">
              <w:rPr>
                <w:lang w:val="fr-FR"/>
              </w:rPr>
              <w:tab/>
              <w:t>Protection en ligne des enfants en Arménie: appui à la formation de plus de 340 enseignants, parents et écoliers, campagne touchant plus de 23 000 téléspectateurs, enquête auprès de 7 805 écoliers, débat sur la politique aboutissant à l</w:t>
            </w:r>
            <w:r w:rsidR="00125408" w:rsidRPr="000229AD">
              <w:rPr>
                <w:lang w:val="fr-FR"/>
              </w:rPr>
              <w:t>'</w:t>
            </w:r>
            <w:r w:rsidRPr="000229AD">
              <w:rPr>
                <w:lang w:val="fr-FR"/>
              </w:rPr>
              <w:t>élaboration d</w:t>
            </w:r>
            <w:r w:rsidR="00125408" w:rsidRPr="000229AD">
              <w:rPr>
                <w:lang w:val="fr-FR"/>
              </w:rPr>
              <w:t>'</w:t>
            </w:r>
            <w:r w:rsidRPr="000229AD">
              <w:rPr>
                <w:lang w:val="fr-FR"/>
              </w:rPr>
              <w:t>un plan national.</w:t>
            </w:r>
          </w:p>
          <w:p w14:paraId="28E6099D" w14:textId="6002F861" w:rsidR="008F0090" w:rsidRPr="000229AD" w:rsidRDefault="008F0090" w:rsidP="00716C22">
            <w:pPr>
              <w:pStyle w:val="Tabletext"/>
              <w:spacing w:before="80"/>
              <w:ind w:left="284" w:hanging="284"/>
              <w:rPr>
                <w:lang w:val="fr-FR"/>
              </w:rPr>
            </w:pPr>
            <w:r w:rsidRPr="000229AD">
              <w:rPr>
                <w:lang w:val="fr-FR"/>
              </w:rPr>
              <w:t>–</w:t>
            </w:r>
            <w:r w:rsidRPr="000229AD">
              <w:rPr>
                <w:lang w:val="fr-FR"/>
              </w:rPr>
              <w:tab/>
              <w:t>L</w:t>
            </w:r>
            <w:r w:rsidR="00125408" w:rsidRPr="000229AD">
              <w:rPr>
                <w:lang w:val="fr-FR"/>
              </w:rPr>
              <w:t>'</w:t>
            </w:r>
            <w:r w:rsidRPr="000229AD">
              <w:rPr>
                <w:lang w:val="fr-FR"/>
              </w:rPr>
              <w:t>UIT est membre des équipes de pays des Nations Unies au Bélarus, au Kazakhstan, au Kirghizistan, en Ouzbékistan et en Russie. Les projets d</w:t>
            </w:r>
            <w:r w:rsidR="00125408" w:rsidRPr="000229AD">
              <w:rPr>
                <w:lang w:val="fr-FR"/>
              </w:rPr>
              <w:t>'</w:t>
            </w:r>
            <w:r w:rsidRPr="000229AD">
              <w:rPr>
                <w:lang w:val="fr-FR"/>
              </w:rPr>
              <w:t>assistance technique et les activités de renforcement des capacités de l</w:t>
            </w:r>
            <w:r w:rsidR="00125408" w:rsidRPr="000229AD">
              <w:rPr>
                <w:lang w:val="fr-FR"/>
              </w:rPr>
              <w:t>'</w:t>
            </w:r>
            <w:r w:rsidRPr="000229AD">
              <w:rPr>
                <w:lang w:val="fr-FR"/>
              </w:rPr>
              <w:t>UIT sont enregistrés sur le portail de données des Nations Unies sur les ODD.</w:t>
            </w:r>
          </w:p>
          <w:p w14:paraId="1C0B8728" w14:textId="77777777" w:rsidR="008F0090" w:rsidRPr="000229AD" w:rsidRDefault="008F0090" w:rsidP="00716C22">
            <w:pPr>
              <w:pStyle w:val="Tabletext"/>
              <w:keepNext/>
              <w:keepLines/>
              <w:spacing w:before="80" w:after="0"/>
              <w:ind w:left="284" w:hanging="284"/>
              <w:rPr>
                <w:lang w:val="fr-FR"/>
              </w:rPr>
            </w:pPr>
            <w:r w:rsidRPr="000229AD">
              <w:rPr>
                <w:lang w:val="fr-FR"/>
              </w:rPr>
              <w:lastRenderedPageBreak/>
              <w:t>–</w:t>
            </w:r>
            <w:r w:rsidRPr="000229AD">
              <w:rPr>
                <w:lang w:val="fr-FR"/>
              </w:rPr>
              <w:tab/>
              <w:t>550 représentants de collectivités locales et régionales du Bélarus ont renforcé leurs compétences dans la mise en œuvre de solutions intelligentes pour les villes intelligentes.</w:t>
            </w:r>
          </w:p>
          <w:p w14:paraId="014CC913" w14:textId="77777777" w:rsidR="008F0090" w:rsidRPr="000229AD" w:rsidRDefault="008F0090" w:rsidP="00716C22">
            <w:pPr>
              <w:pStyle w:val="Tabletext"/>
              <w:keepNext/>
              <w:keepLines/>
              <w:spacing w:before="120"/>
              <w:rPr>
                <w:b/>
                <w:bCs/>
                <w:lang w:val="fr-FR"/>
              </w:rPr>
            </w:pPr>
            <w:r w:rsidRPr="000229AD">
              <w:rPr>
                <w:b/>
                <w:bCs/>
                <w:lang w:val="fr-FR"/>
              </w:rPr>
              <w:t>Europe:</w:t>
            </w:r>
          </w:p>
          <w:p w14:paraId="79CA9293" w14:textId="219A0EFF" w:rsidR="008F0090" w:rsidRPr="000229AD" w:rsidRDefault="008F0090" w:rsidP="00716C22">
            <w:pPr>
              <w:pStyle w:val="Tabletext"/>
              <w:keepNext/>
              <w:keepLines/>
              <w:tabs>
                <w:tab w:val="clear" w:pos="284"/>
              </w:tabs>
              <w:spacing w:before="80" w:after="0"/>
              <w:ind w:left="284" w:hanging="284"/>
              <w:rPr>
                <w:rFonts w:eastAsia="Calibri" w:cs="Times New Roman"/>
                <w:lang w:val="fr-FR"/>
              </w:rPr>
            </w:pPr>
            <w:r w:rsidRPr="000229AD">
              <w:rPr>
                <w:lang w:val="fr-FR"/>
              </w:rPr>
              <w:t>–</w:t>
            </w:r>
            <w:r w:rsidRPr="000229AD">
              <w:rPr>
                <w:lang w:val="fr-FR"/>
              </w:rPr>
              <w:tab/>
            </w:r>
            <w:hyperlink r:id="rId98" w:history="1">
              <w:r w:rsidRPr="000229AD">
                <w:rPr>
                  <w:rStyle w:val="Hyperlink"/>
                  <w:b/>
                  <w:bCs/>
                  <w:lang w:val="fr-FR"/>
                </w:rPr>
                <w:t>RDF-EU</w:t>
              </w:r>
              <w:r w:rsidRPr="000229AD">
                <w:rPr>
                  <w:rStyle w:val="Hyperlink"/>
                  <w:b/>
                  <w:bCs/>
                  <w:lang w:val="fr-FR"/>
                </w:rPr>
                <w:t>R</w:t>
              </w:r>
            </w:hyperlink>
            <w:r w:rsidRPr="000229AD">
              <w:rPr>
                <w:lang w:val="fr-FR"/>
              </w:rPr>
              <w:t>: annonce de 109 contributions converties en engagements au titre de l</w:t>
            </w:r>
            <w:r w:rsidR="00125408" w:rsidRPr="000229AD">
              <w:rPr>
                <w:lang w:val="fr-FR"/>
              </w:rPr>
              <w:t>'</w:t>
            </w:r>
            <w:r w:rsidRPr="000229AD">
              <w:rPr>
                <w:lang w:val="fr-FR"/>
              </w:rPr>
              <w:t>initiative Partner2Connect.</w:t>
            </w:r>
          </w:p>
          <w:p w14:paraId="6B6605D7" w14:textId="3B4C699D" w:rsidR="008F0090" w:rsidRPr="000229AD" w:rsidRDefault="008F0090" w:rsidP="00716C22">
            <w:pPr>
              <w:pStyle w:val="Tabletext"/>
              <w:spacing w:before="80" w:after="0"/>
              <w:ind w:left="284" w:hanging="284"/>
              <w:rPr>
                <w:rFonts w:eastAsia="Calibri" w:cs="Times New Roman"/>
                <w:lang w:val="fr-FR"/>
              </w:rPr>
            </w:pPr>
            <w:r w:rsidRPr="000229AD">
              <w:rPr>
                <w:lang w:val="fr-FR"/>
              </w:rPr>
              <w:t>–</w:t>
            </w:r>
            <w:r w:rsidRPr="000229AD">
              <w:rPr>
                <w:lang w:val="fr-FR"/>
              </w:rPr>
              <w:tab/>
              <w:t>Renforcement de la collaboration avec la CE, l</w:t>
            </w:r>
            <w:r w:rsidR="00125408" w:rsidRPr="000229AD">
              <w:rPr>
                <w:lang w:val="fr-FR"/>
              </w:rPr>
              <w:t>'</w:t>
            </w:r>
            <w:r w:rsidRPr="000229AD">
              <w:rPr>
                <w:lang w:val="fr-FR"/>
              </w:rPr>
              <w:t>ORECE, EaPeReg et</w:t>
            </w:r>
            <w:r w:rsidR="000D4D4A" w:rsidRPr="000229AD">
              <w:rPr>
                <w:lang w:val="fr-FR"/>
              </w:rPr>
              <w:t> </w:t>
            </w:r>
            <w:r w:rsidRPr="000229AD">
              <w:rPr>
                <w:lang w:val="fr-FR"/>
              </w:rPr>
              <w:t>EMERG.</w:t>
            </w:r>
          </w:p>
          <w:p w14:paraId="43FAF8D3" w14:textId="2F7C2378" w:rsidR="008F0090" w:rsidRPr="000229AD" w:rsidRDefault="008F0090" w:rsidP="00716C22">
            <w:pPr>
              <w:pStyle w:val="Tabletext"/>
              <w:spacing w:before="80" w:after="0"/>
              <w:ind w:left="284" w:hanging="284"/>
              <w:rPr>
                <w:rFonts w:eastAsia="Calibri" w:cs="Times New Roman"/>
                <w:lang w:val="fr-FR"/>
              </w:rPr>
            </w:pPr>
            <w:r w:rsidRPr="000229AD">
              <w:rPr>
                <w:lang w:val="fr-FR"/>
              </w:rPr>
              <w:t>–</w:t>
            </w:r>
            <w:r w:rsidRPr="000229AD">
              <w:rPr>
                <w:lang w:val="fr-FR"/>
              </w:rPr>
              <w:tab/>
              <w:t>Fourniture d</w:t>
            </w:r>
            <w:r w:rsidR="00125408" w:rsidRPr="000229AD">
              <w:rPr>
                <w:lang w:val="fr-FR"/>
              </w:rPr>
              <w:t>'</w:t>
            </w:r>
            <w:r w:rsidRPr="000229AD">
              <w:rPr>
                <w:lang w:val="fr-FR"/>
              </w:rPr>
              <w:t>une assistance technique à 9 pays.</w:t>
            </w:r>
          </w:p>
          <w:p w14:paraId="0E2889E7" w14:textId="73FE0247" w:rsidR="008F0090" w:rsidRPr="000229AD" w:rsidRDefault="008F0090" w:rsidP="00716C22">
            <w:pPr>
              <w:pStyle w:val="Tabletext"/>
              <w:spacing w:before="80" w:after="0"/>
              <w:ind w:left="284" w:hanging="284"/>
              <w:rPr>
                <w:rFonts w:eastAsia="Calibri" w:cs="Times New Roman"/>
                <w:lang w:val="fr-FR"/>
              </w:rPr>
            </w:pPr>
            <w:r w:rsidRPr="000229AD">
              <w:rPr>
                <w:lang w:val="fr-FR"/>
              </w:rPr>
              <w:t>–</w:t>
            </w:r>
            <w:r w:rsidRPr="000229AD">
              <w:rPr>
                <w:lang w:val="fr-FR"/>
              </w:rPr>
              <w:tab/>
              <w:t>Fourniture d</w:t>
            </w:r>
            <w:r w:rsidR="00125408" w:rsidRPr="000229AD">
              <w:rPr>
                <w:lang w:val="fr-FR"/>
              </w:rPr>
              <w:t>'</w:t>
            </w:r>
            <w:r w:rsidRPr="000229AD">
              <w:rPr>
                <w:lang w:val="fr-FR"/>
              </w:rPr>
              <w:t>une assistance spéciale à l</w:t>
            </w:r>
            <w:r w:rsidR="00125408" w:rsidRPr="000229AD">
              <w:rPr>
                <w:lang w:val="fr-FR"/>
              </w:rPr>
              <w:t>'</w:t>
            </w:r>
            <w:r w:rsidRPr="000229AD">
              <w:rPr>
                <w:lang w:val="fr-FR"/>
              </w:rPr>
              <w:t>Ukraine en application de la Résolution 1408 du Conseil de l</w:t>
            </w:r>
            <w:r w:rsidR="00125408" w:rsidRPr="000229AD">
              <w:rPr>
                <w:lang w:val="fr-FR"/>
              </w:rPr>
              <w:t>'</w:t>
            </w:r>
            <w:r w:rsidRPr="000229AD">
              <w:rPr>
                <w:lang w:val="fr-FR"/>
              </w:rPr>
              <w:t>UIT.</w:t>
            </w:r>
          </w:p>
          <w:p w14:paraId="443F0ED3" w14:textId="2E9E633C" w:rsidR="008F0090" w:rsidRPr="000229AD" w:rsidRDefault="008F0090" w:rsidP="00716C22">
            <w:pPr>
              <w:pStyle w:val="Tabletext"/>
              <w:spacing w:before="80" w:after="0"/>
              <w:ind w:left="284" w:hanging="284"/>
              <w:rPr>
                <w:rFonts w:eastAsia="Calibri" w:cs="Times New Roman"/>
                <w:lang w:val="fr-FR"/>
              </w:rPr>
            </w:pPr>
            <w:r w:rsidRPr="000229AD">
              <w:rPr>
                <w:lang w:val="fr-FR"/>
              </w:rPr>
              <w:t>–</w:t>
            </w:r>
            <w:r w:rsidRPr="000229AD">
              <w:rPr>
                <w:lang w:val="fr-FR"/>
              </w:rPr>
              <w:tab/>
              <w:t>Coprésidence du Groupe des Nations Unies sur la transformation numérique pour l</w:t>
            </w:r>
            <w:r w:rsidR="00125408" w:rsidRPr="000229AD">
              <w:rPr>
                <w:lang w:val="fr-FR"/>
              </w:rPr>
              <w:t>'</w:t>
            </w:r>
            <w:r w:rsidRPr="000229AD">
              <w:rPr>
                <w:lang w:val="fr-FR"/>
              </w:rPr>
              <w:t>Europe et l</w:t>
            </w:r>
            <w:r w:rsidR="00125408" w:rsidRPr="000229AD">
              <w:rPr>
                <w:lang w:val="fr-FR"/>
              </w:rPr>
              <w:t>'</w:t>
            </w:r>
            <w:r w:rsidRPr="000229AD">
              <w:rPr>
                <w:lang w:val="fr-FR"/>
              </w:rPr>
              <w:t>Asie centrale, coprésidence du Groupe spécial des Nations</w:t>
            </w:r>
            <w:r w:rsidR="000D4D4A" w:rsidRPr="000229AD">
              <w:rPr>
                <w:lang w:val="fr-FR"/>
              </w:rPr>
              <w:t> </w:t>
            </w:r>
            <w:r w:rsidRPr="000229AD">
              <w:rPr>
                <w:lang w:val="fr-FR"/>
              </w:rPr>
              <w:t xml:space="preserve">Unies sur le passage au numérique au </w:t>
            </w:r>
            <w:r w:rsidRPr="000229AD">
              <w:rPr>
                <w:lang w:val="fr-FR"/>
              </w:rPr>
              <w:lastRenderedPageBreak/>
              <w:t>service du développement durable à Bruxelles et coprésidence des équipes spéciales sur le passage au numérique relevant des équipes de pays des Nations Unies.</w:t>
            </w:r>
          </w:p>
          <w:p w14:paraId="42289F6D" w14:textId="3A160F9A" w:rsidR="008F0090" w:rsidRPr="000229AD" w:rsidRDefault="008F0090" w:rsidP="00716C22">
            <w:pPr>
              <w:pStyle w:val="Tabletext"/>
              <w:keepNext/>
              <w:keepLines/>
              <w:spacing w:before="80" w:after="0"/>
              <w:ind w:left="284" w:hanging="284"/>
              <w:rPr>
                <w:rFonts w:eastAsia="Calibri" w:cs="Times New Roman"/>
                <w:lang w:val="fr-FR"/>
              </w:rPr>
            </w:pPr>
            <w:r w:rsidRPr="000229AD">
              <w:rPr>
                <w:lang w:val="fr-FR"/>
              </w:rPr>
              <w:t>–</w:t>
            </w:r>
            <w:r w:rsidRPr="000229AD">
              <w:rPr>
                <w:lang w:val="fr-FR"/>
              </w:rPr>
              <w:tab/>
              <w:t>"Europe accessible – Les TIC pour TOUS": 400</w:t>
            </w:r>
            <w:r w:rsidR="00445CDA" w:rsidRPr="000229AD">
              <w:rPr>
                <w:lang w:val="fr-FR"/>
              </w:rPr>
              <w:t> </w:t>
            </w:r>
            <w:r w:rsidRPr="000229AD">
              <w:rPr>
                <w:lang w:val="fr-FR"/>
              </w:rPr>
              <w:t>parties prenantes de</w:t>
            </w:r>
            <w:r w:rsidR="00445CDA" w:rsidRPr="000229AD">
              <w:rPr>
                <w:lang w:val="fr-FR"/>
              </w:rPr>
              <w:t> </w:t>
            </w:r>
            <w:r w:rsidRPr="000229AD">
              <w:rPr>
                <w:lang w:val="fr-FR"/>
              </w:rPr>
              <w:t>50 pays.</w:t>
            </w:r>
          </w:p>
        </w:tc>
      </w:tr>
      <w:tr w:rsidR="008F0090" w:rsidRPr="000229AD" w14:paraId="2D8376F6" w14:textId="77777777" w:rsidTr="00716C22">
        <w:tc>
          <w:tcPr>
            <w:tcW w:w="2972" w:type="dxa"/>
          </w:tcPr>
          <w:p w14:paraId="590AEF18" w14:textId="77777777" w:rsidR="008F0090" w:rsidRPr="000229AD" w:rsidRDefault="008F0090" w:rsidP="00716C22">
            <w:pPr>
              <w:pStyle w:val="Tabletext"/>
              <w:rPr>
                <w:rFonts w:ascii="Avenir Next LT Pro" w:hAnsi="Avenir Next LT Pro" w:cs="Calibri"/>
                <w:b/>
                <w:bCs/>
                <w:i/>
                <w:iCs/>
                <w:color w:val="000000"/>
                <w:lang w:val="fr-FR"/>
              </w:rPr>
            </w:pPr>
            <w:r w:rsidRPr="000229AD">
              <w:rPr>
                <w:b/>
                <w:bCs/>
                <w:lang w:val="fr-FR"/>
              </w:rPr>
              <w:lastRenderedPageBreak/>
              <w:t>Contribution à la réalisation des cibles des ODD</w:t>
            </w:r>
          </w:p>
        </w:tc>
        <w:tc>
          <w:tcPr>
            <w:tcW w:w="11878" w:type="dxa"/>
            <w:gridSpan w:val="2"/>
          </w:tcPr>
          <w:p w14:paraId="138341E4" w14:textId="77777777" w:rsidR="008F0090" w:rsidRPr="000229AD" w:rsidRDefault="008F0090" w:rsidP="00716C22">
            <w:pPr>
              <w:pStyle w:val="Tabletext"/>
              <w:rPr>
                <w:lang w:val="fr-FR"/>
              </w:rPr>
            </w:pPr>
            <w:r w:rsidRPr="000229AD">
              <w:rPr>
                <w:lang w:val="fr-FR"/>
              </w:rPr>
              <w:t>1, 3, 4, 5, 8, 9, 10, 11, 16, 17</w:t>
            </w:r>
          </w:p>
        </w:tc>
      </w:tr>
      <w:tr w:rsidR="008F0090" w:rsidRPr="000229AD" w14:paraId="7C13685C" w14:textId="77777777" w:rsidTr="00716C22">
        <w:tc>
          <w:tcPr>
            <w:tcW w:w="2972" w:type="dxa"/>
          </w:tcPr>
          <w:p w14:paraId="27777883" w14:textId="77777777" w:rsidR="008F0090" w:rsidRPr="000229AD" w:rsidRDefault="008F0090" w:rsidP="00716C22">
            <w:pPr>
              <w:pStyle w:val="Tabletext"/>
              <w:rPr>
                <w:b/>
                <w:bCs/>
                <w:lang w:val="fr-FR"/>
              </w:rPr>
            </w:pPr>
            <w:r w:rsidRPr="000229AD">
              <w:rPr>
                <w:b/>
                <w:bCs/>
                <w:lang w:val="fr-FR"/>
              </w:rPr>
              <w:t>Grandes orientations du SMSI</w:t>
            </w:r>
          </w:p>
        </w:tc>
        <w:tc>
          <w:tcPr>
            <w:tcW w:w="11878" w:type="dxa"/>
            <w:gridSpan w:val="2"/>
          </w:tcPr>
          <w:p w14:paraId="2D56F576" w14:textId="77777777" w:rsidR="008F0090" w:rsidRPr="000229AD" w:rsidRDefault="008F0090" w:rsidP="00716C22">
            <w:pPr>
              <w:pStyle w:val="Tabletext"/>
              <w:rPr>
                <w:lang w:val="fr-FR"/>
              </w:rPr>
            </w:pPr>
            <w:r w:rsidRPr="000229AD">
              <w:rPr>
                <w:lang w:val="fr-FR"/>
              </w:rPr>
              <w:t>C1, C2, C3, C4, C5, C6, C7, C11</w:t>
            </w:r>
          </w:p>
        </w:tc>
      </w:tr>
      <w:tr w:rsidR="008F0090" w:rsidRPr="000229AD" w14:paraId="46AEC9C6" w14:textId="77777777" w:rsidTr="00716C22">
        <w:tc>
          <w:tcPr>
            <w:tcW w:w="2972" w:type="dxa"/>
          </w:tcPr>
          <w:p w14:paraId="0F978FFB" w14:textId="131014C4" w:rsidR="008F0090" w:rsidRPr="000229AD" w:rsidRDefault="008F0090" w:rsidP="00716C22">
            <w:pPr>
              <w:pStyle w:val="Tabletext"/>
              <w:rPr>
                <w:b/>
                <w:bCs/>
                <w:lang w:val="fr-FR"/>
              </w:rPr>
            </w:pPr>
            <w:r w:rsidRPr="000229AD">
              <w:rPr>
                <w:b/>
                <w:bCs/>
                <w:lang w:val="fr-FR"/>
              </w:rPr>
              <w:t>Résolution</w:t>
            </w:r>
            <w:r w:rsidR="00445CDA" w:rsidRPr="000229AD">
              <w:rPr>
                <w:b/>
                <w:bCs/>
                <w:lang w:val="fr-FR"/>
              </w:rPr>
              <w:t>s</w:t>
            </w:r>
          </w:p>
        </w:tc>
        <w:tc>
          <w:tcPr>
            <w:tcW w:w="11878" w:type="dxa"/>
            <w:gridSpan w:val="2"/>
          </w:tcPr>
          <w:p w14:paraId="447B3BB8" w14:textId="77777777" w:rsidR="008F0090" w:rsidRPr="000229AD" w:rsidRDefault="008F0090" w:rsidP="00716C22">
            <w:pPr>
              <w:pStyle w:val="Tabletext"/>
              <w:rPr>
                <w:lang w:val="fr-FR"/>
              </w:rPr>
            </w:pPr>
            <w:r w:rsidRPr="000229AD">
              <w:rPr>
                <w:lang w:val="fr-FR"/>
              </w:rPr>
              <w:t>16 de la CMDT</w:t>
            </w:r>
          </w:p>
        </w:tc>
      </w:tr>
    </w:tbl>
    <w:p w14:paraId="02CC5C96" w14:textId="5A44B767" w:rsidR="00E07F09" w:rsidRPr="000229AD" w:rsidRDefault="00E07F09" w:rsidP="00716C22">
      <w:pPr>
        <w:rPr>
          <w:lang w:val="fr-FR"/>
        </w:rPr>
      </w:pPr>
      <w:r w:rsidRPr="000229AD">
        <w:rPr>
          <w:lang w:val="fr-FR"/>
        </w:rPr>
        <w:br w:type="page"/>
      </w:r>
    </w:p>
    <w:tbl>
      <w:tblPr>
        <w:tblStyle w:val="TableGrid9"/>
        <w:tblW w:w="14867" w:type="dxa"/>
        <w:tblLayout w:type="fixed"/>
        <w:tblLook w:val="04A0" w:firstRow="1" w:lastRow="0" w:firstColumn="1" w:lastColumn="0" w:noHBand="0" w:noVBand="1"/>
      </w:tblPr>
      <w:tblGrid>
        <w:gridCol w:w="2972"/>
        <w:gridCol w:w="9045"/>
        <w:gridCol w:w="2850"/>
      </w:tblGrid>
      <w:tr w:rsidR="00E07F09" w:rsidRPr="000229AD" w14:paraId="3FA1D18E" w14:textId="77777777" w:rsidTr="00E30F20">
        <w:tc>
          <w:tcPr>
            <w:tcW w:w="14867" w:type="dxa"/>
            <w:gridSpan w:val="3"/>
            <w:tcBorders>
              <w:top w:val="dotted" w:sz="4" w:space="0" w:color="0070C0"/>
              <w:left w:val="dotted" w:sz="4" w:space="0" w:color="0070C0"/>
              <w:bottom w:val="dotted" w:sz="4" w:space="0" w:color="0070C0"/>
              <w:right w:val="dotted" w:sz="4" w:space="0" w:color="0070C0"/>
            </w:tcBorders>
            <w:shd w:val="clear" w:color="auto" w:fill="365F91" w:themeFill="accent1" w:themeFillShade="BF"/>
          </w:tcPr>
          <w:p w14:paraId="4DF3CA9C" w14:textId="11B9DAD8" w:rsidR="00E07F09" w:rsidRPr="000229AD" w:rsidRDefault="00E07F09" w:rsidP="00716C22">
            <w:pPr>
              <w:pStyle w:val="Tablehead"/>
              <w:keepNext w:val="0"/>
              <w:rPr>
                <w:color w:val="FFFFFF" w:themeColor="background1"/>
                <w:lang w:val="fr-FR"/>
              </w:rPr>
            </w:pPr>
            <w:r w:rsidRPr="000229AD">
              <w:rPr>
                <w:color w:val="FFFFFF" w:themeColor="background1"/>
                <w:lang w:val="fr-FR"/>
              </w:rPr>
              <w:lastRenderedPageBreak/>
              <w:t>Catalyseur 3 de l</w:t>
            </w:r>
            <w:r w:rsidR="00125408" w:rsidRPr="000229AD">
              <w:rPr>
                <w:color w:val="FFFFFF" w:themeColor="background1"/>
                <w:lang w:val="fr-FR"/>
              </w:rPr>
              <w:t>'</w:t>
            </w:r>
            <w:r w:rsidRPr="000229AD">
              <w:rPr>
                <w:color w:val="FFFFFF" w:themeColor="background1"/>
                <w:lang w:val="fr-FR"/>
              </w:rPr>
              <w:t>UIT-D: Diversité et inclusion</w:t>
            </w:r>
          </w:p>
          <w:p w14:paraId="1CB0A475" w14:textId="73CBD760" w:rsidR="00E07F09" w:rsidRPr="000229AD" w:rsidRDefault="00E07F09" w:rsidP="00716C22">
            <w:pPr>
              <w:pStyle w:val="Tablehead"/>
              <w:keepNext w:val="0"/>
              <w:rPr>
                <w:i/>
                <w:iCs/>
                <w:lang w:val="fr-FR"/>
              </w:rPr>
            </w:pPr>
            <w:r w:rsidRPr="000229AD">
              <w:rPr>
                <w:i/>
                <w:iCs/>
                <w:color w:val="FFFFFF" w:themeColor="background1"/>
                <w:lang w:val="fr-FR"/>
              </w:rPr>
              <w:t>Élaborer des stratégies et des solutions en matière d</w:t>
            </w:r>
            <w:r w:rsidR="00125408" w:rsidRPr="000229AD">
              <w:rPr>
                <w:i/>
                <w:iCs/>
                <w:color w:val="FFFFFF" w:themeColor="background1"/>
                <w:lang w:val="fr-FR"/>
              </w:rPr>
              <w:t>'</w:t>
            </w:r>
            <w:r w:rsidRPr="000229AD">
              <w:rPr>
                <w:i/>
                <w:iCs/>
                <w:color w:val="FFFFFF" w:themeColor="background1"/>
                <w:lang w:val="fr-FR"/>
              </w:rPr>
              <w:t>inclusion numérique.</w:t>
            </w:r>
          </w:p>
        </w:tc>
      </w:tr>
      <w:tr w:rsidR="00E07F09" w:rsidRPr="000229AD" w14:paraId="6178D7A6" w14:textId="77777777" w:rsidTr="00E30F20">
        <w:tc>
          <w:tcPr>
            <w:tcW w:w="14867" w:type="dxa"/>
            <w:gridSpan w:val="3"/>
            <w:tcBorders>
              <w:top w:val="dotted" w:sz="4" w:space="0" w:color="0070C0"/>
              <w:left w:val="dotted" w:sz="4" w:space="0" w:color="0070C0"/>
              <w:bottom w:val="dotted" w:sz="4" w:space="0" w:color="0070C0"/>
              <w:right w:val="dotted" w:sz="4" w:space="0" w:color="0070C0"/>
            </w:tcBorders>
            <w:shd w:val="clear" w:color="auto" w:fill="E5DFEC" w:themeFill="accent4" w:themeFillTint="33"/>
          </w:tcPr>
          <w:p w14:paraId="3DF0FF24" w14:textId="1ED32615" w:rsidR="00E07F09" w:rsidRPr="000229AD" w:rsidRDefault="00E07F09" w:rsidP="00716C22">
            <w:pPr>
              <w:pStyle w:val="Tabletext"/>
              <w:spacing w:before="120"/>
              <w:rPr>
                <w:i/>
                <w:iCs/>
                <w:lang w:val="fr-FR"/>
              </w:rPr>
            </w:pPr>
            <w:r w:rsidRPr="000229AD">
              <w:rPr>
                <w:b/>
                <w:i/>
                <w:iCs/>
                <w:lang w:val="fr-FR"/>
              </w:rPr>
              <w:t>Réalisation</w:t>
            </w:r>
            <w:r w:rsidRPr="000229AD">
              <w:rPr>
                <w:bCs/>
                <w:i/>
                <w:iCs/>
                <w:lang w:val="fr-FR"/>
              </w:rPr>
              <w:t>:</w:t>
            </w:r>
            <w:r w:rsidRPr="000229AD">
              <w:rPr>
                <w:i/>
                <w:iCs/>
                <w:lang w:val="fr-FR"/>
              </w:rPr>
              <w:t xml:space="preserve"> renforcement de la capacité des membres de l</w:t>
            </w:r>
            <w:r w:rsidR="00125408" w:rsidRPr="000229AD">
              <w:rPr>
                <w:i/>
                <w:iCs/>
                <w:lang w:val="fr-FR"/>
              </w:rPr>
              <w:t>'</w:t>
            </w:r>
            <w:r w:rsidRPr="000229AD">
              <w:rPr>
                <w:i/>
                <w:iCs/>
                <w:lang w:val="fr-FR"/>
              </w:rPr>
              <w:t>UIT d</w:t>
            </w:r>
            <w:r w:rsidR="00125408" w:rsidRPr="000229AD">
              <w:rPr>
                <w:i/>
                <w:iCs/>
                <w:lang w:val="fr-FR"/>
              </w:rPr>
              <w:t>'</w:t>
            </w:r>
            <w:r w:rsidRPr="000229AD">
              <w:rPr>
                <w:i/>
                <w:iCs/>
                <w:lang w:val="fr-FR"/>
              </w:rPr>
              <w:t>élaborer des stratégies, des politiques et des pratiques en faveur de l</w:t>
            </w:r>
            <w:r w:rsidR="00125408" w:rsidRPr="000229AD">
              <w:rPr>
                <w:i/>
                <w:iCs/>
                <w:lang w:val="fr-FR"/>
              </w:rPr>
              <w:t>'</w:t>
            </w:r>
            <w:r w:rsidRPr="000229AD">
              <w:rPr>
                <w:i/>
                <w:iCs/>
                <w:lang w:val="fr-FR"/>
              </w:rPr>
              <w:t>inclusion et de l</w:t>
            </w:r>
            <w:r w:rsidR="00125408" w:rsidRPr="000229AD">
              <w:rPr>
                <w:i/>
                <w:iCs/>
                <w:lang w:val="fr-FR"/>
              </w:rPr>
              <w:t>'</w:t>
            </w:r>
            <w:r w:rsidRPr="000229AD">
              <w:rPr>
                <w:i/>
                <w:iCs/>
                <w:lang w:val="fr-FR"/>
              </w:rPr>
              <w:t>équité numériques, en particulier pour l</w:t>
            </w:r>
            <w:r w:rsidR="00125408" w:rsidRPr="000229AD">
              <w:rPr>
                <w:i/>
                <w:iCs/>
                <w:lang w:val="fr-FR"/>
              </w:rPr>
              <w:t>'</w:t>
            </w:r>
            <w:r w:rsidRPr="000229AD">
              <w:rPr>
                <w:i/>
                <w:iCs/>
                <w:lang w:val="fr-FR"/>
              </w:rPr>
              <w:t>autonomisation des femmes et des jeunes filles, des personnes handicapées, des personnes ayant des besoins particuliers ainsi que des ménages à faible revenu.</w:t>
            </w:r>
          </w:p>
        </w:tc>
      </w:tr>
      <w:tr w:rsidR="00E07F09" w:rsidRPr="000229AD" w14:paraId="22E3516A" w14:textId="77777777" w:rsidTr="00E30F20">
        <w:tc>
          <w:tcPr>
            <w:tcW w:w="12017" w:type="dxa"/>
            <w:gridSpan w:val="2"/>
            <w:tcBorders>
              <w:top w:val="dotted" w:sz="4" w:space="0" w:color="0070C0"/>
              <w:left w:val="dotted" w:sz="4" w:space="0" w:color="0070C0"/>
              <w:bottom w:val="dotted" w:sz="4" w:space="0" w:color="0070C0"/>
              <w:right w:val="dotted" w:sz="4" w:space="0" w:color="0070C0"/>
            </w:tcBorders>
          </w:tcPr>
          <w:p w14:paraId="73F5F7C2" w14:textId="77777777" w:rsidR="00E07F09" w:rsidRPr="000229AD" w:rsidRDefault="00E07F09" w:rsidP="00716C22">
            <w:pPr>
              <w:pStyle w:val="Tabletext"/>
              <w:jc w:val="center"/>
              <w:rPr>
                <w:b/>
                <w:bCs/>
                <w:lang w:val="fr-FR"/>
              </w:rPr>
            </w:pPr>
            <w:r w:rsidRPr="000229AD">
              <w:rPr>
                <w:b/>
                <w:bCs/>
                <w:lang w:val="fr-FR"/>
              </w:rPr>
              <w:t>Produits</w:t>
            </w:r>
          </w:p>
        </w:tc>
        <w:tc>
          <w:tcPr>
            <w:tcW w:w="2850" w:type="dxa"/>
            <w:tcBorders>
              <w:top w:val="dotted" w:sz="4" w:space="0" w:color="0070C0"/>
              <w:left w:val="dotted" w:sz="4" w:space="0" w:color="0070C0"/>
              <w:bottom w:val="dotted" w:sz="4" w:space="0" w:color="0070C0"/>
              <w:right w:val="dotted" w:sz="4" w:space="0" w:color="0070C0"/>
            </w:tcBorders>
          </w:tcPr>
          <w:p w14:paraId="3E2EC25D" w14:textId="77777777" w:rsidR="00E07F09" w:rsidRPr="000229AD" w:rsidRDefault="00E07F09" w:rsidP="00716C22">
            <w:pPr>
              <w:pStyle w:val="Tabletext"/>
              <w:jc w:val="center"/>
              <w:rPr>
                <w:b/>
                <w:bCs/>
                <w:lang w:val="fr-FR"/>
              </w:rPr>
            </w:pPr>
            <w:r w:rsidRPr="000229AD">
              <w:rPr>
                <w:b/>
                <w:bCs/>
                <w:lang w:val="fr-FR"/>
              </w:rPr>
              <w:t>Points clés</w:t>
            </w:r>
          </w:p>
        </w:tc>
      </w:tr>
      <w:tr w:rsidR="00C24D14" w:rsidRPr="000229AD" w14:paraId="3E31D9FA" w14:textId="77777777" w:rsidTr="00E30F20">
        <w:tc>
          <w:tcPr>
            <w:tcW w:w="12017" w:type="dxa"/>
            <w:gridSpan w:val="2"/>
            <w:tcBorders>
              <w:top w:val="dotted" w:sz="4" w:space="0" w:color="0070C0"/>
              <w:left w:val="dotted" w:sz="4" w:space="0" w:color="0070C0"/>
              <w:bottom w:val="dotted" w:sz="4" w:space="0" w:color="0070C0"/>
              <w:right w:val="dotted" w:sz="4" w:space="0" w:color="0070C0"/>
            </w:tcBorders>
          </w:tcPr>
          <w:p w14:paraId="06D21973" w14:textId="1C24E8D7" w:rsidR="00C24D14" w:rsidRPr="000229AD" w:rsidRDefault="00C24D14" w:rsidP="00716C22">
            <w:pPr>
              <w:pStyle w:val="Tabletext"/>
              <w:spacing w:before="120" w:after="120"/>
              <w:rPr>
                <w:lang w:val="fr-FR"/>
              </w:rPr>
            </w:pPr>
            <w:r w:rsidRPr="000229AD">
              <w:rPr>
                <w:lang w:val="fr-FR"/>
              </w:rPr>
              <w:t xml:space="preserve">Sur le plan stratégique, la </w:t>
            </w:r>
            <w:r w:rsidRPr="000229AD">
              <w:rPr>
                <w:b/>
                <w:bCs/>
                <w:lang w:val="fr-FR"/>
              </w:rPr>
              <w:t>capacité des États Membres et des décideurs à concevoir et à mettre en œuvre des politiques et des stratégies d</w:t>
            </w:r>
            <w:r w:rsidR="00125408" w:rsidRPr="000229AD">
              <w:rPr>
                <w:b/>
                <w:bCs/>
                <w:lang w:val="fr-FR"/>
              </w:rPr>
              <w:t>'</w:t>
            </w:r>
            <w:r w:rsidRPr="000229AD">
              <w:rPr>
                <w:b/>
                <w:bCs/>
                <w:lang w:val="fr-FR"/>
              </w:rPr>
              <w:t>inclusion numérique a été renforcée</w:t>
            </w:r>
            <w:r w:rsidRPr="000229AD">
              <w:rPr>
                <w:lang w:val="fr-FR"/>
              </w:rPr>
              <w:t>. Des ateliers sur l</w:t>
            </w:r>
            <w:r w:rsidR="00125408" w:rsidRPr="000229AD">
              <w:rPr>
                <w:lang w:val="fr-FR"/>
              </w:rPr>
              <w:t>'</w:t>
            </w:r>
            <w:r w:rsidRPr="000229AD">
              <w:rPr>
                <w:lang w:val="fr-FR"/>
              </w:rPr>
              <w:t>intégration du principe de l</w:t>
            </w:r>
            <w:r w:rsidR="00125408" w:rsidRPr="000229AD">
              <w:rPr>
                <w:lang w:val="fr-FR"/>
              </w:rPr>
              <w:t>'</w:t>
            </w:r>
            <w:r w:rsidRPr="000229AD">
              <w:rPr>
                <w:lang w:val="fr-FR"/>
              </w:rPr>
              <w:t>égalité hommes-femmes dans les politiques numériques ont été organisés, au profit de 28 pays et 370 décideurs. En avril 2024, une formation à suivre à son rythme a été lancée sur l</w:t>
            </w:r>
            <w:r w:rsidR="00125408" w:rsidRPr="000229AD">
              <w:rPr>
                <w:lang w:val="fr-FR"/>
              </w:rPr>
              <w:t>'</w:t>
            </w:r>
            <w:r w:rsidRPr="000229AD">
              <w:rPr>
                <w:lang w:val="fr-FR"/>
              </w:rPr>
              <w:t>Académie de l</w:t>
            </w:r>
            <w:r w:rsidR="00125408" w:rsidRPr="000229AD">
              <w:rPr>
                <w:lang w:val="fr-FR"/>
              </w:rPr>
              <w:t>'</w:t>
            </w:r>
            <w:r w:rsidRPr="000229AD">
              <w:rPr>
                <w:lang w:val="fr-FR"/>
              </w:rPr>
              <w:t>UIT, ainsi qu</w:t>
            </w:r>
            <w:r w:rsidR="00125408" w:rsidRPr="000229AD">
              <w:rPr>
                <w:lang w:val="fr-FR"/>
              </w:rPr>
              <w:t>'</w:t>
            </w:r>
            <w:r w:rsidRPr="000229AD">
              <w:rPr>
                <w:lang w:val="fr-FR"/>
              </w:rPr>
              <w:t>un microsite.</w:t>
            </w:r>
          </w:p>
          <w:p w14:paraId="4526FF75" w14:textId="3387D1FD" w:rsidR="00C24D14" w:rsidRPr="000229AD" w:rsidRDefault="00C24D14" w:rsidP="00716C22">
            <w:pPr>
              <w:pStyle w:val="Tabletext"/>
              <w:spacing w:after="120"/>
              <w:rPr>
                <w:lang w:val="fr-FR"/>
              </w:rPr>
            </w:pPr>
            <w:r w:rsidRPr="000229AD">
              <w:rPr>
                <w:lang w:val="fr-FR"/>
              </w:rPr>
              <w:t xml:space="preserve">La </w:t>
            </w:r>
            <w:r w:rsidRPr="000229AD">
              <w:rPr>
                <w:b/>
                <w:bCs/>
                <w:lang w:val="fr-FR"/>
              </w:rPr>
              <w:t>Journée internationale des jeunes filles dans le secteur des TIC</w:t>
            </w:r>
            <w:r w:rsidRPr="000229AD">
              <w:rPr>
                <w:lang w:val="fr-FR"/>
              </w:rPr>
              <w:t xml:space="preserve"> a été célébrée dans le monde entier jusqu</w:t>
            </w:r>
            <w:r w:rsidR="00125408" w:rsidRPr="000229AD">
              <w:rPr>
                <w:lang w:val="fr-FR"/>
              </w:rPr>
              <w:t>'</w:t>
            </w:r>
            <w:r w:rsidRPr="000229AD">
              <w:rPr>
                <w:lang w:val="fr-FR"/>
              </w:rPr>
              <w:t>en novembre 2023 dans les îles du Pacifique. Cette année, les Philippines ont accueilli la célébration internationale du 25 avril sur le thème du "Leadership", et un atelier sur les jeunes filles dans le secteur des TIC a été organisé à Genève pendant les réunions des Groupes du Rapporteur de la Commission d</w:t>
            </w:r>
            <w:r w:rsidR="00125408" w:rsidRPr="000229AD">
              <w:rPr>
                <w:lang w:val="fr-FR"/>
              </w:rPr>
              <w:t>'</w:t>
            </w:r>
            <w:r w:rsidRPr="000229AD">
              <w:rPr>
                <w:lang w:val="fr-FR"/>
              </w:rPr>
              <w:t>études 1 de l</w:t>
            </w:r>
            <w:r w:rsidR="00125408" w:rsidRPr="000229AD">
              <w:rPr>
                <w:lang w:val="fr-FR"/>
              </w:rPr>
              <w:t>'</w:t>
            </w:r>
            <w:r w:rsidRPr="000229AD">
              <w:rPr>
                <w:lang w:val="fr-FR"/>
              </w:rPr>
              <w:t>UIT-D du 15 au 26 avril 2024. Des manifestations régionales et nationales ont également été organisées à travers le monde. En 2024, le Réseau des femmes à l</w:t>
            </w:r>
            <w:r w:rsidR="00125408" w:rsidRPr="000229AD">
              <w:rPr>
                <w:lang w:val="fr-FR"/>
              </w:rPr>
              <w:t>'</w:t>
            </w:r>
            <w:r w:rsidRPr="000229AD">
              <w:rPr>
                <w:lang w:val="fr-FR"/>
              </w:rPr>
              <w:t>UIT-D continuera de se réunir et de débattre sur les questions de genre afin de réduire la fracture numérique entre les hommes et les femmes, principalement lors du GCDT-24 et du GSR-24.</w:t>
            </w:r>
          </w:p>
          <w:p w14:paraId="04230B91" w14:textId="68013637" w:rsidR="00C24D14" w:rsidRPr="000229AD" w:rsidRDefault="00C24D14" w:rsidP="00716C22">
            <w:pPr>
              <w:pStyle w:val="Tabletext"/>
              <w:spacing w:after="120"/>
              <w:rPr>
                <w:rFonts w:ascii="Calibri" w:eastAsia="Calibri" w:hAnsi="Calibri" w:cs="Calibri"/>
                <w:lang w:val="fr-FR"/>
              </w:rPr>
            </w:pPr>
            <w:r w:rsidRPr="000229AD">
              <w:rPr>
                <w:lang w:val="fr-FR"/>
              </w:rPr>
              <w:t xml:space="preserve">Le BDT a contribué à </w:t>
            </w:r>
            <w:r w:rsidRPr="000229AD">
              <w:rPr>
                <w:b/>
                <w:bCs/>
                <w:lang w:val="fr-FR"/>
              </w:rPr>
              <w:t>renforcer les capacités des utilisateurs finals et des particuliers en organisant des séances de formation sur l</w:t>
            </w:r>
            <w:r w:rsidR="00125408" w:rsidRPr="000229AD">
              <w:rPr>
                <w:b/>
                <w:bCs/>
                <w:lang w:val="fr-FR"/>
              </w:rPr>
              <w:t>'</w:t>
            </w:r>
            <w:r w:rsidRPr="000229AD">
              <w:rPr>
                <w:b/>
                <w:bCs/>
                <w:lang w:val="fr-FR"/>
              </w:rPr>
              <w:t>inclusion numérique dans les domaines de l</w:t>
            </w:r>
            <w:r w:rsidR="00125408" w:rsidRPr="000229AD">
              <w:rPr>
                <w:b/>
                <w:bCs/>
                <w:lang w:val="fr-FR"/>
              </w:rPr>
              <w:t>'</w:t>
            </w:r>
            <w:r w:rsidRPr="000229AD">
              <w:rPr>
                <w:b/>
                <w:bCs/>
                <w:lang w:val="fr-FR"/>
              </w:rPr>
              <w:t>égalité hommes-femmes, de la protection en ligne des enfants, de l</w:t>
            </w:r>
            <w:r w:rsidR="00125408" w:rsidRPr="000229AD">
              <w:rPr>
                <w:b/>
                <w:bCs/>
                <w:lang w:val="fr-FR"/>
              </w:rPr>
              <w:t>'</w:t>
            </w:r>
            <w:r w:rsidRPr="000229AD">
              <w:rPr>
                <w:b/>
                <w:bCs/>
                <w:lang w:val="fr-FR"/>
              </w:rPr>
              <w:t>accessibilité des TIC/du numérique, des personnes âgées, des communautés isolées et autochtones</w:t>
            </w:r>
            <w:r w:rsidRPr="000229AD">
              <w:rPr>
                <w:lang w:val="fr-FR"/>
              </w:rPr>
              <w:t>. Au total, 13 formations ont été élaborées à travers l</w:t>
            </w:r>
            <w:r w:rsidR="00125408" w:rsidRPr="000229AD">
              <w:rPr>
                <w:lang w:val="fr-FR"/>
              </w:rPr>
              <w:t>'</w:t>
            </w:r>
            <w:r w:rsidRPr="000229AD">
              <w:rPr>
                <w:lang w:val="fr-FR"/>
              </w:rPr>
              <w:t>Académie de l</w:t>
            </w:r>
            <w:r w:rsidR="00125408" w:rsidRPr="000229AD">
              <w:rPr>
                <w:lang w:val="fr-FR"/>
              </w:rPr>
              <w:t>'</w:t>
            </w:r>
            <w:r w:rsidRPr="000229AD">
              <w:rPr>
                <w:lang w:val="fr-FR"/>
              </w:rPr>
              <w:t>UIT, et 11 ateliers et séances de mentorat ont été organisés dans le cadre de l</w:t>
            </w:r>
            <w:r w:rsidR="00125408" w:rsidRPr="000229AD">
              <w:rPr>
                <w:lang w:val="fr-FR"/>
              </w:rPr>
              <w:t>'</w:t>
            </w:r>
            <w:r w:rsidRPr="000229AD">
              <w:rPr>
                <w:lang w:val="fr-FR"/>
              </w:rPr>
              <w:t>initiative EQUALS HerDigitalSkills et ont bénéficié à 664 filles et jeunes femmes. Publié en mars 2024, le Cadre d</w:t>
            </w:r>
            <w:r w:rsidR="00125408" w:rsidRPr="000229AD">
              <w:rPr>
                <w:lang w:val="fr-FR"/>
              </w:rPr>
              <w:t>'</w:t>
            </w:r>
            <w:r w:rsidRPr="000229AD">
              <w:rPr>
                <w:lang w:val="fr-FR"/>
              </w:rPr>
              <w:t>éducation aux compétences numériques d</w:t>
            </w:r>
            <w:r w:rsidR="00125408" w:rsidRPr="000229AD">
              <w:rPr>
                <w:lang w:val="fr-FR"/>
              </w:rPr>
              <w:t>'</w:t>
            </w:r>
            <w:r w:rsidRPr="000229AD">
              <w:rPr>
                <w:lang w:val="fr-FR"/>
              </w:rPr>
              <w:t>EQUALS vise à faire évoluer les relations hommes-femmes en luttant contre les normes et stéréotypes de genre dans la formation aux compétences numériques. En outre, une formation à suivre à son rythme a été élaborée dans le cadre de l</w:t>
            </w:r>
            <w:r w:rsidR="00125408" w:rsidRPr="000229AD">
              <w:rPr>
                <w:lang w:val="fr-FR"/>
              </w:rPr>
              <w:t>'</w:t>
            </w:r>
            <w:r w:rsidRPr="000229AD">
              <w:rPr>
                <w:lang w:val="fr-FR"/>
              </w:rPr>
              <w:t>initiative "African Girls Can Code". Mise à disposition sur la plate-forme de l</w:t>
            </w:r>
            <w:r w:rsidR="00125408" w:rsidRPr="000229AD">
              <w:rPr>
                <w:lang w:val="fr-FR"/>
              </w:rPr>
              <w:t>'</w:t>
            </w:r>
            <w:r w:rsidRPr="000229AD">
              <w:rPr>
                <w:lang w:val="fr-FR"/>
              </w:rPr>
              <w:t>Académie de l</w:t>
            </w:r>
            <w:r w:rsidR="00125408" w:rsidRPr="000229AD">
              <w:rPr>
                <w:lang w:val="fr-FR"/>
              </w:rPr>
              <w:t>'</w:t>
            </w:r>
            <w:r w:rsidRPr="000229AD">
              <w:rPr>
                <w:lang w:val="fr-FR"/>
              </w:rPr>
              <w:t>UIT, elle comprend 14 modules sur les compétences générales et les compétences techniques. En outre, des formations ont été dispensées à des formateurs dans 11 pays (</w:t>
            </w:r>
            <w:r w:rsidRPr="000229AD">
              <w:rPr>
                <w:b/>
                <w:bCs/>
                <w:lang w:val="fr-FR"/>
              </w:rPr>
              <w:t>Afrique du Sud, Burundi, Kenya, Mali, Mozambique, Niger, Ouganda, Rwanda, Sénégal, République démocratique du Congo et Tanzanie</w:t>
            </w:r>
            <w:r w:rsidRPr="000229AD">
              <w:rPr>
                <w:lang w:val="fr-FR"/>
              </w:rPr>
              <w:t>) afin de sensibiliser ces deniers au contenu de la formation disponible et de les doter des compétences nécessaires pour animer les camps de codage nationaux.</w:t>
            </w:r>
          </w:p>
          <w:p w14:paraId="4F7F67E8" w14:textId="03FE1F0A" w:rsidR="00C24D14" w:rsidRPr="000229AD" w:rsidRDefault="00C24D14" w:rsidP="00716C22">
            <w:pPr>
              <w:pStyle w:val="Tabletext"/>
              <w:keepNext/>
              <w:keepLines/>
              <w:spacing w:after="120"/>
              <w:rPr>
                <w:rFonts w:ascii="Calibri" w:eastAsia="Calibri" w:hAnsi="Calibri" w:cs="Calibri"/>
                <w:lang w:val="fr-FR"/>
              </w:rPr>
            </w:pPr>
            <w:r w:rsidRPr="000229AD">
              <w:rPr>
                <w:lang w:val="fr-FR"/>
              </w:rPr>
              <w:lastRenderedPageBreak/>
              <w:t>Deux groupes de travail du Conseil sur la protection en ligne des enfants ont été convoqués et ont réuni plus de 300 participants. Dans le cadre du Programme mondial pour la protection en ligne des enfants, les pays ont bénéficié d</w:t>
            </w:r>
            <w:r w:rsidR="00125408" w:rsidRPr="000229AD">
              <w:rPr>
                <w:lang w:val="fr-FR"/>
              </w:rPr>
              <w:t>'</w:t>
            </w:r>
            <w:r w:rsidRPr="000229AD">
              <w:rPr>
                <w:lang w:val="fr-FR"/>
              </w:rPr>
              <w:t>un renforcement des capacités sous la forme de formations à suivre en personne et en ligne à son rythme. Ces formations sont disponibles sur le site Web de l</w:t>
            </w:r>
            <w:r w:rsidR="00125408" w:rsidRPr="000229AD">
              <w:rPr>
                <w:lang w:val="fr-FR"/>
              </w:rPr>
              <w:t>'</w:t>
            </w:r>
            <w:r w:rsidRPr="000229AD">
              <w:rPr>
                <w:lang w:val="fr-FR"/>
              </w:rPr>
              <w:t>UIT consacré à la protection en ligne des enfants et sur la plate-forme de l</w:t>
            </w:r>
            <w:r w:rsidR="00125408" w:rsidRPr="000229AD">
              <w:rPr>
                <w:lang w:val="fr-FR"/>
              </w:rPr>
              <w:t>'</w:t>
            </w:r>
            <w:r w:rsidRPr="000229AD">
              <w:rPr>
                <w:lang w:val="fr-FR"/>
              </w:rPr>
              <w:t>Académie de l</w:t>
            </w:r>
            <w:r w:rsidR="00125408" w:rsidRPr="000229AD">
              <w:rPr>
                <w:lang w:val="fr-FR"/>
              </w:rPr>
              <w:t>'</w:t>
            </w:r>
            <w:r w:rsidRPr="000229AD">
              <w:rPr>
                <w:lang w:val="fr-FR"/>
              </w:rPr>
              <w:t>UIT. En outre, dans le cadre de l</w:t>
            </w:r>
            <w:r w:rsidR="00125408" w:rsidRPr="000229AD">
              <w:rPr>
                <w:lang w:val="fr-FR"/>
              </w:rPr>
              <w:t>'</w:t>
            </w:r>
            <w:r w:rsidRPr="000229AD">
              <w:rPr>
                <w:lang w:val="fr-FR"/>
              </w:rPr>
              <w:t>initiative pour la protection en ligne des enfants, le BDT a lancé un jeu et une application pour les enfants.</w:t>
            </w:r>
          </w:p>
          <w:p w14:paraId="65C20BE4" w14:textId="36B449B5" w:rsidR="00C24D14" w:rsidRPr="000229AD" w:rsidRDefault="00C24D14" w:rsidP="00716C22">
            <w:pPr>
              <w:pStyle w:val="Tabletext"/>
              <w:spacing w:after="120"/>
              <w:rPr>
                <w:lang w:val="fr-FR"/>
              </w:rPr>
            </w:pPr>
            <w:r w:rsidRPr="000229AD">
              <w:rPr>
                <w:lang w:val="fr-FR"/>
              </w:rPr>
              <w:t>Une réunion mondiale des partenaires de la collaboration de recherche sur la protection par la participation en ligne (POP) s</w:t>
            </w:r>
            <w:r w:rsidR="00125408" w:rsidRPr="000229AD">
              <w:rPr>
                <w:lang w:val="fr-FR"/>
              </w:rPr>
              <w:t>'</w:t>
            </w:r>
            <w:r w:rsidRPr="000229AD">
              <w:rPr>
                <w:lang w:val="fr-FR"/>
              </w:rPr>
              <w:t>est tenue à Madrid (Espagne). Codirigée par le Bureau de la Représentante spéciale du Secrétaire général chargée de la question de la violence contre les enfants, la réunion a réuni des parties prenantes de divers secteurs, y compris des acteurs clés du secteur des</w:t>
            </w:r>
            <w:r w:rsidR="00E30F20" w:rsidRPr="000229AD">
              <w:rPr>
                <w:lang w:val="fr-FR"/>
              </w:rPr>
              <w:t> </w:t>
            </w:r>
            <w:r w:rsidRPr="000229AD">
              <w:rPr>
                <w:lang w:val="fr-FR"/>
              </w:rPr>
              <w:t>TIC. Les premiers résultats de la recherche devraient être publiés cette année. Comme déjà indiqué, en 2024, la célébration de la "Journée internationale des jeunes filles dans le secteur des TIC" a été organisée par les Philippines sur le thème du "Leadership". L</w:t>
            </w:r>
            <w:r w:rsidR="00125408" w:rsidRPr="000229AD">
              <w:rPr>
                <w:lang w:val="fr-FR"/>
              </w:rPr>
              <w:t>'</w:t>
            </w:r>
            <w:r w:rsidRPr="000229AD">
              <w:rPr>
                <w:lang w:val="fr-FR"/>
              </w:rPr>
              <w:t>événement a été très suivi.</w:t>
            </w:r>
          </w:p>
          <w:p w14:paraId="604F1726" w14:textId="33F7732B" w:rsidR="00C24D14" w:rsidRPr="000229AD" w:rsidRDefault="00C24D14" w:rsidP="00716C22">
            <w:pPr>
              <w:pStyle w:val="Tabletext"/>
              <w:spacing w:after="120"/>
              <w:rPr>
                <w:lang w:val="fr-FR"/>
              </w:rPr>
            </w:pPr>
            <w:r w:rsidRPr="000229AD">
              <w:rPr>
                <w:b/>
                <w:lang w:val="fr-FR"/>
              </w:rPr>
              <w:t>Dans la région Asie-Pacifique</w:t>
            </w:r>
            <w:r w:rsidRPr="00716C22">
              <w:rPr>
                <w:bCs/>
                <w:lang w:val="fr-FR"/>
              </w:rPr>
              <w:t>,</w:t>
            </w:r>
            <w:r w:rsidRPr="000229AD">
              <w:rPr>
                <w:lang w:val="fr-FR"/>
              </w:rPr>
              <w:t xml:space="preserve"> la "Journée internationale des jeunes filles dans le secteur des TIC" a été célébrée dans l</w:t>
            </w:r>
            <w:r w:rsidR="00125408" w:rsidRPr="000229AD">
              <w:rPr>
                <w:lang w:val="fr-FR"/>
              </w:rPr>
              <w:t>'</w:t>
            </w:r>
            <w:r w:rsidRPr="000229AD">
              <w:rPr>
                <w:lang w:val="fr-FR"/>
              </w:rPr>
              <w:t>ensemble de la région tout au long de l</w:t>
            </w:r>
            <w:r w:rsidR="00125408" w:rsidRPr="000229AD">
              <w:rPr>
                <w:lang w:val="fr-FR"/>
              </w:rPr>
              <w:t>'</w:t>
            </w:r>
            <w:r w:rsidRPr="000229AD">
              <w:rPr>
                <w:lang w:val="fr-FR"/>
              </w:rPr>
              <w:t>année 2023. Des manifestations ont été organisées à cette occasion aux Fidji, en Indonésie, à Kiribati, en Micronésie, à Nauru, au Pakistan, aux Philippines, en Papouasie-Nouvelle-Guinée, au Samoa, en Thaïlande, au Timor-Leste, aux Tonga et dans les pays membres de l</w:t>
            </w:r>
            <w:r w:rsidR="00125408" w:rsidRPr="000229AD">
              <w:rPr>
                <w:lang w:val="fr-FR"/>
              </w:rPr>
              <w:t>'</w:t>
            </w:r>
            <w:r w:rsidRPr="000229AD">
              <w:rPr>
                <w:lang w:val="fr-FR"/>
              </w:rPr>
              <w:t>ASEAN. Ces manifestations ont favorisé la création d</w:t>
            </w:r>
            <w:r w:rsidR="00125408" w:rsidRPr="000229AD">
              <w:rPr>
                <w:lang w:val="fr-FR"/>
              </w:rPr>
              <w:t>'</w:t>
            </w:r>
            <w:r w:rsidRPr="000229AD">
              <w:rPr>
                <w:lang w:val="fr-FR"/>
              </w:rPr>
              <w:t>un solide réseau qui a permis de donner plus de moyens d</w:t>
            </w:r>
            <w:r w:rsidR="00125408" w:rsidRPr="000229AD">
              <w:rPr>
                <w:lang w:val="fr-FR"/>
              </w:rPr>
              <w:t>'</w:t>
            </w:r>
            <w:r w:rsidRPr="000229AD">
              <w:rPr>
                <w:lang w:val="fr-FR"/>
              </w:rPr>
              <w:t>action aux femmes grâce à l</w:t>
            </w:r>
            <w:r w:rsidR="00125408" w:rsidRPr="000229AD">
              <w:rPr>
                <w:lang w:val="fr-FR"/>
              </w:rPr>
              <w:t>'</w:t>
            </w:r>
            <w:r w:rsidRPr="000229AD">
              <w:rPr>
                <w:lang w:val="fr-FR"/>
              </w:rPr>
              <w:t>échange de connaissances et à la promotion des TIC. Cela s</w:t>
            </w:r>
            <w:r w:rsidR="00125408" w:rsidRPr="000229AD">
              <w:rPr>
                <w:lang w:val="fr-FR"/>
              </w:rPr>
              <w:t>'</w:t>
            </w:r>
            <w:r w:rsidRPr="000229AD">
              <w:rPr>
                <w:lang w:val="fr-FR"/>
              </w:rPr>
              <w:t>est traduit par un intérêt accru pour l</w:t>
            </w:r>
            <w:r w:rsidR="00125408" w:rsidRPr="000229AD">
              <w:rPr>
                <w:lang w:val="fr-FR"/>
              </w:rPr>
              <w:t>'</w:t>
            </w:r>
            <w:r w:rsidRPr="000229AD">
              <w:rPr>
                <w:lang w:val="fr-FR"/>
              </w:rPr>
              <w:t>initiative de la part d</w:t>
            </w:r>
            <w:r w:rsidR="00125408" w:rsidRPr="000229AD">
              <w:rPr>
                <w:lang w:val="fr-FR"/>
              </w:rPr>
              <w:t>'</w:t>
            </w:r>
            <w:r w:rsidRPr="000229AD">
              <w:rPr>
                <w:lang w:val="fr-FR"/>
              </w:rPr>
              <w:t>autres pays et parties prenantes, démontrant ainsi son envergure croissante et le potentiel de futurs partenariats. Des concertations avec des partenaires clés, dont le Bureau de la Commission nationale de la radiodiffusion et des télécommunications de Thaïlande et le Ministère australien de l</w:t>
            </w:r>
            <w:r w:rsidR="00125408" w:rsidRPr="000229AD">
              <w:rPr>
                <w:lang w:val="fr-FR"/>
              </w:rPr>
              <w:t>'</w:t>
            </w:r>
            <w:r w:rsidRPr="000229AD">
              <w:rPr>
                <w:lang w:val="fr-FR"/>
              </w:rPr>
              <w:t>infrastructure, des transports, du développement régional, des communications et des arts, ont également ouvert de nouvelles pistes de financement, assurant ainsi à l</w:t>
            </w:r>
            <w:r w:rsidR="00125408" w:rsidRPr="000229AD">
              <w:rPr>
                <w:lang w:val="fr-FR"/>
              </w:rPr>
              <w:t>'</w:t>
            </w:r>
            <w:r w:rsidRPr="000229AD">
              <w:rPr>
                <w:lang w:val="fr-FR"/>
              </w:rPr>
              <w:t>initiative des effets durables et l</w:t>
            </w:r>
            <w:r w:rsidR="00125408" w:rsidRPr="000229AD">
              <w:rPr>
                <w:lang w:val="fr-FR"/>
              </w:rPr>
              <w:t>'</w:t>
            </w:r>
            <w:r w:rsidRPr="000229AD">
              <w:rPr>
                <w:lang w:val="fr-FR"/>
              </w:rPr>
              <w:t xml:space="preserve">extension de cette dernière en 2024 et au-delà. Cette collaboration a non seulement envoyé </w:t>
            </w:r>
            <w:r w:rsidRPr="000229AD">
              <w:rPr>
                <w:b/>
                <w:bCs/>
                <w:lang w:val="fr-FR"/>
              </w:rPr>
              <w:t>un signal fort auprès des personnes travaillant activement à l</w:t>
            </w:r>
            <w:r w:rsidR="00125408" w:rsidRPr="000229AD">
              <w:rPr>
                <w:b/>
                <w:bCs/>
                <w:lang w:val="fr-FR"/>
              </w:rPr>
              <w:t>'</w:t>
            </w:r>
            <w:r w:rsidRPr="000229AD">
              <w:rPr>
                <w:b/>
                <w:bCs/>
                <w:lang w:val="fr-FR"/>
              </w:rPr>
              <w:t>intégration des jeunes filles dans le secteur des TIC dans la région, mais a également jeté des bases solides pour accroître l</w:t>
            </w:r>
            <w:r w:rsidR="00125408" w:rsidRPr="000229AD">
              <w:rPr>
                <w:b/>
                <w:bCs/>
                <w:lang w:val="fr-FR"/>
              </w:rPr>
              <w:t>'</w:t>
            </w:r>
            <w:r w:rsidRPr="000229AD">
              <w:rPr>
                <w:b/>
                <w:bCs/>
                <w:lang w:val="fr-FR"/>
              </w:rPr>
              <w:t>engagement et l</w:t>
            </w:r>
            <w:r w:rsidR="00125408" w:rsidRPr="000229AD">
              <w:rPr>
                <w:b/>
                <w:bCs/>
                <w:lang w:val="fr-FR"/>
              </w:rPr>
              <w:t>'</w:t>
            </w:r>
            <w:r w:rsidRPr="000229AD">
              <w:rPr>
                <w:b/>
                <w:bCs/>
                <w:lang w:val="fr-FR"/>
              </w:rPr>
              <w:t>appui dans le domaine dans les années à venir</w:t>
            </w:r>
            <w:r w:rsidRPr="000229AD">
              <w:rPr>
                <w:lang w:val="fr-FR"/>
              </w:rPr>
              <w:t>.</w:t>
            </w:r>
          </w:p>
          <w:p w14:paraId="2B26AC60" w14:textId="56BDD125" w:rsidR="00C24D14" w:rsidRPr="000229AD" w:rsidRDefault="00C24D14" w:rsidP="00716C22">
            <w:pPr>
              <w:pStyle w:val="Tabletext"/>
              <w:spacing w:before="120" w:after="120"/>
              <w:rPr>
                <w:lang w:val="fr-FR"/>
              </w:rPr>
            </w:pPr>
            <w:r w:rsidRPr="000229AD">
              <w:rPr>
                <w:lang w:val="fr-FR"/>
              </w:rPr>
              <w:t>Grâce à des partenariats établis avec des autorités, des organismes des Nations Unies, l</w:t>
            </w:r>
            <w:r w:rsidR="00125408" w:rsidRPr="000229AD">
              <w:rPr>
                <w:lang w:val="fr-FR"/>
              </w:rPr>
              <w:t>'</w:t>
            </w:r>
            <w:r w:rsidRPr="000229AD">
              <w:rPr>
                <w:lang w:val="fr-FR"/>
              </w:rPr>
              <w:t>Association des télécommunications des îles du Pacifique et le Conseil des télécommunications du Pacifique, plus de 1 000 filles et jeunes femmes de Fidji, de Kiribati, de Micronésie, de Nauru et des Tonga ont renforcé leurs connaissances et leurs compétences par l</w:t>
            </w:r>
            <w:r w:rsidR="00125408" w:rsidRPr="000229AD">
              <w:rPr>
                <w:lang w:val="fr-FR"/>
              </w:rPr>
              <w:t>'</w:t>
            </w:r>
            <w:r w:rsidRPr="000229AD">
              <w:rPr>
                <w:lang w:val="fr-FR"/>
              </w:rPr>
              <w:t>intermédiaire de diverses formations à la cybersécurité (sécurité en ligne et escroquerie en ligne), au codage, aux technologies émergentes, aux télécommunications, au l</w:t>
            </w:r>
            <w:r w:rsidR="00125408" w:rsidRPr="000229AD">
              <w:rPr>
                <w:lang w:val="fr-FR"/>
              </w:rPr>
              <w:t>'</w:t>
            </w:r>
            <w:r w:rsidRPr="000229AD">
              <w:rPr>
                <w:lang w:val="fr-FR"/>
              </w:rPr>
              <w:t>exercice de l</w:t>
            </w:r>
            <w:r w:rsidR="00125408" w:rsidRPr="000229AD">
              <w:rPr>
                <w:lang w:val="fr-FR"/>
              </w:rPr>
              <w:t>'</w:t>
            </w:r>
            <w:r w:rsidRPr="000229AD">
              <w:rPr>
                <w:lang w:val="fr-FR"/>
              </w:rPr>
              <w:t xml:space="preserve">autorité, au développement de carrière et aux outils financiers numériques. Ces programmes ont </w:t>
            </w:r>
            <w:r w:rsidRPr="000229AD">
              <w:rPr>
                <w:b/>
                <w:bCs/>
                <w:lang w:val="fr-FR"/>
              </w:rPr>
              <w:t>renforcé les partenariats et la collaboration pour l</w:t>
            </w:r>
            <w:r w:rsidR="00125408" w:rsidRPr="000229AD">
              <w:rPr>
                <w:b/>
                <w:bCs/>
                <w:lang w:val="fr-FR"/>
              </w:rPr>
              <w:t>'</w:t>
            </w:r>
            <w:r w:rsidRPr="000229AD">
              <w:rPr>
                <w:b/>
                <w:bCs/>
                <w:lang w:val="fr-FR"/>
              </w:rPr>
              <w:t>inclusion numérique entre les principales parties prenantes et partenaires, notamment les gouvernements, les équipes de pays des Nations Unies, les organisations régionales, la société civile et les milieux universitaires</w:t>
            </w:r>
            <w:r w:rsidRPr="000229AD">
              <w:rPr>
                <w:lang w:val="fr-FR"/>
              </w:rPr>
              <w:t>.</w:t>
            </w:r>
          </w:p>
        </w:tc>
        <w:tc>
          <w:tcPr>
            <w:tcW w:w="2850" w:type="dxa"/>
            <w:tcBorders>
              <w:top w:val="dotted" w:sz="4" w:space="0" w:color="0070C0"/>
              <w:left w:val="dotted" w:sz="4" w:space="0" w:color="0070C0"/>
              <w:bottom w:val="dotted" w:sz="4" w:space="0" w:color="0070C0"/>
              <w:right w:val="dotted" w:sz="4" w:space="0" w:color="0070C0"/>
            </w:tcBorders>
            <w:shd w:val="clear" w:color="auto" w:fill="auto"/>
          </w:tcPr>
          <w:p w14:paraId="01B9FE3C" w14:textId="77777777" w:rsidR="00C24D14" w:rsidRPr="000229AD" w:rsidRDefault="00C24D14" w:rsidP="00716C22">
            <w:pPr>
              <w:pStyle w:val="Tabletext"/>
              <w:spacing w:before="120" w:after="0"/>
              <w:ind w:left="284" w:hanging="284"/>
              <w:rPr>
                <w:lang w:val="fr-FR"/>
              </w:rPr>
            </w:pPr>
            <w:r w:rsidRPr="000229AD">
              <w:rPr>
                <w:lang w:val="fr-FR"/>
              </w:rPr>
              <w:lastRenderedPageBreak/>
              <w:t>–</w:t>
            </w:r>
            <w:r w:rsidRPr="000229AD">
              <w:rPr>
                <w:lang w:val="fr-FR"/>
              </w:rPr>
              <w:tab/>
              <w:t>Autonomisation des groupes vulnérables et des populations marginalisées.</w:t>
            </w:r>
          </w:p>
          <w:p w14:paraId="575AF3FA" w14:textId="77777777" w:rsidR="00C24D14" w:rsidRPr="000229AD" w:rsidRDefault="00C24D14" w:rsidP="00716C22">
            <w:pPr>
              <w:pStyle w:val="Tabletext"/>
              <w:spacing w:before="80" w:after="0"/>
              <w:ind w:left="284" w:hanging="284"/>
              <w:rPr>
                <w:lang w:val="fr-FR"/>
              </w:rPr>
            </w:pPr>
            <w:r w:rsidRPr="000229AD">
              <w:rPr>
                <w:lang w:val="fr-FR"/>
              </w:rPr>
              <w:t>–</w:t>
            </w:r>
            <w:r w:rsidRPr="000229AD">
              <w:rPr>
                <w:lang w:val="fr-FR"/>
              </w:rPr>
              <w:tab/>
              <w:t>Renforcement des capacités des décideurs.</w:t>
            </w:r>
          </w:p>
          <w:p w14:paraId="574E8FCB" w14:textId="17BD597B" w:rsidR="00C24D14" w:rsidRPr="000229AD" w:rsidRDefault="00C24D14" w:rsidP="00716C22">
            <w:pPr>
              <w:pStyle w:val="Tabletext"/>
              <w:spacing w:before="80" w:after="0"/>
              <w:ind w:left="284" w:hanging="284"/>
              <w:rPr>
                <w:lang w:val="fr-FR"/>
              </w:rPr>
            </w:pPr>
            <w:r w:rsidRPr="000229AD">
              <w:rPr>
                <w:lang w:val="fr-FR"/>
              </w:rPr>
              <w:t>–</w:t>
            </w:r>
            <w:r w:rsidRPr="000229AD">
              <w:rPr>
                <w:lang w:val="fr-FR"/>
              </w:rPr>
              <w:tab/>
              <w:t>Amélioration de l</w:t>
            </w:r>
            <w:r w:rsidR="00125408" w:rsidRPr="000229AD">
              <w:rPr>
                <w:lang w:val="fr-FR"/>
              </w:rPr>
              <w:t>'</w:t>
            </w:r>
            <w:r w:rsidRPr="000229AD">
              <w:rPr>
                <w:lang w:val="fr-FR"/>
              </w:rPr>
              <w:t>accès aux outils et ressources en matière d</w:t>
            </w:r>
            <w:r w:rsidR="00125408" w:rsidRPr="000229AD">
              <w:rPr>
                <w:lang w:val="fr-FR"/>
              </w:rPr>
              <w:t>'</w:t>
            </w:r>
            <w:r w:rsidRPr="000229AD">
              <w:rPr>
                <w:lang w:val="fr-FR"/>
              </w:rPr>
              <w:t>inclusion numérique.</w:t>
            </w:r>
          </w:p>
          <w:p w14:paraId="7BEF44A5" w14:textId="69F66FC1" w:rsidR="00C24D14" w:rsidRPr="000229AD" w:rsidRDefault="00C24D14" w:rsidP="00716C22">
            <w:pPr>
              <w:pStyle w:val="Tabletext"/>
              <w:spacing w:before="80" w:after="0"/>
              <w:ind w:left="284" w:hanging="284"/>
              <w:rPr>
                <w:lang w:val="fr-FR"/>
              </w:rPr>
            </w:pPr>
            <w:r w:rsidRPr="000229AD">
              <w:rPr>
                <w:lang w:val="fr-FR"/>
              </w:rPr>
              <w:t>–</w:t>
            </w:r>
            <w:r w:rsidRPr="000229AD">
              <w:rPr>
                <w:lang w:val="fr-FR"/>
              </w:rPr>
              <w:tab/>
              <w:t>Renforcement des partenariats en faveur de l</w:t>
            </w:r>
            <w:r w:rsidR="00125408" w:rsidRPr="000229AD">
              <w:rPr>
                <w:lang w:val="fr-FR"/>
              </w:rPr>
              <w:t>'</w:t>
            </w:r>
            <w:r w:rsidRPr="000229AD">
              <w:rPr>
                <w:lang w:val="fr-FR"/>
              </w:rPr>
              <w:t>inclusion numérique.</w:t>
            </w:r>
          </w:p>
          <w:p w14:paraId="25296F58" w14:textId="22D4FA3E" w:rsidR="00C24D14" w:rsidRPr="000229AD" w:rsidRDefault="00C24D14" w:rsidP="00716C22">
            <w:pPr>
              <w:pStyle w:val="Tabletext"/>
              <w:spacing w:before="80" w:after="0"/>
              <w:ind w:left="284" w:hanging="284"/>
              <w:rPr>
                <w:lang w:val="fr-FR"/>
              </w:rPr>
            </w:pPr>
            <w:r w:rsidRPr="000229AD">
              <w:rPr>
                <w:lang w:val="fr-FR"/>
              </w:rPr>
              <w:t>–</w:t>
            </w:r>
            <w:r w:rsidRPr="000229AD">
              <w:rPr>
                <w:lang w:val="fr-FR"/>
              </w:rPr>
              <w:tab/>
              <w:t>Extension de l</w:t>
            </w:r>
            <w:r w:rsidR="00125408" w:rsidRPr="000229AD">
              <w:rPr>
                <w:lang w:val="fr-FR"/>
              </w:rPr>
              <w:t>'</w:t>
            </w:r>
            <w:r w:rsidRPr="000229AD">
              <w:rPr>
                <w:lang w:val="fr-FR"/>
              </w:rPr>
              <w:t>initiative "Les jeunes filles dans le secteur des TIC" à toutes les régions.</w:t>
            </w:r>
          </w:p>
          <w:p w14:paraId="41A1511F" w14:textId="77777777" w:rsidR="00C24D14" w:rsidRPr="000229AD" w:rsidRDefault="00C24D14" w:rsidP="00716C22">
            <w:pPr>
              <w:pStyle w:val="Tabletext"/>
              <w:spacing w:before="80" w:after="120"/>
              <w:ind w:left="284" w:hanging="284"/>
              <w:rPr>
                <w:lang w:val="fr-FR"/>
              </w:rPr>
            </w:pPr>
            <w:r w:rsidRPr="000229AD">
              <w:rPr>
                <w:lang w:val="fr-FR"/>
              </w:rPr>
              <w:t>–</w:t>
            </w:r>
            <w:r w:rsidRPr="000229AD">
              <w:rPr>
                <w:lang w:val="fr-FR"/>
              </w:rPr>
              <w:tab/>
            </w:r>
            <w:r w:rsidRPr="000229AD">
              <w:rPr>
                <w:b/>
                <w:bCs/>
                <w:lang w:val="fr-FR"/>
              </w:rPr>
              <w:t>Afrique</w:t>
            </w:r>
            <w:r w:rsidRPr="000229AD">
              <w:rPr>
                <w:lang w:val="fr-FR"/>
              </w:rPr>
              <w:t>: Afrique du Sud, Burundi, Kenya, Mali, Mozambique, Niger, Ouganda, République démocratique du Congo, Rwanda, Sénégal, Tanzanie.</w:t>
            </w:r>
          </w:p>
          <w:p w14:paraId="05AFA3F6" w14:textId="06E0E2E1" w:rsidR="00C24D14" w:rsidRPr="000229AD" w:rsidRDefault="00C24D14" w:rsidP="00716C22">
            <w:pPr>
              <w:pStyle w:val="Tabletext"/>
              <w:spacing w:before="120" w:after="0"/>
              <w:ind w:left="284" w:hanging="284"/>
              <w:rPr>
                <w:lang w:val="fr-FR"/>
              </w:rPr>
            </w:pPr>
            <w:r w:rsidRPr="000229AD">
              <w:rPr>
                <w:lang w:val="fr-FR"/>
              </w:rPr>
              <w:lastRenderedPageBreak/>
              <w:t>–</w:t>
            </w:r>
            <w:r w:rsidRPr="000229AD">
              <w:rPr>
                <w:lang w:val="fr-FR"/>
              </w:rPr>
              <w:tab/>
            </w:r>
            <w:r w:rsidRPr="000229AD">
              <w:rPr>
                <w:b/>
                <w:bCs/>
                <w:lang w:val="fr-FR"/>
              </w:rPr>
              <w:t>Asie-Pacifique</w:t>
            </w:r>
            <w:r w:rsidRPr="000229AD">
              <w:rPr>
                <w:lang w:val="fr-FR"/>
              </w:rPr>
              <w:t>: Bhoutan, Fidji, Indonésie, Kiribati, Micronésie, Nauru, Pakistan, Papouasie</w:t>
            </w:r>
            <w:r w:rsidR="00E30F20" w:rsidRPr="000229AD">
              <w:rPr>
                <w:lang w:val="fr-FR"/>
              </w:rPr>
              <w:noBreakHyphen/>
            </w:r>
            <w:r w:rsidRPr="000229AD">
              <w:rPr>
                <w:lang w:val="fr-FR"/>
              </w:rPr>
              <w:t>Nouvelle-Guinée, Philippines, Samoa, Thaïlande, Timor</w:t>
            </w:r>
            <w:r w:rsidR="00E30F20" w:rsidRPr="000229AD">
              <w:rPr>
                <w:lang w:val="fr-FR"/>
              </w:rPr>
              <w:noBreakHyphen/>
            </w:r>
            <w:r w:rsidRPr="000229AD">
              <w:rPr>
                <w:lang w:val="fr-FR"/>
              </w:rPr>
              <w:t>Leste, Tonga, États</w:t>
            </w:r>
            <w:r w:rsidR="002263FE">
              <w:rPr>
                <w:lang w:val="fr-FR"/>
              </w:rPr>
              <w:t> </w:t>
            </w:r>
            <w:r w:rsidRPr="000229AD">
              <w:rPr>
                <w:lang w:val="fr-FR"/>
              </w:rPr>
              <w:t>membres de l</w:t>
            </w:r>
            <w:r w:rsidR="00125408" w:rsidRPr="000229AD">
              <w:rPr>
                <w:lang w:val="fr-FR"/>
              </w:rPr>
              <w:t>'</w:t>
            </w:r>
            <w:r w:rsidRPr="000229AD">
              <w:rPr>
                <w:lang w:val="fr-FR"/>
              </w:rPr>
              <w:t>ASEAN.</w:t>
            </w:r>
          </w:p>
        </w:tc>
      </w:tr>
      <w:tr w:rsidR="00E07F09" w:rsidRPr="000229AD" w14:paraId="0A2A671B" w14:textId="77777777" w:rsidTr="00E30F20">
        <w:tc>
          <w:tcPr>
            <w:tcW w:w="12017" w:type="dxa"/>
            <w:gridSpan w:val="2"/>
            <w:tcBorders>
              <w:top w:val="dotted" w:sz="4" w:space="0" w:color="0070C0"/>
              <w:left w:val="dotted" w:sz="4" w:space="0" w:color="0070C0"/>
              <w:bottom w:val="dotted" w:sz="4" w:space="0" w:color="0070C0"/>
              <w:right w:val="dotted" w:sz="4" w:space="0" w:color="0070C0"/>
            </w:tcBorders>
          </w:tcPr>
          <w:p w14:paraId="6605BBA7" w14:textId="11910FB2" w:rsidR="00C24D14" w:rsidRPr="000229AD" w:rsidRDefault="00C24D14" w:rsidP="00716C22">
            <w:pPr>
              <w:pStyle w:val="Tabletext"/>
              <w:keepNext/>
              <w:keepLines/>
              <w:spacing w:after="120"/>
              <w:rPr>
                <w:rFonts w:ascii="Calibri" w:eastAsia="Calibri" w:hAnsi="Calibri" w:cs="Calibri"/>
                <w:b/>
                <w:bCs/>
                <w:lang w:val="fr-FR"/>
              </w:rPr>
            </w:pPr>
            <w:r w:rsidRPr="000229AD">
              <w:rPr>
                <w:b/>
                <w:bCs/>
                <w:lang w:val="fr-FR"/>
              </w:rPr>
              <w:lastRenderedPageBreak/>
              <w:t>Au niveau des activités et projets relatifs aux TIC/à l</w:t>
            </w:r>
            <w:r w:rsidR="00125408" w:rsidRPr="000229AD">
              <w:rPr>
                <w:b/>
                <w:bCs/>
                <w:lang w:val="fr-FR"/>
              </w:rPr>
              <w:t>'</w:t>
            </w:r>
            <w:r w:rsidRPr="000229AD">
              <w:rPr>
                <w:b/>
                <w:bCs/>
                <w:lang w:val="fr-FR"/>
              </w:rPr>
              <w:t>accessibilité numérique, aux personnes âgées, aux populations isolées, aux peuples autochtones et aux jeunes</w:t>
            </w:r>
          </w:p>
          <w:p w14:paraId="04FCF4C0" w14:textId="5E97F1A4" w:rsidR="00C24D14" w:rsidRPr="000229AD" w:rsidRDefault="00C24D14" w:rsidP="00716C22">
            <w:pPr>
              <w:pStyle w:val="Tabletext"/>
              <w:keepNext/>
              <w:keepLines/>
              <w:spacing w:after="120"/>
              <w:rPr>
                <w:lang w:val="fr-FR"/>
              </w:rPr>
            </w:pPr>
            <w:r w:rsidRPr="000229AD">
              <w:rPr>
                <w:b/>
                <w:bCs/>
                <w:lang w:val="fr-FR"/>
              </w:rPr>
              <w:t>Approfondissement des connaissances des décideurs: compétences de plus de 4 100 décideurs améliorées dans la formulation et la mise en œuvre de politiques et de stratégies d</w:t>
            </w:r>
            <w:r w:rsidR="00125408" w:rsidRPr="000229AD">
              <w:rPr>
                <w:b/>
                <w:bCs/>
                <w:lang w:val="fr-FR"/>
              </w:rPr>
              <w:t>'</w:t>
            </w:r>
            <w:r w:rsidRPr="000229AD">
              <w:rPr>
                <w:b/>
                <w:bCs/>
                <w:lang w:val="fr-FR"/>
              </w:rPr>
              <w:t>inclusion numérique</w:t>
            </w:r>
            <w:r w:rsidRPr="000229AD">
              <w:rPr>
                <w:lang w:val="fr-FR"/>
              </w:rPr>
              <w:t xml:space="preserve"> ainsi que dans le renforcement de la participation de tous dans la société et l</w:t>
            </w:r>
            <w:r w:rsidR="00125408" w:rsidRPr="000229AD">
              <w:rPr>
                <w:lang w:val="fr-FR"/>
              </w:rPr>
              <w:t>'</w:t>
            </w:r>
            <w:r w:rsidRPr="000229AD">
              <w:rPr>
                <w:lang w:val="fr-FR"/>
              </w:rPr>
              <w:t>économie numériques grâce à des ateliers de renforcement des capacités dans le domaine de l</w:t>
            </w:r>
            <w:r w:rsidR="00125408" w:rsidRPr="000229AD">
              <w:rPr>
                <w:lang w:val="fr-FR"/>
              </w:rPr>
              <w:t>'</w:t>
            </w:r>
            <w:r w:rsidRPr="000229AD">
              <w:rPr>
                <w:lang w:val="fr-FR"/>
              </w:rPr>
              <w:t>accessibilité des</w:t>
            </w:r>
            <w:r w:rsidR="00E30F20" w:rsidRPr="000229AD">
              <w:rPr>
                <w:lang w:val="fr-FR"/>
              </w:rPr>
              <w:t> </w:t>
            </w:r>
            <w:r w:rsidRPr="000229AD">
              <w:rPr>
                <w:lang w:val="fr-FR"/>
              </w:rPr>
              <w:t>TIC et de l</w:t>
            </w:r>
            <w:r w:rsidR="00125408" w:rsidRPr="000229AD">
              <w:rPr>
                <w:lang w:val="fr-FR"/>
              </w:rPr>
              <w:t>'</w:t>
            </w:r>
            <w:r w:rsidRPr="000229AD">
              <w:rPr>
                <w:lang w:val="fr-FR"/>
              </w:rPr>
              <w:t>intégration des mesures d</w:t>
            </w:r>
            <w:r w:rsidR="00125408" w:rsidRPr="000229AD">
              <w:rPr>
                <w:lang w:val="fr-FR"/>
              </w:rPr>
              <w:t>'</w:t>
            </w:r>
            <w:r w:rsidRPr="000229AD">
              <w:rPr>
                <w:lang w:val="fr-FR"/>
              </w:rPr>
              <w:t xml:space="preserve">inclusion numérique pour tous. Cette réalisation a été possible grâce à </w:t>
            </w:r>
            <w:r w:rsidRPr="000229AD">
              <w:rPr>
                <w:b/>
                <w:bCs/>
                <w:lang w:val="fr-FR"/>
              </w:rPr>
              <w:t>des interventions et des sessions de formation, organisées dans le cadre de 46 manifestations (dont 34 en ligne et 12 en personne) à travers le monde</w:t>
            </w:r>
            <w:r w:rsidRPr="000229AD">
              <w:rPr>
                <w:lang w:val="fr-FR"/>
              </w:rPr>
              <w:t>, notamment: la Conférence des États parties à la Convention relative aux droits des personnes handicapées, l</w:t>
            </w:r>
            <w:r w:rsidR="00125408" w:rsidRPr="000229AD">
              <w:rPr>
                <w:lang w:val="fr-FR"/>
              </w:rPr>
              <w:t>'</w:t>
            </w:r>
            <w:r w:rsidRPr="000229AD">
              <w:rPr>
                <w:lang w:val="fr-FR"/>
              </w:rPr>
              <w:t>Initiative mondiale des Nations Unies sur l</w:t>
            </w:r>
            <w:r w:rsidR="00125408" w:rsidRPr="000229AD">
              <w:rPr>
                <w:lang w:val="fr-FR"/>
              </w:rPr>
              <w:t>'</w:t>
            </w:r>
            <w:r w:rsidRPr="000229AD">
              <w:rPr>
                <w:lang w:val="fr-FR"/>
              </w:rPr>
              <w:t>intégration des connaissances sur le vieillissement, les sessions du SMSI, les dialogues de haut niveau menés par les Membres de l</w:t>
            </w:r>
            <w:r w:rsidR="00125408" w:rsidRPr="000229AD">
              <w:rPr>
                <w:lang w:val="fr-FR"/>
              </w:rPr>
              <w:t>'</w:t>
            </w:r>
            <w:r w:rsidRPr="000229AD">
              <w:rPr>
                <w:lang w:val="fr-FR"/>
              </w:rPr>
              <w:t>UIT (Question 7/1 de la CE 1), le Sommet mondial sur le vieillissement indépendant IANGE 2023, les colloques internationaux sur l</w:t>
            </w:r>
            <w:r w:rsidR="00125408" w:rsidRPr="000229AD">
              <w:rPr>
                <w:lang w:val="fr-FR"/>
              </w:rPr>
              <w:t>'</w:t>
            </w:r>
            <w:r w:rsidRPr="000229AD">
              <w:rPr>
                <w:lang w:val="fr-FR"/>
              </w:rPr>
              <w:t xml:space="preserve">inclusion numérique en Thaïlande (Commission nationale de la radiodiffusion et des télécommunications) </w:t>
            </w:r>
            <w:r w:rsidRPr="000229AD">
              <w:rPr>
                <w:b/>
                <w:bCs/>
                <w:lang w:val="fr-FR"/>
              </w:rPr>
              <w:t>et dans les régions</w:t>
            </w:r>
            <w:r w:rsidRPr="000229AD">
              <w:rPr>
                <w:lang w:val="fr-FR"/>
              </w:rPr>
              <w:t xml:space="preserve"> (notamment les manifestations sur les "TIC pour tous" dans les régions Amériques, États arabes et Europe), et la séance d</w:t>
            </w:r>
            <w:r w:rsidR="00125408" w:rsidRPr="000229AD">
              <w:rPr>
                <w:lang w:val="fr-FR"/>
              </w:rPr>
              <w:t>'</w:t>
            </w:r>
            <w:r w:rsidRPr="000229AD">
              <w:rPr>
                <w:lang w:val="fr-FR"/>
              </w:rPr>
              <w:t>information sur le vieillissement en bonne santé en Thaïlande grâce aux TIC (en partenariat avec le Ministère de l</w:t>
            </w:r>
            <w:r w:rsidR="00125408" w:rsidRPr="000229AD">
              <w:rPr>
                <w:lang w:val="fr-FR"/>
              </w:rPr>
              <w:t>'</w:t>
            </w:r>
            <w:r w:rsidRPr="000229AD">
              <w:rPr>
                <w:lang w:val="fr-FR"/>
              </w:rPr>
              <w:t>économie et de la société numériques et l</w:t>
            </w:r>
            <w:r w:rsidR="00125408" w:rsidRPr="000229AD">
              <w:rPr>
                <w:lang w:val="fr-FR"/>
              </w:rPr>
              <w:t>'</w:t>
            </w:r>
            <w:r w:rsidRPr="000229AD">
              <w:rPr>
                <w:lang w:val="fr-FR"/>
              </w:rPr>
              <w:t xml:space="preserve">OMS). En outre, </w:t>
            </w:r>
            <w:r w:rsidRPr="000229AD">
              <w:rPr>
                <w:b/>
                <w:bCs/>
                <w:lang w:val="fr-FR"/>
              </w:rPr>
              <w:t>plus de 1 200 participants de 98 pays</w:t>
            </w:r>
            <w:r w:rsidRPr="000229AD">
              <w:rPr>
                <w:lang w:val="fr-FR"/>
              </w:rPr>
              <w:t xml:space="preserve"> se sont inscrits à des </w:t>
            </w:r>
            <w:r w:rsidRPr="000229AD">
              <w:rPr>
                <w:b/>
                <w:bCs/>
                <w:lang w:val="fr-FR"/>
              </w:rPr>
              <w:t>cours en ligne à suivre à son rythme, ou dispensés par des formateurs, sur les sujets tels que l</w:t>
            </w:r>
            <w:r w:rsidR="00125408" w:rsidRPr="000229AD">
              <w:rPr>
                <w:b/>
                <w:bCs/>
                <w:lang w:val="fr-FR"/>
              </w:rPr>
              <w:t>'</w:t>
            </w:r>
            <w:r w:rsidRPr="000229AD">
              <w:rPr>
                <w:b/>
                <w:bCs/>
                <w:lang w:val="fr-FR"/>
              </w:rPr>
              <w:t>accessibilité des TIC, les personnes âgées et les peuples autochtones</w:t>
            </w:r>
            <w:r w:rsidRPr="000229AD">
              <w:rPr>
                <w:lang w:val="fr-FR"/>
              </w:rPr>
              <w:t>, à travers la plate-forme de l</w:t>
            </w:r>
            <w:r w:rsidR="00125408" w:rsidRPr="000229AD">
              <w:rPr>
                <w:lang w:val="fr-FR"/>
              </w:rPr>
              <w:t>'</w:t>
            </w:r>
            <w:r w:rsidRPr="000229AD">
              <w:rPr>
                <w:lang w:val="fr-FR"/>
              </w:rPr>
              <w:t>Académie de l</w:t>
            </w:r>
            <w:r w:rsidR="00125408" w:rsidRPr="000229AD">
              <w:rPr>
                <w:lang w:val="fr-FR"/>
              </w:rPr>
              <w:t>'</w:t>
            </w:r>
            <w:r w:rsidRPr="000229AD">
              <w:rPr>
                <w:lang w:val="fr-FR"/>
              </w:rPr>
              <w:t>UIT.</w:t>
            </w:r>
          </w:p>
          <w:p w14:paraId="77461F9F" w14:textId="79C26FCF" w:rsidR="00C24D14" w:rsidRPr="000229AD" w:rsidRDefault="00C24D14" w:rsidP="00716C22">
            <w:pPr>
              <w:pStyle w:val="Tabletext"/>
              <w:spacing w:after="120"/>
              <w:rPr>
                <w:lang w:val="fr-FR"/>
              </w:rPr>
            </w:pPr>
            <w:r w:rsidRPr="000229AD">
              <w:rPr>
                <w:b/>
                <w:bCs/>
                <w:lang w:val="fr-FR"/>
              </w:rPr>
              <w:t>Ressources: augmentation du nombre de ressources et d</w:t>
            </w:r>
            <w:r w:rsidR="00125408" w:rsidRPr="000229AD">
              <w:rPr>
                <w:b/>
                <w:bCs/>
                <w:lang w:val="fr-FR"/>
              </w:rPr>
              <w:t>'</w:t>
            </w:r>
            <w:r w:rsidRPr="000229AD">
              <w:rPr>
                <w:b/>
                <w:bCs/>
                <w:lang w:val="fr-FR"/>
              </w:rPr>
              <w:t>outils existants (plus de 70) pour appuyer les mesures prises par les Membres de l</w:t>
            </w:r>
            <w:r w:rsidR="00125408" w:rsidRPr="000229AD">
              <w:rPr>
                <w:b/>
                <w:bCs/>
                <w:lang w:val="fr-FR"/>
              </w:rPr>
              <w:t>'</w:t>
            </w:r>
            <w:r w:rsidRPr="000229AD">
              <w:rPr>
                <w:b/>
                <w:bCs/>
                <w:lang w:val="fr-FR"/>
              </w:rPr>
              <w:t>UIT en faveur de l</w:t>
            </w:r>
            <w:r w:rsidR="00125408" w:rsidRPr="000229AD">
              <w:rPr>
                <w:b/>
                <w:bCs/>
                <w:lang w:val="fr-FR"/>
              </w:rPr>
              <w:t>'</w:t>
            </w:r>
            <w:r w:rsidRPr="000229AD">
              <w:rPr>
                <w:b/>
                <w:bCs/>
                <w:lang w:val="fr-FR"/>
              </w:rPr>
              <w:t>inclusion numérique grâce à six supports d</w:t>
            </w:r>
            <w:r w:rsidR="00125408" w:rsidRPr="000229AD">
              <w:rPr>
                <w:b/>
                <w:bCs/>
                <w:lang w:val="fr-FR"/>
              </w:rPr>
              <w:t>'</w:t>
            </w:r>
            <w:r w:rsidRPr="000229AD">
              <w:rPr>
                <w:b/>
                <w:bCs/>
                <w:lang w:val="fr-FR"/>
              </w:rPr>
              <w:t>information supplémentaires</w:t>
            </w:r>
            <w:r w:rsidRPr="000229AD">
              <w:rPr>
                <w:lang w:val="fr-FR"/>
              </w:rPr>
              <w:t>, dont la nouvelle formation en ligne du BDT-</w:t>
            </w:r>
            <w:r w:rsidR="00716C22">
              <w:rPr>
                <w:lang w:val="fr-FR"/>
              </w:rPr>
              <w:t>UI</w:t>
            </w:r>
            <w:r w:rsidRPr="000229AD">
              <w:rPr>
                <w:lang w:val="fr-FR"/>
              </w:rPr>
              <w:t>T intitulé "Responsables des réseaux TIC dans les communautés autochtones et rurales d</w:t>
            </w:r>
            <w:r w:rsidR="00125408" w:rsidRPr="000229AD">
              <w:rPr>
                <w:lang w:val="fr-FR"/>
              </w:rPr>
              <w:t>'</w:t>
            </w:r>
            <w:r w:rsidRPr="000229AD">
              <w:rPr>
                <w:lang w:val="fr-FR"/>
              </w:rPr>
              <w:t>Amérique latine", la formation en ligne à suivre à son rythme "Au-delà des villes intelligentes" en arabe et en russe, le guide pratique sur l</w:t>
            </w:r>
            <w:r w:rsidR="00125408" w:rsidRPr="000229AD">
              <w:rPr>
                <w:lang w:val="fr-FR"/>
              </w:rPr>
              <w:t>'</w:t>
            </w:r>
            <w:r w:rsidRPr="000229AD">
              <w:rPr>
                <w:lang w:val="fr-FR"/>
              </w:rPr>
              <w:t>accessibilité des TIC/du numérique à l</w:t>
            </w:r>
            <w:r w:rsidR="00125408" w:rsidRPr="000229AD">
              <w:rPr>
                <w:lang w:val="fr-FR"/>
              </w:rPr>
              <w:t>'</w:t>
            </w:r>
            <w:r w:rsidRPr="000229AD">
              <w:rPr>
                <w:lang w:val="fr-FR"/>
              </w:rPr>
              <w:t>intention des spécialistes ou des organismes chargés de la conception et de la mise en œuvre du programme "Îles et villages intelligents" pour la région Asie-Pacifique, et les lignes directrices et le tutoriel vidéo sur l</w:t>
            </w:r>
            <w:r w:rsidR="00125408" w:rsidRPr="000229AD">
              <w:rPr>
                <w:lang w:val="fr-FR"/>
              </w:rPr>
              <w:t>'</w:t>
            </w:r>
            <w:r w:rsidRPr="000229AD">
              <w:rPr>
                <w:lang w:val="fr-FR"/>
              </w:rPr>
              <w:t>"Intégration de l</w:t>
            </w:r>
            <w:r w:rsidR="00125408" w:rsidRPr="000229AD">
              <w:rPr>
                <w:lang w:val="fr-FR"/>
              </w:rPr>
              <w:t>'</w:t>
            </w:r>
            <w:r w:rsidRPr="000229AD">
              <w:rPr>
                <w:lang w:val="fr-FR"/>
              </w:rPr>
              <w:t>accessibilité numérique pour une transformation numérique inclusive". Un programme de formation des responsables des réseaux TIC dans les communautés rurales et isolées d</w:t>
            </w:r>
            <w:r w:rsidR="00125408" w:rsidRPr="000229AD">
              <w:rPr>
                <w:lang w:val="fr-FR"/>
              </w:rPr>
              <w:t>'</w:t>
            </w:r>
            <w:r w:rsidRPr="000229AD">
              <w:rPr>
                <w:lang w:val="fr-FR"/>
              </w:rPr>
              <w:t>Afrique subsaharienne est en cours d</w:t>
            </w:r>
            <w:r w:rsidR="00125408" w:rsidRPr="000229AD">
              <w:rPr>
                <w:lang w:val="fr-FR"/>
              </w:rPr>
              <w:t>'</w:t>
            </w:r>
            <w:r w:rsidRPr="000229AD">
              <w:rPr>
                <w:lang w:val="fr-FR"/>
              </w:rPr>
              <w:t>élaboration.</w:t>
            </w:r>
          </w:p>
          <w:p w14:paraId="5838079A" w14:textId="7933258E" w:rsidR="00C24D14" w:rsidRPr="000229AD" w:rsidRDefault="00C24D14" w:rsidP="00716C22">
            <w:pPr>
              <w:pStyle w:val="Tabletext"/>
              <w:spacing w:after="120"/>
              <w:rPr>
                <w:rFonts w:ascii="Calibri" w:eastAsia="Calibri" w:hAnsi="Calibri" w:cs="Calibri"/>
                <w:color w:val="242424"/>
                <w:lang w:val="fr-FR"/>
              </w:rPr>
            </w:pPr>
            <w:r w:rsidRPr="000229AD">
              <w:rPr>
                <w:b/>
                <w:bCs/>
                <w:lang w:val="fr-FR"/>
              </w:rPr>
              <w:t>Participation des jeunes: le BDT a encouragé la participation et les présentations des représentants des groupes pour la jeunesse de l</w:t>
            </w:r>
            <w:r w:rsidR="00125408" w:rsidRPr="000229AD">
              <w:rPr>
                <w:b/>
                <w:bCs/>
                <w:lang w:val="fr-FR"/>
              </w:rPr>
              <w:t>'</w:t>
            </w:r>
            <w:r w:rsidRPr="000229AD">
              <w:rPr>
                <w:b/>
                <w:bCs/>
                <w:lang w:val="fr-FR"/>
              </w:rPr>
              <w:t>initiative Generation Connect à diverses activités du BDT, dont plus de 20 réunions et manifestations.</w:t>
            </w:r>
            <w:r w:rsidRPr="000229AD">
              <w:rPr>
                <w:lang w:val="fr-FR"/>
              </w:rPr>
              <w:t xml:space="preserve"> En outre, l</w:t>
            </w:r>
            <w:r w:rsidR="00125408" w:rsidRPr="000229AD">
              <w:rPr>
                <w:lang w:val="fr-FR"/>
              </w:rPr>
              <w:t>'</w:t>
            </w:r>
            <w:r w:rsidRPr="000229AD">
              <w:rPr>
                <w:lang w:val="fr-FR"/>
              </w:rPr>
              <w:t>UIT a financé la participation de cinq représentants des groupes pour la jeunesse au SDG Summer School de l</w:t>
            </w:r>
            <w:r w:rsidR="00125408" w:rsidRPr="000229AD">
              <w:rPr>
                <w:lang w:val="fr-FR"/>
              </w:rPr>
              <w:t>'</w:t>
            </w:r>
            <w:r w:rsidRPr="000229AD">
              <w:rPr>
                <w:lang w:val="fr-FR"/>
              </w:rPr>
              <w:t xml:space="preserve">Université de Genève et de deux jeunes femmes au programme des Prix "EQUALS in Tech", et a nommé six représentants des groupes pour la jeunesse au programme mondial de jeunes leaders du WIC en Chine, fournissant ainsi aux jeunes </w:t>
            </w:r>
            <w:r w:rsidRPr="000229AD">
              <w:rPr>
                <w:b/>
                <w:bCs/>
                <w:lang w:val="fr-FR"/>
              </w:rPr>
              <w:t>des occasions concrètes d</w:t>
            </w:r>
            <w:r w:rsidR="00125408" w:rsidRPr="000229AD">
              <w:rPr>
                <w:b/>
                <w:bCs/>
                <w:lang w:val="fr-FR"/>
              </w:rPr>
              <w:t>'</w:t>
            </w:r>
            <w:r w:rsidRPr="000229AD">
              <w:rPr>
                <w:b/>
                <w:bCs/>
                <w:lang w:val="fr-FR"/>
              </w:rPr>
              <w:t>agir en tant qu</w:t>
            </w:r>
            <w:r w:rsidR="00125408" w:rsidRPr="000229AD">
              <w:rPr>
                <w:b/>
                <w:bCs/>
                <w:lang w:val="fr-FR"/>
              </w:rPr>
              <w:t>'</w:t>
            </w:r>
            <w:r w:rsidRPr="000229AD">
              <w:rPr>
                <w:b/>
                <w:bCs/>
                <w:lang w:val="fr-FR"/>
              </w:rPr>
              <w:t>acteurs du changement numérique</w:t>
            </w:r>
            <w:r w:rsidRPr="000229AD">
              <w:rPr>
                <w:lang w:val="fr-FR"/>
              </w:rPr>
              <w:t>. Un nouveau groupe pour la jeunesse a été sélectionné sur la base des candidatures reçues de plus de 60 États Membres dans le cadre de l</w:t>
            </w:r>
            <w:r w:rsidR="00125408" w:rsidRPr="000229AD">
              <w:rPr>
                <w:lang w:val="fr-FR"/>
              </w:rPr>
              <w:t>'</w:t>
            </w:r>
            <w:r w:rsidRPr="000229AD">
              <w:rPr>
                <w:lang w:val="fr-FR"/>
              </w:rPr>
              <w:t>initiative Generation Connect. Ces personnes bénéficieront d</w:t>
            </w:r>
            <w:r w:rsidR="00125408" w:rsidRPr="000229AD">
              <w:rPr>
                <w:lang w:val="fr-FR"/>
              </w:rPr>
              <w:t>'</w:t>
            </w:r>
            <w:r w:rsidRPr="000229AD">
              <w:rPr>
                <w:lang w:val="fr-FR"/>
              </w:rPr>
              <w:t>un programme de tutorat et d</w:t>
            </w:r>
            <w:r w:rsidR="00125408" w:rsidRPr="000229AD">
              <w:rPr>
                <w:lang w:val="fr-FR"/>
              </w:rPr>
              <w:t>'</w:t>
            </w:r>
            <w:r w:rsidRPr="000229AD">
              <w:rPr>
                <w:lang w:val="fr-FR"/>
              </w:rPr>
              <w:t>activités de renforcement des compétences afin de contribuer aux actions mises en œuvre par le BDT pour donner aux jeunes plus de moyens d</w:t>
            </w:r>
            <w:r w:rsidR="00125408" w:rsidRPr="000229AD">
              <w:rPr>
                <w:lang w:val="fr-FR"/>
              </w:rPr>
              <w:t>'</w:t>
            </w:r>
            <w:r w:rsidRPr="000229AD">
              <w:rPr>
                <w:lang w:val="fr-FR"/>
              </w:rPr>
              <w:t>agir grâce aux TIC. L</w:t>
            </w:r>
            <w:r w:rsidR="00125408" w:rsidRPr="000229AD">
              <w:rPr>
                <w:lang w:val="fr-FR"/>
              </w:rPr>
              <w:t>'</w:t>
            </w:r>
            <w:r w:rsidRPr="000229AD">
              <w:rPr>
                <w:lang w:val="fr-FR"/>
              </w:rPr>
              <w:t>organisation du Sommet mondial sur la jeunesse suit son cours.</w:t>
            </w:r>
          </w:p>
          <w:p w14:paraId="78888E10" w14:textId="34737822" w:rsidR="00C24D14" w:rsidRPr="000229AD" w:rsidRDefault="00C24D14" w:rsidP="00716C22">
            <w:pPr>
              <w:pStyle w:val="Tabletext"/>
              <w:spacing w:after="120"/>
              <w:rPr>
                <w:rFonts w:ascii="Calibri" w:eastAsia="Calibri" w:hAnsi="Calibri" w:cs="Calibri"/>
                <w:lang w:val="fr-FR"/>
              </w:rPr>
            </w:pPr>
            <w:r w:rsidRPr="000229AD">
              <w:rPr>
                <w:b/>
                <w:bCs/>
                <w:lang w:val="fr-FR"/>
              </w:rPr>
              <w:lastRenderedPageBreak/>
              <w:t>Projets: l</w:t>
            </w:r>
            <w:r w:rsidR="00125408" w:rsidRPr="000229AD">
              <w:rPr>
                <w:b/>
                <w:bCs/>
                <w:lang w:val="fr-FR"/>
              </w:rPr>
              <w:t>'</w:t>
            </w:r>
            <w:r w:rsidRPr="000229AD">
              <w:rPr>
                <w:b/>
                <w:bCs/>
                <w:lang w:val="fr-FR"/>
              </w:rPr>
              <w:t>UIT-D a élaboré des projets sur mesure dans la région du Gran Chaco (Amériques)</w:t>
            </w:r>
            <w:r w:rsidRPr="000229AD">
              <w:rPr>
                <w:lang w:val="fr-FR"/>
              </w:rPr>
              <w:t xml:space="preserve"> pour les jeunes issus de communautés isolées et autochtones. </w:t>
            </w:r>
            <w:r w:rsidRPr="000229AD">
              <w:rPr>
                <w:b/>
                <w:bCs/>
                <w:lang w:val="fr-FR"/>
              </w:rPr>
              <w:t>En Afrique,</w:t>
            </w:r>
            <w:r w:rsidRPr="000229AD">
              <w:rPr>
                <w:lang w:val="fr-FR"/>
              </w:rPr>
              <w:t xml:space="preserve"> dans le cadre de l</w:t>
            </w:r>
            <w:r w:rsidR="00125408" w:rsidRPr="000229AD">
              <w:rPr>
                <w:lang w:val="fr-FR"/>
              </w:rPr>
              <w:t>'</w:t>
            </w:r>
            <w:r w:rsidRPr="000229AD">
              <w:rPr>
                <w:lang w:val="fr-FR"/>
              </w:rPr>
              <w:t>"Initiative mondiale en faveur de la création d</w:t>
            </w:r>
            <w:r w:rsidR="00125408" w:rsidRPr="000229AD">
              <w:rPr>
                <w:lang w:val="fr-FR"/>
              </w:rPr>
              <w:t>'</w:t>
            </w:r>
            <w:r w:rsidRPr="000229AD">
              <w:rPr>
                <w:lang w:val="fr-FR"/>
              </w:rPr>
              <w:t xml:space="preserve">emplois décents pour les jeunes", et au niveau mondial, </w:t>
            </w:r>
            <w:r w:rsidRPr="000229AD">
              <w:rPr>
                <w:b/>
                <w:bCs/>
                <w:lang w:val="fr-FR"/>
              </w:rPr>
              <w:t>un programme triennal pour la formation des jeunes à la direction de projets de l</w:t>
            </w:r>
            <w:r w:rsidR="00125408" w:rsidRPr="000229AD">
              <w:rPr>
                <w:b/>
                <w:bCs/>
                <w:lang w:val="fr-FR"/>
              </w:rPr>
              <w:t>'</w:t>
            </w:r>
            <w:r w:rsidRPr="000229AD">
              <w:rPr>
                <w:b/>
                <w:bCs/>
                <w:lang w:val="fr-FR"/>
              </w:rPr>
              <w:t>initiative Generation Connect a été lancé en 2024 en collaboration avec Huawei</w:t>
            </w:r>
            <w:r w:rsidRPr="000229AD">
              <w:rPr>
                <w:lang w:val="fr-FR"/>
              </w:rPr>
              <w:t>.</w:t>
            </w:r>
          </w:p>
          <w:p w14:paraId="29BEE3F7" w14:textId="69BF5333" w:rsidR="00C24D14" w:rsidRPr="000229AD" w:rsidRDefault="00C24D14" w:rsidP="00716C22">
            <w:pPr>
              <w:pStyle w:val="Tabletext"/>
              <w:spacing w:after="120"/>
              <w:rPr>
                <w:rFonts w:ascii="Calibri" w:eastAsia="Calibri" w:hAnsi="Calibri" w:cs="Calibri"/>
                <w:lang w:val="fr-FR"/>
              </w:rPr>
            </w:pPr>
            <w:r w:rsidRPr="000229AD">
              <w:rPr>
                <w:b/>
                <w:bCs/>
                <w:lang w:val="fr-FR"/>
              </w:rPr>
              <w:t>Avis de spécialistes: l</w:t>
            </w:r>
            <w:r w:rsidR="00125408" w:rsidRPr="000229AD">
              <w:rPr>
                <w:b/>
                <w:bCs/>
                <w:lang w:val="fr-FR"/>
              </w:rPr>
              <w:t>'</w:t>
            </w:r>
            <w:r w:rsidRPr="000229AD">
              <w:rPr>
                <w:b/>
                <w:bCs/>
                <w:lang w:val="fr-FR"/>
              </w:rPr>
              <w:t>UIT-D s</w:t>
            </w:r>
            <w:r w:rsidR="00125408" w:rsidRPr="000229AD">
              <w:rPr>
                <w:b/>
                <w:bCs/>
                <w:lang w:val="fr-FR"/>
              </w:rPr>
              <w:t>'</w:t>
            </w:r>
            <w:r w:rsidRPr="000229AD">
              <w:rPr>
                <w:b/>
                <w:bCs/>
                <w:lang w:val="fr-FR"/>
              </w:rPr>
              <w:t>est employé à appuyer, par des conseils d</w:t>
            </w:r>
            <w:r w:rsidR="00125408" w:rsidRPr="000229AD">
              <w:rPr>
                <w:b/>
                <w:bCs/>
                <w:lang w:val="fr-FR"/>
              </w:rPr>
              <w:t>'</w:t>
            </w:r>
            <w:r w:rsidRPr="000229AD">
              <w:rPr>
                <w:b/>
                <w:bCs/>
                <w:lang w:val="fr-FR"/>
              </w:rPr>
              <w:t>experts et des informations sur les questions d</w:t>
            </w:r>
            <w:r w:rsidR="00125408" w:rsidRPr="000229AD">
              <w:rPr>
                <w:b/>
                <w:bCs/>
                <w:lang w:val="fr-FR"/>
              </w:rPr>
              <w:t>'</w:t>
            </w:r>
            <w:r w:rsidRPr="000229AD">
              <w:rPr>
                <w:b/>
                <w:bCs/>
                <w:lang w:val="fr-FR"/>
              </w:rPr>
              <w:t>inclusion numérique</w:t>
            </w:r>
            <w:r w:rsidRPr="000229AD">
              <w:rPr>
                <w:lang w:val="fr-FR"/>
              </w:rPr>
              <w:t xml:space="preserve"> (accessibilité des TIC, inclusion numérique des personnes âgées, questions de genre et autonomisation des jeunes pour la transformation numérique), les travaux des commissions d</w:t>
            </w:r>
            <w:r w:rsidR="00125408" w:rsidRPr="000229AD">
              <w:rPr>
                <w:lang w:val="fr-FR"/>
              </w:rPr>
              <w:t>'</w:t>
            </w:r>
            <w:r w:rsidRPr="000229AD">
              <w:rPr>
                <w:lang w:val="fr-FR"/>
              </w:rPr>
              <w:t>études de l</w:t>
            </w:r>
            <w:r w:rsidR="00125408" w:rsidRPr="000229AD">
              <w:rPr>
                <w:lang w:val="fr-FR"/>
              </w:rPr>
              <w:t>'</w:t>
            </w:r>
            <w:r w:rsidRPr="000229AD">
              <w:rPr>
                <w:lang w:val="fr-FR"/>
              </w:rPr>
              <w:t>UIT, les réunions et manifestations thématiques aux niveaux régional et mondial, ainsi que les rapports dans l</w:t>
            </w:r>
            <w:r w:rsidR="00125408" w:rsidRPr="000229AD">
              <w:rPr>
                <w:lang w:val="fr-FR"/>
              </w:rPr>
              <w:t>'</w:t>
            </w:r>
            <w:r w:rsidRPr="000229AD">
              <w:rPr>
                <w:lang w:val="fr-FR"/>
              </w:rPr>
              <w:t>ensemble du système des Nations Unies dans le cadre de travaux intersectoriels.</w:t>
            </w:r>
          </w:p>
          <w:p w14:paraId="1B3C40CA" w14:textId="21B08715" w:rsidR="00C24D14" w:rsidRPr="000229AD" w:rsidRDefault="00C24D14" w:rsidP="00716C22">
            <w:pPr>
              <w:pStyle w:val="Tabletext"/>
              <w:spacing w:after="120"/>
              <w:rPr>
                <w:rFonts w:ascii="Calibri" w:hAnsi="Calibri" w:cs="Calibri"/>
                <w:lang w:val="fr-FR"/>
              </w:rPr>
            </w:pPr>
            <w:r w:rsidRPr="000229AD">
              <w:rPr>
                <w:lang w:val="fr-FR"/>
              </w:rPr>
              <w:t>Dans le cadre du programme sur l</w:t>
            </w:r>
            <w:r w:rsidR="00125408" w:rsidRPr="000229AD">
              <w:rPr>
                <w:lang w:val="fr-FR"/>
              </w:rPr>
              <w:t>'</w:t>
            </w:r>
            <w:r w:rsidRPr="000229AD">
              <w:rPr>
                <w:b/>
                <w:bCs/>
                <w:lang w:val="fr-FR"/>
              </w:rPr>
              <w:t>accessibilité numérique</w:t>
            </w:r>
            <w:r w:rsidRPr="000229AD">
              <w:rPr>
                <w:lang w:val="fr-FR"/>
              </w:rPr>
              <w:t xml:space="preserve">, le BDT a contribué à </w:t>
            </w:r>
            <w:r w:rsidRPr="000229AD">
              <w:rPr>
                <w:b/>
                <w:bCs/>
                <w:lang w:val="fr-FR"/>
              </w:rPr>
              <w:t>mieux faire connaître l</w:t>
            </w:r>
            <w:r w:rsidR="00125408" w:rsidRPr="000229AD">
              <w:rPr>
                <w:b/>
                <w:bCs/>
                <w:lang w:val="fr-FR"/>
              </w:rPr>
              <w:t>'</w:t>
            </w:r>
            <w:r w:rsidRPr="000229AD">
              <w:rPr>
                <w:b/>
                <w:bCs/>
                <w:lang w:val="fr-FR"/>
              </w:rPr>
              <w:t>accessibilité numérique et les compétences numériques dans la région Asie-Pacifique</w:t>
            </w:r>
            <w:r w:rsidRPr="000229AD">
              <w:rPr>
                <w:lang w:val="fr-FR"/>
              </w:rPr>
              <w:t xml:space="preserve"> grâce à une collaboration et une intervention lors du Colloque international sur l</w:t>
            </w:r>
            <w:r w:rsidR="00125408" w:rsidRPr="000229AD">
              <w:rPr>
                <w:lang w:val="fr-FR"/>
              </w:rPr>
              <w:t>'</w:t>
            </w:r>
            <w:r w:rsidRPr="000229AD">
              <w:rPr>
                <w:lang w:val="fr-FR"/>
              </w:rPr>
              <w:t>inclusion numérique organisé par la Commission nationale de la radiodiffusion et des télécommunications de Thaïlande. Le BDT a présenté des publications et des outils en matière d</w:t>
            </w:r>
            <w:r w:rsidR="00125408" w:rsidRPr="000229AD">
              <w:rPr>
                <w:lang w:val="fr-FR"/>
              </w:rPr>
              <w:t>'</w:t>
            </w:r>
            <w:r w:rsidRPr="000229AD">
              <w:rPr>
                <w:lang w:val="fr-FR"/>
              </w:rPr>
              <w:t>accessibilité numériques, ainsi que des initiatives en matière de compétences numériques pour les personnes handicapées. Ces actions ont permis de renforcer le partenariat entre l</w:t>
            </w:r>
            <w:r w:rsidR="00125408" w:rsidRPr="000229AD">
              <w:rPr>
                <w:lang w:val="fr-FR"/>
              </w:rPr>
              <w:t>'</w:t>
            </w:r>
            <w:r w:rsidRPr="000229AD">
              <w:rPr>
                <w:lang w:val="fr-FR"/>
              </w:rPr>
              <w:t>UIT et la Commission nationale de la radiodiffusion et des télécommunications et la sensibilisation des organisations du secteur des TIC, de la société civile et les associations de personnes handicapées en Thaïlande. Cela a jeté les bases pour de futures initiatives en matière d</w:t>
            </w:r>
            <w:r w:rsidR="00125408" w:rsidRPr="000229AD">
              <w:rPr>
                <w:lang w:val="fr-FR"/>
              </w:rPr>
              <w:t>'</w:t>
            </w:r>
            <w:r w:rsidRPr="000229AD">
              <w:rPr>
                <w:lang w:val="fr-FR"/>
              </w:rPr>
              <w:t>accessibilité numérique. En outre, un guide visant à améliorer l</w:t>
            </w:r>
            <w:r w:rsidR="00125408" w:rsidRPr="000229AD">
              <w:rPr>
                <w:lang w:val="fr-FR"/>
              </w:rPr>
              <w:t>'</w:t>
            </w:r>
            <w:r w:rsidRPr="000229AD">
              <w:rPr>
                <w:lang w:val="fr-FR"/>
              </w:rPr>
              <w:t>accessibilité numérique et présentant, entre autres, les principes de conception universelle pour la fourniture de services et d</w:t>
            </w:r>
            <w:r w:rsidR="00125408" w:rsidRPr="000229AD">
              <w:rPr>
                <w:lang w:val="fr-FR"/>
              </w:rPr>
              <w:t>'</w:t>
            </w:r>
            <w:r w:rsidRPr="000229AD">
              <w:rPr>
                <w:lang w:val="fr-FR"/>
              </w:rPr>
              <w:t>applications numériques, notamment au moyen de dispositifs mobiles, a été élaboré dans le cadre de l</w:t>
            </w:r>
            <w:r w:rsidR="00125408" w:rsidRPr="000229AD">
              <w:rPr>
                <w:lang w:val="fr-FR"/>
              </w:rPr>
              <w:t>'</w:t>
            </w:r>
            <w:r w:rsidRPr="000229AD">
              <w:rPr>
                <w:lang w:val="fr-FR"/>
              </w:rPr>
              <w:t>initiative "Îles intelligentes et villages intelligents" à l</w:t>
            </w:r>
            <w:r w:rsidR="00125408" w:rsidRPr="000229AD">
              <w:rPr>
                <w:lang w:val="fr-FR"/>
              </w:rPr>
              <w:t>'</w:t>
            </w:r>
            <w:r w:rsidRPr="000229AD">
              <w:rPr>
                <w:lang w:val="fr-FR"/>
              </w:rPr>
              <w:t>intention des décideurs, des acteurs du secteur, des agences de développement et des organisations de la société civile.</w:t>
            </w:r>
          </w:p>
          <w:p w14:paraId="718E58DA" w14:textId="454BACAC" w:rsidR="00C24D14" w:rsidRPr="000229AD" w:rsidRDefault="00C24D14" w:rsidP="00716C22">
            <w:pPr>
              <w:pStyle w:val="Tabletext"/>
              <w:spacing w:after="120"/>
              <w:rPr>
                <w:rFonts w:ascii="Calibri" w:hAnsi="Calibri" w:cs="Calibri"/>
                <w:lang w:val="fr-FR"/>
              </w:rPr>
            </w:pPr>
            <w:r w:rsidRPr="000229AD">
              <w:rPr>
                <w:lang w:val="fr-FR"/>
              </w:rPr>
              <w:t>En collaboration avec le Ministère thaïlandais de l</w:t>
            </w:r>
            <w:r w:rsidR="00125408" w:rsidRPr="000229AD">
              <w:rPr>
                <w:lang w:val="fr-FR"/>
              </w:rPr>
              <w:t>'</w:t>
            </w:r>
            <w:r w:rsidRPr="000229AD">
              <w:rPr>
                <w:lang w:val="fr-FR"/>
              </w:rPr>
              <w:t>économie et de la société numériques et l</w:t>
            </w:r>
            <w:r w:rsidR="00125408" w:rsidRPr="000229AD">
              <w:rPr>
                <w:lang w:val="fr-FR"/>
              </w:rPr>
              <w:t>'</w:t>
            </w:r>
            <w:r w:rsidRPr="000229AD">
              <w:rPr>
                <w:lang w:val="fr-FR"/>
              </w:rPr>
              <w:t>OMS, l</w:t>
            </w:r>
            <w:r w:rsidR="00125408" w:rsidRPr="000229AD">
              <w:rPr>
                <w:lang w:val="fr-FR"/>
              </w:rPr>
              <w:t>'</w:t>
            </w:r>
            <w:r w:rsidRPr="000229AD">
              <w:rPr>
                <w:lang w:val="fr-FR"/>
              </w:rPr>
              <w:t>UIT a organisé une séance d</w:t>
            </w:r>
            <w:r w:rsidR="00125408" w:rsidRPr="000229AD">
              <w:rPr>
                <w:lang w:val="fr-FR"/>
              </w:rPr>
              <w:t>'</w:t>
            </w:r>
            <w:r w:rsidRPr="000229AD">
              <w:rPr>
                <w:lang w:val="fr-FR"/>
              </w:rPr>
              <w:t>information sur le vieillissement en bonne santé en Thaïlande grâce aux TIC. Cette séance a permis de mieux faire connaître les défis et les possibilités liés à l</w:t>
            </w:r>
            <w:r w:rsidR="00125408" w:rsidRPr="000229AD">
              <w:rPr>
                <w:lang w:val="fr-FR"/>
              </w:rPr>
              <w:t>'</w:t>
            </w:r>
            <w:r w:rsidRPr="000229AD">
              <w:rPr>
                <w:lang w:val="fr-FR"/>
              </w:rPr>
              <w:t>inclusion numérique et au vieillissement en bonne santé, et a encouragé la collaboration entre les parties prenantes. En réunissant les parties prenantes nationales, notamment les ministères, les universités et les organismes des Nations Unies, l</w:t>
            </w:r>
            <w:r w:rsidR="00125408" w:rsidRPr="000229AD">
              <w:rPr>
                <w:lang w:val="fr-FR"/>
              </w:rPr>
              <w:t>'</w:t>
            </w:r>
            <w:r w:rsidRPr="000229AD">
              <w:rPr>
                <w:lang w:val="fr-FR"/>
              </w:rPr>
              <w:t>initiative visait à soutenir la population âgée de Thaïlande à l</w:t>
            </w:r>
            <w:r w:rsidR="00125408" w:rsidRPr="000229AD">
              <w:rPr>
                <w:lang w:val="fr-FR"/>
              </w:rPr>
              <w:t>'</w:t>
            </w:r>
            <w:r w:rsidRPr="000229AD">
              <w:rPr>
                <w:lang w:val="fr-FR"/>
              </w:rPr>
              <w:t>ère numérique, en mettant en avant l</w:t>
            </w:r>
            <w:r w:rsidR="00125408" w:rsidRPr="000229AD">
              <w:rPr>
                <w:lang w:val="fr-FR"/>
              </w:rPr>
              <w:t>'</w:t>
            </w:r>
            <w:r w:rsidRPr="000229AD">
              <w:rPr>
                <w:lang w:val="fr-FR"/>
              </w:rPr>
              <w:t>importance d</w:t>
            </w:r>
            <w:r w:rsidR="00125408" w:rsidRPr="000229AD">
              <w:rPr>
                <w:lang w:val="fr-FR"/>
              </w:rPr>
              <w:t>'</w:t>
            </w:r>
            <w:r w:rsidRPr="000229AD">
              <w:rPr>
                <w:lang w:val="fr-FR"/>
              </w:rPr>
              <w:t>une approche collaborative et fondée sur des données factuelles pour élaborer des stratégies.</w:t>
            </w:r>
          </w:p>
          <w:p w14:paraId="7CF38A5E" w14:textId="0C6F59FE" w:rsidR="00C24D14" w:rsidRPr="000229AD" w:rsidRDefault="00C24D14" w:rsidP="00716C22">
            <w:pPr>
              <w:pStyle w:val="Tabletext"/>
              <w:keepNext/>
              <w:keepLines/>
              <w:spacing w:after="120"/>
              <w:rPr>
                <w:lang w:val="fr-FR"/>
              </w:rPr>
            </w:pPr>
            <w:r w:rsidRPr="000229AD">
              <w:rPr>
                <w:b/>
                <w:lang w:val="fr-FR"/>
              </w:rPr>
              <w:lastRenderedPageBreak/>
              <w:t>Dans la région Amériques</w:t>
            </w:r>
            <w:r w:rsidRPr="000229AD">
              <w:rPr>
                <w:bCs/>
                <w:lang w:val="fr-FR"/>
              </w:rPr>
              <w:t xml:space="preserve">, </w:t>
            </w:r>
            <w:r w:rsidRPr="000229AD">
              <w:rPr>
                <w:lang w:val="fr-FR"/>
              </w:rPr>
              <w:t>à l</w:t>
            </w:r>
            <w:r w:rsidR="00125408" w:rsidRPr="000229AD">
              <w:rPr>
                <w:lang w:val="fr-FR"/>
              </w:rPr>
              <w:t>'</w:t>
            </w:r>
            <w:r w:rsidRPr="000229AD">
              <w:rPr>
                <w:lang w:val="fr-FR"/>
              </w:rPr>
              <w:t>occasion de l</w:t>
            </w:r>
            <w:r w:rsidR="00125408" w:rsidRPr="000229AD">
              <w:rPr>
                <w:lang w:val="fr-FR"/>
              </w:rPr>
              <w:t>'</w:t>
            </w:r>
            <w:r w:rsidRPr="000229AD">
              <w:rPr>
                <w:lang w:val="fr-FR"/>
              </w:rPr>
              <w:t>initiative "Amériques accessibles" qui s</w:t>
            </w:r>
            <w:r w:rsidR="00125408" w:rsidRPr="000229AD">
              <w:rPr>
                <w:lang w:val="fr-FR"/>
              </w:rPr>
              <w:t>'</w:t>
            </w:r>
            <w:r w:rsidRPr="000229AD">
              <w:rPr>
                <w:lang w:val="fr-FR"/>
              </w:rPr>
              <w:t>est tenue en novembre 2023, le BDT a dispensé une formation à l</w:t>
            </w:r>
            <w:r w:rsidR="00125408" w:rsidRPr="000229AD">
              <w:rPr>
                <w:lang w:val="fr-FR"/>
              </w:rPr>
              <w:t>'</w:t>
            </w:r>
            <w:r w:rsidRPr="000229AD">
              <w:rPr>
                <w:lang w:val="fr-FR"/>
              </w:rPr>
              <w:t xml:space="preserve">intention des dirigeants, contribuant à </w:t>
            </w:r>
            <w:r w:rsidRPr="000229AD">
              <w:rPr>
                <w:b/>
                <w:bCs/>
                <w:lang w:val="fr-FR"/>
              </w:rPr>
              <w:t>sensibiliser davantage les États Membres à l</w:t>
            </w:r>
            <w:r w:rsidR="00125408" w:rsidRPr="000229AD">
              <w:rPr>
                <w:b/>
                <w:bCs/>
                <w:lang w:val="fr-FR"/>
              </w:rPr>
              <w:t>'</w:t>
            </w:r>
            <w:r w:rsidRPr="000229AD">
              <w:rPr>
                <w:b/>
                <w:bCs/>
                <w:lang w:val="fr-FR"/>
              </w:rPr>
              <w:t>inclusion numérique et à l</w:t>
            </w:r>
            <w:r w:rsidR="00125408" w:rsidRPr="000229AD">
              <w:rPr>
                <w:b/>
                <w:bCs/>
                <w:lang w:val="fr-FR"/>
              </w:rPr>
              <w:t>'</w:t>
            </w:r>
            <w:r w:rsidRPr="000229AD">
              <w:rPr>
                <w:b/>
                <w:bCs/>
                <w:lang w:val="fr-FR"/>
              </w:rPr>
              <w:t>accessibilité des TIC, comme en témoigne leur volonté d</w:t>
            </w:r>
            <w:r w:rsidR="00125408" w:rsidRPr="000229AD">
              <w:rPr>
                <w:b/>
                <w:bCs/>
                <w:lang w:val="fr-FR"/>
              </w:rPr>
              <w:t>'</w:t>
            </w:r>
            <w:r w:rsidRPr="000229AD">
              <w:rPr>
                <w:b/>
                <w:bCs/>
                <w:lang w:val="fr-FR"/>
              </w:rPr>
              <w:t>adopter des politiques et des stratégies en matière d</w:t>
            </w:r>
            <w:r w:rsidR="00125408" w:rsidRPr="000229AD">
              <w:rPr>
                <w:b/>
                <w:bCs/>
                <w:lang w:val="fr-FR"/>
              </w:rPr>
              <w:t>'</w:t>
            </w:r>
            <w:r w:rsidRPr="000229AD">
              <w:rPr>
                <w:b/>
                <w:bCs/>
                <w:lang w:val="fr-FR"/>
              </w:rPr>
              <w:t>accessibilité des</w:t>
            </w:r>
            <w:r w:rsidR="00E30F20" w:rsidRPr="000229AD">
              <w:rPr>
                <w:b/>
                <w:bCs/>
                <w:lang w:val="fr-FR"/>
              </w:rPr>
              <w:t> </w:t>
            </w:r>
            <w:r w:rsidRPr="000229AD">
              <w:rPr>
                <w:b/>
                <w:bCs/>
                <w:lang w:val="fr-FR"/>
              </w:rPr>
              <w:t>TIC au niveau national</w:t>
            </w:r>
            <w:r w:rsidRPr="000229AD">
              <w:rPr>
                <w:lang w:val="fr-FR"/>
              </w:rPr>
              <w:t>. L</w:t>
            </w:r>
            <w:r w:rsidR="00125408" w:rsidRPr="000229AD">
              <w:rPr>
                <w:lang w:val="fr-FR"/>
              </w:rPr>
              <w:t>'</w:t>
            </w:r>
            <w:r w:rsidRPr="000229AD">
              <w:rPr>
                <w:lang w:val="fr-FR"/>
              </w:rPr>
              <w:t>initiative "Amériques accessibles" a donné aux États Membres l</w:t>
            </w:r>
            <w:r w:rsidR="00125408" w:rsidRPr="000229AD">
              <w:rPr>
                <w:lang w:val="fr-FR"/>
              </w:rPr>
              <w:t>'</w:t>
            </w:r>
            <w:r w:rsidRPr="000229AD">
              <w:rPr>
                <w:lang w:val="fr-FR"/>
              </w:rPr>
              <w:t>occasion d</w:t>
            </w:r>
            <w:r w:rsidR="00125408" w:rsidRPr="000229AD">
              <w:rPr>
                <w:lang w:val="fr-FR"/>
              </w:rPr>
              <w:t>'</w:t>
            </w:r>
            <w:r w:rsidRPr="000229AD">
              <w:rPr>
                <w:lang w:val="fr-FR"/>
              </w:rPr>
              <w:t>échanger les bonnes pratiques en matière de politiques numériques dans le domaine des TIC et de promouvoir l</w:t>
            </w:r>
            <w:r w:rsidR="00125408" w:rsidRPr="000229AD">
              <w:rPr>
                <w:lang w:val="fr-FR"/>
              </w:rPr>
              <w:t>'</w:t>
            </w:r>
            <w:r w:rsidRPr="000229AD">
              <w:rPr>
                <w:lang w:val="fr-FR"/>
              </w:rPr>
              <w:t>inclusion numérique. En outre, une formation sur les compétences en gestion de projets et la maintenance des réseaux TIC a été organisée à l</w:t>
            </w:r>
            <w:r w:rsidR="00125408" w:rsidRPr="000229AD">
              <w:rPr>
                <w:lang w:val="fr-FR"/>
              </w:rPr>
              <w:t>'</w:t>
            </w:r>
            <w:r w:rsidRPr="000229AD">
              <w:rPr>
                <w:lang w:val="fr-FR"/>
              </w:rPr>
              <w:t>intention des communautés autochtones et isolées d</w:t>
            </w:r>
            <w:r w:rsidR="00125408" w:rsidRPr="000229AD">
              <w:rPr>
                <w:lang w:val="fr-FR"/>
              </w:rPr>
              <w:t>'</w:t>
            </w:r>
            <w:r w:rsidRPr="000229AD">
              <w:rPr>
                <w:lang w:val="fr-FR"/>
              </w:rPr>
              <w:t>Amérique latine. Suivie par 37 participants de 10 pays, la formation a mis l</w:t>
            </w:r>
            <w:r w:rsidR="00125408" w:rsidRPr="000229AD">
              <w:rPr>
                <w:lang w:val="fr-FR"/>
              </w:rPr>
              <w:t>'</w:t>
            </w:r>
            <w:r w:rsidRPr="000229AD">
              <w:rPr>
                <w:lang w:val="fr-FR"/>
              </w:rPr>
              <w:t>accent sur l</w:t>
            </w:r>
            <w:r w:rsidR="00125408" w:rsidRPr="000229AD">
              <w:rPr>
                <w:lang w:val="fr-FR"/>
              </w:rPr>
              <w:t>'</w:t>
            </w:r>
            <w:r w:rsidRPr="000229AD">
              <w:rPr>
                <w:lang w:val="fr-FR"/>
              </w:rPr>
              <w:t>application pratique des connaissances pour conférer aux individus des communautés autochtones et rurales une autonomie accrue.</w:t>
            </w:r>
          </w:p>
          <w:p w14:paraId="5510E700" w14:textId="40180364" w:rsidR="00E07F09" w:rsidRPr="000229AD" w:rsidRDefault="00C24D14" w:rsidP="00716C22">
            <w:pPr>
              <w:pStyle w:val="Tabletext"/>
              <w:spacing w:after="120"/>
              <w:rPr>
                <w:rFonts w:eastAsia="Times New Roman"/>
                <w:lang w:val="fr-FR"/>
              </w:rPr>
            </w:pPr>
            <w:r w:rsidRPr="000229AD">
              <w:rPr>
                <w:b/>
                <w:lang w:val="fr-FR"/>
              </w:rPr>
              <w:t>Dans la région Europe</w:t>
            </w:r>
            <w:r w:rsidRPr="000229AD">
              <w:rPr>
                <w:bCs/>
                <w:lang w:val="fr-FR"/>
              </w:rPr>
              <w:t xml:space="preserve">, </w:t>
            </w:r>
            <w:r w:rsidRPr="000229AD">
              <w:rPr>
                <w:lang w:val="fr-FR"/>
              </w:rPr>
              <w:t>le Forum régional pour l</w:t>
            </w:r>
            <w:r w:rsidR="00125408" w:rsidRPr="000229AD">
              <w:rPr>
                <w:lang w:val="fr-FR"/>
              </w:rPr>
              <w:t>'</w:t>
            </w:r>
            <w:r w:rsidRPr="000229AD">
              <w:rPr>
                <w:lang w:val="fr-FR"/>
              </w:rPr>
              <w:t xml:space="preserve">Europe </w:t>
            </w:r>
            <w:r w:rsidRPr="000229AD">
              <w:rPr>
                <w:b/>
                <w:bCs/>
                <w:lang w:val="fr-FR"/>
              </w:rPr>
              <w:t>"Europe accessible: les TIC pour TOUS"</w:t>
            </w:r>
            <w:r w:rsidRPr="000229AD">
              <w:rPr>
                <w:lang w:val="fr-FR"/>
              </w:rPr>
              <w:t xml:space="preserve"> a été organisé en partenariat avec la CE et le Centre européen de ressources en matière d</w:t>
            </w:r>
            <w:r w:rsidR="00125408" w:rsidRPr="000229AD">
              <w:rPr>
                <w:lang w:val="fr-FR"/>
              </w:rPr>
              <w:t>'</w:t>
            </w:r>
            <w:r w:rsidRPr="000229AD">
              <w:rPr>
                <w:lang w:val="fr-FR"/>
              </w:rPr>
              <w:t>accessibilité. Il a rassemblé plus de 400 parties prenantes de 50 pays, et a permis à toutes les parties concernées de renforcer leurs connaissances, de recenser les possibilités de partenariat, d</w:t>
            </w:r>
            <w:r w:rsidR="00125408" w:rsidRPr="000229AD">
              <w:rPr>
                <w:lang w:val="fr-FR"/>
              </w:rPr>
              <w:t>'</w:t>
            </w:r>
            <w:r w:rsidRPr="000229AD">
              <w:rPr>
                <w:lang w:val="fr-FR"/>
              </w:rPr>
              <w:t>unir leurs forces, d</w:t>
            </w:r>
            <w:r w:rsidR="00125408" w:rsidRPr="000229AD">
              <w:rPr>
                <w:lang w:val="fr-FR"/>
              </w:rPr>
              <w:t>'</w:t>
            </w:r>
            <w:r w:rsidRPr="000229AD">
              <w:rPr>
                <w:lang w:val="fr-FR"/>
              </w:rPr>
              <w:t>échanger les bonnes pratiques et d</w:t>
            </w:r>
            <w:r w:rsidR="00125408" w:rsidRPr="000229AD">
              <w:rPr>
                <w:lang w:val="fr-FR"/>
              </w:rPr>
              <w:t>'</w:t>
            </w:r>
            <w:r w:rsidRPr="000229AD">
              <w:rPr>
                <w:lang w:val="fr-FR"/>
              </w:rPr>
              <w:t>établir des bases solides pour la coopération future en faveur de l</w:t>
            </w:r>
            <w:r w:rsidR="00125408" w:rsidRPr="000229AD">
              <w:rPr>
                <w:lang w:val="fr-FR"/>
              </w:rPr>
              <w:t>'</w:t>
            </w:r>
            <w:r w:rsidRPr="000229AD">
              <w:rPr>
                <w:lang w:val="fr-FR"/>
              </w:rPr>
              <w:t>accessibilité numérique.</w:t>
            </w:r>
          </w:p>
        </w:tc>
        <w:tc>
          <w:tcPr>
            <w:tcW w:w="2850" w:type="dxa"/>
            <w:tcBorders>
              <w:top w:val="dotted" w:sz="4" w:space="0" w:color="0070C0"/>
              <w:left w:val="dotted" w:sz="4" w:space="0" w:color="0070C0"/>
              <w:bottom w:val="dotted" w:sz="4" w:space="0" w:color="0070C0"/>
              <w:right w:val="dotted" w:sz="4" w:space="0" w:color="0070C0"/>
            </w:tcBorders>
            <w:shd w:val="clear" w:color="auto" w:fill="auto"/>
          </w:tcPr>
          <w:p w14:paraId="6287ADFB" w14:textId="4336E7CC" w:rsidR="00E07F09" w:rsidRPr="000229AD" w:rsidRDefault="00E07F09" w:rsidP="00716C22">
            <w:pPr>
              <w:pStyle w:val="Tabletext"/>
              <w:spacing w:before="80" w:after="0"/>
              <w:ind w:left="284" w:hanging="284"/>
              <w:rPr>
                <w:rFonts w:ascii="Calibri" w:hAnsi="Calibri"/>
                <w:lang w:val="fr-FR"/>
              </w:rPr>
            </w:pPr>
          </w:p>
        </w:tc>
      </w:tr>
      <w:tr w:rsidR="00E07F09" w:rsidRPr="000229AD" w14:paraId="4C47FA2B" w14:textId="77777777" w:rsidTr="002263FE">
        <w:tc>
          <w:tcPr>
            <w:tcW w:w="2972" w:type="dxa"/>
            <w:tcBorders>
              <w:top w:val="dotted" w:sz="4" w:space="0" w:color="0070C0"/>
              <w:left w:val="dotted" w:sz="4" w:space="0" w:color="0070C0"/>
              <w:bottom w:val="dotted" w:sz="4" w:space="0" w:color="0070C0"/>
              <w:right w:val="dotted" w:sz="4" w:space="0" w:color="0070C0"/>
            </w:tcBorders>
          </w:tcPr>
          <w:p w14:paraId="17C22006" w14:textId="77777777" w:rsidR="00E07F09" w:rsidRPr="000229AD" w:rsidRDefault="00E07F09" w:rsidP="002263FE">
            <w:pPr>
              <w:pStyle w:val="Tabletext"/>
              <w:rPr>
                <w:b/>
                <w:bCs/>
                <w:lang w:val="fr-FR"/>
              </w:rPr>
            </w:pPr>
            <w:r w:rsidRPr="000229AD">
              <w:rPr>
                <w:b/>
                <w:bCs/>
                <w:lang w:val="fr-FR"/>
              </w:rPr>
              <w:lastRenderedPageBreak/>
              <w:t>Contribution à la réalisation des cibles des ODD</w:t>
            </w:r>
          </w:p>
        </w:tc>
        <w:tc>
          <w:tcPr>
            <w:tcW w:w="11895" w:type="dxa"/>
            <w:gridSpan w:val="2"/>
            <w:tcBorders>
              <w:top w:val="dotted" w:sz="4" w:space="0" w:color="0070C0"/>
              <w:left w:val="dotted" w:sz="4" w:space="0" w:color="0070C0"/>
              <w:bottom w:val="dotted" w:sz="4" w:space="0" w:color="0070C0"/>
              <w:right w:val="dotted" w:sz="4" w:space="0" w:color="0070C0"/>
            </w:tcBorders>
          </w:tcPr>
          <w:p w14:paraId="0D5335EA" w14:textId="77777777" w:rsidR="00E07F09" w:rsidRPr="000229AD" w:rsidRDefault="00E07F09" w:rsidP="002263FE">
            <w:pPr>
              <w:pStyle w:val="Tabletext"/>
              <w:rPr>
                <w:lang w:val="fr-FR"/>
              </w:rPr>
            </w:pPr>
            <w:r w:rsidRPr="000229AD">
              <w:rPr>
                <w:lang w:val="fr-FR"/>
              </w:rPr>
              <w:t>1, 3, 4, 5, 8, 9, 10, 11, 16, 17</w:t>
            </w:r>
          </w:p>
        </w:tc>
      </w:tr>
      <w:tr w:rsidR="00E07F09" w:rsidRPr="000229AD" w14:paraId="7B0EE867" w14:textId="77777777" w:rsidTr="002263FE">
        <w:tc>
          <w:tcPr>
            <w:tcW w:w="2972" w:type="dxa"/>
            <w:tcBorders>
              <w:top w:val="dotted" w:sz="4" w:space="0" w:color="0070C0"/>
              <w:left w:val="dotted" w:sz="4" w:space="0" w:color="0070C0"/>
              <w:bottom w:val="dotted" w:sz="4" w:space="0" w:color="0070C0"/>
              <w:right w:val="dotted" w:sz="4" w:space="0" w:color="0070C0"/>
            </w:tcBorders>
          </w:tcPr>
          <w:p w14:paraId="00552B40" w14:textId="77777777" w:rsidR="00E07F09" w:rsidRPr="000229AD" w:rsidRDefault="00E07F09" w:rsidP="002263FE">
            <w:pPr>
              <w:pStyle w:val="Tabletext"/>
              <w:rPr>
                <w:b/>
                <w:bCs/>
                <w:lang w:val="fr-FR"/>
              </w:rPr>
            </w:pPr>
            <w:r w:rsidRPr="000229AD">
              <w:rPr>
                <w:b/>
                <w:bCs/>
                <w:lang w:val="fr-FR"/>
              </w:rPr>
              <w:t>Grandes orientations du SMSI</w:t>
            </w:r>
          </w:p>
        </w:tc>
        <w:tc>
          <w:tcPr>
            <w:tcW w:w="11895" w:type="dxa"/>
            <w:gridSpan w:val="2"/>
            <w:tcBorders>
              <w:top w:val="dotted" w:sz="4" w:space="0" w:color="0070C0"/>
              <w:left w:val="dotted" w:sz="4" w:space="0" w:color="0070C0"/>
              <w:bottom w:val="dotted" w:sz="4" w:space="0" w:color="0070C0"/>
              <w:right w:val="dotted" w:sz="4" w:space="0" w:color="0070C0"/>
            </w:tcBorders>
          </w:tcPr>
          <w:p w14:paraId="5E68F1BE" w14:textId="77777777" w:rsidR="00E07F09" w:rsidRPr="000229AD" w:rsidRDefault="00E07F09" w:rsidP="002263FE">
            <w:pPr>
              <w:pStyle w:val="Tabletext"/>
              <w:rPr>
                <w:lang w:val="fr-FR"/>
              </w:rPr>
            </w:pPr>
            <w:r w:rsidRPr="000229AD">
              <w:rPr>
                <w:lang w:val="fr-FR"/>
              </w:rPr>
              <w:t>C1, C2, C3, C4, C5, C6, C7, C11</w:t>
            </w:r>
          </w:p>
        </w:tc>
      </w:tr>
      <w:tr w:rsidR="00E07F09" w:rsidRPr="000229AD" w14:paraId="684E6509" w14:textId="77777777" w:rsidTr="002263FE">
        <w:tc>
          <w:tcPr>
            <w:tcW w:w="2972" w:type="dxa"/>
            <w:tcBorders>
              <w:top w:val="dotted" w:sz="4" w:space="0" w:color="0070C0"/>
              <w:left w:val="dotted" w:sz="4" w:space="0" w:color="0070C0"/>
              <w:bottom w:val="dotted" w:sz="4" w:space="0" w:color="0070C0"/>
              <w:right w:val="dotted" w:sz="4" w:space="0" w:color="0070C0"/>
            </w:tcBorders>
          </w:tcPr>
          <w:p w14:paraId="05F6B29B" w14:textId="77777777" w:rsidR="00E07F09" w:rsidRPr="000229AD" w:rsidRDefault="00E07F09" w:rsidP="002263FE">
            <w:pPr>
              <w:pStyle w:val="Tabletext"/>
              <w:rPr>
                <w:b/>
                <w:bCs/>
                <w:lang w:val="fr-FR"/>
              </w:rPr>
            </w:pPr>
            <w:r w:rsidRPr="000229AD">
              <w:rPr>
                <w:b/>
                <w:bCs/>
                <w:lang w:val="fr-FR"/>
              </w:rPr>
              <w:t>Résolutions</w:t>
            </w:r>
          </w:p>
        </w:tc>
        <w:tc>
          <w:tcPr>
            <w:tcW w:w="11895" w:type="dxa"/>
            <w:gridSpan w:val="2"/>
            <w:tcBorders>
              <w:top w:val="dotted" w:sz="4" w:space="0" w:color="0070C0"/>
              <w:left w:val="dotted" w:sz="4" w:space="0" w:color="0070C0"/>
              <w:bottom w:val="dotted" w:sz="4" w:space="0" w:color="0070C0"/>
              <w:right w:val="dotted" w:sz="4" w:space="0" w:color="0070C0"/>
            </w:tcBorders>
          </w:tcPr>
          <w:p w14:paraId="642E8919" w14:textId="77777777" w:rsidR="00E07F09" w:rsidRPr="000229AD" w:rsidRDefault="00E07F09" w:rsidP="002263FE">
            <w:pPr>
              <w:pStyle w:val="Tabletext"/>
              <w:rPr>
                <w:lang w:val="fr-FR"/>
              </w:rPr>
            </w:pPr>
            <w:r w:rsidRPr="000229AD">
              <w:rPr>
                <w:lang w:val="fr-FR"/>
              </w:rPr>
              <w:t>70, 175, 179, 184 et 198 de la PP; 46, 55, 58, 67, 76 de la CMDT; Question 7/1</w:t>
            </w:r>
          </w:p>
        </w:tc>
      </w:tr>
    </w:tbl>
    <w:p w14:paraId="22870C1F" w14:textId="198EE430" w:rsidR="00C24D14" w:rsidRPr="000229AD" w:rsidRDefault="00C24D14" w:rsidP="00716C22">
      <w:pPr>
        <w:tabs>
          <w:tab w:val="clear" w:pos="794"/>
          <w:tab w:val="clear" w:pos="1191"/>
          <w:tab w:val="clear" w:pos="1588"/>
          <w:tab w:val="clear" w:pos="1985"/>
        </w:tabs>
        <w:overflowPunct/>
        <w:autoSpaceDE/>
        <w:autoSpaceDN/>
        <w:adjustRightInd/>
        <w:spacing w:before="0"/>
        <w:textAlignment w:val="auto"/>
        <w:rPr>
          <w:lang w:val="fr-FR"/>
        </w:rPr>
      </w:pPr>
      <w:r w:rsidRPr="000229AD">
        <w:rPr>
          <w:lang w:val="fr-FR"/>
        </w:rPr>
        <w:br w:type="page"/>
      </w:r>
    </w:p>
    <w:tbl>
      <w:tblPr>
        <w:tblStyle w:val="TableGrid10"/>
        <w:tblW w:w="14867" w:type="dxa"/>
        <w:tblLayout w:type="fixed"/>
        <w:tblLook w:val="04A0" w:firstRow="1" w:lastRow="0" w:firstColumn="1" w:lastColumn="0" w:noHBand="0" w:noVBand="1"/>
      </w:tblPr>
      <w:tblGrid>
        <w:gridCol w:w="2972"/>
        <w:gridCol w:w="9064"/>
        <w:gridCol w:w="2831"/>
      </w:tblGrid>
      <w:tr w:rsidR="00E07F09" w:rsidRPr="000229AD" w14:paraId="1948DC6D" w14:textId="77777777" w:rsidTr="00E30F20">
        <w:trPr>
          <w:trHeight w:val="300"/>
        </w:trPr>
        <w:tc>
          <w:tcPr>
            <w:tcW w:w="14867" w:type="dxa"/>
            <w:gridSpan w:val="3"/>
            <w:tcBorders>
              <w:top w:val="dotted" w:sz="4" w:space="0" w:color="0070C0"/>
              <w:left w:val="dotted" w:sz="4" w:space="0" w:color="0070C0"/>
              <w:bottom w:val="dotted" w:sz="4" w:space="0" w:color="0070C0"/>
              <w:right w:val="dotted" w:sz="4" w:space="0" w:color="0070C0"/>
            </w:tcBorders>
            <w:shd w:val="clear" w:color="auto" w:fill="365F91" w:themeFill="accent1" w:themeFillShade="BF"/>
          </w:tcPr>
          <w:p w14:paraId="31E8D2C9" w14:textId="608B063D" w:rsidR="00E07F09" w:rsidRPr="000229AD" w:rsidRDefault="00E07F09" w:rsidP="00716C22">
            <w:pPr>
              <w:pStyle w:val="Tablehead"/>
              <w:keepNext w:val="0"/>
              <w:rPr>
                <w:color w:val="FFFFFF" w:themeColor="background1"/>
                <w:lang w:val="fr-FR"/>
              </w:rPr>
            </w:pPr>
            <w:r w:rsidRPr="000229AD">
              <w:rPr>
                <w:color w:val="FFFFFF" w:themeColor="background1"/>
                <w:lang w:val="fr-FR"/>
              </w:rPr>
              <w:lastRenderedPageBreak/>
              <w:t>Catalyseur 4 de l</w:t>
            </w:r>
            <w:r w:rsidR="00125408" w:rsidRPr="000229AD">
              <w:rPr>
                <w:color w:val="FFFFFF" w:themeColor="background1"/>
                <w:lang w:val="fr-FR"/>
              </w:rPr>
              <w:t>'</w:t>
            </w:r>
            <w:r w:rsidRPr="000229AD">
              <w:rPr>
                <w:color w:val="FFFFFF" w:themeColor="background1"/>
                <w:lang w:val="fr-FR"/>
              </w:rPr>
              <w:t>UIT-D: Engagement en faveur de la durabilité environnementale</w:t>
            </w:r>
          </w:p>
          <w:p w14:paraId="4BEB3479" w14:textId="258991AB" w:rsidR="00E07F09" w:rsidRPr="000229AD" w:rsidRDefault="00E07F09" w:rsidP="00716C22">
            <w:pPr>
              <w:pStyle w:val="Tablehead"/>
              <w:keepNext w:val="0"/>
              <w:rPr>
                <w:i/>
                <w:iCs/>
                <w:lang w:val="fr-FR"/>
              </w:rPr>
            </w:pPr>
            <w:r w:rsidRPr="000229AD">
              <w:rPr>
                <w:i/>
                <w:iCs/>
                <w:color w:val="FFFFFF" w:themeColor="background1"/>
                <w:lang w:val="fr-FR"/>
              </w:rPr>
              <w:t>Élaboration des stratégies et des solutions sur l</w:t>
            </w:r>
            <w:r w:rsidR="00125408" w:rsidRPr="000229AD">
              <w:rPr>
                <w:i/>
                <w:iCs/>
                <w:color w:val="FFFFFF" w:themeColor="background1"/>
                <w:lang w:val="fr-FR"/>
              </w:rPr>
              <w:t>'</w:t>
            </w:r>
            <w:r w:rsidRPr="000229AD">
              <w:rPr>
                <w:i/>
                <w:iCs/>
                <w:color w:val="FFFFFF" w:themeColor="background1"/>
                <w:lang w:val="fr-FR"/>
              </w:rPr>
              <w:t>adaptation au changement climatique</w:t>
            </w:r>
          </w:p>
        </w:tc>
      </w:tr>
      <w:tr w:rsidR="00E07F09" w:rsidRPr="000229AD" w14:paraId="101942F8" w14:textId="77777777" w:rsidTr="00E30F20">
        <w:trPr>
          <w:trHeight w:val="300"/>
        </w:trPr>
        <w:tc>
          <w:tcPr>
            <w:tcW w:w="14867" w:type="dxa"/>
            <w:gridSpan w:val="3"/>
            <w:tcBorders>
              <w:top w:val="dotted" w:sz="4" w:space="0" w:color="0070C0"/>
              <w:left w:val="dotted" w:sz="4" w:space="0" w:color="0070C0"/>
              <w:bottom w:val="dotted" w:sz="4" w:space="0" w:color="0070C0"/>
              <w:right w:val="dotted" w:sz="4" w:space="0" w:color="0070C0"/>
            </w:tcBorders>
            <w:shd w:val="clear" w:color="auto" w:fill="E5DFEC" w:themeFill="accent4" w:themeFillTint="33"/>
          </w:tcPr>
          <w:p w14:paraId="1B3D0C9A" w14:textId="0CCAEE1C" w:rsidR="00E07F09" w:rsidRPr="000229AD" w:rsidRDefault="00E07F09" w:rsidP="00716C22">
            <w:pPr>
              <w:pStyle w:val="Tabletext"/>
              <w:spacing w:before="120"/>
              <w:rPr>
                <w:b/>
                <w:bCs/>
                <w:i/>
                <w:iCs/>
                <w:lang w:val="fr-FR"/>
              </w:rPr>
            </w:pPr>
            <w:r w:rsidRPr="000229AD">
              <w:rPr>
                <w:b/>
                <w:i/>
                <w:iCs/>
                <w:lang w:val="fr-FR"/>
              </w:rPr>
              <w:t>Réalisation</w:t>
            </w:r>
            <w:r w:rsidRPr="000229AD">
              <w:rPr>
                <w:bCs/>
                <w:i/>
                <w:iCs/>
                <w:lang w:val="fr-FR"/>
              </w:rPr>
              <w:t>:</w:t>
            </w:r>
            <w:r w:rsidRPr="000229AD">
              <w:rPr>
                <w:i/>
                <w:iCs/>
                <w:lang w:val="fr-FR"/>
              </w:rPr>
              <w:t xml:space="preserve"> renforcement de la capacité des membres de l</w:t>
            </w:r>
            <w:r w:rsidR="00125408" w:rsidRPr="000229AD">
              <w:rPr>
                <w:i/>
                <w:iCs/>
                <w:lang w:val="fr-FR"/>
              </w:rPr>
              <w:t>'</w:t>
            </w:r>
            <w:r w:rsidRPr="000229AD">
              <w:rPr>
                <w:i/>
                <w:iCs/>
                <w:lang w:val="fr-FR"/>
              </w:rPr>
              <w:t>UIT de concevoir des stratégies et des solutions de télécommunication/TIC relatives à l</w:t>
            </w:r>
            <w:r w:rsidR="00125408" w:rsidRPr="000229AD">
              <w:rPr>
                <w:i/>
                <w:iCs/>
                <w:lang w:val="fr-FR"/>
              </w:rPr>
              <w:t>'</w:t>
            </w:r>
            <w:r w:rsidRPr="000229AD">
              <w:rPr>
                <w:i/>
                <w:iCs/>
                <w:lang w:val="fr-FR"/>
              </w:rPr>
              <w:t>adaptation aux effets des changements climatiques et à l</w:t>
            </w:r>
            <w:r w:rsidR="00125408" w:rsidRPr="000229AD">
              <w:rPr>
                <w:i/>
                <w:iCs/>
                <w:lang w:val="fr-FR"/>
              </w:rPr>
              <w:t>'</w:t>
            </w:r>
            <w:r w:rsidRPr="000229AD">
              <w:rPr>
                <w:i/>
                <w:iCs/>
                <w:lang w:val="fr-FR"/>
              </w:rPr>
              <w:t>atténuation de ces effets ainsi qu</w:t>
            </w:r>
            <w:r w:rsidR="00125408" w:rsidRPr="000229AD">
              <w:rPr>
                <w:i/>
                <w:iCs/>
                <w:lang w:val="fr-FR"/>
              </w:rPr>
              <w:t>'</w:t>
            </w:r>
            <w:r w:rsidRPr="000229AD">
              <w:rPr>
                <w:i/>
                <w:iCs/>
                <w:lang w:val="fr-FR"/>
              </w:rPr>
              <w:t>à l</w:t>
            </w:r>
            <w:r w:rsidR="00125408" w:rsidRPr="000229AD">
              <w:rPr>
                <w:i/>
                <w:iCs/>
                <w:lang w:val="fr-FR"/>
              </w:rPr>
              <w:t>'</w:t>
            </w:r>
            <w:r w:rsidRPr="000229AD">
              <w:rPr>
                <w:i/>
                <w:iCs/>
                <w:lang w:val="fr-FR"/>
              </w:rPr>
              <w:t>utilisation d</w:t>
            </w:r>
            <w:r w:rsidR="00125408" w:rsidRPr="000229AD">
              <w:rPr>
                <w:i/>
                <w:iCs/>
                <w:lang w:val="fr-FR"/>
              </w:rPr>
              <w:t>'</w:t>
            </w:r>
            <w:r w:rsidRPr="000229AD">
              <w:rPr>
                <w:i/>
                <w:iCs/>
                <w:lang w:val="fr-FR"/>
              </w:rPr>
              <w:t>énergies vertes/renouvelables.</w:t>
            </w:r>
          </w:p>
        </w:tc>
      </w:tr>
      <w:tr w:rsidR="00E07F09" w:rsidRPr="000229AD" w14:paraId="78DB3212" w14:textId="77777777" w:rsidTr="00E30F20">
        <w:trPr>
          <w:trHeight w:val="300"/>
        </w:trPr>
        <w:tc>
          <w:tcPr>
            <w:tcW w:w="12036" w:type="dxa"/>
            <w:gridSpan w:val="2"/>
            <w:tcBorders>
              <w:top w:val="dotted" w:sz="4" w:space="0" w:color="0070C0"/>
              <w:left w:val="dotted" w:sz="4" w:space="0" w:color="0070C0"/>
              <w:bottom w:val="dotted" w:sz="4" w:space="0" w:color="0070C0"/>
              <w:right w:val="dotted" w:sz="4" w:space="0" w:color="0070C0"/>
            </w:tcBorders>
          </w:tcPr>
          <w:p w14:paraId="342AE176" w14:textId="77777777" w:rsidR="00E07F09" w:rsidRPr="000229AD" w:rsidRDefault="00E07F09" w:rsidP="00716C22">
            <w:pPr>
              <w:pStyle w:val="Tablehead"/>
              <w:keepNext w:val="0"/>
              <w:rPr>
                <w:lang w:val="fr-FR"/>
              </w:rPr>
            </w:pPr>
            <w:r w:rsidRPr="000229AD">
              <w:rPr>
                <w:lang w:val="fr-FR"/>
              </w:rPr>
              <w:t>Produits</w:t>
            </w:r>
          </w:p>
        </w:tc>
        <w:tc>
          <w:tcPr>
            <w:tcW w:w="2831" w:type="dxa"/>
            <w:tcBorders>
              <w:top w:val="dotted" w:sz="4" w:space="0" w:color="0070C0"/>
              <w:left w:val="dotted" w:sz="4" w:space="0" w:color="0070C0"/>
              <w:bottom w:val="dotted" w:sz="4" w:space="0" w:color="0070C0"/>
              <w:right w:val="dotted" w:sz="4" w:space="0" w:color="0070C0"/>
            </w:tcBorders>
          </w:tcPr>
          <w:p w14:paraId="6C183CA3" w14:textId="77777777" w:rsidR="00E07F09" w:rsidRPr="000229AD" w:rsidRDefault="00E07F09" w:rsidP="00716C22">
            <w:pPr>
              <w:pStyle w:val="Tablehead"/>
              <w:keepNext w:val="0"/>
              <w:rPr>
                <w:lang w:val="fr-FR"/>
              </w:rPr>
            </w:pPr>
            <w:r w:rsidRPr="000229AD">
              <w:rPr>
                <w:lang w:val="fr-FR"/>
              </w:rPr>
              <w:t>Points clés</w:t>
            </w:r>
          </w:p>
        </w:tc>
      </w:tr>
      <w:tr w:rsidR="00574AEA" w:rsidRPr="000229AD" w14:paraId="63381EA2" w14:textId="77777777" w:rsidTr="00E30F20">
        <w:trPr>
          <w:trHeight w:val="300"/>
        </w:trPr>
        <w:tc>
          <w:tcPr>
            <w:tcW w:w="12036" w:type="dxa"/>
            <w:gridSpan w:val="2"/>
            <w:tcBorders>
              <w:top w:val="dotted" w:sz="4" w:space="0" w:color="0070C0"/>
              <w:left w:val="dotted" w:sz="4" w:space="0" w:color="0070C0"/>
              <w:bottom w:val="dotted" w:sz="4" w:space="0" w:color="0070C0"/>
              <w:right w:val="dotted" w:sz="4" w:space="0" w:color="0070C0"/>
            </w:tcBorders>
          </w:tcPr>
          <w:p w14:paraId="08DF0C3B" w14:textId="64369BF6" w:rsidR="00574AEA" w:rsidRPr="000229AD" w:rsidRDefault="00574AEA" w:rsidP="00716C22">
            <w:pPr>
              <w:pStyle w:val="Tabletext"/>
              <w:spacing w:after="120"/>
              <w:rPr>
                <w:rFonts w:ascii="Calibri" w:eastAsia="Calibri" w:hAnsi="Calibri" w:cs="Calibri"/>
                <w:b/>
                <w:bCs/>
                <w:lang w:val="fr-FR"/>
              </w:rPr>
            </w:pPr>
            <w:r w:rsidRPr="000229AD">
              <w:rPr>
                <w:b/>
                <w:bCs/>
                <w:lang w:val="fr-FR"/>
              </w:rPr>
              <w:t>Des produits de l</w:t>
            </w:r>
            <w:r w:rsidR="00125408" w:rsidRPr="000229AD">
              <w:rPr>
                <w:b/>
                <w:bCs/>
                <w:lang w:val="fr-FR"/>
              </w:rPr>
              <w:t>'</w:t>
            </w:r>
            <w:r w:rsidRPr="000229AD">
              <w:rPr>
                <w:b/>
                <w:bCs/>
                <w:lang w:val="fr-FR"/>
              </w:rPr>
              <w:t>UIT-D ont été mis à disposition pour aider les États Membres à élaborer des stratégies et des solutions en matière d</w:t>
            </w:r>
            <w:r w:rsidR="00125408" w:rsidRPr="000229AD">
              <w:rPr>
                <w:b/>
                <w:bCs/>
                <w:lang w:val="fr-FR"/>
              </w:rPr>
              <w:t>'</w:t>
            </w:r>
            <w:r w:rsidRPr="000229AD">
              <w:rPr>
                <w:b/>
                <w:bCs/>
                <w:lang w:val="fr-FR"/>
              </w:rPr>
              <w:t>adaptation aux changements climatiques.</w:t>
            </w:r>
          </w:p>
          <w:p w14:paraId="6FE4DC58" w14:textId="59746CB9" w:rsidR="00574AEA" w:rsidRPr="000229AD" w:rsidRDefault="00574AEA" w:rsidP="00716C22">
            <w:pPr>
              <w:pStyle w:val="Tabletext"/>
              <w:spacing w:after="120"/>
              <w:rPr>
                <w:rFonts w:eastAsia="Calibri"/>
                <w:lang w:val="fr-FR"/>
              </w:rPr>
            </w:pPr>
            <w:r w:rsidRPr="000229AD">
              <w:rPr>
                <w:lang w:val="fr-FR"/>
              </w:rPr>
              <w:t xml:space="preserve">Le BDT a aidé le Gouvernement du </w:t>
            </w:r>
            <w:r w:rsidRPr="000229AD">
              <w:rPr>
                <w:b/>
                <w:bCs/>
                <w:lang w:val="fr-FR"/>
              </w:rPr>
              <w:t>Rwanda</w:t>
            </w:r>
            <w:r w:rsidRPr="000229AD">
              <w:rPr>
                <w:lang w:val="fr-FR"/>
              </w:rPr>
              <w:t xml:space="preserve"> et les producteurs d</w:t>
            </w:r>
            <w:r w:rsidR="00125408" w:rsidRPr="000229AD">
              <w:rPr>
                <w:lang w:val="fr-FR"/>
              </w:rPr>
              <w:t>'</w:t>
            </w:r>
            <w:r w:rsidRPr="000229AD">
              <w:rPr>
                <w:lang w:val="fr-FR"/>
              </w:rPr>
              <w:t>équipements électroniques du pays à renforcer le cadre réglementaire concernant les déchets d</w:t>
            </w:r>
            <w:r w:rsidR="00125408" w:rsidRPr="000229AD">
              <w:rPr>
                <w:lang w:val="fr-FR"/>
              </w:rPr>
              <w:t>'</w:t>
            </w:r>
            <w:r w:rsidRPr="000229AD">
              <w:rPr>
                <w:lang w:val="fr-FR"/>
              </w:rPr>
              <w:t xml:space="preserve">équipements électriques et électroniques et à mettre en place un système de responsabilité des producteurs. Ce soutien a abouti à un atelier sur le </w:t>
            </w:r>
            <w:hyperlink r:id="rId99" w:history="1">
              <w:r w:rsidRPr="000229AD">
                <w:rPr>
                  <w:rStyle w:val="Hyperlink"/>
                  <w:color w:val="auto"/>
                  <w:u w:val="none"/>
                  <w:lang w:val="fr-FR"/>
                </w:rPr>
                <w:t>"</w:t>
              </w:r>
              <w:r w:rsidRPr="000229AD">
                <w:rPr>
                  <w:rStyle w:val="Hyperlink"/>
                  <w:lang w:val="fr-FR"/>
                </w:rPr>
                <w:t>Plan directeur du Rwanda sur la responsabilité élargie des producteurs d</w:t>
              </w:r>
              <w:r w:rsidR="00125408" w:rsidRPr="000229AD">
                <w:rPr>
                  <w:rStyle w:val="Hyperlink"/>
                  <w:lang w:val="fr-FR"/>
                </w:rPr>
                <w:t>'</w:t>
              </w:r>
              <w:r w:rsidRPr="000229AD">
                <w:rPr>
                  <w:rStyle w:val="Hyperlink"/>
                  <w:lang w:val="fr-FR"/>
                </w:rPr>
                <w:t>équipements électroniques</w:t>
              </w:r>
              <w:r w:rsidRPr="000229AD">
                <w:rPr>
                  <w:rStyle w:val="Hyperlink"/>
                  <w:color w:val="auto"/>
                  <w:u w:val="none"/>
                  <w:lang w:val="fr-FR"/>
                </w:rPr>
                <w:t>"</w:t>
              </w:r>
            </w:hyperlink>
            <w:r w:rsidRPr="000229AD">
              <w:rPr>
                <w:lang w:val="fr-FR"/>
              </w:rPr>
              <w:t xml:space="preserve"> qui s</w:t>
            </w:r>
            <w:r w:rsidR="00125408" w:rsidRPr="000229AD">
              <w:rPr>
                <w:lang w:val="fr-FR"/>
              </w:rPr>
              <w:t>'</w:t>
            </w:r>
            <w:r w:rsidRPr="000229AD">
              <w:rPr>
                <w:lang w:val="fr-FR"/>
              </w:rPr>
              <w:t xml:space="preserve">est tenu les 7 et 8 novembre 2023. Une assistance a également été fournie au Gouvernement de la </w:t>
            </w:r>
            <w:r w:rsidRPr="000229AD">
              <w:rPr>
                <w:b/>
                <w:bCs/>
                <w:lang w:val="fr-FR"/>
              </w:rPr>
              <w:t>République dominicaine</w:t>
            </w:r>
            <w:r w:rsidRPr="000229AD">
              <w:rPr>
                <w:lang w:val="fr-FR"/>
              </w:rPr>
              <w:t>, conduisant au lancement, en octobre 2023, d</w:t>
            </w:r>
            <w:r w:rsidR="00125408" w:rsidRPr="000229AD">
              <w:rPr>
                <w:lang w:val="fr-FR"/>
              </w:rPr>
              <w:t>'</w:t>
            </w:r>
            <w:r w:rsidRPr="000229AD">
              <w:rPr>
                <w:lang w:val="fr-FR"/>
              </w:rPr>
              <w:t xml:space="preserve">un règlement sur la </w:t>
            </w:r>
            <w:hyperlink r:id="rId100" w:history="1">
              <w:r w:rsidRPr="000229AD">
                <w:rPr>
                  <w:rStyle w:val="Hyperlink"/>
                  <w:lang w:val="fr-FR"/>
                </w:rPr>
                <w:t>gestion intégrale des déchets d</w:t>
              </w:r>
              <w:r w:rsidR="00125408" w:rsidRPr="000229AD">
                <w:rPr>
                  <w:rStyle w:val="Hyperlink"/>
                  <w:lang w:val="fr-FR"/>
                </w:rPr>
                <w:t>'</w:t>
              </w:r>
              <w:r w:rsidRPr="000229AD">
                <w:rPr>
                  <w:rStyle w:val="Hyperlink"/>
                  <w:lang w:val="fr-FR"/>
                </w:rPr>
                <w:t>équipements électriques et électroniques</w:t>
              </w:r>
            </w:hyperlink>
            <w:r w:rsidRPr="000229AD">
              <w:rPr>
                <w:lang w:val="fr-FR"/>
              </w:rPr>
              <w:t>, qui pourrait permettre d</w:t>
            </w:r>
            <w:r w:rsidR="00125408" w:rsidRPr="000229AD">
              <w:rPr>
                <w:lang w:val="fr-FR"/>
              </w:rPr>
              <w:t>'</w:t>
            </w:r>
            <w:r w:rsidRPr="000229AD">
              <w:rPr>
                <w:lang w:val="fr-FR"/>
              </w:rPr>
              <w:t xml:space="preserve">atteindre un marché annuel estimé à 71 millions USD de déchets électroniques dans le pays. Des initiatives lancées avec les Gouvernements de </w:t>
            </w:r>
            <w:r w:rsidRPr="000229AD">
              <w:rPr>
                <w:b/>
                <w:bCs/>
                <w:lang w:val="fr-FR"/>
              </w:rPr>
              <w:t>l</w:t>
            </w:r>
            <w:r w:rsidR="00125408" w:rsidRPr="000229AD">
              <w:rPr>
                <w:b/>
                <w:bCs/>
                <w:lang w:val="fr-FR"/>
              </w:rPr>
              <w:t>'</w:t>
            </w:r>
            <w:r w:rsidRPr="000229AD">
              <w:rPr>
                <w:b/>
                <w:bCs/>
                <w:lang w:val="fr-FR"/>
              </w:rPr>
              <w:t>Ouganda et de la Zambie</w:t>
            </w:r>
            <w:r w:rsidRPr="000229AD">
              <w:rPr>
                <w:lang w:val="fr-FR"/>
              </w:rPr>
              <w:t xml:space="preserve"> en 2023 ont par ailleurs permis de mobiliser les producteurs d</w:t>
            </w:r>
            <w:r w:rsidR="00125408" w:rsidRPr="000229AD">
              <w:rPr>
                <w:lang w:val="fr-FR"/>
              </w:rPr>
              <w:t>'</w:t>
            </w:r>
            <w:r w:rsidRPr="000229AD">
              <w:rPr>
                <w:lang w:val="fr-FR"/>
              </w:rPr>
              <w:t xml:space="preserve">équipements électroniques dans ces pays. Un </w:t>
            </w:r>
            <w:hyperlink r:id="rId101" w:history="1">
              <w:r w:rsidRPr="000229AD">
                <w:rPr>
                  <w:rStyle w:val="Hyperlink"/>
                  <w:lang w:val="fr-FR"/>
                </w:rPr>
                <w:t>atelier de consultation publique sur une feuille de route pour la mise en œuvre de la responsabilité élargie des producteurs d</w:t>
              </w:r>
              <w:r w:rsidR="00125408" w:rsidRPr="000229AD">
                <w:rPr>
                  <w:rStyle w:val="Hyperlink"/>
                  <w:lang w:val="fr-FR"/>
                </w:rPr>
                <w:t>'</w:t>
              </w:r>
              <w:r w:rsidRPr="000229AD">
                <w:rPr>
                  <w:rStyle w:val="Hyperlink"/>
                  <w:lang w:val="fr-FR"/>
                </w:rPr>
                <w:t>équipements électroniques concernant la gestion des déchets d</w:t>
              </w:r>
              <w:r w:rsidR="00125408" w:rsidRPr="000229AD">
                <w:rPr>
                  <w:rStyle w:val="Hyperlink"/>
                  <w:lang w:val="fr-FR"/>
                </w:rPr>
                <w:t>'</w:t>
              </w:r>
              <w:r w:rsidRPr="000229AD">
                <w:rPr>
                  <w:rStyle w:val="Hyperlink"/>
                  <w:lang w:val="fr-FR"/>
                </w:rPr>
                <w:t>équipements électriques et électroniques en Zambie</w:t>
              </w:r>
            </w:hyperlink>
            <w:r w:rsidRPr="000229AD">
              <w:rPr>
                <w:lang w:val="fr-FR"/>
              </w:rPr>
              <w:t xml:space="preserve"> a eu lieu en octobre 2023. L</w:t>
            </w:r>
            <w:r w:rsidR="00125408" w:rsidRPr="000229AD">
              <w:rPr>
                <w:lang w:val="fr-FR"/>
              </w:rPr>
              <w:t>'</w:t>
            </w:r>
            <w:r w:rsidRPr="000229AD">
              <w:rPr>
                <w:lang w:val="fr-FR"/>
              </w:rPr>
              <w:t>objectif de cet atelier était de présenter aux participants les notions de base concernant l</w:t>
            </w:r>
            <w:r w:rsidR="00125408" w:rsidRPr="000229AD">
              <w:rPr>
                <w:lang w:val="fr-FR"/>
              </w:rPr>
              <w:t>'</w:t>
            </w:r>
            <w:r w:rsidRPr="000229AD">
              <w:rPr>
                <w:lang w:val="fr-FR"/>
              </w:rPr>
              <w:t>économie circulaire et la gestion des déchets électroniques, d</w:t>
            </w:r>
            <w:r w:rsidR="00125408" w:rsidRPr="000229AD">
              <w:rPr>
                <w:lang w:val="fr-FR"/>
              </w:rPr>
              <w:t>'</w:t>
            </w:r>
            <w:r w:rsidRPr="000229AD">
              <w:rPr>
                <w:lang w:val="fr-FR"/>
              </w:rPr>
              <w:t>examiner les cadres réglementaires, de convenir des termes et des définitions, et d</w:t>
            </w:r>
            <w:r w:rsidR="00125408" w:rsidRPr="000229AD">
              <w:rPr>
                <w:lang w:val="fr-FR"/>
              </w:rPr>
              <w:t>'</w:t>
            </w:r>
            <w:r w:rsidRPr="000229AD">
              <w:rPr>
                <w:lang w:val="fr-FR"/>
              </w:rPr>
              <w:t>établir une feuille de route pour la mise en œuvre d</w:t>
            </w:r>
            <w:r w:rsidR="00125408" w:rsidRPr="000229AD">
              <w:rPr>
                <w:lang w:val="fr-FR"/>
              </w:rPr>
              <w:t>'</w:t>
            </w:r>
            <w:r w:rsidRPr="000229AD">
              <w:rPr>
                <w:lang w:val="fr-FR"/>
              </w:rPr>
              <w:t xml:space="preserve">un système de responsabilité élargie. En Ouganda, un </w:t>
            </w:r>
            <w:hyperlink r:id="rId102" w:history="1">
              <w:r w:rsidRPr="000229AD">
                <w:rPr>
                  <w:rStyle w:val="Hyperlink"/>
                  <w:lang w:val="fr-FR"/>
                </w:rPr>
                <w:t>atelier de consultation des parties prenantes sur la réglementation en matière de gestion des déchets d</w:t>
              </w:r>
              <w:r w:rsidR="00125408" w:rsidRPr="000229AD">
                <w:rPr>
                  <w:rStyle w:val="Hyperlink"/>
                  <w:lang w:val="fr-FR"/>
                </w:rPr>
                <w:t>'</w:t>
              </w:r>
              <w:r w:rsidRPr="000229AD">
                <w:rPr>
                  <w:rStyle w:val="Hyperlink"/>
                  <w:lang w:val="fr-FR"/>
                </w:rPr>
                <w:t>équipements électriques et électroniques et la responsabilité élargie des producteurs d</w:t>
              </w:r>
              <w:r w:rsidR="00125408" w:rsidRPr="000229AD">
                <w:rPr>
                  <w:rStyle w:val="Hyperlink"/>
                  <w:lang w:val="fr-FR"/>
                </w:rPr>
                <w:t>'</w:t>
              </w:r>
              <w:r w:rsidRPr="000229AD">
                <w:rPr>
                  <w:rStyle w:val="Hyperlink"/>
                  <w:lang w:val="fr-FR"/>
                </w:rPr>
                <w:t>équipements électroniques</w:t>
              </w:r>
            </w:hyperlink>
            <w:r w:rsidRPr="000229AD">
              <w:rPr>
                <w:lang w:val="fr-FR"/>
              </w:rPr>
              <w:t xml:space="preserve"> a eu lieu en novembre 2023. Il a permis aux parties prenantes de </w:t>
            </w:r>
            <w:r w:rsidRPr="000229AD">
              <w:rPr>
                <w:b/>
                <w:bCs/>
                <w:lang w:val="fr-FR"/>
              </w:rPr>
              <w:t>mieux comprendre les enjeux de la gestion des déchets électroniques grâce au principe de responsabilité élargie des producteurs et d</w:t>
            </w:r>
            <w:r w:rsidR="00125408" w:rsidRPr="000229AD">
              <w:rPr>
                <w:b/>
                <w:bCs/>
                <w:lang w:val="fr-FR"/>
              </w:rPr>
              <w:t>'</w:t>
            </w:r>
            <w:r w:rsidRPr="000229AD">
              <w:rPr>
                <w:b/>
                <w:bCs/>
                <w:lang w:val="fr-FR"/>
              </w:rPr>
              <w:t>envisager les possibilités du pays en matière de réglementation</w:t>
            </w:r>
            <w:r w:rsidRPr="000229AD">
              <w:rPr>
                <w:lang w:val="fr-FR"/>
              </w:rPr>
              <w:t>.</w:t>
            </w:r>
          </w:p>
          <w:p w14:paraId="39E5FC8D" w14:textId="55E26A24" w:rsidR="00574AEA" w:rsidRPr="000229AD" w:rsidRDefault="00574AEA" w:rsidP="00716C22">
            <w:pPr>
              <w:pStyle w:val="Tabletext"/>
              <w:spacing w:after="120"/>
              <w:rPr>
                <w:rFonts w:eastAsia="Calibri"/>
                <w:lang w:val="fr-FR"/>
              </w:rPr>
            </w:pPr>
            <w:r w:rsidRPr="000229AD">
              <w:rPr>
                <w:lang w:val="fr-FR"/>
              </w:rPr>
              <w:t xml:space="preserve">Au </w:t>
            </w:r>
            <w:r w:rsidRPr="000229AD">
              <w:rPr>
                <w:b/>
                <w:bCs/>
                <w:lang w:val="fr-FR"/>
              </w:rPr>
              <w:t>Malawi</w:t>
            </w:r>
            <w:r w:rsidRPr="000229AD">
              <w:rPr>
                <w:lang w:val="fr-FR"/>
              </w:rPr>
              <w:t xml:space="preserve">, le BDT a apporté un appui pour renforcer le </w:t>
            </w:r>
            <w:hyperlink r:id="rId103" w:history="1">
              <w:r w:rsidRPr="000229AD">
                <w:rPr>
                  <w:rStyle w:val="Hyperlink"/>
                  <w:lang w:val="fr-FR"/>
                </w:rPr>
                <w:t>cadre d</w:t>
              </w:r>
              <w:r w:rsidR="00125408" w:rsidRPr="000229AD">
                <w:rPr>
                  <w:rStyle w:val="Hyperlink"/>
                  <w:lang w:val="fr-FR"/>
                </w:rPr>
                <w:t>'</w:t>
              </w:r>
              <w:r w:rsidRPr="000229AD">
                <w:rPr>
                  <w:rStyle w:val="Hyperlink"/>
                  <w:lang w:val="fr-FR"/>
                </w:rPr>
                <w:t>action pour une gestion écologiquement rationnelle des déchets d</w:t>
              </w:r>
              <w:r w:rsidR="00125408" w:rsidRPr="000229AD">
                <w:rPr>
                  <w:rStyle w:val="Hyperlink"/>
                  <w:lang w:val="fr-FR"/>
                </w:rPr>
                <w:t>'</w:t>
              </w:r>
              <w:r w:rsidRPr="000229AD">
                <w:rPr>
                  <w:rStyle w:val="Hyperlink"/>
                  <w:lang w:val="fr-FR"/>
                </w:rPr>
                <w:t>équipements électriques et électroniques</w:t>
              </w:r>
            </w:hyperlink>
            <w:r w:rsidRPr="000229AD">
              <w:rPr>
                <w:lang w:val="fr-FR"/>
              </w:rPr>
              <w:t>. Il s</w:t>
            </w:r>
            <w:r w:rsidR="00125408" w:rsidRPr="000229AD">
              <w:rPr>
                <w:lang w:val="fr-FR"/>
              </w:rPr>
              <w:t>'</w:t>
            </w:r>
            <w:r w:rsidRPr="000229AD">
              <w:rPr>
                <w:lang w:val="fr-FR"/>
              </w:rPr>
              <w:t>agissait notamment de mener des consultations et de préparer la politique nationale de gestion des déchets d</w:t>
            </w:r>
            <w:r w:rsidR="00125408" w:rsidRPr="000229AD">
              <w:rPr>
                <w:lang w:val="fr-FR"/>
              </w:rPr>
              <w:t>'</w:t>
            </w:r>
            <w:r w:rsidRPr="000229AD">
              <w:rPr>
                <w:lang w:val="fr-FR"/>
              </w:rPr>
              <w:t>équipements électriques et électroniques. Cette dernière a été soumise au Bureau du Président et au Cabinet et a été approuvée en 2023. Elle est désormais en attente de l</w:t>
            </w:r>
            <w:r w:rsidR="00125408" w:rsidRPr="000229AD">
              <w:rPr>
                <w:lang w:val="fr-FR"/>
              </w:rPr>
              <w:t>'</w:t>
            </w:r>
            <w:r w:rsidRPr="000229AD">
              <w:rPr>
                <w:lang w:val="fr-FR"/>
              </w:rPr>
              <w:t xml:space="preserve">approbation finale de la Présidence. De même, le BDT a mené des </w:t>
            </w:r>
            <w:hyperlink r:id="rId104" w:history="1">
              <w:r w:rsidRPr="000229AD">
                <w:rPr>
                  <w:rStyle w:val="Hyperlink"/>
                  <w:lang w:val="fr-FR"/>
                </w:rPr>
                <w:t>activités de renforcement des capacités et fourni une assistance technique analogue à des parties prenantes des secteurs public et privé au Burundi</w:t>
              </w:r>
            </w:hyperlink>
            <w:r w:rsidRPr="000229AD">
              <w:rPr>
                <w:lang w:val="fr-FR"/>
              </w:rPr>
              <w:t xml:space="preserve"> où la politique nationale de gestion des déchets d</w:t>
            </w:r>
            <w:r w:rsidR="00125408" w:rsidRPr="000229AD">
              <w:rPr>
                <w:lang w:val="fr-FR"/>
              </w:rPr>
              <w:t>'</w:t>
            </w:r>
            <w:r w:rsidRPr="000229AD">
              <w:rPr>
                <w:lang w:val="fr-FR"/>
              </w:rPr>
              <w:t>équipements électriques et électroniques a été soumise au Cabinet en 2023. Il a été décidé de transformer le cadre d</w:t>
            </w:r>
            <w:r w:rsidR="00125408" w:rsidRPr="000229AD">
              <w:rPr>
                <w:lang w:val="fr-FR"/>
              </w:rPr>
              <w:t>'</w:t>
            </w:r>
            <w:r w:rsidRPr="000229AD">
              <w:rPr>
                <w:lang w:val="fr-FR"/>
              </w:rPr>
              <w:t>action en une réglementation afin que les mesures soient accompagnées de moyens de contraintes.</w:t>
            </w:r>
          </w:p>
          <w:p w14:paraId="47168C4E" w14:textId="49AFC182" w:rsidR="00574AEA" w:rsidRPr="000229AD" w:rsidRDefault="00574AEA" w:rsidP="00716C22">
            <w:pPr>
              <w:pStyle w:val="Tabletext"/>
              <w:spacing w:after="120"/>
              <w:rPr>
                <w:rFonts w:eastAsia="Calibri"/>
                <w:lang w:val="fr-FR"/>
              </w:rPr>
            </w:pPr>
            <w:r w:rsidRPr="000229AD">
              <w:rPr>
                <w:lang w:val="fr-FR"/>
              </w:rPr>
              <w:lastRenderedPageBreak/>
              <w:t xml:space="preserve">En 2023, le BDT a aidé les Gouvernements du </w:t>
            </w:r>
            <w:hyperlink r:id="rId105" w:history="1">
              <w:r w:rsidRPr="000229AD">
                <w:rPr>
                  <w:rStyle w:val="Hyperlink"/>
                  <w:lang w:val="fr-FR"/>
                </w:rPr>
                <w:t>Botswana</w:t>
              </w:r>
            </w:hyperlink>
            <w:r w:rsidRPr="000229AD">
              <w:rPr>
                <w:lang w:val="fr-FR"/>
              </w:rPr>
              <w:t xml:space="preserve"> et du </w:t>
            </w:r>
            <w:hyperlink r:id="rId106" w:history="1">
              <w:r w:rsidRPr="000229AD">
                <w:rPr>
                  <w:rStyle w:val="Hyperlink"/>
                  <w:lang w:val="fr-FR"/>
                </w:rPr>
                <w:t>Niger</w:t>
              </w:r>
            </w:hyperlink>
            <w:r w:rsidRPr="000229AD">
              <w:rPr>
                <w:lang w:val="fr-FR"/>
              </w:rPr>
              <w:t xml:space="preserve"> à élaborer leurs stratégies de gestion des déchets d</w:t>
            </w:r>
            <w:r w:rsidR="00125408" w:rsidRPr="000229AD">
              <w:rPr>
                <w:lang w:val="fr-FR"/>
              </w:rPr>
              <w:t>'</w:t>
            </w:r>
            <w:r w:rsidRPr="000229AD">
              <w:rPr>
                <w:lang w:val="fr-FR"/>
              </w:rPr>
              <w:t>équipements électriques et électroniques. Les deux stratégies sont en attente d</w:t>
            </w:r>
            <w:r w:rsidR="00125408" w:rsidRPr="000229AD">
              <w:rPr>
                <w:lang w:val="fr-FR"/>
              </w:rPr>
              <w:t>'</w:t>
            </w:r>
            <w:r w:rsidRPr="000229AD">
              <w:rPr>
                <w:lang w:val="fr-FR"/>
              </w:rPr>
              <w:t>approbation par les autorités compétentes. L</w:t>
            </w:r>
            <w:r w:rsidR="00125408" w:rsidRPr="000229AD">
              <w:rPr>
                <w:lang w:val="fr-FR"/>
              </w:rPr>
              <w:t>'</w:t>
            </w:r>
            <w:r w:rsidRPr="000229AD">
              <w:rPr>
                <w:lang w:val="fr-FR"/>
              </w:rPr>
              <w:t>assistance fournie par le BDT pour l</w:t>
            </w:r>
            <w:r w:rsidR="00125408" w:rsidRPr="000229AD">
              <w:rPr>
                <w:lang w:val="fr-FR"/>
              </w:rPr>
              <w:t>'</w:t>
            </w:r>
            <w:r w:rsidRPr="000229AD">
              <w:rPr>
                <w:lang w:val="fr-FR"/>
              </w:rPr>
              <w:t>élaboration de ces stratégies a permis au Botswana et au Niger de disposer d</w:t>
            </w:r>
            <w:r w:rsidR="00125408" w:rsidRPr="000229AD">
              <w:rPr>
                <w:lang w:val="fr-FR"/>
              </w:rPr>
              <w:t>'</w:t>
            </w:r>
            <w:r w:rsidRPr="000229AD">
              <w:rPr>
                <w:lang w:val="fr-FR"/>
              </w:rPr>
              <w:t>une orientation et d</w:t>
            </w:r>
            <w:r w:rsidR="00125408" w:rsidRPr="000229AD">
              <w:rPr>
                <w:lang w:val="fr-FR"/>
              </w:rPr>
              <w:t>'</w:t>
            </w:r>
            <w:r w:rsidRPr="000229AD">
              <w:rPr>
                <w:lang w:val="fr-FR"/>
              </w:rPr>
              <w:t>une vision claires en la matière, et a ouvert la voie à la mise en place de systèmes de gestion des déchets d</w:t>
            </w:r>
            <w:r w:rsidR="00125408" w:rsidRPr="000229AD">
              <w:rPr>
                <w:lang w:val="fr-FR"/>
              </w:rPr>
              <w:t>'</w:t>
            </w:r>
            <w:r w:rsidRPr="000229AD">
              <w:rPr>
                <w:lang w:val="fr-FR"/>
              </w:rPr>
              <w:t>équipements électriques et électroniques au niveau national.</w:t>
            </w:r>
          </w:p>
          <w:p w14:paraId="4711796E" w14:textId="3F83BB54" w:rsidR="00574AEA" w:rsidRPr="000229AD" w:rsidRDefault="00574AEA" w:rsidP="00716C22">
            <w:pPr>
              <w:pStyle w:val="Tabletext"/>
              <w:spacing w:after="120"/>
              <w:rPr>
                <w:lang w:val="fr-FR"/>
              </w:rPr>
            </w:pPr>
            <w:r w:rsidRPr="000229AD">
              <w:rPr>
                <w:lang w:val="fr-FR"/>
              </w:rPr>
              <w:t xml:space="preserve">En juillet 2023, le BDT a publié le </w:t>
            </w:r>
            <w:hyperlink r:id="rId107" w:history="1">
              <w:r w:rsidRPr="000229AD">
                <w:rPr>
                  <w:rStyle w:val="Hyperlink"/>
                  <w:lang w:val="fr-FR"/>
                </w:rPr>
                <w:t>Guide de passation des marchés publics circulaires et durables pour les TIC</w:t>
              </w:r>
            </w:hyperlink>
            <w:r w:rsidRPr="000229AD">
              <w:rPr>
                <w:lang w:val="fr-FR"/>
              </w:rPr>
              <w:t xml:space="preserve"> dans le cadre de l</w:t>
            </w:r>
            <w:r w:rsidR="00125408" w:rsidRPr="000229AD">
              <w:rPr>
                <w:lang w:val="fr-FR"/>
              </w:rPr>
              <w:t>'</w:t>
            </w:r>
            <w:r w:rsidRPr="000229AD">
              <w:rPr>
                <w:lang w:val="fr-FR"/>
              </w:rPr>
              <w:t>initiative Green GovStack. Celui-ci reflète l</w:t>
            </w:r>
            <w:r w:rsidR="00125408" w:rsidRPr="000229AD">
              <w:rPr>
                <w:lang w:val="fr-FR"/>
              </w:rPr>
              <w:t>'</w:t>
            </w:r>
            <w:r w:rsidRPr="000229AD">
              <w:rPr>
                <w:lang w:val="fr-FR"/>
              </w:rPr>
              <w:t>engagement de l</w:t>
            </w:r>
            <w:r w:rsidR="00125408" w:rsidRPr="000229AD">
              <w:rPr>
                <w:lang w:val="fr-FR"/>
              </w:rPr>
              <w:t>'</w:t>
            </w:r>
            <w:r w:rsidRPr="000229AD">
              <w:rPr>
                <w:lang w:val="fr-FR"/>
              </w:rPr>
              <w:t>UIT à traiter l</w:t>
            </w:r>
            <w:r w:rsidR="00125408" w:rsidRPr="000229AD">
              <w:rPr>
                <w:lang w:val="fr-FR"/>
              </w:rPr>
              <w:t>'</w:t>
            </w:r>
            <w:r w:rsidRPr="000229AD">
              <w:rPr>
                <w:lang w:val="fr-FR"/>
              </w:rPr>
              <w:t>ensemble du cycle de vie des TIC, non seulement du point de vue des déchets, mais aussi du point de vue de l</w:t>
            </w:r>
            <w:r w:rsidR="00125408" w:rsidRPr="000229AD">
              <w:rPr>
                <w:lang w:val="fr-FR"/>
              </w:rPr>
              <w:t>'</w:t>
            </w:r>
            <w:r w:rsidRPr="000229AD">
              <w:rPr>
                <w:lang w:val="fr-FR"/>
              </w:rPr>
              <w:t>amont. Ce guide servira de base au BDT pour former les responsables des achats, influer sur les décisions d</w:t>
            </w:r>
            <w:r w:rsidR="00125408" w:rsidRPr="000229AD">
              <w:rPr>
                <w:lang w:val="fr-FR"/>
              </w:rPr>
              <w:t>'</w:t>
            </w:r>
            <w:r w:rsidRPr="000229AD">
              <w:rPr>
                <w:lang w:val="fr-FR"/>
              </w:rPr>
              <w:t>achat de ces derniers et leur permettre d</w:t>
            </w:r>
            <w:r w:rsidR="00125408" w:rsidRPr="000229AD">
              <w:rPr>
                <w:lang w:val="fr-FR"/>
              </w:rPr>
              <w:t>'</w:t>
            </w:r>
            <w:r w:rsidRPr="000229AD">
              <w:rPr>
                <w:lang w:val="fr-FR"/>
              </w:rPr>
              <w:t>adopter des pratiques d</w:t>
            </w:r>
            <w:r w:rsidR="00125408" w:rsidRPr="000229AD">
              <w:rPr>
                <w:lang w:val="fr-FR"/>
              </w:rPr>
              <w:t>'</w:t>
            </w:r>
            <w:r w:rsidRPr="000229AD">
              <w:rPr>
                <w:lang w:val="fr-FR"/>
              </w:rPr>
              <w:t>achats circulaires. En outre, un cours d</w:t>
            </w:r>
            <w:r w:rsidR="00125408" w:rsidRPr="000229AD">
              <w:rPr>
                <w:lang w:val="fr-FR"/>
              </w:rPr>
              <w:t>'</w:t>
            </w:r>
            <w:r w:rsidRPr="000229AD">
              <w:rPr>
                <w:lang w:val="fr-FR"/>
              </w:rPr>
              <w:t xml:space="preserve">apprentissage en ligne intitulé </w:t>
            </w:r>
            <w:hyperlink r:id="rId108" w:history="1">
              <w:r w:rsidRPr="000229AD">
                <w:rPr>
                  <w:rStyle w:val="Hyperlink"/>
                  <w:color w:val="auto"/>
                  <w:u w:val="none"/>
                  <w:lang w:val="fr-FR"/>
                </w:rPr>
                <w:t>"</w:t>
              </w:r>
              <w:r w:rsidRPr="000229AD">
                <w:rPr>
                  <w:rStyle w:val="Hyperlink"/>
                  <w:lang w:val="fr-FR"/>
                </w:rPr>
                <w:t>Marchés publics circulaires et durables pour les TIC</w:t>
              </w:r>
              <w:r w:rsidRPr="000229AD">
                <w:rPr>
                  <w:rStyle w:val="Hyperlink"/>
                  <w:color w:val="auto"/>
                  <w:u w:val="none"/>
                  <w:lang w:val="fr-FR"/>
                </w:rPr>
                <w:t>"</w:t>
              </w:r>
            </w:hyperlink>
            <w:r w:rsidRPr="000229AD">
              <w:rPr>
                <w:lang w:val="fr-FR"/>
              </w:rPr>
              <w:t xml:space="preserve"> accompagne ce guide.</w:t>
            </w:r>
          </w:p>
          <w:p w14:paraId="046C5CC9" w14:textId="5C020C9D" w:rsidR="00574AEA" w:rsidRPr="000229AD" w:rsidRDefault="00574AEA" w:rsidP="00716C22">
            <w:pPr>
              <w:pStyle w:val="Tabletext"/>
              <w:spacing w:after="120"/>
              <w:rPr>
                <w:rFonts w:ascii="Calibri" w:eastAsia="Calibri" w:hAnsi="Calibri" w:cs="Calibri"/>
                <w:lang w:val="fr-FR"/>
              </w:rPr>
            </w:pPr>
            <w:r w:rsidRPr="000229AD">
              <w:rPr>
                <w:lang w:val="fr-FR"/>
              </w:rPr>
              <w:t xml:space="preserve">Le </w:t>
            </w:r>
            <w:r w:rsidRPr="000229AD">
              <w:rPr>
                <w:b/>
                <w:bCs/>
                <w:lang w:val="fr-FR"/>
              </w:rPr>
              <w:t>Rapport mondial sur les déchets d</w:t>
            </w:r>
            <w:r w:rsidR="00125408" w:rsidRPr="000229AD">
              <w:rPr>
                <w:b/>
                <w:bCs/>
                <w:lang w:val="fr-FR"/>
              </w:rPr>
              <w:t>'</w:t>
            </w:r>
            <w:r w:rsidRPr="000229AD">
              <w:rPr>
                <w:b/>
                <w:bCs/>
                <w:lang w:val="fr-FR"/>
              </w:rPr>
              <w:t>équipements électriques et électroniques 2024</w:t>
            </w:r>
            <w:r w:rsidRPr="000229AD">
              <w:rPr>
                <w:lang w:val="fr-FR"/>
              </w:rPr>
              <w:t xml:space="preserve"> a été publié en mars 2024. Cette publication, fruit de la collaboration entre l</w:t>
            </w:r>
            <w:r w:rsidR="00125408" w:rsidRPr="000229AD">
              <w:rPr>
                <w:lang w:val="fr-FR"/>
              </w:rPr>
              <w:t>'</w:t>
            </w:r>
            <w:r w:rsidRPr="000229AD">
              <w:rPr>
                <w:lang w:val="fr-FR"/>
              </w:rPr>
              <w:t>UIT, l</w:t>
            </w:r>
            <w:r w:rsidR="00125408" w:rsidRPr="000229AD">
              <w:rPr>
                <w:lang w:val="fr-FR"/>
              </w:rPr>
              <w:t>'</w:t>
            </w:r>
            <w:r w:rsidRPr="000229AD">
              <w:rPr>
                <w:lang w:val="fr-FR"/>
              </w:rPr>
              <w:t>UNITAR et la Fondation Carmignac, présente les tendances et les défis actuels à l</w:t>
            </w:r>
            <w:r w:rsidR="00125408" w:rsidRPr="000229AD">
              <w:rPr>
                <w:lang w:val="fr-FR"/>
              </w:rPr>
              <w:t>'</w:t>
            </w:r>
            <w:r w:rsidRPr="000229AD">
              <w:rPr>
                <w:lang w:val="fr-FR"/>
              </w:rPr>
              <w:t>échelle mondiale en matière de gestion des déchets d</w:t>
            </w:r>
            <w:r w:rsidR="00125408" w:rsidRPr="000229AD">
              <w:rPr>
                <w:lang w:val="fr-FR"/>
              </w:rPr>
              <w:t>'</w:t>
            </w:r>
            <w:r w:rsidRPr="000229AD">
              <w:rPr>
                <w:lang w:val="fr-FR"/>
              </w:rPr>
              <w:t>équipements électriques et électroniques dans le cadre de l</w:t>
            </w:r>
            <w:r w:rsidR="00125408" w:rsidRPr="000229AD">
              <w:rPr>
                <w:lang w:val="fr-FR"/>
              </w:rPr>
              <w:t>'</w:t>
            </w:r>
            <w:r w:rsidRPr="000229AD">
              <w:rPr>
                <w:lang w:val="fr-FR"/>
              </w:rPr>
              <w:t>économie circulaire. Il met l</w:t>
            </w:r>
            <w:r w:rsidR="00125408" w:rsidRPr="000229AD">
              <w:rPr>
                <w:lang w:val="fr-FR"/>
              </w:rPr>
              <w:t>'</w:t>
            </w:r>
            <w:r w:rsidRPr="000229AD">
              <w:rPr>
                <w:lang w:val="fr-FR"/>
              </w:rPr>
              <w:t>accent sur la disparité croissante entre les taux de production et de recyclage des déchets d</w:t>
            </w:r>
            <w:r w:rsidR="00125408" w:rsidRPr="000229AD">
              <w:rPr>
                <w:lang w:val="fr-FR"/>
              </w:rPr>
              <w:t>'</w:t>
            </w:r>
            <w:r w:rsidRPr="000229AD">
              <w:rPr>
                <w:lang w:val="fr-FR"/>
              </w:rPr>
              <w:t>équipements électriques et électroniques, et traite des sujets tels que les mouvements transfrontaliers, la législation, la récupération des matériaux, les technologies de traitement, l</w:t>
            </w:r>
            <w:r w:rsidR="00125408" w:rsidRPr="000229AD">
              <w:rPr>
                <w:lang w:val="fr-FR"/>
              </w:rPr>
              <w:t>'</w:t>
            </w:r>
            <w:r w:rsidRPr="000229AD">
              <w:rPr>
                <w:lang w:val="fr-FR"/>
              </w:rPr>
              <w:t>évaluation de l</w:t>
            </w:r>
            <w:r w:rsidR="00125408" w:rsidRPr="000229AD">
              <w:rPr>
                <w:lang w:val="fr-FR"/>
              </w:rPr>
              <w:t>'</w:t>
            </w:r>
            <w:r w:rsidRPr="000229AD">
              <w:rPr>
                <w:lang w:val="fr-FR"/>
              </w:rPr>
              <w:t>impact sur l</w:t>
            </w:r>
            <w:r w:rsidR="00125408" w:rsidRPr="000229AD">
              <w:rPr>
                <w:lang w:val="fr-FR"/>
              </w:rPr>
              <w:t>'</w:t>
            </w:r>
            <w:r w:rsidRPr="000229AD">
              <w:rPr>
                <w:lang w:val="fr-FR"/>
              </w:rPr>
              <w:t>environnement et les perspectives régionales jusqu</w:t>
            </w:r>
            <w:r w:rsidR="00125408" w:rsidRPr="000229AD">
              <w:rPr>
                <w:lang w:val="fr-FR"/>
              </w:rPr>
              <w:t>'</w:t>
            </w:r>
            <w:r w:rsidRPr="000229AD">
              <w:rPr>
                <w:lang w:val="fr-FR"/>
              </w:rPr>
              <w:t>en 2023.</w:t>
            </w:r>
          </w:p>
          <w:p w14:paraId="4C304D1B" w14:textId="2AD74A20" w:rsidR="00574AEA" w:rsidRPr="000229AD" w:rsidRDefault="00574AEA" w:rsidP="00716C22">
            <w:pPr>
              <w:pStyle w:val="Tabletext"/>
              <w:spacing w:after="120"/>
              <w:rPr>
                <w:lang w:val="fr-FR"/>
              </w:rPr>
            </w:pPr>
            <w:r w:rsidRPr="000229AD">
              <w:rPr>
                <w:lang w:val="fr-FR"/>
              </w:rPr>
              <w:t xml:space="preserve">Le BDT a </w:t>
            </w:r>
            <w:r w:rsidRPr="000229AD">
              <w:rPr>
                <w:b/>
                <w:bCs/>
                <w:lang w:val="fr-FR"/>
              </w:rPr>
              <w:t>renforcé les capacités des bureaux nationaux de statistique, des régulateurs et ministères chargés des TIC et des ministères chargés de l</w:t>
            </w:r>
            <w:r w:rsidR="00125408" w:rsidRPr="000229AD">
              <w:rPr>
                <w:b/>
                <w:bCs/>
                <w:lang w:val="fr-FR"/>
              </w:rPr>
              <w:t>'</w:t>
            </w:r>
            <w:r w:rsidRPr="000229AD">
              <w:rPr>
                <w:b/>
                <w:bCs/>
                <w:lang w:val="fr-FR"/>
              </w:rPr>
              <w:t>environnement</w:t>
            </w:r>
            <w:r w:rsidRPr="000229AD">
              <w:rPr>
                <w:lang w:val="fr-FR"/>
              </w:rPr>
              <w:t xml:space="preserve"> dans les six États Membres de l</w:t>
            </w:r>
            <w:r w:rsidR="00125408" w:rsidRPr="000229AD">
              <w:rPr>
                <w:lang w:val="fr-FR"/>
              </w:rPr>
              <w:t>'</w:t>
            </w:r>
            <w:r w:rsidRPr="000229AD">
              <w:rPr>
                <w:lang w:val="fr-FR"/>
              </w:rPr>
              <w:t>Organisation des communications de l</w:t>
            </w:r>
            <w:r w:rsidR="00125408" w:rsidRPr="000229AD">
              <w:rPr>
                <w:lang w:val="fr-FR"/>
              </w:rPr>
              <w:t>'</w:t>
            </w:r>
            <w:r w:rsidRPr="000229AD">
              <w:rPr>
                <w:lang w:val="fr-FR"/>
              </w:rPr>
              <w:t>Afrique de l</w:t>
            </w:r>
            <w:r w:rsidR="00125408" w:rsidRPr="000229AD">
              <w:rPr>
                <w:lang w:val="fr-FR"/>
              </w:rPr>
              <w:t>'</w:t>
            </w:r>
            <w:r w:rsidRPr="000229AD">
              <w:rPr>
                <w:lang w:val="fr-FR"/>
              </w:rPr>
              <w:t>Est en organisant une formation à l</w:t>
            </w:r>
            <w:r w:rsidR="00125408" w:rsidRPr="000229AD">
              <w:rPr>
                <w:lang w:val="fr-FR"/>
              </w:rPr>
              <w:t>'</w:t>
            </w:r>
            <w:r w:rsidRPr="000229AD">
              <w:rPr>
                <w:lang w:val="fr-FR"/>
              </w:rPr>
              <w:t>intention de ces structures dans le but de favoriser la production et l</w:t>
            </w:r>
            <w:r w:rsidR="00125408" w:rsidRPr="000229AD">
              <w:rPr>
                <w:lang w:val="fr-FR"/>
              </w:rPr>
              <w:t>'</w:t>
            </w:r>
            <w:r w:rsidRPr="000229AD">
              <w:rPr>
                <w:lang w:val="fr-FR"/>
              </w:rPr>
              <w:t>analyse de statistiques sur les déchets d</w:t>
            </w:r>
            <w:r w:rsidR="00125408" w:rsidRPr="000229AD">
              <w:rPr>
                <w:lang w:val="fr-FR"/>
              </w:rPr>
              <w:t>'</w:t>
            </w:r>
            <w:r w:rsidRPr="000229AD">
              <w:rPr>
                <w:lang w:val="fr-FR"/>
              </w:rPr>
              <w:t>équipements électriques et électroniques et l</w:t>
            </w:r>
            <w:r w:rsidR="00125408" w:rsidRPr="000229AD">
              <w:rPr>
                <w:lang w:val="fr-FR"/>
              </w:rPr>
              <w:t>'</w:t>
            </w:r>
            <w:r w:rsidRPr="000229AD">
              <w:rPr>
                <w:lang w:val="fr-FR"/>
              </w:rPr>
              <w:t>harmonisation régionale dans ce domaine.</w:t>
            </w:r>
          </w:p>
          <w:p w14:paraId="740AE696" w14:textId="20F12829" w:rsidR="00574AEA" w:rsidRPr="000229AD" w:rsidRDefault="00574AEA" w:rsidP="00716C22">
            <w:pPr>
              <w:pStyle w:val="Tabletext"/>
              <w:spacing w:after="120"/>
              <w:rPr>
                <w:lang w:val="fr-FR"/>
              </w:rPr>
            </w:pPr>
            <w:r w:rsidRPr="000229AD">
              <w:rPr>
                <w:b/>
                <w:lang w:val="fr-FR"/>
              </w:rPr>
              <w:t>Dans la région Europe</w:t>
            </w:r>
            <w:r w:rsidRPr="000229AD">
              <w:rPr>
                <w:bCs/>
                <w:lang w:val="fr-FR"/>
              </w:rPr>
              <w:t>, le</w:t>
            </w:r>
            <w:r w:rsidRPr="000229AD">
              <w:rPr>
                <w:lang w:val="fr-FR"/>
              </w:rPr>
              <w:t xml:space="preserve"> BDT et ses partenaires ont lancé en décembre 2023 le </w:t>
            </w:r>
            <w:hyperlink r:id="rId109" w:history="1">
              <w:r w:rsidRPr="000229AD">
                <w:rPr>
                  <w:rStyle w:val="Hyperlink"/>
                  <w:lang w:val="fr-FR"/>
                </w:rPr>
                <w:t>Rapport régional sur les déchets d</w:t>
              </w:r>
              <w:r w:rsidR="00125408" w:rsidRPr="000229AD">
                <w:rPr>
                  <w:rStyle w:val="Hyperlink"/>
                  <w:lang w:val="fr-FR"/>
                </w:rPr>
                <w:t>'</w:t>
              </w:r>
              <w:r w:rsidRPr="000229AD">
                <w:rPr>
                  <w:rStyle w:val="Hyperlink"/>
                  <w:lang w:val="fr-FR"/>
                </w:rPr>
                <w:t>équipements électriques et électroniques pour les Balkans occidentaux</w:t>
              </w:r>
            </w:hyperlink>
            <w:r w:rsidRPr="000229AD">
              <w:rPr>
                <w:lang w:val="fr-FR"/>
              </w:rPr>
              <w:t>. Le rapport, qui contient six recommandations pour une gestion holistique des déchets d</w:t>
            </w:r>
            <w:r w:rsidR="00125408" w:rsidRPr="000229AD">
              <w:rPr>
                <w:lang w:val="fr-FR"/>
              </w:rPr>
              <w:t>'</w:t>
            </w:r>
            <w:r w:rsidRPr="000229AD">
              <w:rPr>
                <w:lang w:val="fr-FR"/>
              </w:rPr>
              <w:t>équipements électriques et électroniques dans la région, préconise des mesures préventives, la sensibilisation, l</w:t>
            </w:r>
            <w:r w:rsidR="00125408" w:rsidRPr="000229AD">
              <w:rPr>
                <w:lang w:val="fr-FR"/>
              </w:rPr>
              <w:t>'</w:t>
            </w:r>
            <w:r w:rsidRPr="000229AD">
              <w:rPr>
                <w:lang w:val="fr-FR"/>
              </w:rPr>
              <w:t>amélioration de la collecte et du traitement, des protocoles de sécurité, une indemnisation équitable et une formation renforcée. Il vise à orienter les décideurs et à guider les secteurs productifs de l</w:t>
            </w:r>
            <w:r w:rsidR="00125408" w:rsidRPr="000229AD">
              <w:rPr>
                <w:lang w:val="fr-FR"/>
              </w:rPr>
              <w:t>'</w:t>
            </w:r>
            <w:r w:rsidRPr="000229AD">
              <w:rPr>
                <w:lang w:val="fr-FR"/>
              </w:rPr>
              <w:t>économie et les populations locales vers des pratiques durables.</w:t>
            </w:r>
          </w:p>
          <w:p w14:paraId="613D0A44" w14:textId="2F9F1EA9" w:rsidR="00574AEA" w:rsidRPr="000229AD" w:rsidRDefault="00574AEA" w:rsidP="00716C22">
            <w:pPr>
              <w:pStyle w:val="Tabletext"/>
              <w:spacing w:after="120"/>
              <w:rPr>
                <w:rFonts w:ascii="Calibri" w:eastAsia="Calibri" w:hAnsi="Calibri" w:cs="Calibri"/>
                <w:color w:val="000000" w:themeColor="text1"/>
                <w:lang w:val="fr-FR"/>
              </w:rPr>
            </w:pPr>
            <w:r w:rsidRPr="000229AD">
              <w:rPr>
                <w:b/>
                <w:lang w:val="fr-FR"/>
              </w:rPr>
              <w:t>Dans la région de la CEI</w:t>
            </w:r>
            <w:r w:rsidRPr="000229AD">
              <w:rPr>
                <w:bCs/>
                <w:lang w:val="fr-FR"/>
              </w:rPr>
              <w:t>,</w:t>
            </w:r>
            <w:r w:rsidRPr="000229AD">
              <w:rPr>
                <w:lang w:val="fr-FR"/>
              </w:rPr>
              <w:t xml:space="preserve"> le BDT a appuyé la publication du </w:t>
            </w:r>
            <w:hyperlink r:id="rId110" w:history="1">
              <w:r w:rsidRPr="000229AD">
                <w:rPr>
                  <w:rStyle w:val="Hyperlink"/>
                  <w:lang w:val="fr-FR"/>
                </w:rPr>
                <w:t>Rapport national sur les déchets électroniques pour le Kazakhstan</w:t>
              </w:r>
            </w:hyperlink>
            <w:r w:rsidRPr="000229AD">
              <w:rPr>
                <w:lang w:val="fr-FR"/>
              </w:rPr>
              <w:t>, qui contient des recommandations et une feuille de route pour la mise en place d</w:t>
            </w:r>
            <w:r w:rsidR="00125408" w:rsidRPr="000229AD">
              <w:rPr>
                <w:lang w:val="fr-FR"/>
              </w:rPr>
              <w:t>'</w:t>
            </w:r>
            <w:r w:rsidRPr="000229AD">
              <w:rPr>
                <w:lang w:val="fr-FR"/>
              </w:rPr>
              <w:t>une stratégie nationale de gestion durable des déchets d</w:t>
            </w:r>
            <w:r w:rsidR="00125408" w:rsidRPr="000229AD">
              <w:rPr>
                <w:lang w:val="fr-FR"/>
              </w:rPr>
              <w:t>'</w:t>
            </w:r>
            <w:r w:rsidRPr="000229AD">
              <w:rPr>
                <w:lang w:val="fr-FR"/>
              </w:rPr>
              <w:t>équipements électriques et électroniques, ainsi que des statistiques essentielles. Cette initiative contribue au renforcement des capacités mondiales en matière de données et de statistiques sur les déchets d</w:t>
            </w:r>
            <w:r w:rsidR="00125408" w:rsidRPr="000229AD">
              <w:rPr>
                <w:lang w:val="fr-FR"/>
              </w:rPr>
              <w:t>'</w:t>
            </w:r>
            <w:r w:rsidRPr="000229AD">
              <w:rPr>
                <w:lang w:val="fr-FR"/>
              </w:rPr>
              <w:t>équipements électriques et électroniques. De même, des rapports nationaux sur les déchets électroniques pour la Namibie et le Botswana ont été publiés en mars 2024.</w:t>
            </w:r>
          </w:p>
          <w:p w14:paraId="7DBFC39E" w14:textId="29BBBEFE" w:rsidR="00574AEA" w:rsidRPr="000229AD" w:rsidRDefault="00574AEA" w:rsidP="00716C22">
            <w:pPr>
              <w:pStyle w:val="Tabletext"/>
              <w:keepNext/>
              <w:keepLines/>
              <w:spacing w:after="120"/>
              <w:rPr>
                <w:lang w:val="fr-FR"/>
              </w:rPr>
            </w:pPr>
            <w:r w:rsidRPr="000229AD">
              <w:rPr>
                <w:b/>
                <w:lang w:val="fr-FR"/>
              </w:rPr>
              <w:lastRenderedPageBreak/>
              <w:t>Dans la région Asie-Pacifique</w:t>
            </w:r>
            <w:r w:rsidRPr="000229AD">
              <w:rPr>
                <w:bCs/>
                <w:lang w:val="fr-FR"/>
              </w:rPr>
              <w:t>,</w:t>
            </w:r>
            <w:r w:rsidRPr="000229AD">
              <w:rPr>
                <w:lang w:val="fr-FR"/>
              </w:rPr>
              <w:t xml:space="preserve"> avec le soutien du Département australien des infrastructures, des transports, du développement régional, des communications et des arts, un document de projet intitulé "Créer une économie circulaire pour le secteur de l</w:t>
            </w:r>
            <w:r w:rsidR="00125408" w:rsidRPr="000229AD">
              <w:rPr>
                <w:lang w:val="fr-FR"/>
              </w:rPr>
              <w:t>'</w:t>
            </w:r>
            <w:r w:rsidRPr="000229AD">
              <w:rPr>
                <w:lang w:val="fr-FR"/>
              </w:rPr>
              <w:t>électronique et de l</w:t>
            </w:r>
            <w:r w:rsidR="00125408" w:rsidRPr="000229AD">
              <w:rPr>
                <w:lang w:val="fr-FR"/>
              </w:rPr>
              <w:t>'</w:t>
            </w:r>
            <w:r w:rsidRPr="000229AD">
              <w:rPr>
                <w:lang w:val="fr-FR"/>
              </w:rPr>
              <w:t>électricité en Thaïlande et en Mongolie" a été signé en janvier 2024 en vue de formuler des recommandations pertinentes pour la mise en place d</w:t>
            </w:r>
            <w:r w:rsidR="00125408" w:rsidRPr="000229AD">
              <w:rPr>
                <w:lang w:val="fr-FR"/>
              </w:rPr>
              <w:t>'</w:t>
            </w:r>
            <w:r w:rsidRPr="000229AD">
              <w:rPr>
                <w:lang w:val="fr-FR"/>
              </w:rPr>
              <w:t>un cadre réglementaire pour la gouvernance de la gestion des déchets d</w:t>
            </w:r>
            <w:r w:rsidR="00125408" w:rsidRPr="000229AD">
              <w:rPr>
                <w:lang w:val="fr-FR"/>
              </w:rPr>
              <w:t>'</w:t>
            </w:r>
            <w:r w:rsidRPr="000229AD">
              <w:rPr>
                <w:lang w:val="fr-FR"/>
              </w:rPr>
              <w:t>équipements électriques et électroniques dans le cadre d</w:t>
            </w:r>
            <w:r w:rsidR="00125408" w:rsidRPr="000229AD">
              <w:rPr>
                <w:lang w:val="fr-FR"/>
              </w:rPr>
              <w:t>'</w:t>
            </w:r>
            <w:r w:rsidRPr="000229AD">
              <w:rPr>
                <w:lang w:val="fr-FR"/>
              </w:rPr>
              <w:t>un système de responsabilité élargie des producteurs en Mongolie et en Thaïlande. À terme, les deux pays bénéficiaires devraient disposer des capacités nécessaires pour mieux réglementer la gestion des déchets d</w:t>
            </w:r>
            <w:r w:rsidR="00125408" w:rsidRPr="000229AD">
              <w:rPr>
                <w:lang w:val="fr-FR"/>
              </w:rPr>
              <w:t>'</w:t>
            </w:r>
            <w:r w:rsidRPr="000229AD">
              <w:rPr>
                <w:lang w:val="fr-FR"/>
              </w:rPr>
              <w:t>équipements électriques et électroniques, ainsi que des outils leur permettant de mettre en œuvre une réglementation sur la gestion des déchets d</w:t>
            </w:r>
            <w:r w:rsidR="00125408" w:rsidRPr="000229AD">
              <w:rPr>
                <w:lang w:val="fr-FR"/>
              </w:rPr>
              <w:t>'</w:t>
            </w:r>
            <w:r w:rsidRPr="000229AD">
              <w:rPr>
                <w:lang w:val="fr-FR"/>
              </w:rPr>
              <w:t>équipements électriques et électroniques financée de manière durable et dans laquelle le secteur privé jouera un rôle important.</w:t>
            </w:r>
          </w:p>
          <w:p w14:paraId="40C07A56" w14:textId="0733A49E" w:rsidR="00574AEA" w:rsidRPr="000229AD" w:rsidRDefault="00574AEA" w:rsidP="00716C22">
            <w:pPr>
              <w:pStyle w:val="Tabletext"/>
              <w:spacing w:after="120"/>
              <w:rPr>
                <w:lang w:val="fr-FR"/>
              </w:rPr>
            </w:pPr>
            <w:r w:rsidRPr="000229AD">
              <w:rPr>
                <w:lang w:val="fr-FR"/>
              </w:rPr>
              <w:t>Le BDT a publié en septembre 2023 deux nouveaux cours d</w:t>
            </w:r>
            <w:r w:rsidR="00125408" w:rsidRPr="000229AD">
              <w:rPr>
                <w:lang w:val="fr-FR"/>
              </w:rPr>
              <w:t>'</w:t>
            </w:r>
            <w:r w:rsidRPr="000229AD">
              <w:rPr>
                <w:lang w:val="fr-FR"/>
              </w:rPr>
              <w:t>apprentissage en ligne sur les données et statistiques relatives aux déchets d</w:t>
            </w:r>
            <w:r w:rsidR="00125408" w:rsidRPr="000229AD">
              <w:rPr>
                <w:lang w:val="fr-FR"/>
              </w:rPr>
              <w:t>'</w:t>
            </w:r>
            <w:r w:rsidRPr="000229AD">
              <w:rPr>
                <w:lang w:val="fr-FR"/>
              </w:rPr>
              <w:t xml:space="preserve">équipements électriques et électroniques: </w:t>
            </w:r>
            <w:hyperlink r:id="rId111" w:history="1">
              <w:r w:rsidRPr="000229AD">
                <w:rPr>
                  <w:rStyle w:val="Hyperlink"/>
                  <w:color w:val="auto"/>
                  <w:u w:val="none"/>
                  <w:lang w:val="fr-FR"/>
                </w:rPr>
                <w:t>"</w:t>
              </w:r>
              <w:r w:rsidRPr="000229AD">
                <w:rPr>
                  <w:rStyle w:val="Hyperlink"/>
                  <w:lang w:val="fr-FR"/>
                </w:rPr>
                <w:t>Relever le défi des déchets électroniques grâce aux données et aux statistiques</w:t>
              </w:r>
              <w:r w:rsidRPr="000229AD">
                <w:rPr>
                  <w:rStyle w:val="Hyperlink"/>
                  <w:color w:val="auto"/>
                  <w:u w:val="none"/>
                  <w:lang w:val="fr-FR"/>
                </w:rPr>
                <w:t>"</w:t>
              </w:r>
            </w:hyperlink>
            <w:r w:rsidRPr="000229AD">
              <w:rPr>
                <w:lang w:val="fr-FR"/>
              </w:rPr>
              <w:t xml:space="preserve"> et </w:t>
            </w:r>
            <w:hyperlink r:id="rId112" w:history="1">
              <w:r w:rsidRPr="000229AD">
                <w:rPr>
                  <w:rStyle w:val="Hyperlink"/>
                  <w:color w:val="auto"/>
                  <w:u w:val="none"/>
                  <w:lang w:val="fr-FR"/>
                </w:rPr>
                <w:t>"</w:t>
              </w:r>
              <w:r w:rsidRPr="000229AD">
                <w:rPr>
                  <w:rStyle w:val="Hyperlink"/>
                  <w:lang w:val="fr-FR"/>
                </w:rPr>
                <w:t>Introduction au défi des déchets d</w:t>
              </w:r>
              <w:r w:rsidR="00125408" w:rsidRPr="000229AD">
                <w:rPr>
                  <w:rStyle w:val="Hyperlink"/>
                  <w:lang w:val="fr-FR"/>
                </w:rPr>
                <w:t>'</w:t>
              </w:r>
              <w:r w:rsidRPr="000229AD">
                <w:rPr>
                  <w:rStyle w:val="Hyperlink"/>
                  <w:lang w:val="fr-FR"/>
                </w:rPr>
                <w:t>équipements électriques et électroniques</w:t>
              </w:r>
              <w:r w:rsidRPr="000229AD">
                <w:rPr>
                  <w:rStyle w:val="Hyperlink"/>
                  <w:color w:val="auto"/>
                  <w:u w:val="none"/>
                  <w:lang w:val="fr-FR"/>
                </w:rPr>
                <w:t>"</w:t>
              </w:r>
            </w:hyperlink>
            <w:r w:rsidRPr="000229AD">
              <w:rPr>
                <w:lang w:val="fr-FR"/>
              </w:rPr>
              <w:t>. Ces deux parties d</w:t>
            </w:r>
            <w:r w:rsidR="00125408" w:rsidRPr="000229AD">
              <w:rPr>
                <w:lang w:val="fr-FR"/>
              </w:rPr>
              <w:t>'</w:t>
            </w:r>
            <w:r w:rsidRPr="000229AD">
              <w:rPr>
                <w:lang w:val="fr-FR"/>
              </w:rPr>
              <w:t>une même formation visent à donner une vue d</w:t>
            </w:r>
            <w:r w:rsidR="00125408" w:rsidRPr="000229AD">
              <w:rPr>
                <w:lang w:val="fr-FR"/>
              </w:rPr>
              <w:t>'</w:t>
            </w:r>
            <w:r w:rsidRPr="000229AD">
              <w:rPr>
                <w:lang w:val="fr-FR"/>
              </w:rPr>
              <w:t>ensemble du problème mondial des déchets d</w:t>
            </w:r>
            <w:r w:rsidR="00125408" w:rsidRPr="000229AD">
              <w:rPr>
                <w:lang w:val="fr-FR"/>
              </w:rPr>
              <w:t>'</w:t>
            </w:r>
            <w:r w:rsidRPr="000229AD">
              <w:rPr>
                <w:lang w:val="fr-FR"/>
              </w:rPr>
              <w:t>équipements électriques et électroniques, y compris les statistiques et lois les plus récentes tirées du Rapport mondial sur les déchets d</w:t>
            </w:r>
            <w:r w:rsidR="00125408" w:rsidRPr="000229AD">
              <w:rPr>
                <w:lang w:val="fr-FR"/>
              </w:rPr>
              <w:t>'</w:t>
            </w:r>
            <w:r w:rsidRPr="000229AD">
              <w:rPr>
                <w:lang w:val="fr-FR"/>
              </w:rPr>
              <w:t>équipements électriques et électroniques et obtenues dans le cadre du Partenariat mondial pour les statistiques relatives aux DEEE. Ces cours permettent aux participants de mettre en pratique les méthodologies et principes clés utilisés lors de la collecte des statistiques et des données sur les déchets d</w:t>
            </w:r>
            <w:r w:rsidR="00125408" w:rsidRPr="000229AD">
              <w:rPr>
                <w:lang w:val="fr-FR"/>
              </w:rPr>
              <w:t>'</w:t>
            </w:r>
            <w:r w:rsidRPr="000229AD">
              <w:rPr>
                <w:lang w:val="fr-FR"/>
              </w:rPr>
              <w:t>équipements électriques et électroniques et l</w:t>
            </w:r>
            <w:r w:rsidR="00125408" w:rsidRPr="000229AD">
              <w:rPr>
                <w:lang w:val="fr-FR"/>
              </w:rPr>
              <w:t>'</w:t>
            </w:r>
            <w:r w:rsidRPr="000229AD">
              <w:rPr>
                <w:lang w:val="fr-FR"/>
              </w:rPr>
              <w:t>amélioration de ces derniers.</w:t>
            </w:r>
          </w:p>
          <w:p w14:paraId="33220B7C" w14:textId="6F6E67A2" w:rsidR="00574AEA" w:rsidRPr="000229AD" w:rsidRDefault="00574AEA" w:rsidP="00716C22">
            <w:pPr>
              <w:pStyle w:val="Tabletext"/>
              <w:spacing w:after="120"/>
              <w:rPr>
                <w:rFonts w:eastAsia="Calibri"/>
                <w:lang w:val="fr-FR"/>
              </w:rPr>
            </w:pPr>
            <w:r w:rsidRPr="000229AD">
              <w:rPr>
                <w:lang w:val="fr-FR"/>
              </w:rPr>
              <w:t xml:space="preserve">En juin 2023, le BDT a élargi ses initiatives environnementales en accueillant des manifestations telles que la </w:t>
            </w:r>
            <w:hyperlink r:id="rId113" w:history="1">
              <w:r w:rsidRPr="000229AD">
                <w:rPr>
                  <w:rStyle w:val="Hyperlink"/>
                  <w:lang w:val="fr-FR"/>
                </w:rPr>
                <w:t>Transformation numérique écologique et l</w:t>
              </w:r>
              <w:r w:rsidR="00125408" w:rsidRPr="000229AD">
                <w:rPr>
                  <w:rStyle w:val="Hyperlink"/>
                  <w:lang w:val="fr-FR"/>
                </w:rPr>
                <w:t>'</w:t>
              </w:r>
              <w:r w:rsidRPr="000229AD">
                <w:rPr>
                  <w:rStyle w:val="Hyperlink"/>
                  <w:lang w:val="fr-FR"/>
                </w:rPr>
                <w:t>économie circulaire dans le secteur de l</w:t>
              </w:r>
              <w:r w:rsidR="00125408" w:rsidRPr="000229AD">
                <w:rPr>
                  <w:rStyle w:val="Hyperlink"/>
                  <w:lang w:val="fr-FR"/>
                </w:rPr>
                <w:t>'</w:t>
              </w:r>
              <w:r w:rsidRPr="000229AD">
                <w:rPr>
                  <w:rStyle w:val="Hyperlink"/>
                  <w:lang w:val="fr-FR"/>
                </w:rPr>
                <w:t>électronique</w:t>
              </w:r>
            </w:hyperlink>
            <w:r w:rsidRPr="000229AD">
              <w:rPr>
                <w:lang w:val="fr-FR"/>
              </w:rPr>
              <w:t>. Ces manifestations avaient pour but de donner un aperçu du rôle des TIC dans les défis liés aux changements climatiques et aux déchets d</w:t>
            </w:r>
            <w:r w:rsidR="00125408" w:rsidRPr="000229AD">
              <w:rPr>
                <w:lang w:val="fr-FR"/>
              </w:rPr>
              <w:t>'</w:t>
            </w:r>
            <w:r w:rsidRPr="000229AD">
              <w:rPr>
                <w:lang w:val="fr-FR"/>
              </w:rPr>
              <w:t xml:space="preserve">équipements électriques et électroniques pour une transformation numérique durable. Lors du GSR organisé le 8 juin 2023 à Charm el-Cheikh (Égypte), la manifestation intitulée </w:t>
            </w:r>
            <w:hyperlink r:id="rId114" w:history="1">
              <w:r w:rsidRPr="000229AD">
                <w:rPr>
                  <w:rStyle w:val="Hyperlink"/>
                  <w:color w:val="auto"/>
                  <w:u w:val="none"/>
                  <w:lang w:val="fr-FR"/>
                </w:rPr>
                <w:t>"</w:t>
              </w:r>
              <w:r w:rsidRPr="000229AD">
                <w:rPr>
                  <w:rStyle w:val="Hyperlink"/>
                  <w:lang w:val="fr-FR"/>
                </w:rPr>
                <w:t>Une transformation numérique plus écologique</w:t>
              </w:r>
              <w:r w:rsidRPr="000229AD">
                <w:rPr>
                  <w:rStyle w:val="Hyperlink"/>
                  <w:color w:val="auto"/>
                  <w:u w:val="none"/>
                  <w:lang w:val="fr-FR"/>
                </w:rPr>
                <w:t>"</w:t>
              </w:r>
            </w:hyperlink>
            <w:r w:rsidRPr="000229AD">
              <w:rPr>
                <w:lang w:val="fr-FR"/>
              </w:rPr>
              <w:t xml:space="preserve"> a abordé la responsabilité des régulateurs dans l</w:t>
            </w:r>
            <w:r w:rsidR="00125408" w:rsidRPr="000229AD">
              <w:rPr>
                <w:lang w:val="fr-FR"/>
              </w:rPr>
              <w:t>'</w:t>
            </w:r>
            <w:r w:rsidRPr="000229AD">
              <w:rPr>
                <w:lang w:val="fr-FR"/>
              </w:rPr>
              <w:t>amélioration de la déclaration des émissions de gaz à effet de serre et de la réglementation relative aux déchets d</w:t>
            </w:r>
            <w:r w:rsidR="00125408" w:rsidRPr="000229AD">
              <w:rPr>
                <w:lang w:val="fr-FR"/>
              </w:rPr>
              <w:t>'</w:t>
            </w:r>
            <w:r w:rsidRPr="000229AD">
              <w:rPr>
                <w:lang w:val="fr-FR"/>
              </w:rPr>
              <w:t>équipements électriques et électroniques provenant du secteur des TIC.</w:t>
            </w:r>
          </w:p>
          <w:p w14:paraId="0B05ACC4" w14:textId="6336048C" w:rsidR="00574AEA" w:rsidRPr="000229AD" w:rsidRDefault="00574AEA" w:rsidP="00716C22">
            <w:pPr>
              <w:pStyle w:val="Tabletext"/>
              <w:spacing w:after="120"/>
              <w:rPr>
                <w:rFonts w:ascii="Calibri" w:eastAsia="Calibri" w:hAnsi="Calibri" w:cs="Calibri"/>
                <w:lang w:val="fr-FR"/>
              </w:rPr>
            </w:pPr>
            <w:r w:rsidRPr="000229AD">
              <w:rPr>
                <w:lang w:val="fr-FR"/>
              </w:rPr>
              <w:t>En juillet 2023, le BDT, en partenariat avec le mécanisme Africa RISE, financé par l</w:t>
            </w:r>
            <w:r w:rsidR="00125408" w:rsidRPr="000229AD">
              <w:rPr>
                <w:lang w:val="fr-FR"/>
              </w:rPr>
              <w:t>'</w:t>
            </w:r>
            <w:r w:rsidRPr="000229AD">
              <w:rPr>
                <w:lang w:val="fr-FR"/>
              </w:rPr>
              <w:t xml:space="preserve">UE, et le Gouvernement du Botswana, a organisé la manifestation </w:t>
            </w:r>
            <w:hyperlink r:id="rId115" w:history="1">
              <w:r w:rsidRPr="000229AD">
                <w:rPr>
                  <w:lang w:val="fr-FR"/>
                </w:rPr>
                <w:t>"</w:t>
              </w:r>
              <w:r w:rsidRPr="000229AD">
                <w:rPr>
                  <w:rStyle w:val="Hyperlink"/>
                  <w:lang w:val="fr-FR"/>
                </w:rPr>
                <w:t>Se transformer grâce à l</w:t>
              </w:r>
              <w:r w:rsidR="00125408" w:rsidRPr="000229AD">
                <w:rPr>
                  <w:rStyle w:val="Hyperlink"/>
                  <w:lang w:val="fr-FR"/>
                </w:rPr>
                <w:t>'</w:t>
              </w:r>
              <w:r w:rsidRPr="000229AD">
                <w:rPr>
                  <w:rStyle w:val="Hyperlink"/>
                  <w:lang w:val="fr-FR"/>
                </w:rPr>
                <w:t>économie circulaire et à la REP</w:t>
              </w:r>
              <w:r w:rsidRPr="000229AD">
                <w:rPr>
                  <w:lang w:val="fr-FR"/>
                </w:rPr>
                <w:t>"</w:t>
              </w:r>
            </w:hyperlink>
            <w:r w:rsidRPr="000229AD">
              <w:rPr>
                <w:lang w:val="fr-FR"/>
              </w:rPr>
              <w:t>. Cette manifestation visait à renforcer la collaboration régionale entre les États membres de la SADC et a présenté les progrès accomplis dans la gestion des déchets électroniques en Afrique orientale et australe. Le Botswana a également affiché son engagement dans le domaine en présentant son projet de stratégie nationale de gestion des déchets d</w:t>
            </w:r>
            <w:r w:rsidR="00125408" w:rsidRPr="000229AD">
              <w:rPr>
                <w:lang w:val="fr-FR"/>
              </w:rPr>
              <w:t>'</w:t>
            </w:r>
            <w:r w:rsidRPr="000229AD">
              <w:rPr>
                <w:lang w:val="fr-FR"/>
              </w:rPr>
              <w:t>équipements électriques et électroniques élaboré en collaboration avec le BDT.</w:t>
            </w:r>
          </w:p>
        </w:tc>
        <w:tc>
          <w:tcPr>
            <w:tcW w:w="2831" w:type="dxa"/>
            <w:tcBorders>
              <w:top w:val="dotted" w:sz="4" w:space="0" w:color="0070C0"/>
              <w:left w:val="dotted" w:sz="4" w:space="0" w:color="0070C0"/>
              <w:bottom w:val="dotted" w:sz="4" w:space="0" w:color="0070C0"/>
              <w:right w:val="dotted" w:sz="4" w:space="0" w:color="0070C0"/>
            </w:tcBorders>
            <w:shd w:val="clear" w:color="auto" w:fill="auto"/>
          </w:tcPr>
          <w:p w14:paraId="3D9FE547" w14:textId="3EE7C575" w:rsidR="00574AEA" w:rsidRPr="000229AD" w:rsidRDefault="00574AEA" w:rsidP="00716C22">
            <w:pPr>
              <w:pStyle w:val="Tabletext"/>
              <w:spacing w:after="0"/>
              <w:ind w:left="284" w:hanging="284"/>
              <w:rPr>
                <w:rFonts w:eastAsia="Calibri" w:cs="Times New Roman"/>
                <w:lang w:val="fr-FR"/>
              </w:rPr>
            </w:pPr>
            <w:r w:rsidRPr="000229AD">
              <w:rPr>
                <w:lang w:val="fr-FR"/>
              </w:rPr>
              <w:lastRenderedPageBreak/>
              <w:t>–</w:t>
            </w:r>
            <w:r w:rsidRPr="000229AD">
              <w:rPr>
                <w:lang w:val="fr-FR"/>
              </w:rPr>
              <w:tab/>
              <w:t xml:space="preserve">Élaboration de lignes directrices et de systèmes de </w:t>
            </w:r>
            <w:r w:rsidRPr="000229AD">
              <w:rPr>
                <w:b/>
                <w:bCs/>
                <w:lang w:val="fr-FR"/>
              </w:rPr>
              <w:t>gestion des déchets d</w:t>
            </w:r>
            <w:r w:rsidR="00125408" w:rsidRPr="000229AD">
              <w:rPr>
                <w:b/>
                <w:bCs/>
                <w:lang w:val="fr-FR"/>
              </w:rPr>
              <w:t>'</w:t>
            </w:r>
            <w:r w:rsidRPr="000229AD">
              <w:rPr>
                <w:b/>
                <w:bCs/>
                <w:lang w:val="fr-FR"/>
              </w:rPr>
              <w:t>équipements électriques et électroniques</w:t>
            </w:r>
            <w:r w:rsidRPr="000229AD">
              <w:rPr>
                <w:lang w:val="fr-FR"/>
              </w:rPr>
              <w:t>.</w:t>
            </w:r>
          </w:p>
          <w:p w14:paraId="3A2BB022" w14:textId="72F20A73" w:rsidR="00574AEA" w:rsidRPr="000229AD" w:rsidRDefault="00574AEA" w:rsidP="00716C22">
            <w:pPr>
              <w:pStyle w:val="Tabletext"/>
              <w:spacing w:before="80" w:after="0"/>
              <w:ind w:left="284" w:hanging="284"/>
              <w:rPr>
                <w:lang w:val="fr-FR"/>
              </w:rPr>
            </w:pPr>
            <w:r w:rsidRPr="000229AD">
              <w:rPr>
                <w:lang w:val="fr-FR"/>
              </w:rPr>
              <w:t>–</w:t>
            </w:r>
            <w:r w:rsidRPr="000229AD">
              <w:rPr>
                <w:lang w:val="fr-FR"/>
              </w:rPr>
              <w:tab/>
              <w:t xml:space="preserve">Publication du </w:t>
            </w:r>
            <w:r w:rsidRPr="000229AD">
              <w:rPr>
                <w:b/>
                <w:bCs/>
                <w:lang w:val="fr-FR"/>
              </w:rPr>
              <w:t>Rapport mondial sur les déchets d</w:t>
            </w:r>
            <w:r w:rsidR="00125408" w:rsidRPr="000229AD">
              <w:rPr>
                <w:b/>
                <w:bCs/>
                <w:lang w:val="fr-FR"/>
              </w:rPr>
              <w:t>'</w:t>
            </w:r>
            <w:r w:rsidRPr="000229AD">
              <w:rPr>
                <w:b/>
                <w:bCs/>
                <w:lang w:val="fr-FR"/>
              </w:rPr>
              <w:t>équipements électriques et électroniques</w:t>
            </w:r>
            <w:r w:rsidRPr="000229AD">
              <w:rPr>
                <w:lang w:val="fr-FR"/>
              </w:rPr>
              <w:t> 2024.</w:t>
            </w:r>
          </w:p>
          <w:p w14:paraId="3910CBF0" w14:textId="77777777" w:rsidR="00574AEA" w:rsidRPr="000229AD" w:rsidRDefault="00574AEA" w:rsidP="00716C22">
            <w:pPr>
              <w:pStyle w:val="Tabletext"/>
              <w:spacing w:before="80" w:after="0"/>
              <w:ind w:left="284" w:hanging="284"/>
              <w:rPr>
                <w:rFonts w:eastAsia="Calibri" w:cs="Times New Roman"/>
                <w:lang w:val="fr-FR"/>
              </w:rPr>
            </w:pPr>
            <w:r w:rsidRPr="000229AD">
              <w:rPr>
                <w:lang w:val="fr-FR"/>
              </w:rPr>
              <w:t>–</w:t>
            </w:r>
            <w:r w:rsidRPr="000229AD">
              <w:rPr>
                <w:lang w:val="fr-FR"/>
              </w:rPr>
              <w:tab/>
              <w:t>Renforcement des politiques et des stratégies.</w:t>
            </w:r>
          </w:p>
          <w:p w14:paraId="546C89E2" w14:textId="5670598E" w:rsidR="00574AEA" w:rsidRPr="000229AD" w:rsidRDefault="00574AEA" w:rsidP="00716C22">
            <w:pPr>
              <w:pStyle w:val="Tabletext"/>
              <w:spacing w:before="80" w:after="0"/>
              <w:ind w:left="284" w:hanging="284"/>
              <w:rPr>
                <w:rFonts w:eastAsia="Calibri" w:cs="Times New Roman"/>
                <w:lang w:val="fr-FR"/>
              </w:rPr>
            </w:pPr>
            <w:r w:rsidRPr="000229AD">
              <w:rPr>
                <w:lang w:val="fr-FR"/>
              </w:rPr>
              <w:t>–</w:t>
            </w:r>
            <w:r w:rsidRPr="000229AD">
              <w:rPr>
                <w:lang w:val="fr-FR"/>
              </w:rPr>
              <w:tab/>
              <w:t xml:space="preserve">Renforcement de la capacité de </w:t>
            </w:r>
            <w:r w:rsidRPr="000229AD">
              <w:rPr>
                <w:b/>
                <w:bCs/>
                <w:lang w:val="fr-FR"/>
              </w:rPr>
              <w:t>suivre les émissions du secteur des TIC</w:t>
            </w:r>
            <w:r w:rsidRPr="000229AD">
              <w:rPr>
                <w:lang w:val="fr-FR"/>
              </w:rPr>
              <w:t xml:space="preserve"> et d</w:t>
            </w:r>
            <w:r w:rsidR="00125408" w:rsidRPr="000229AD">
              <w:rPr>
                <w:lang w:val="fr-FR"/>
              </w:rPr>
              <w:t>'</w:t>
            </w:r>
            <w:r w:rsidRPr="000229AD">
              <w:rPr>
                <w:lang w:val="fr-FR"/>
              </w:rPr>
              <w:t>élaborer des stratégies en faveur de TIC vertes.</w:t>
            </w:r>
          </w:p>
          <w:p w14:paraId="62F278D1" w14:textId="77777777" w:rsidR="00574AEA" w:rsidRPr="000229AD" w:rsidRDefault="00574AEA" w:rsidP="00716C22">
            <w:pPr>
              <w:pStyle w:val="Tabletext"/>
              <w:spacing w:before="80" w:after="0"/>
              <w:ind w:left="284" w:hanging="284"/>
              <w:rPr>
                <w:rFonts w:eastAsia="Calibri" w:cs="Times New Roman"/>
                <w:lang w:val="fr-FR"/>
              </w:rPr>
            </w:pPr>
            <w:r w:rsidRPr="000229AD">
              <w:rPr>
                <w:lang w:val="fr-FR"/>
              </w:rPr>
              <w:t>–</w:t>
            </w:r>
            <w:r w:rsidRPr="000229AD">
              <w:rPr>
                <w:lang w:val="fr-FR"/>
              </w:rPr>
              <w:tab/>
              <w:t>Renforcement de partenariats et de collaborations.</w:t>
            </w:r>
          </w:p>
          <w:p w14:paraId="0B11E257" w14:textId="77777777" w:rsidR="00574AEA" w:rsidRPr="000229AD" w:rsidRDefault="00574AEA" w:rsidP="00716C22">
            <w:pPr>
              <w:pStyle w:val="Tabletext"/>
              <w:keepNext/>
              <w:keepLines/>
              <w:spacing w:before="80" w:after="0"/>
              <w:ind w:left="284" w:hanging="284"/>
              <w:rPr>
                <w:rFonts w:ascii="Calibri" w:hAnsi="Calibri"/>
                <w:lang w:val="fr-FR"/>
              </w:rPr>
            </w:pPr>
            <w:r w:rsidRPr="000229AD">
              <w:rPr>
                <w:lang w:val="fr-FR"/>
              </w:rPr>
              <w:lastRenderedPageBreak/>
              <w:t>–</w:t>
            </w:r>
            <w:r w:rsidRPr="000229AD">
              <w:rPr>
                <w:lang w:val="fr-FR"/>
              </w:rPr>
              <w:tab/>
            </w:r>
            <w:r w:rsidRPr="000229AD">
              <w:rPr>
                <w:b/>
                <w:lang w:val="fr-FR"/>
              </w:rPr>
              <w:t>Afrique</w:t>
            </w:r>
            <w:r w:rsidRPr="000229AD">
              <w:rPr>
                <w:bCs/>
                <w:lang w:val="fr-FR"/>
              </w:rPr>
              <w:t xml:space="preserve">: </w:t>
            </w:r>
            <w:r w:rsidRPr="000229AD">
              <w:rPr>
                <w:lang w:val="fr-FR"/>
              </w:rPr>
              <w:t>Botswana, Burundi, Kenya, Niger, Ouganda, Rwanda, Zambie.</w:t>
            </w:r>
          </w:p>
          <w:p w14:paraId="4824D31C" w14:textId="77777777" w:rsidR="00574AEA" w:rsidRPr="000229AD" w:rsidRDefault="00574AEA" w:rsidP="00716C22">
            <w:pPr>
              <w:pStyle w:val="Tabletext"/>
              <w:spacing w:before="80" w:after="0"/>
              <w:ind w:left="284" w:hanging="284"/>
              <w:rPr>
                <w:rFonts w:ascii="Calibri" w:hAnsi="Calibri"/>
                <w:lang w:val="fr-FR"/>
              </w:rPr>
            </w:pPr>
            <w:r w:rsidRPr="000229AD">
              <w:rPr>
                <w:lang w:val="fr-FR"/>
              </w:rPr>
              <w:t>–</w:t>
            </w:r>
            <w:r w:rsidRPr="000229AD">
              <w:rPr>
                <w:lang w:val="fr-FR"/>
              </w:rPr>
              <w:tab/>
            </w:r>
            <w:r w:rsidRPr="000229AD">
              <w:rPr>
                <w:b/>
                <w:lang w:val="fr-FR"/>
              </w:rPr>
              <w:t>Amériques</w:t>
            </w:r>
            <w:r w:rsidRPr="000229AD">
              <w:rPr>
                <w:bCs/>
                <w:lang w:val="fr-FR"/>
              </w:rPr>
              <w:t>:</w:t>
            </w:r>
            <w:r w:rsidRPr="000229AD">
              <w:rPr>
                <w:lang w:val="fr-FR"/>
              </w:rPr>
              <w:t xml:space="preserve"> République dominicaine.</w:t>
            </w:r>
          </w:p>
          <w:p w14:paraId="47C3B928" w14:textId="77777777" w:rsidR="00574AEA" w:rsidRPr="000229AD" w:rsidRDefault="00574AEA" w:rsidP="00716C22">
            <w:pPr>
              <w:pStyle w:val="Tabletext"/>
              <w:spacing w:before="80" w:after="0"/>
              <w:ind w:left="284" w:hanging="284"/>
              <w:rPr>
                <w:rFonts w:ascii="Calibri" w:hAnsi="Calibri"/>
                <w:lang w:val="fr-FR"/>
              </w:rPr>
            </w:pPr>
            <w:r w:rsidRPr="000229AD">
              <w:rPr>
                <w:lang w:val="fr-FR"/>
              </w:rPr>
              <w:t>–</w:t>
            </w:r>
            <w:r w:rsidRPr="000229AD">
              <w:rPr>
                <w:lang w:val="fr-FR"/>
              </w:rPr>
              <w:tab/>
            </w:r>
            <w:r w:rsidRPr="000229AD">
              <w:rPr>
                <w:b/>
                <w:bCs/>
                <w:lang w:val="fr-FR"/>
              </w:rPr>
              <w:t>Asie et Pacifique</w:t>
            </w:r>
            <w:r w:rsidRPr="000229AD">
              <w:rPr>
                <w:lang w:val="fr-FR"/>
              </w:rPr>
              <w:t>: Mongolie, Thaïlande</w:t>
            </w:r>
          </w:p>
          <w:p w14:paraId="73C18C81" w14:textId="3AA30128" w:rsidR="00574AEA" w:rsidRPr="000229AD" w:rsidRDefault="00574AEA" w:rsidP="00716C22">
            <w:pPr>
              <w:pStyle w:val="Tabletext"/>
              <w:spacing w:before="80" w:after="0"/>
              <w:ind w:left="284" w:hanging="284"/>
              <w:rPr>
                <w:lang w:val="fr-FR"/>
              </w:rPr>
            </w:pPr>
            <w:r w:rsidRPr="000229AD">
              <w:rPr>
                <w:lang w:val="fr-FR"/>
              </w:rPr>
              <w:t>–</w:t>
            </w:r>
            <w:r w:rsidRPr="000229AD">
              <w:rPr>
                <w:lang w:val="fr-FR"/>
              </w:rPr>
              <w:tab/>
            </w:r>
            <w:r w:rsidRPr="000229AD">
              <w:rPr>
                <w:b/>
                <w:bCs/>
                <w:lang w:val="fr-FR"/>
              </w:rPr>
              <w:t>Région de la CEI</w:t>
            </w:r>
            <w:r w:rsidRPr="000229AD">
              <w:rPr>
                <w:bCs/>
                <w:lang w:val="fr-FR"/>
              </w:rPr>
              <w:t xml:space="preserve">: </w:t>
            </w:r>
            <w:r w:rsidRPr="000229AD">
              <w:rPr>
                <w:lang w:val="fr-FR"/>
              </w:rPr>
              <w:t xml:space="preserve">Kazakhstan </w:t>
            </w:r>
          </w:p>
        </w:tc>
      </w:tr>
      <w:tr w:rsidR="00E07F09" w:rsidRPr="000229AD" w14:paraId="62A1B374" w14:textId="77777777" w:rsidTr="00E30F20">
        <w:trPr>
          <w:trHeight w:val="300"/>
        </w:trPr>
        <w:tc>
          <w:tcPr>
            <w:tcW w:w="12036" w:type="dxa"/>
            <w:gridSpan w:val="2"/>
            <w:tcBorders>
              <w:top w:val="dotted" w:sz="4" w:space="0" w:color="0070C0"/>
              <w:left w:val="dotted" w:sz="4" w:space="0" w:color="0070C0"/>
              <w:bottom w:val="dotted" w:sz="4" w:space="0" w:color="0070C0"/>
              <w:right w:val="dotted" w:sz="4" w:space="0" w:color="0070C0"/>
            </w:tcBorders>
          </w:tcPr>
          <w:p w14:paraId="39BB908F" w14:textId="580B6E31" w:rsidR="00E07F09" w:rsidRPr="000229AD" w:rsidRDefault="00574AEA" w:rsidP="00716C22">
            <w:pPr>
              <w:pStyle w:val="Tabletext"/>
              <w:keepNext/>
              <w:keepLines/>
              <w:spacing w:after="120"/>
              <w:rPr>
                <w:rFonts w:ascii="Calibri" w:eastAsia="Calibri" w:hAnsi="Calibri" w:cs="Calibri"/>
                <w:lang w:val="fr-FR"/>
              </w:rPr>
            </w:pPr>
            <w:r w:rsidRPr="000229AD">
              <w:rPr>
                <w:lang w:val="fr-FR"/>
              </w:rPr>
              <w:lastRenderedPageBreak/>
              <w:t>Le BDT a par ailleurs travaillé avec des partenaires pour surveiller les émissions du secteur des TIC, aider les pays à suivre les émissions du secteur et élaborer des stratégies en matière de TIC vertes. Il s</w:t>
            </w:r>
            <w:r w:rsidR="00125408" w:rsidRPr="000229AD">
              <w:rPr>
                <w:lang w:val="fr-FR"/>
              </w:rPr>
              <w:t>'</w:t>
            </w:r>
            <w:r w:rsidRPr="000229AD">
              <w:rPr>
                <w:lang w:val="fr-FR"/>
              </w:rPr>
              <w:t xml:space="preserve">agissait notamment de la publication de rapports et de guides tels que le </w:t>
            </w:r>
            <w:hyperlink r:id="rId116" w:history="1">
              <w:r w:rsidRPr="000229AD">
                <w:rPr>
                  <w:rStyle w:val="Hyperlink"/>
                  <w:lang w:val="fr-FR"/>
                </w:rPr>
                <w:t>Guide sur les centres de données respectueux de l</w:t>
              </w:r>
              <w:r w:rsidR="00125408" w:rsidRPr="000229AD">
                <w:rPr>
                  <w:rStyle w:val="Hyperlink"/>
                  <w:lang w:val="fr-FR"/>
                </w:rPr>
                <w:t>'</w:t>
              </w:r>
              <w:r w:rsidRPr="000229AD">
                <w:rPr>
                  <w:rStyle w:val="Hyperlink"/>
                  <w:lang w:val="fr-FR"/>
                </w:rPr>
                <w:t>environnement</w:t>
              </w:r>
            </w:hyperlink>
            <w:r w:rsidRPr="000229AD">
              <w:rPr>
                <w:lang w:val="fr-FR"/>
              </w:rPr>
              <w:t xml:space="preserve"> et le </w:t>
            </w:r>
            <w:hyperlink r:id="rId117" w:history="1">
              <w:r w:rsidRPr="000229AD">
                <w:rPr>
                  <w:rStyle w:val="Hyperlink"/>
                  <w:lang w:val="fr-FR"/>
                </w:rPr>
                <w:t>Cours d</w:t>
              </w:r>
              <w:r w:rsidR="00125408" w:rsidRPr="000229AD">
                <w:rPr>
                  <w:rStyle w:val="Hyperlink"/>
                  <w:lang w:val="fr-FR"/>
                </w:rPr>
                <w:t>'</w:t>
              </w:r>
              <w:r w:rsidRPr="000229AD">
                <w:rPr>
                  <w:rStyle w:val="Hyperlink"/>
                  <w:lang w:val="fr-FR"/>
                </w:rPr>
                <w:t>apprentissage en ligne sur l</w:t>
              </w:r>
              <w:r w:rsidR="00125408" w:rsidRPr="000229AD">
                <w:rPr>
                  <w:rStyle w:val="Hyperlink"/>
                  <w:lang w:val="fr-FR"/>
                </w:rPr>
                <w:t>'</w:t>
              </w:r>
              <w:r w:rsidRPr="000229AD">
                <w:rPr>
                  <w:rStyle w:val="Hyperlink"/>
                  <w:lang w:val="fr-FR"/>
                </w:rPr>
                <w:t>entrepreneuriat écologique et numérique pour les femmes</w:t>
              </w:r>
            </w:hyperlink>
            <w:r w:rsidRPr="000229AD">
              <w:rPr>
                <w:lang w:val="fr-FR"/>
              </w:rPr>
              <w:t>. L</w:t>
            </w:r>
            <w:r w:rsidR="00125408" w:rsidRPr="000229AD">
              <w:rPr>
                <w:lang w:val="fr-FR"/>
              </w:rPr>
              <w:t>'</w:t>
            </w:r>
            <w:r w:rsidRPr="000229AD">
              <w:rPr>
                <w:lang w:val="fr-FR"/>
              </w:rPr>
              <w:t>UIT a également activement pris part aux conférences internationales sur le climat telles que la COP28 et la 18ème Conférence de la jeunesse (COY18), dans le cadre desquelles elle a plaidé en faveur de l</w:t>
            </w:r>
            <w:r w:rsidR="00125408" w:rsidRPr="000229AD">
              <w:rPr>
                <w:lang w:val="fr-FR"/>
              </w:rPr>
              <w:t>'</w:t>
            </w:r>
            <w:r w:rsidRPr="000229AD">
              <w:rPr>
                <w:lang w:val="fr-FR"/>
              </w:rPr>
              <w:t>action climatique axée sur les technologies numériques et encouragé des partenariats pour le développement durable.</w:t>
            </w:r>
          </w:p>
        </w:tc>
        <w:tc>
          <w:tcPr>
            <w:tcW w:w="2831" w:type="dxa"/>
            <w:tcBorders>
              <w:top w:val="dotted" w:sz="4" w:space="0" w:color="0070C0"/>
              <w:left w:val="dotted" w:sz="4" w:space="0" w:color="0070C0"/>
              <w:bottom w:val="dotted" w:sz="4" w:space="0" w:color="0070C0"/>
              <w:right w:val="dotted" w:sz="4" w:space="0" w:color="0070C0"/>
            </w:tcBorders>
            <w:shd w:val="clear" w:color="auto" w:fill="auto"/>
          </w:tcPr>
          <w:p w14:paraId="49C34102" w14:textId="58AAC18D" w:rsidR="00E07F09" w:rsidRPr="000229AD" w:rsidRDefault="00E07F09" w:rsidP="00716C22">
            <w:pPr>
              <w:pStyle w:val="Tabletext"/>
              <w:spacing w:before="80" w:after="0"/>
              <w:ind w:left="284" w:hanging="284"/>
              <w:rPr>
                <w:rFonts w:ascii="Calibri" w:hAnsi="Calibri"/>
                <w:lang w:val="fr-FR"/>
              </w:rPr>
            </w:pPr>
          </w:p>
        </w:tc>
      </w:tr>
      <w:tr w:rsidR="00E07F09" w:rsidRPr="000229AD" w14:paraId="5B8AF9FC" w14:textId="77777777" w:rsidTr="00E30F20">
        <w:trPr>
          <w:trHeight w:val="300"/>
        </w:trPr>
        <w:tc>
          <w:tcPr>
            <w:tcW w:w="2972" w:type="dxa"/>
            <w:tcBorders>
              <w:top w:val="dotted" w:sz="4" w:space="0" w:color="0070C0"/>
              <w:left w:val="dotted" w:sz="4" w:space="0" w:color="0070C0"/>
              <w:bottom w:val="dotted" w:sz="4" w:space="0" w:color="0070C0"/>
              <w:right w:val="dotted" w:sz="4" w:space="0" w:color="0070C0"/>
            </w:tcBorders>
          </w:tcPr>
          <w:p w14:paraId="706E5F26" w14:textId="77777777" w:rsidR="00E07F09" w:rsidRPr="000229AD" w:rsidRDefault="00E07F09" w:rsidP="00716C22">
            <w:pPr>
              <w:pStyle w:val="Tabletext"/>
              <w:rPr>
                <w:rFonts w:ascii="Avenir Next LT Pro" w:hAnsi="Avenir Next LT Pro" w:cs="Calibri"/>
                <w:b/>
                <w:bCs/>
                <w:i/>
                <w:iCs/>
                <w:color w:val="000000"/>
                <w:lang w:val="fr-FR"/>
              </w:rPr>
            </w:pPr>
            <w:r w:rsidRPr="000229AD">
              <w:rPr>
                <w:b/>
                <w:bCs/>
                <w:lang w:val="fr-FR"/>
              </w:rPr>
              <w:t>Contribution à la réalisation des cibles des ODD</w:t>
            </w:r>
          </w:p>
        </w:tc>
        <w:tc>
          <w:tcPr>
            <w:tcW w:w="11895" w:type="dxa"/>
            <w:gridSpan w:val="2"/>
            <w:tcBorders>
              <w:top w:val="dotted" w:sz="4" w:space="0" w:color="0070C0"/>
              <w:left w:val="dotted" w:sz="4" w:space="0" w:color="0070C0"/>
              <w:bottom w:val="dotted" w:sz="4" w:space="0" w:color="0070C0"/>
              <w:right w:val="dotted" w:sz="4" w:space="0" w:color="0070C0"/>
            </w:tcBorders>
          </w:tcPr>
          <w:p w14:paraId="5545383A" w14:textId="77777777" w:rsidR="00E07F09" w:rsidRPr="000229AD" w:rsidRDefault="00E07F09" w:rsidP="00716C22">
            <w:pPr>
              <w:pStyle w:val="Tabletext"/>
              <w:rPr>
                <w:lang w:val="fr-FR"/>
              </w:rPr>
            </w:pPr>
            <w:r w:rsidRPr="000229AD">
              <w:rPr>
                <w:lang w:val="fr-FR"/>
              </w:rPr>
              <w:t>1, 3, 4, 5, 8, 9, 10, 11, 16, 17</w:t>
            </w:r>
          </w:p>
        </w:tc>
      </w:tr>
      <w:tr w:rsidR="00E07F09" w:rsidRPr="000229AD" w14:paraId="0B0530AE" w14:textId="77777777" w:rsidTr="00E30F20">
        <w:trPr>
          <w:trHeight w:val="300"/>
        </w:trPr>
        <w:tc>
          <w:tcPr>
            <w:tcW w:w="2972" w:type="dxa"/>
            <w:tcBorders>
              <w:top w:val="dotted" w:sz="4" w:space="0" w:color="0070C0"/>
              <w:left w:val="dotted" w:sz="4" w:space="0" w:color="0070C0"/>
              <w:bottom w:val="dotted" w:sz="4" w:space="0" w:color="0070C0"/>
              <w:right w:val="dotted" w:sz="4" w:space="0" w:color="0070C0"/>
            </w:tcBorders>
          </w:tcPr>
          <w:p w14:paraId="7DA52E7B" w14:textId="77777777" w:rsidR="00E07F09" w:rsidRPr="000229AD" w:rsidRDefault="00E07F09" w:rsidP="00716C22">
            <w:pPr>
              <w:pStyle w:val="Tabletext"/>
              <w:rPr>
                <w:b/>
                <w:bCs/>
                <w:lang w:val="fr-FR"/>
              </w:rPr>
            </w:pPr>
            <w:r w:rsidRPr="000229AD">
              <w:rPr>
                <w:b/>
                <w:bCs/>
                <w:lang w:val="fr-FR"/>
              </w:rPr>
              <w:t>Grandes orientations du SMSI</w:t>
            </w:r>
          </w:p>
        </w:tc>
        <w:tc>
          <w:tcPr>
            <w:tcW w:w="11895" w:type="dxa"/>
            <w:gridSpan w:val="2"/>
            <w:tcBorders>
              <w:top w:val="dotted" w:sz="4" w:space="0" w:color="0070C0"/>
              <w:left w:val="dotted" w:sz="4" w:space="0" w:color="0070C0"/>
              <w:bottom w:val="dotted" w:sz="4" w:space="0" w:color="0070C0"/>
              <w:right w:val="dotted" w:sz="4" w:space="0" w:color="0070C0"/>
            </w:tcBorders>
          </w:tcPr>
          <w:p w14:paraId="44F52124" w14:textId="77777777" w:rsidR="00E07F09" w:rsidRPr="000229AD" w:rsidRDefault="00E07F09" w:rsidP="00716C22">
            <w:pPr>
              <w:pStyle w:val="Tabletext"/>
              <w:rPr>
                <w:lang w:val="fr-FR"/>
              </w:rPr>
            </w:pPr>
            <w:r w:rsidRPr="000229AD">
              <w:rPr>
                <w:lang w:val="fr-FR"/>
              </w:rPr>
              <w:t>C1, C2, C3, C4, C5, C6, C7, C11</w:t>
            </w:r>
          </w:p>
        </w:tc>
      </w:tr>
      <w:tr w:rsidR="00E07F09" w:rsidRPr="000229AD" w14:paraId="1C1100C7" w14:textId="77777777" w:rsidTr="00E30F20">
        <w:trPr>
          <w:trHeight w:val="300"/>
        </w:trPr>
        <w:tc>
          <w:tcPr>
            <w:tcW w:w="2972" w:type="dxa"/>
            <w:tcBorders>
              <w:top w:val="dotted" w:sz="4" w:space="0" w:color="0070C0"/>
              <w:left w:val="dotted" w:sz="4" w:space="0" w:color="0070C0"/>
              <w:bottom w:val="dotted" w:sz="4" w:space="0" w:color="0070C0"/>
              <w:right w:val="dotted" w:sz="4" w:space="0" w:color="0070C0"/>
            </w:tcBorders>
          </w:tcPr>
          <w:p w14:paraId="61294B71" w14:textId="77777777" w:rsidR="00E07F09" w:rsidRPr="000229AD" w:rsidRDefault="00E07F09" w:rsidP="00716C22">
            <w:pPr>
              <w:pStyle w:val="Tabletext"/>
              <w:rPr>
                <w:b/>
                <w:bCs/>
                <w:lang w:val="fr-FR"/>
              </w:rPr>
            </w:pPr>
            <w:r w:rsidRPr="000229AD">
              <w:rPr>
                <w:b/>
                <w:bCs/>
                <w:lang w:val="fr-FR"/>
              </w:rPr>
              <w:t>Résolutions</w:t>
            </w:r>
          </w:p>
        </w:tc>
        <w:tc>
          <w:tcPr>
            <w:tcW w:w="11895" w:type="dxa"/>
            <w:gridSpan w:val="2"/>
            <w:tcBorders>
              <w:top w:val="dotted" w:sz="4" w:space="0" w:color="0070C0"/>
              <w:left w:val="dotted" w:sz="4" w:space="0" w:color="0070C0"/>
              <w:bottom w:val="dotted" w:sz="4" w:space="0" w:color="0070C0"/>
              <w:right w:val="dotted" w:sz="4" w:space="0" w:color="0070C0"/>
            </w:tcBorders>
          </w:tcPr>
          <w:p w14:paraId="08400BCA" w14:textId="77777777" w:rsidR="00E07F09" w:rsidRPr="000229AD" w:rsidRDefault="00E07F09" w:rsidP="00716C22">
            <w:pPr>
              <w:pStyle w:val="Tabletext"/>
              <w:rPr>
                <w:lang w:val="fr-FR"/>
              </w:rPr>
            </w:pPr>
            <w:r w:rsidRPr="000229AD">
              <w:rPr>
                <w:lang w:val="fr-FR"/>
              </w:rPr>
              <w:t>66 de la CMDT</w:t>
            </w:r>
          </w:p>
        </w:tc>
      </w:tr>
    </w:tbl>
    <w:p w14:paraId="53579534" w14:textId="26923D5D" w:rsidR="00C24D14" w:rsidRPr="000229AD" w:rsidRDefault="00C24D14" w:rsidP="00716C22">
      <w:pPr>
        <w:rPr>
          <w:lang w:val="fr-FR"/>
        </w:rPr>
      </w:pPr>
      <w:r w:rsidRPr="000229AD">
        <w:rPr>
          <w:lang w:val="fr-FR"/>
        </w:rPr>
        <w:br w:type="page"/>
      </w:r>
    </w:p>
    <w:tbl>
      <w:tblPr>
        <w:tblStyle w:val="TableGrid11"/>
        <w:tblW w:w="14867" w:type="dxa"/>
        <w:tblBorders>
          <w:top w:val="dotted" w:sz="4" w:space="0" w:color="0070C0"/>
          <w:left w:val="dotted" w:sz="4" w:space="0" w:color="0070C0"/>
          <w:bottom w:val="dotted" w:sz="4" w:space="0" w:color="0070C0"/>
          <w:right w:val="dotted" w:sz="4" w:space="0" w:color="0070C0"/>
          <w:insideH w:val="dotted" w:sz="4" w:space="0" w:color="0070C0"/>
          <w:insideV w:val="dotted" w:sz="4" w:space="0" w:color="0070C0"/>
        </w:tblBorders>
        <w:tblLayout w:type="fixed"/>
        <w:tblLook w:val="04A0" w:firstRow="1" w:lastRow="0" w:firstColumn="1" w:lastColumn="0" w:noHBand="0" w:noVBand="1"/>
      </w:tblPr>
      <w:tblGrid>
        <w:gridCol w:w="12016"/>
        <w:gridCol w:w="2851"/>
      </w:tblGrid>
      <w:tr w:rsidR="00E07F09" w:rsidRPr="000229AD" w14:paraId="46F33B07" w14:textId="77777777" w:rsidTr="00C24D14">
        <w:tc>
          <w:tcPr>
            <w:tcW w:w="15025" w:type="dxa"/>
            <w:gridSpan w:val="2"/>
            <w:shd w:val="clear" w:color="auto" w:fill="365F91" w:themeFill="accent1" w:themeFillShade="BF"/>
          </w:tcPr>
          <w:p w14:paraId="6203CD98" w14:textId="14638B14" w:rsidR="00E07F09" w:rsidRPr="000229AD" w:rsidRDefault="00E07F09" w:rsidP="00716C22">
            <w:pPr>
              <w:pStyle w:val="Tablehead"/>
              <w:keepNext w:val="0"/>
              <w:rPr>
                <w:color w:val="FFFFFF" w:themeColor="background1"/>
                <w:lang w:val="fr-FR"/>
              </w:rPr>
            </w:pPr>
            <w:r w:rsidRPr="000229AD">
              <w:rPr>
                <w:color w:val="FFFFFF" w:themeColor="background1"/>
                <w:lang w:val="fr-FR"/>
              </w:rPr>
              <w:lastRenderedPageBreak/>
              <w:t>Catalyseur 5 de l</w:t>
            </w:r>
            <w:r w:rsidR="00125408" w:rsidRPr="000229AD">
              <w:rPr>
                <w:color w:val="FFFFFF" w:themeColor="background1"/>
                <w:lang w:val="fr-FR"/>
              </w:rPr>
              <w:t>'</w:t>
            </w:r>
            <w:r w:rsidRPr="000229AD">
              <w:rPr>
                <w:color w:val="FFFFFF" w:themeColor="background1"/>
                <w:lang w:val="fr-FR"/>
              </w:rPr>
              <w:t>UIT-D: Excellence en matière de ressources humaines et innovation organisationnelle</w:t>
            </w:r>
          </w:p>
        </w:tc>
      </w:tr>
      <w:tr w:rsidR="00E07F09" w:rsidRPr="000229AD" w14:paraId="7ECF4F2F" w14:textId="77777777" w:rsidTr="00C24D14">
        <w:tc>
          <w:tcPr>
            <w:tcW w:w="12145" w:type="dxa"/>
          </w:tcPr>
          <w:p w14:paraId="7C2C4A37" w14:textId="77777777" w:rsidR="00E07F09" w:rsidRPr="000229AD" w:rsidRDefault="00E07F09" w:rsidP="00716C22">
            <w:pPr>
              <w:pStyle w:val="Tablehead"/>
              <w:rPr>
                <w:lang w:val="fr-FR"/>
              </w:rPr>
            </w:pPr>
            <w:r w:rsidRPr="000229AD">
              <w:rPr>
                <w:lang w:val="fr-FR"/>
              </w:rPr>
              <w:t>Produits</w:t>
            </w:r>
          </w:p>
        </w:tc>
        <w:tc>
          <w:tcPr>
            <w:tcW w:w="2880" w:type="dxa"/>
          </w:tcPr>
          <w:p w14:paraId="4A28158B" w14:textId="77777777" w:rsidR="00E07F09" w:rsidRPr="000229AD" w:rsidRDefault="00E07F09" w:rsidP="00716C22">
            <w:pPr>
              <w:pStyle w:val="Tablehead"/>
              <w:rPr>
                <w:lang w:val="fr-FR"/>
              </w:rPr>
            </w:pPr>
            <w:r w:rsidRPr="000229AD">
              <w:rPr>
                <w:lang w:val="fr-FR"/>
              </w:rPr>
              <w:t>Points clés</w:t>
            </w:r>
          </w:p>
        </w:tc>
      </w:tr>
      <w:tr w:rsidR="00E07F09" w:rsidRPr="000229AD" w14:paraId="2746664B" w14:textId="77777777" w:rsidTr="00C24D14">
        <w:tc>
          <w:tcPr>
            <w:tcW w:w="12145" w:type="dxa"/>
          </w:tcPr>
          <w:p w14:paraId="721DA82C" w14:textId="4EA6589E" w:rsidR="00E07F09" w:rsidRPr="000229AD" w:rsidRDefault="00E07F09" w:rsidP="00716C22">
            <w:pPr>
              <w:pStyle w:val="Tabletext"/>
              <w:spacing w:before="120" w:after="120"/>
              <w:rPr>
                <w:rFonts w:ascii="Calibri" w:eastAsia="Calibri" w:hAnsi="Calibri" w:cs="Calibri"/>
                <w:lang w:val="fr-FR"/>
              </w:rPr>
            </w:pPr>
            <w:r w:rsidRPr="000229AD">
              <w:rPr>
                <w:lang w:val="fr-FR"/>
              </w:rPr>
              <w:t>Le Directeur du BDT a lancé une série de nouvelles initiatives visant à atteindre l</w:t>
            </w:r>
            <w:r w:rsidR="00125408" w:rsidRPr="000229AD">
              <w:rPr>
                <w:lang w:val="fr-FR"/>
              </w:rPr>
              <w:t>'</w:t>
            </w:r>
            <w:r w:rsidRPr="000229AD">
              <w:rPr>
                <w:lang w:val="fr-FR"/>
              </w:rPr>
              <w:t>excellence organisationnelle et à renforcer les capacités internes d</w:t>
            </w:r>
            <w:r w:rsidR="00125408" w:rsidRPr="000229AD">
              <w:rPr>
                <w:lang w:val="fr-FR"/>
              </w:rPr>
              <w:t>'</w:t>
            </w:r>
            <w:r w:rsidRPr="000229AD">
              <w:rPr>
                <w:lang w:val="fr-FR"/>
              </w:rPr>
              <w:t>innovation en vue d</w:t>
            </w:r>
            <w:r w:rsidR="00125408" w:rsidRPr="000229AD">
              <w:rPr>
                <w:lang w:val="fr-FR"/>
              </w:rPr>
              <w:t>'</w:t>
            </w:r>
            <w:r w:rsidRPr="000229AD">
              <w:rPr>
                <w:lang w:val="fr-FR"/>
              </w:rPr>
              <w:t>améliorer les activités du BDT, notamment:</w:t>
            </w:r>
          </w:p>
          <w:p w14:paraId="76C9819D" w14:textId="401F74F7" w:rsidR="00E07F09" w:rsidRPr="000229AD" w:rsidRDefault="00E07F09" w:rsidP="00C769D6">
            <w:pPr>
              <w:pStyle w:val="Tabletext"/>
              <w:spacing w:before="80" w:after="0"/>
              <w:ind w:left="284" w:hanging="284"/>
              <w:rPr>
                <w:lang w:val="fr-FR"/>
              </w:rPr>
            </w:pPr>
            <w:r w:rsidRPr="000229AD">
              <w:rPr>
                <w:lang w:val="fr-FR"/>
              </w:rPr>
              <w:t>•</w:t>
            </w:r>
            <w:r w:rsidRPr="000229AD">
              <w:rPr>
                <w:lang w:val="fr-FR"/>
              </w:rPr>
              <w:tab/>
              <w:t xml:space="preserve">La </w:t>
            </w:r>
            <w:r w:rsidRPr="000229AD">
              <w:rPr>
                <w:b/>
                <w:bCs/>
                <w:lang w:val="fr-FR"/>
              </w:rPr>
              <w:t>retraite de la haute direction du BDT</w:t>
            </w:r>
            <w:r w:rsidRPr="000229AD">
              <w:rPr>
                <w:lang w:val="fr-FR"/>
              </w:rPr>
              <w:t>, qui s</w:t>
            </w:r>
            <w:r w:rsidR="00125408" w:rsidRPr="000229AD">
              <w:rPr>
                <w:lang w:val="fr-FR"/>
              </w:rPr>
              <w:t>'</w:t>
            </w:r>
            <w:r w:rsidRPr="000229AD">
              <w:rPr>
                <w:lang w:val="fr-FR"/>
              </w:rPr>
              <w:t>est tenue en février 2024, a été l</w:t>
            </w:r>
            <w:r w:rsidR="00125408" w:rsidRPr="000229AD">
              <w:rPr>
                <w:lang w:val="fr-FR"/>
              </w:rPr>
              <w:t>'</w:t>
            </w:r>
            <w:r w:rsidRPr="000229AD">
              <w:rPr>
                <w:lang w:val="fr-FR"/>
              </w:rPr>
              <w:t>occasion de débattre de manière constructive et d</w:t>
            </w:r>
            <w:r w:rsidR="00125408" w:rsidRPr="000229AD">
              <w:rPr>
                <w:lang w:val="fr-FR"/>
              </w:rPr>
              <w:t>'</w:t>
            </w:r>
            <w:r w:rsidRPr="000229AD">
              <w:rPr>
                <w:lang w:val="fr-FR"/>
              </w:rPr>
              <w:t>échanger des idées sur les moyens d</w:t>
            </w:r>
            <w:r w:rsidR="00125408" w:rsidRPr="000229AD">
              <w:rPr>
                <w:lang w:val="fr-FR"/>
              </w:rPr>
              <w:t>'</w:t>
            </w:r>
            <w:r w:rsidRPr="000229AD">
              <w:rPr>
                <w:lang w:val="fr-FR"/>
              </w:rPr>
              <w:t>accroître les résultats du BDT sur le terrain dans le cadre de l</w:t>
            </w:r>
            <w:r w:rsidR="00125408" w:rsidRPr="000229AD">
              <w:rPr>
                <w:lang w:val="fr-FR"/>
              </w:rPr>
              <w:t>'</w:t>
            </w:r>
            <w:r w:rsidRPr="000229AD">
              <w:rPr>
                <w:lang w:val="fr-FR"/>
              </w:rPr>
              <w:t>approche "BDT4Impact" basée sur les résultats, et d</w:t>
            </w:r>
            <w:r w:rsidR="00125408" w:rsidRPr="000229AD">
              <w:rPr>
                <w:lang w:val="fr-FR"/>
              </w:rPr>
              <w:t>'</w:t>
            </w:r>
            <w:r w:rsidRPr="000229AD">
              <w:rPr>
                <w:lang w:val="fr-FR"/>
              </w:rPr>
              <w:t>améliorer l</w:t>
            </w:r>
            <w:r w:rsidR="00125408" w:rsidRPr="000229AD">
              <w:rPr>
                <w:lang w:val="fr-FR"/>
              </w:rPr>
              <w:t>'</w:t>
            </w:r>
            <w:r w:rsidRPr="000229AD">
              <w:rPr>
                <w:lang w:val="fr-FR"/>
              </w:rPr>
              <w:t>efficacité et le respect des délais dans la mise en œuvre des activités du Plan opérationnel et des projets.</w:t>
            </w:r>
          </w:p>
          <w:p w14:paraId="2B7E57F3" w14:textId="1D74DE90" w:rsidR="00E07F09" w:rsidRPr="000229AD" w:rsidRDefault="00E07F09" w:rsidP="00716C22">
            <w:pPr>
              <w:pStyle w:val="Tabletext"/>
              <w:spacing w:before="80" w:after="0"/>
              <w:ind w:left="284" w:hanging="284"/>
              <w:rPr>
                <w:lang w:val="fr-FR"/>
              </w:rPr>
            </w:pPr>
            <w:r w:rsidRPr="000229AD">
              <w:rPr>
                <w:lang w:val="fr-FR"/>
              </w:rPr>
              <w:t>•</w:t>
            </w:r>
            <w:r w:rsidRPr="000229AD">
              <w:rPr>
                <w:lang w:val="fr-FR"/>
              </w:rPr>
              <w:tab/>
              <w:t xml:space="preserve">La retraite a servi de cadre pour harmoniser les </w:t>
            </w:r>
            <w:r w:rsidRPr="000229AD">
              <w:rPr>
                <w:b/>
                <w:bCs/>
                <w:lang w:val="fr-FR"/>
              </w:rPr>
              <w:t>stratégies opérationnelles de l</w:t>
            </w:r>
            <w:r w:rsidR="00125408" w:rsidRPr="000229AD">
              <w:rPr>
                <w:b/>
                <w:bCs/>
                <w:lang w:val="fr-FR"/>
              </w:rPr>
              <w:t>'</w:t>
            </w:r>
            <w:r w:rsidRPr="000229AD">
              <w:rPr>
                <w:b/>
                <w:bCs/>
                <w:lang w:val="fr-FR"/>
              </w:rPr>
              <w:t>UIT-D</w:t>
            </w:r>
            <w:r w:rsidRPr="000229AD">
              <w:rPr>
                <w:lang w:val="fr-FR"/>
              </w:rPr>
              <w:t xml:space="preserve"> avec les initiatives régionales, le Plan stratégique de l</w:t>
            </w:r>
            <w:r w:rsidR="00125408" w:rsidRPr="000229AD">
              <w:rPr>
                <w:lang w:val="fr-FR"/>
              </w:rPr>
              <w:t>'</w:t>
            </w:r>
            <w:r w:rsidRPr="000229AD">
              <w:rPr>
                <w:lang w:val="fr-FR"/>
              </w:rPr>
              <w:t>Union adopté à la PP-22 et le Plan d</w:t>
            </w:r>
            <w:r w:rsidR="00125408" w:rsidRPr="000229AD">
              <w:rPr>
                <w:lang w:val="fr-FR"/>
              </w:rPr>
              <w:t>'</w:t>
            </w:r>
            <w:r w:rsidRPr="000229AD">
              <w:rPr>
                <w:lang w:val="fr-FR"/>
              </w:rPr>
              <w:t>action adopté par la CMDT-22.</w:t>
            </w:r>
          </w:p>
          <w:p w14:paraId="2900DF1E" w14:textId="60AEA521" w:rsidR="00E07F09" w:rsidRPr="000229AD" w:rsidRDefault="00E07F09" w:rsidP="00716C22">
            <w:pPr>
              <w:pStyle w:val="Tabletext"/>
              <w:spacing w:before="80" w:after="0"/>
              <w:ind w:left="284" w:hanging="284"/>
              <w:rPr>
                <w:lang w:val="fr-FR"/>
              </w:rPr>
            </w:pPr>
            <w:r w:rsidRPr="000229AD">
              <w:rPr>
                <w:lang w:val="fr-FR"/>
              </w:rPr>
              <w:t>•</w:t>
            </w:r>
            <w:r w:rsidRPr="000229AD">
              <w:rPr>
                <w:lang w:val="fr-FR"/>
              </w:rPr>
              <w:tab/>
              <w:t>Le Directeur du BDT a encouragé la diffusion régulière de messages au personnel sur l</w:t>
            </w:r>
            <w:r w:rsidR="00125408" w:rsidRPr="000229AD">
              <w:rPr>
                <w:lang w:val="fr-FR"/>
              </w:rPr>
              <w:t>'</w:t>
            </w:r>
            <w:r w:rsidRPr="000229AD">
              <w:rPr>
                <w:lang w:val="fr-FR"/>
              </w:rPr>
              <w:t>importance de l</w:t>
            </w:r>
            <w:r w:rsidR="00125408" w:rsidRPr="000229AD">
              <w:rPr>
                <w:lang w:val="fr-FR"/>
              </w:rPr>
              <w:t>'</w:t>
            </w:r>
            <w:r w:rsidRPr="000229AD">
              <w:rPr>
                <w:b/>
                <w:bCs/>
                <w:lang w:val="fr-FR"/>
              </w:rPr>
              <w:t>équilibre entre vie professionnelle et vie privée</w:t>
            </w:r>
            <w:r w:rsidRPr="000229AD">
              <w:rPr>
                <w:lang w:val="fr-FR"/>
              </w:rPr>
              <w:t xml:space="preserve"> en vue de favoriser l</w:t>
            </w:r>
            <w:r w:rsidR="00125408" w:rsidRPr="000229AD">
              <w:rPr>
                <w:lang w:val="fr-FR"/>
              </w:rPr>
              <w:t>'</w:t>
            </w:r>
            <w:r w:rsidRPr="000229AD">
              <w:rPr>
                <w:lang w:val="fr-FR"/>
              </w:rPr>
              <w:t>adoption d</w:t>
            </w:r>
            <w:r w:rsidR="00125408" w:rsidRPr="000229AD">
              <w:rPr>
                <w:lang w:val="fr-FR"/>
              </w:rPr>
              <w:t>'</w:t>
            </w:r>
            <w:r w:rsidRPr="000229AD">
              <w:rPr>
                <w:lang w:val="fr-FR"/>
              </w:rPr>
              <w:t>un rythme de travail permettant de concilier vie professionnelle et vie privée, et a incité le personnel à suivre des formations de perfectionnement dans le cadre d</w:t>
            </w:r>
            <w:r w:rsidR="00125408" w:rsidRPr="000229AD">
              <w:rPr>
                <w:lang w:val="fr-FR"/>
              </w:rPr>
              <w:t>'</w:t>
            </w:r>
            <w:r w:rsidRPr="000229AD">
              <w:rPr>
                <w:lang w:val="fr-FR"/>
              </w:rPr>
              <w:t>une approche d</w:t>
            </w:r>
            <w:r w:rsidR="00125408" w:rsidRPr="000229AD">
              <w:rPr>
                <w:lang w:val="fr-FR"/>
              </w:rPr>
              <w:t>'</w:t>
            </w:r>
            <w:r w:rsidRPr="000229AD">
              <w:rPr>
                <w:lang w:val="fr-FR"/>
              </w:rPr>
              <w:t>apprentissage continu.</w:t>
            </w:r>
          </w:p>
          <w:p w14:paraId="217C5393" w14:textId="5EED2012" w:rsidR="00E07F09" w:rsidRPr="000229AD" w:rsidRDefault="00E07F09" w:rsidP="00716C22">
            <w:pPr>
              <w:pStyle w:val="Tabletext"/>
              <w:spacing w:before="80" w:after="0"/>
              <w:ind w:left="284" w:hanging="284"/>
              <w:rPr>
                <w:lang w:val="fr-FR"/>
              </w:rPr>
            </w:pPr>
            <w:r w:rsidRPr="000229AD">
              <w:rPr>
                <w:lang w:val="fr-FR"/>
              </w:rPr>
              <w:t>•</w:t>
            </w:r>
            <w:r w:rsidRPr="000229AD">
              <w:rPr>
                <w:lang w:val="fr-FR"/>
              </w:rPr>
              <w:tab/>
              <w:t>Il a été rappelé au BDT la nécessité de veiller au respect des principes de transparence et de responsabilité dans la gestion et la mise en œuvre d</w:t>
            </w:r>
            <w:r w:rsidR="00125408" w:rsidRPr="000229AD">
              <w:rPr>
                <w:lang w:val="fr-FR"/>
              </w:rPr>
              <w:t>'</w:t>
            </w:r>
            <w:r w:rsidRPr="000229AD">
              <w:rPr>
                <w:lang w:val="fr-FR"/>
              </w:rPr>
              <w:t>activités à l</w:t>
            </w:r>
            <w:r w:rsidR="00125408" w:rsidRPr="000229AD">
              <w:rPr>
                <w:lang w:val="fr-FR"/>
              </w:rPr>
              <w:t>'</w:t>
            </w:r>
            <w:r w:rsidRPr="000229AD">
              <w:rPr>
                <w:lang w:val="fr-FR"/>
              </w:rPr>
              <w:t>intention des États Membres.</w:t>
            </w:r>
          </w:p>
          <w:p w14:paraId="399EE16E" w14:textId="2EEFD750" w:rsidR="00E07F09" w:rsidRPr="000229AD" w:rsidRDefault="00E07F09" w:rsidP="00716C22">
            <w:pPr>
              <w:pStyle w:val="Tabletext"/>
              <w:spacing w:before="80" w:after="0"/>
              <w:ind w:left="284" w:hanging="284"/>
              <w:rPr>
                <w:lang w:val="fr-FR"/>
              </w:rPr>
            </w:pPr>
            <w:r w:rsidRPr="000229AD">
              <w:rPr>
                <w:lang w:val="fr-FR"/>
              </w:rPr>
              <w:t>•</w:t>
            </w:r>
            <w:r w:rsidRPr="000229AD">
              <w:rPr>
                <w:lang w:val="fr-FR"/>
              </w:rPr>
              <w:tab/>
              <w:t xml:space="preserve">Des </w:t>
            </w:r>
            <w:r w:rsidRPr="000229AD">
              <w:rPr>
                <w:b/>
                <w:bCs/>
                <w:lang w:val="fr-FR"/>
              </w:rPr>
              <w:t>réunions d</w:t>
            </w:r>
            <w:r w:rsidR="00125408" w:rsidRPr="000229AD">
              <w:rPr>
                <w:b/>
                <w:bCs/>
                <w:lang w:val="fr-FR"/>
              </w:rPr>
              <w:t>'</w:t>
            </w:r>
            <w:r w:rsidRPr="000229AD">
              <w:rPr>
                <w:b/>
                <w:bCs/>
                <w:lang w:val="fr-FR"/>
              </w:rPr>
              <w:t>échanges avec le personnel</w:t>
            </w:r>
            <w:r w:rsidRPr="000229AD">
              <w:rPr>
                <w:lang w:val="fr-FR"/>
              </w:rPr>
              <w:t xml:space="preserve"> sont organisées régulièrement. Elles sont ouvertes à tous, quel que soit le statut contractuel, et offrent un espace où chacun peut s</w:t>
            </w:r>
            <w:r w:rsidR="00125408" w:rsidRPr="000229AD">
              <w:rPr>
                <w:lang w:val="fr-FR"/>
              </w:rPr>
              <w:t>'</w:t>
            </w:r>
            <w:r w:rsidRPr="000229AD">
              <w:rPr>
                <w:lang w:val="fr-FR"/>
              </w:rPr>
              <w:t>exprimer en toute sécurité et faire part de ses idées sur les enjeux et les perspectives liés à l</w:t>
            </w:r>
            <w:r w:rsidR="00125408" w:rsidRPr="000229AD">
              <w:rPr>
                <w:lang w:val="fr-FR"/>
              </w:rPr>
              <w:t>'</w:t>
            </w:r>
            <w:r w:rsidRPr="000229AD">
              <w:rPr>
                <w:lang w:val="fr-FR"/>
              </w:rPr>
              <w:t>ambition du BDT de produire des résultats concrets.</w:t>
            </w:r>
          </w:p>
          <w:p w14:paraId="1F3B0730" w14:textId="33FC8A50" w:rsidR="00E07F09" w:rsidRPr="000229AD" w:rsidRDefault="00E07F09" w:rsidP="00716C22">
            <w:pPr>
              <w:pStyle w:val="Tabletext"/>
              <w:spacing w:before="80" w:after="0"/>
              <w:ind w:left="284" w:hanging="284"/>
              <w:rPr>
                <w:rFonts w:ascii="Calibri" w:eastAsia="Calibri" w:hAnsi="Calibri" w:cs="Calibri"/>
                <w:lang w:val="fr-FR"/>
              </w:rPr>
            </w:pPr>
            <w:r w:rsidRPr="000229AD">
              <w:rPr>
                <w:lang w:val="fr-FR"/>
              </w:rPr>
              <w:t>•</w:t>
            </w:r>
            <w:r w:rsidRPr="000229AD">
              <w:rPr>
                <w:lang w:val="fr-FR"/>
              </w:rPr>
              <w:tab/>
              <w:t>Le Directeur du BDT a par ailleurs encouragé l</w:t>
            </w:r>
            <w:r w:rsidR="00125408" w:rsidRPr="000229AD">
              <w:rPr>
                <w:lang w:val="fr-FR"/>
              </w:rPr>
              <w:t>'</w:t>
            </w:r>
            <w:r w:rsidRPr="000229AD">
              <w:rPr>
                <w:lang w:val="fr-FR"/>
              </w:rPr>
              <w:t>apport volontaire d</w:t>
            </w:r>
            <w:r w:rsidR="00125408" w:rsidRPr="000229AD">
              <w:rPr>
                <w:lang w:val="fr-FR"/>
              </w:rPr>
              <w:t>'</w:t>
            </w:r>
            <w:r w:rsidRPr="000229AD">
              <w:rPr>
                <w:lang w:val="fr-FR"/>
              </w:rPr>
              <w:t>idées nouvelles. Une plate-forme a ainsi été créée pour permettre au personnel de proposer de nouvelles idées que le BDT pourrait envisager pour réaliser et pérenniser le programme BDT4Impact.</w:t>
            </w:r>
          </w:p>
          <w:p w14:paraId="368F8831" w14:textId="59DC01D7" w:rsidR="00E07F09" w:rsidRPr="000229AD" w:rsidRDefault="00E07F09" w:rsidP="00716C22">
            <w:pPr>
              <w:pStyle w:val="Tabletext"/>
              <w:spacing w:before="80" w:after="0"/>
              <w:ind w:left="284" w:hanging="284"/>
              <w:rPr>
                <w:rFonts w:ascii="Calibri" w:eastAsia="Calibri" w:hAnsi="Calibri" w:cs="Calibri"/>
                <w:lang w:val="fr-FR"/>
              </w:rPr>
            </w:pPr>
            <w:r w:rsidRPr="000229AD">
              <w:rPr>
                <w:lang w:val="fr-FR"/>
              </w:rPr>
              <w:t>•</w:t>
            </w:r>
            <w:r w:rsidRPr="000229AD">
              <w:rPr>
                <w:lang w:val="fr-FR"/>
              </w:rPr>
              <w:tab/>
              <w:t>Il a été indiqué que la présentation régulière de rapports aux donateurs était hautement prioritaire et qu</w:t>
            </w:r>
            <w:r w:rsidR="00125408" w:rsidRPr="000229AD">
              <w:rPr>
                <w:lang w:val="fr-FR"/>
              </w:rPr>
              <w:t>'</w:t>
            </w:r>
            <w:r w:rsidRPr="000229AD">
              <w:rPr>
                <w:lang w:val="fr-FR"/>
              </w:rPr>
              <w:t xml:space="preserve">il fallait toujours accorder la priorité à cette tâche, afin que les partenaires et les donateurs soient informés des activités du BDT et des retombées sur le terrain. </w:t>
            </w:r>
          </w:p>
        </w:tc>
        <w:tc>
          <w:tcPr>
            <w:tcW w:w="2880" w:type="dxa"/>
            <w:shd w:val="clear" w:color="auto" w:fill="auto"/>
          </w:tcPr>
          <w:p w14:paraId="3B688BC7" w14:textId="77777777" w:rsidR="00E07F09" w:rsidRPr="000229AD" w:rsidRDefault="00E07F09" w:rsidP="00C769D6">
            <w:pPr>
              <w:pStyle w:val="Tabletext"/>
              <w:spacing w:before="80" w:after="0"/>
              <w:ind w:left="284" w:hanging="284"/>
              <w:rPr>
                <w:lang w:val="fr-FR"/>
              </w:rPr>
            </w:pPr>
            <w:r w:rsidRPr="000229AD">
              <w:rPr>
                <w:lang w:val="fr-FR"/>
              </w:rPr>
              <w:t>–</w:t>
            </w:r>
            <w:r w:rsidRPr="000229AD">
              <w:rPr>
                <w:lang w:val="fr-FR"/>
              </w:rPr>
              <w:tab/>
              <w:t>Retraite de la haute direction 2024.</w:t>
            </w:r>
          </w:p>
          <w:p w14:paraId="34C7322D" w14:textId="77777777" w:rsidR="00E07F09" w:rsidRPr="000229AD" w:rsidRDefault="00E07F09" w:rsidP="00716C22">
            <w:pPr>
              <w:pStyle w:val="Tabletext"/>
              <w:spacing w:before="80" w:after="0"/>
              <w:ind w:left="284" w:hanging="284"/>
              <w:rPr>
                <w:lang w:val="fr-FR"/>
              </w:rPr>
            </w:pPr>
            <w:r w:rsidRPr="000229AD">
              <w:rPr>
                <w:lang w:val="fr-FR"/>
              </w:rPr>
              <w:t>–</w:t>
            </w:r>
            <w:r w:rsidRPr="000229AD">
              <w:rPr>
                <w:lang w:val="fr-FR"/>
              </w:rPr>
              <w:tab/>
              <w:t>Équilibre entre vie professionnelle et vie privée.</w:t>
            </w:r>
          </w:p>
          <w:p w14:paraId="58DCBCDE" w14:textId="6924D6D2" w:rsidR="00E07F09" w:rsidRPr="000229AD" w:rsidRDefault="00E07F09" w:rsidP="00716C22">
            <w:pPr>
              <w:pStyle w:val="Tabletext"/>
              <w:spacing w:before="80" w:after="0"/>
              <w:ind w:left="284" w:hanging="284"/>
              <w:rPr>
                <w:lang w:val="fr-FR"/>
              </w:rPr>
            </w:pPr>
            <w:r w:rsidRPr="000229AD">
              <w:rPr>
                <w:lang w:val="fr-FR"/>
              </w:rPr>
              <w:t>–</w:t>
            </w:r>
            <w:r w:rsidRPr="000229AD">
              <w:rPr>
                <w:lang w:val="fr-FR"/>
              </w:rPr>
              <w:tab/>
              <w:t>Réunions d</w:t>
            </w:r>
            <w:r w:rsidR="00125408" w:rsidRPr="000229AD">
              <w:rPr>
                <w:lang w:val="fr-FR"/>
              </w:rPr>
              <w:t>'</w:t>
            </w:r>
            <w:r w:rsidRPr="000229AD">
              <w:rPr>
                <w:lang w:val="fr-FR"/>
              </w:rPr>
              <w:t>échanges avec le personnel.</w:t>
            </w:r>
          </w:p>
        </w:tc>
      </w:tr>
    </w:tbl>
    <w:p w14:paraId="7759C759" w14:textId="334F430F" w:rsidR="00821996" w:rsidRPr="000229AD" w:rsidRDefault="003C58BF" w:rsidP="00716C22">
      <w:pPr>
        <w:tabs>
          <w:tab w:val="clear" w:pos="794"/>
          <w:tab w:val="clear" w:pos="1191"/>
          <w:tab w:val="clear" w:pos="1588"/>
          <w:tab w:val="clear" w:pos="1985"/>
        </w:tabs>
        <w:spacing w:before="240" w:after="120"/>
        <w:jc w:val="center"/>
        <w:rPr>
          <w:lang w:val="fr-FR"/>
        </w:rPr>
      </w:pPr>
      <w:bookmarkStart w:id="11" w:name="Proposal"/>
      <w:bookmarkEnd w:id="11"/>
      <w:r w:rsidRPr="000229AD">
        <w:rPr>
          <w:lang w:val="fr-FR"/>
        </w:rPr>
        <w:t>_____________</w:t>
      </w:r>
      <w:r w:rsidR="004122C5" w:rsidRPr="000229AD">
        <w:rPr>
          <w:lang w:val="fr-FR"/>
        </w:rPr>
        <w:t>_</w:t>
      </w:r>
      <w:r w:rsidR="00922EC1" w:rsidRPr="000229AD">
        <w:rPr>
          <w:lang w:val="fr-FR"/>
        </w:rPr>
        <w:t>_</w:t>
      </w:r>
    </w:p>
    <w:sectPr w:rsidR="00821996" w:rsidRPr="000229AD" w:rsidSect="00A21824">
      <w:headerReference w:type="default" r:id="rId118"/>
      <w:headerReference w:type="first" r:id="rId119"/>
      <w:footerReference w:type="first" r:id="rId120"/>
      <w:pgSz w:w="16834" w:h="11907" w:orient="landscape" w:code="9"/>
      <w:pgMar w:top="1134" w:right="1418" w:bottom="1134" w:left="1418" w:header="720" w:footer="720"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CD3433" w14:textId="77777777" w:rsidR="00003C43" w:rsidRDefault="00003C43">
      <w:r>
        <w:separator/>
      </w:r>
    </w:p>
  </w:endnote>
  <w:endnote w:type="continuationSeparator" w:id="0">
    <w:p w14:paraId="5EDB957E" w14:textId="77777777" w:rsidR="00003C43" w:rsidRDefault="00003C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Hei">
    <w:altName w:val="黑体"/>
    <w:panose1 w:val="02010600030101010101"/>
    <w:charset w:val="86"/>
    <w:family w:val="modern"/>
    <w:pitch w:val="fixed"/>
    <w:sig w:usb0="800002BF" w:usb1="38CF7CFA" w:usb2="00000016" w:usb3="00000000" w:csb0="00040001" w:csb1="00000000"/>
  </w:font>
  <w:font w:name="Simplified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Avenir Next LT Pro">
    <w:charset w:val="00"/>
    <w:family w:val="swiss"/>
    <w:pitch w:val="variable"/>
    <w:sig w:usb0="800000EF" w:usb1="5000204A"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923" w:type="dxa"/>
      <w:tblLayout w:type="fixed"/>
      <w:tblLook w:val="04A0" w:firstRow="1" w:lastRow="0" w:firstColumn="1" w:lastColumn="0" w:noHBand="0" w:noVBand="1"/>
    </w:tblPr>
    <w:tblGrid>
      <w:gridCol w:w="1526"/>
      <w:gridCol w:w="2410"/>
      <w:gridCol w:w="5987"/>
    </w:tblGrid>
    <w:tr w:rsidR="003A306E" w:rsidRPr="00C2218B" w14:paraId="695D1810" w14:textId="77777777" w:rsidTr="004E3CF5">
      <w:tc>
        <w:tcPr>
          <w:tcW w:w="1526" w:type="dxa"/>
          <w:tcBorders>
            <w:top w:val="single" w:sz="4" w:space="0" w:color="000000"/>
          </w:tcBorders>
          <w:shd w:val="clear" w:color="auto" w:fill="auto"/>
        </w:tcPr>
        <w:p w14:paraId="746E5A61" w14:textId="77777777" w:rsidR="003A306E" w:rsidRPr="00C2218B" w:rsidRDefault="003A306E" w:rsidP="003A306E">
          <w:pPr>
            <w:pStyle w:val="FirstFooter"/>
            <w:tabs>
              <w:tab w:val="left" w:pos="1559"/>
              <w:tab w:val="left" w:pos="3828"/>
            </w:tabs>
            <w:rPr>
              <w:sz w:val="18"/>
              <w:szCs w:val="18"/>
              <w:lang w:val="fr-CH"/>
            </w:rPr>
          </w:pPr>
          <w:r w:rsidRPr="00C2218B">
            <w:rPr>
              <w:sz w:val="18"/>
              <w:szCs w:val="18"/>
              <w:lang w:val="fr-CH"/>
            </w:rPr>
            <w:t>Contact:</w:t>
          </w:r>
        </w:p>
      </w:tc>
      <w:tc>
        <w:tcPr>
          <w:tcW w:w="2410" w:type="dxa"/>
          <w:tcBorders>
            <w:top w:val="single" w:sz="4" w:space="0" w:color="000000"/>
          </w:tcBorders>
          <w:shd w:val="clear" w:color="auto" w:fill="auto"/>
        </w:tcPr>
        <w:p w14:paraId="488E41E2" w14:textId="7F38F7F7" w:rsidR="003A306E" w:rsidRPr="00C2218B" w:rsidRDefault="003A306E" w:rsidP="003A306E">
          <w:pPr>
            <w:pStyle w:val="FirstFooter"/>
            <w:tabs>
              <w:tab w:val="left" w:pos="2302"/>
            </w:tabs>
            <w:ind w:left="2302" w:hanging="2302"/>
            <w:rPr>
              <w:sz w:val="18"/>
              <w:szCs w:val="18"/>
              <w:lang w:val="fr-CH"/>
            </w:rPr>
          </w:pPr>
          <w:r w:rsidRPr="00C2218B">
            <w:rPr>
              <w:sz w:val="18"/>
              <w:szCs w:val="18"/>
              <w:lang w:val="fr-CH"/>
            </w:rPr>
            <w:t>Nom/Organisation/Entité:</w:t>
          </w:r>
        </w:p>
      </w:tc>
      <w:tc>
        <w:tcPr>
          <w:tcW w:w="5987" w:type="dxa"/>
          <w:tcBorders>
            <w:top w:val="single" w:sz="4" w:space="0" w:color="000000"/>
          </w:tcBorders>
        </w:tcPr>
        <w:p w14:paraId="148264AE" w14:textId="51C734DF" w:rsidR="003A306E" w:rsidRPr="00C2218B" w:rsidRDefault="003A306E" w:rsidP="003A306E">
          <w:pPr>
            <w:pStyle w:val="FirstFooter"/>
            <w:tabs>
              <w:tab w:val="left" w:pos="2302"/>
            </w:tabs>
            <w:rPr>
              <w:sz w:val="18"/>
              <w:szCs w:val="18"/>
              <w:lang w:val="fr-CH"/>
            </w:rPr>
          </w:pPr>
          <w:r w:rsidRPr="00C2218B">
            <w:rPr>
              <w:sz w:val="18"/>
              <w:szCs w:val="18"/>
            </w:rPr>
            <w:t>M. Bruno Ramos, Adjoint par intérim au Directeur du Bureau de développement des télécommunications</w:t>
          </w:r>
        </w:p>
      </w:tc>
      <w:bookmarkStart w:id="6" w:name="OrgName"/>
      <w:bookmarkEnd w:id="6"/>
    </w:tr>
    <w:tr w:rsidR="003A306E" w:rsidRPr="00C2218B" w14:paraId="0299A231" w14:textId="77777777" w:rsidTr="004E3CF5">
      <w:tc>
        <w:tcPr>
          <w:tcW w:w="1526" w:type="dxa"/>
          <w:shd w:val="clear" w:color="auto" w:fill="auto"/>
        </w:tcPr>
        <w:p w14:paraId="35CBC438" w14:textId="77777777" w:rsidR="003A306E" w:rsidRPr="00C2218B" w:rsidRDefault="003A306E" w:rsidP="003A306E">
          <w:pPr>
            <w:pStyle w:val="FirstFooter"/>
            <w:tabs>
              <w:tab w:val="left" w:pos="1559"/>
              <w:tab w:val="left" w:pos="3828"/>
            </w:tabs>
            <w:rPr>
              <w:sz w:val="18"/>
              <w:szCs w:val="18"/>
              <w:lang w:val="fr-CH"/>
            </w:rPr>
          </w:pPr>
        </w:p>
      </w:tc>
      <w:tc>
        <w:tcPr>
          <w:tcW w:w="2410" w:type="dxa"/>
          <w:shd w:val="clear" w:color="auto" w:fill="auto"/>
        </w:tcPr>
        <w:p w14:paraId="65335E06" w14:textId="490F0FC2" w:rsidR="003A306E" w:rsidRPr="00C2218B" w:rsidRDefault="003A306E" w:rsidP="003A306E">
          <w:pPr>
            <w:pStyle w:val="FirstFooter"/>
            <w:tabs>
              <w:tab w:val="left" w:pos="2302"/>
            </w:tabs>
            <w:rPr>
              <w:sz w:val="18"/>
              <w:szCs w:val="18"/>
              <w:lang w:val="fr-CH"/>
            </w:rPr>
          </w:pPr>
          <w:r w:rsidRPr="00C2218B">
            <w:rPr>
              <w:sz w:val="18"/>
              <w:szCs w:val="18"/>
              <w:lang w:val="fr-CH"/>
            </w:rPr>
            <w:t>Courriel:</w:t>
          </w:r>
        </w:p>
      </w:tc>
      <w:tc>
        <w:tcPr>
          <w:tcW w:w="5987" w:type="dxa"/>
        </w:tcPr>
        <w:p w14:paraId="7EAB0988" w14:textId="575845A7" w:rsidR="003A306E" w:rsidRPr="00C2218B" w:rsidRDefault="00C2218B" w:rsidP="003A306E">
          <w:pPr>
            <w:pStyle w:val="FirstFooter"/>
            <w:tabs>
              <w:tab w:val="left" w:pos="2302"/>
            </w:tabs>
            <w:rPr>
              <w:sz w:val="18"/>
              <w:szCs w:val="18"/>
              <w:lang w:val="fr-CH"/>
            </w:rPr>
          </w:pPr>
          <w:hyperlink r:id="rId1" w:history="1">
            <w:r w:rsidR="003A306E" w:rsidRPr="00C2218B">
              <w:rPr>
                <w:rStyle w:val="Hyperlink"/>
                <w:sz w:val="18"/>
                <w:szCs w:val="18"/>
              </w:rPr>
              <w:t>bruno.ramos@itu.int</w:t>
            </w:r>
          </w:hyperlink>
        </w:p>
      </w:tc>
      <w:bookmarkStart w:id="7" w:name="Email"/>
      <w:bookmarkEnd w:id="7"/>
    </w:tr>
  </w:tbl>
  <w:p w14:paraId="5AEFE7F9" w14:textId="77777777" w:rsidR="0059420B" w:rsidRPr="00C2218B" w:rsidRDefault="0059420B" w:rsidP="00B80157">
    <w:pPr>
      <w:pStyle w:val="Footer"/>
      <w:jc w:val="center"/>
      <w:rPr>
        <w:sz w:val="18"/>
        <w:szCs w:val="18"/>
        <w:lang w:val="fr-CH"/>
      </w:rPr>
    </w:pPr>
  </w:p>
  <w:p w14:paraId="40A321D0" w14:textId="50FEB05F" w:rsidR="00721657" w:rsidRPr="00C2218B" w:rsidRDefault="00C2218B" w:rsidP="00B80157">
    <w:pPr>
      <w:pStyle w:val="Footer"/>
      <w:jc w:val="center"/>
      <w:rPr>
        <w:sz w:val="18"/>
        <w:szCs w:val="18"/>
        <w:lang w:val="fr-CH"/>
      </w:rPr>
    </w:pPr>
    <w:hyperlink r:id="rId2" w:history="1">
      <w:r w:rsidR="008B47C7" w:rsidRPr="00C2218B">
        <w:rPr>
          <w:rStyle w:val="Hyperlink"/>
          <w:caps w:val="0"/>
          <w:noProof w:val="0"/>
          <w:sz w:val="18"/>
          <w:szCs w:val="18"/>
          <w:lang w:val="fr-CH"/>
        </w:rPr>
        <w:t>TDAG</w:t>
      </w:r>
    </w:hyperlink>
    <w:hyperlink r:id="rId3" w:history="1"/>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272A48" w14:textId="37C63362" w:rsidR="00EB663F" w:rsidRPr="001011EB" w:rsidRDefault="00C2218B" w:rsidP="00B80157">
    <w:pPr>
      <w:pStyle w:val="Footer"/>
      <w:jc w:val="center"/>
      <w:rPr>
        <w:lang w:val="fr-CH"/>
      </w:rPr>
    </w:pPr>
    <w:hyperlink r:id="rId1" w:history="1"/>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A183DE" w14:textId="77777777" w:rsidR="00003C43" w:rsidRDefault="00003C43">
      <w:r>
        <w:t>____________________</w:t>
      </w:r>
    </w:p>
  </w:footnote>
  <w:footnote w:type="continuationSeparator" w:id="0">
    <w:p w14:paraId="33092081" w14:textId="77777777" w:rsidR="00003C43" w:rsidRDefault="00003C43">
      <w:r>
        <w:continuationSeparator/>
      </w:r>
    </w:p>
  </w:footnote>
  <w:footnote w:id="1">
    <w:p w14:paraId="05DA6298" w14:textId="17494243" w:rsidR="00532528" w:rsidRPr="00EA2FD3" w:rsidRDefault="003A306E" w:rsidP="00532528">
      <w:pPr>
        <w:pStyle w:val="FootnoteText"/>
        <w:spacing w:before="0"/>
        <w:rPr>
          <w:sz w:val="20"/>
          <w:lang w:val="fr-FR"/>
        </w:rPr>
      </w:pPr>
      <w:r w:rsidRPr="00804DC7">
        <w:rPr>
          <w:rStyle w:val="FootnoteReference"/>
          <w:sz w:val="20"/>
          <w:lang w:val="fr-FR"/>
        </w:rPr>
        <w:footnoteRef/>
      </w:r>
      <w:r w:rsidR="00532528">
        <w:rPr>
          <w:lang w:val="fr-FR"/>
        </w:rPr>
        <w:tab/>
      </w:r>
      <w:r>
        <w:rPr>
          <w:lang w:val="fr-FR"/>
        </w:rPr>
        <w:t>Indicateurs de produit pour:</w:t>
      </w:r>
    </w:p>
    <w:p w14:paraId="36F126D1" w14:textId="03029301" w:rsidR="00532528" w:rsidRDefault="00532528" w:rsidP="00532528">
      <w:pPr>
        <w:pStyle w:val="FootnoteText"/>
        <w:tabs>
          <w:tab w:val="clear" w:pos="255"/>
        </w:tabs>
        <w:spacing w:before="0"/>
        <w:ind w:left="284" w:hanging="284"/>
        <w:rPr>
          <w:lang w:val="fr-FR"/>
        </w:rPr>
      </w:pPr>
      <w:r w:rsidRPr="00EA2FD3">
        <w:rPr>
          <w:sz w:val="20"/>
          <w:lang w:val="fr-FR"/>
        </w:rPr>
        <w:t>–</w:t>
      </w:r>
      <w:r w:rsidRPr="00EA2FD3">
        <w:rPr>
          <w:sz w:val="20"/>
          <w:lang w:val="fr-FR"/>
        </w:rPr>
        <w:tab/>
      </w:r>
      <w:r w:rsidR="003A306E" w:rsidRPr="00B97BB1">
        <w:rPr>
          <w:b/>
          <w:bCs/>
          <w:lang w:val="fr-FR"/>
        </w:rPr>
        <w:t>Priorité pour l</w:t>
      </w:r>
      <w:r w:rsidR="00125408">
        <w:rPr>
          <w:b/>
          <w:bCs/>
          <w:lang w:val="fr-FR"/>
        </w:rPr>
        <w:t>'</w:t>
      </w:r>
      <w:r w:rsidR="003A306E" w:rsidRPr="00B97BB1">
        <w:rPr>
          <w:b/>
          <w:bCs/>
          <w:lang w:val="fr-FR"/>
        </w:rPr>
        <w:t>UIT-D</w:t>
      </w:r>
      <w:r w:rsidR="003A306E" w:rsidRPr="00532528">
        <w:rPr>
          <w:lang w:val="fr-FR"/>
        </w:rPr>
        <w:t xml:space="preserve">: </w:t>
      </w:r>
      <w:r w:rsidR="00A55187">
        <w:rPr>
          <w:lang w:val="fr-FR"/>
        </w:rPr>
        <w:t>m</w:t>
      </w:r>
      <w:r w:rsidR="003A306E">
        <w:rPr>
          <w:lang w:val="fr-FR"/>
        </w:rPr>
        <w:t>obilisation des ressources et coopération internationale.</w:t>
      </w:r>
    </w:p>
    <w:p w14:paraId="674389B4" w14:textId="498B9368" w:rsidR="003A306E" w:rsidRPr="00EA2FD3" w:rsidRDefault="00532528" w:rsidP="00532528">
      <w:pPr>
        <w:pStyle w:val="FootnoteText"/>
        <w:tabs>
          <w:tab w:val="clear" w:pos="255"/>
        </w:tabs>
        <w:spacing w:before="0"/>
        <w:ind w:left="284" w:hanging="284"/>
        <w:rPr>
          <w:sz w:val="20"/>
          <w:lang w:val="fr-FR"/>
        </w:rPr>
      </w:pPr>
      <w:r w:rsidRPr="00EA2FD3">
        <w:rPr>
          <w:sz w:val="20"/>
          <w:lang w:val="fr-FR"/>
        </w:rPr>
        <w:t>–</w:t>
      </w:r>
      <w:r w:rsidRPr="00EA2FD3">
        <w:rPr>
          <w:sz w:val="20"/>
          <w:lang w:val="fr-FR"/>
        </w:rPr>
        <w:tab/>
      </w:r>
      <w:r w:rsidR="003A306E" w:rsidRPr="00B97BB1">
        <w:rPr>
          <w:b/>
          <w:bCs/>
          <w:lang w:val="fr-FR"/>
        </w:rPr>
        <w:t>Catalyseurs de l</w:t>
      </w:r>
      <w:r w:rsidR="00125408">
        <w:rPr>
          <w:b/>
          <w:bCs/>
          <w:lang w:val="fr-FR"/>
        </w:rPr>
        <w:t>'</w:t>
      </w:r>
      <w:r w:rsidR="003A306E" w:rsidRPr="00B97BB1">
        <w:rPr>
          <w:b/>
          <w:bCs/>
          <w:lang w:val="fr-FR"/>
        </w:rPr>
        <w:t>UIT-D</w:t>
      </w:r>
      <w:r w:rsidR="003A306E" w:rsidRPr="00532528">
        <w:rPr>
          <w:lang w:val="fr-FR"/>
        </w:rPr>
        <w:t xml:space="preserve">: </w:t>
      </w:r>
      <w:r w:rsidR="00A55187">
        <w:rPr>
          <w:lang w:val="fr-FR"/>
        </w:rPr>
        <w:t>p</w:t>
      </w:r>
      <w:r w:rsidR="003A306E">
        <w:rPr>
          <w:lang w:val="fr-FR"/>
        </w:rPr>
        <w:t xml:space="preserve">artenariats et coopération internationale, </w:t>
      </w:r>
      <w:r w:rsidR="00A55187">
        <w:rPr>
          <w:lang w:val="fr-FR"/>
        </w:rPr>
        <w:t>m</w:t>
      </w:r>
      <w:r w:rsidR="003A306E">
        <w:rPr>
          <w:lang w:val="fr-FR"/>
        </w:rPr>
        <w:t>obilisation des ressources.</w:t>
      </w:r>
    </w:p>
  </w:footnote>
  <w:footnote w:id="2">
    <w:p w14:paraId="7417794D" w14:textId="2416232D" w:rsidR="00D80932" w:rsidRPr="0012042D" w:rsidRDefault="00D80932" w:rsidP="00D80932">
      <w:pPr>
        <w:pStyle w:val="FootnoteText"/>
        <w:spacing w:before="0"/>
        <w:rPr>
          <w:sz w:val="20"/>
          <w:lang w:val="fr-FR"/>
        </w:rPr>
      </w:pPr>
      <w:r w:rsidRPr="00804DC7">
        <w:rPr>
          <w:rStyle w:val="FootnoteReference"/>
          <w:sz w:val="20"/>
          <w:lang w:val="fr-FR"/>
        </w:rPr>
        <w:footnoteRef/>
      </w:r>
      <w:r w:rsidR="00036D3C">
        <w:rPr>
          <w:lang w:val="fr-FR"/>
        </w:rPr>
        <w:tab/>
      </w:r>
      <w:r>
        <w:rPr>
          <w:lang w:val="fr-FR"/>
        </w:rPr>
        <w:t>Documents produits par les commissions d</w:t>
      </w:r>
      <w:r w:rsidR="00125408">
        <w:rPr>
          <w:lang w:val="fr-FR"/>
        </w:rPr>
        <w:t>'</w:t>
      </w:r>
      <w:r>
        <w:rPr>
          <w:lang w:val="fr-FR"/>
        </w:rPr>
        <w:t>études.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F4FE77" w14:textId="3246F8CF" w:rsidR="00721657" w:rsidRPr="00A525CC" w:rsidRDefault="00A525CC" w:rsidP="006055C7">
    <w:pPr>
      <w:pStyle w:val="Header"/>
      <w:tabs>
        <w:tab w:val="center" w:pos="4820"/>
        <w:tab w:val="right" w:pos="13998"/>
      </w:tabs>
      <w:rPr>
        <w:rStyle w:val="PageNumber"/>
      </w:rPr>
    </w:pPr>
    <w:r w:rsidRPr="00972BCD">
      <w:rPr>
        <w:sz w:val="22"/>
        <w:szCs w:val="22"/>
      </w:rPr>
      <w:tab/>
    </w:r>
    <w:r w:rsidRPr="00281BF0">
      <w:rPr>
        <w:sz w:val="22"/>
        <w:szCs w:val="22"/>
      </w:rPr>
      <w:t>TDAG</w:t>
    </w:r>
    <w:r w:rsidR="003242AB" w:rsidRPr="00281BF0">
      <w:rPr>
        <w:sz w:val="22"/>
        <w:szCs w:val="22"/>
      </w:rPr>
      <w:t>-</w:t>
    </w:r>
    <w:r w:rsidR="00923CF1" w:rsidRPr="00281BF0">
      <w:rPr>
        <w:sz w:val="22"/>
        <w:szCs w:val="22"/>
      </w:rPr>
      <w:t>2</w:t>
    </w:r>
    <w:r w:rsidR="00873313" w:rsidRPr="00281BF0">
      <w:rPr>
        <w:sz w:val="22"/>
        <w:szCs w:val="22"/>
      </w:rPr>
      <w:t>4</w:t>
    </w:r>
    <w:r w:rsidRPr="00281BF0">
      <w:rPr>
        <w:sz w:val="22"/>
        <w:szCs w:val="22"/>
      </w:rPr>
      <w:t>/</w:t>
    </w:r>
    <w:r w:rsidR="003A306E" w:rsidRPr="00281BF0">
      <w:rPr>
        <w:sz w:val="22"/>
        <w:szCs w:val="22"/>
      </w:rPr>
      <w:t>2</w:t>
    </w:r>
    <w:r w:rsidRPr="00281BF0">
      <w:rPr>
        <w:sz w:val="22"/>
        <w:szCs w:val="22"/>
      </w:rPr>
      <w:t>-</w:t>
    </w:r>
    <w:r w:rsidR="00700F2B" w:rsidRPr="00281BF0">
      <w:rPr>
        <w:sz w:val="22"/>
        <w:szCs w:val="22"/>
      </w:rPr>
      <w:t>F</w:t>
    </w:r>
    <w:r w:rsidRPr="00281BF0">
      <w:rPr>
        <w:sz w:val="22"/>
        <w:szCs w:val="22"/>
      </w:rPr>
      <w:tab/>
      <w:t xml:space="preserve">Page </w:t>
    </w:r>
    <w:r w:rsidRPr="00972BCD">
      <w:rPr>
        <w:sz w:val="22"/>
        <w:szCs w:val="22"/>
      </w:rPr>
      <w:fldChar w:fldCharType="begin"/>
    </w:r>
    <w:r w:rsidRPr="00281BF0">
      <w:rPr>
        <w:sz w:val="22"/>
        <w:szCs w:val="22"/>
      </w:rPr>
      <w:instrText xml:space="preserve"> PAGE </w:instrText>
    </w:r>
    <w:r w:rsidRPr="00972BCD">
      <w:rPr>
        <w:sz w:val="22"/>
        <w:szCs w:val="22"/>
      </w:rPr>
      <w:fldChar w:fldCharType="separate"/>
    </w:r>
    <w:r w:rsidR="00E25345" w:rsidRPr="00281BF0">
      <w:rPr>
        <w:sz w:val="22"/>
        <w:szCs w:val="22"/>
      </w:rPr>
      <w:t>2</w:t>
    </w:r>
    <w:r w:rsidRPr="00972BCD">
      <w:rPr>
        <w:sz w:val="22"/>
        <w:szCs w:val="22"/>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C929D" w14:textId="77777777" w:rsidR="006055C7" w:rsidRPr="00A525CC" w:rsidRDefault="006055C7" w:rsidP="006055C7">
    <w:pPr>
      <w:pStyle w:val="Header"/>
      <w:tabs>
        <w:tab w:val="center" w:pos="7088"/>
        <w:tab w:val="right" w:pos="13998"/>
      </w:tabs>
      <w:rPr>
        <w:rStyle w:val="PageNumber"/>
      </w:rPr>
    </w:pPr>
    <w:r w:rsidRPr="00972BCD">
      <w:rPr>
        <w:sz w:val="22"/>
        <w:szCs w:val="22"/>
      </w:rPr>
      <w:tab/>
    </w:r>
    <w:r w:rsidRPr="00281BF0">
      <w:rPr>
        <w:sz w:val="22"/>
        <w:szCs w:val="22"/>
      </w:rPr>
      <w:t>TDAG-24/2-F</w:t>
    </w:r>
    <w:r w:rsidRPr="00281BF0">
      <w:rPr>
        <w:sz w:val="22"/>
        <w:szCs w:val="22"/>
      </w:rPr>
      <w:tab/>
      <w:t xml:space="preserve">Page </w:t>
    </w:r>
    <w:r w:rsidRPr="00972BCD">
      <w:rPr>
        <w:sz w:val="22"/>
        <w:szCs w:val="22"/>
      </w:rPr>
      <w:fldChar w:fldCharType="begin"/>
    </w:r>
    <w:r w:rsidRPr="00281BF0">
      <w:rPr>
        <w:sz w:val="22"/>
        <w:szCs w:val="22"/>
      </w:rPr>
      <w:instrText xml:space="preserve"> PAGE </w:instrText>
    </w:r>
    <w:r w:rsidRPr="00972BCD">
      <w:rPr>
        <w:sz w:val="22"/>
        <w:szCs w:val="22"/>
      </w:rPr>
      <w:fldChar w:fldCharType="separate"/>
    </w:r>
    <w:r w:rsidRPr="00281BF0">
      <w:rPr>
        <w:sz w:val="22"/>
        <w:szCs w:val="22"/>
      </w:rPr>
      <w:t>2</w:t>
    </w:r>
    <w:r w:rsidRPr="00972BCD">
      <w:rPr>
        <w:sz w:val="22"/>
        <w:szCs w:val="22"/>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73E8E9" w14:textId="55FD9436" w:rsidR="00EB663F" w:rsidRDefault="00EB663F" w:rsidP="00EB663F">
    <w:pPr>
      <w:pStyle w:val="Header"/>
      <w:tabs>
        <w:tab w:val="center" w:pos="7088"/>
        <w:tab w:val="right" w:pos="13998"/>
      </w:tabs>
    </w:pPr>
    <w:r w:rsidRPr="00972BCD">
      <w:rPr>
        <w:sz w:val="22"/>
        <w:szCs w:val="22"/>
      </w:rPr>
      <w:tab/>
    </w:r>
    <w:r w:rsidRPr="00A54E72">
      <w:rPr>
        <w:sz w:val="22"/>
        <w:szCs w:val="22"/>
        <w:lang w:val="de-CH"/>
      </w:rPr>
      <w:t>TDAG</w:t>
    </w:r>
    <w:r>
      <w:rPr>
        <w:sz w:val="22"/>
        <w:szCs w:val="22"/>
        <w:lang w:val="de-CH"/>
      </w:rPr>
      <w:t>-24</w:t>
    </w:r>
    <w:r w:rsidRPr="00A54E72">
      <w:rPr>
        <w:sz w:val="22"/>
        <w:szCs w:val="22"/>
        <w:lang w:val="de-CH"/>
      </w:rPr>
      <w:t>/</w:t>
    </w:r>
    <w:r>
      <w:rPr>
        <w:sz w:val="22"/>
        <w:szCs w:val="22"/>
        <w:lang w:val="de-CH"/>
      </w:rPr>
      <w:t>2</w:t>
    </w:r>
    <w:r w:rsidRPr="006D271A">
      <w:rPr>
        <w:sz w:val="22"/>
        <w:szCs w:val="22"/>
        <w:lang w:val="de-CH"/>
      </w:rPr>
      <w:t>-</w:t>
    </w:r>
    <w:r>
      <w:rPr>
        <w:sz w:val="22"/>
        <w:szCs w:val="22"/>
        <w:lang w:val="de-CH"/>
      </w:rPr>
      <w:t>F</w:t>
    </w:r>
    <w:r w:rsidRPr="006D271A">
      <w:rPr>
        <w:sz w:val="22"/>
        <w:szCs w:val="22"/>
        <w:lang w:val="de-CH"/>
      </w:rPr>
      <w:tab/>
      <w:t xml:space="preserve">Page </w:t>
    </w:r>
    <w:r w:rsidRPr="00972BCD">
      <w:rPr>
        <w:sz w:val="22"/>
        <w:szCs w:val="22"/>
      </w:rPr>
      <w:fldChar w:fldCharType="begin"/>
    </w:r>
    <w:r w:rsidRPr="006D271A">
      <w:rPr>
        <w:sz w:val="22"/>
        <w:szCs w:val="22"/>
        <w:lang w:val="de-CH"/>
      </w:rPr>
      <w:instrText xml:space="preserve"> PAGE </w:instrText>
    </w:r>
    <w:r w:rsidRPr="00972BCD">
      <w:rPr>
        <w:sz w:val="22"/>
        <w:szCs w:val="22"/>
      </w:rPr>
      <w:fldChar w:fldCharType="separate"/>
    </w:r>
    <w:r>
      <w:rPr>
        <w:sz w:val="22"/>
        <w:szCs w:val="22"/>
      </w:rPr>
      <w:t>2</w:t>
    </w:r>
    <w:r w:rsidRPr="00972BCD">
      <w:rPr>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9353F1"/>
    <w:multiLevelType w:val="hybridMultilevel"/>
    <w:tmpl w:val="AB58C1DA"/>
    <w:lvl w:ilvl="0" w:tplc="04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133514C0"/>
    <w:multiLevelType w:val="hybridMultilevel"/>
    <w:tmpl w:val="A06E0330"/>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209A6DB0"/>
    <w:multiLevelType w:val="hybridMultilevel"/>
    <w:tmpl w:val="B1A6B8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0A0A5B"/>
    <w:multiLevelType w:val="hybridMultilevel"/>
    <w:tmpl w:val="ABE0236E"/>
    <w:lvl w:ilvl="0" w:tplc="6A76AE30">
      <w:start w:val="1"/>
      <w:numFmt w:val="bullet"/>
      <w:lvlText w:val=""/>
      <w:lvlJc w:val="left"/>
      <w:pPr>
        <w:ind w:left="1080" w:hanging="360"/>
      </w:pPr>
      <w:rPr>
        <w:rFonts w:ascii="Wingdings" w:hAnsi="Wingdings" w:hint="default"/>
      </w:rPr>
    </w:lvl>
    <w:lvl w:ilvl="1" w:tplc="08090003">
      <w:start w:val="1"/>
      <w:numFmt w:val="bullet"/>
      <w:lvlText w:val="o"/>
      <w:lvlJc w:val="left"/>
      <w:pPr>
        <w:ind w:left="36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AC54A936">
      <w:numFmt w:val="bullet"/>
      <w:lvlText w:val="·"/>
      <w:lvlJc w:val="left"/>
      <w:pPr>
        <w:ind w:left="3600" w:hanging="720"/>
      </w:pPr>
      <w:rPr>
        <w:rFonts w:ascii="Calibri" w:eastAsiaTheme="minorHAnsi" w:hAnsi="Calibri" w:cs="Calibri"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2B6B589D"/>
    <w:multiLevelType w:val="hybridMultilevel"/>
    <w:tmpl w:val="78C0DA04"/>
    <w:lvl w:ilvl="0" w:tplc="C18E0E7C">
      <w:numFmt w:val="bullet"/>
      <w:lvlText w:val="̶"/>
      <w:lvlJc w:val="left"/>
      <w:pPr>
        <w:ind w:left="720" w:hanging="360"/>
      </w:pPr>
      <w:rPr>
        <w:rFonts w:ascii="Calibri" w:eastAsia="SimSun"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7377B3B"/>
    <w:multiLevelType w:val="hybridMultilevel"/>
    <w:tmpl w:val="B3F2D4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D63C50"/>
    <w:multiLevelType w:val="hybridMultilevel"/>
    <w:tmpl w:val="FFFFFFFF"/>
    <w:lvl w:ilvl="0" w:tplc="684211F8">
      <w:start w:val="1"/>
      <w:numFmt w:val="bullet"/>
      <w:lvlText w:val=""/>
      <w:lvlJc w:val="left"/>
      <w:pPr>
        <w:ind w:left="720" w:hanging="360"/>
      </w:pPr>
      <w:rPr>
        <w:rFonts w:ascii="Symbol" w:hAnsi="Symbol" w:hint="default"/>
      </w:rPr>
    </w:lvl>
    <w:lvl w:ilvl="1" w:tplc="96244B0E">
      <w:start w:val="1"/>
      <w:numFmt w:val="bullet"/>
      <w:lvlText w:val="o"/>
      <w:lvlJc w:val="left"/>
      <w:pPr>
        <w:ind w:left="1440" w:hanging="360"/>
      </w:pPr>
      <w:rPr>
        <w:rFonts w:ascii="Courier New" w:hAnsi="Courier New" w:hint="default"/>
      </w:rPr>
    </w:lvl>
    <w:lvl w:ilvl="2" w:tplc="D912347C">
      <w:start w:val="1"/>
      <w:numFmt w:val="bullet"/>
      <w:lvlText w:val=""/>
      <w:lvlJc w:val="left"/>
      <w:pPr>
        <w:ind w:left="2160" w:hanging="360"/>
      </w:pPr>
      <w:rPr>
        <w:rFonts w:ascii="Wingdings" w:hAnsi="Wingdings" w:hint="default"/>
      </w:rPr>
    </w:lvl>
    <w:lvl w:ilvl="3" w:tplc="EA8A5E08">
      <w:start w:val="1"/>
      <w:numFmt w:val="bullet"/>
      <w:lvlText w:val=""/>
      <w:lvlJc w:val="left"/>
      <w:pPr>
        <w:ind w:left="2880" w:hanging="360"/>
      </w:pPr>
      <w:rPr>
        <w:rFonts w:ascii="Symbol" w:hAnsi="Symbol" w:hint="default"/>
      </w:rPr>
    </w:lvl>
    <w:lvl w:ilvl="4" w:tplc="D42AE6D2">
      <w:start w:val="1"/>
      <w:numFmt w:val="bullet"/>
      <w:lvlText w:val="o"/>
      <w:lvlJc w:val="left"/>
      <w:pPr>
        <w:ind w:left="3600" w:hanging="360"/>
      </w:pPr>
      <w:rPr>
        <w:rFonts w:ascii="Courier New" w:hAnsi="Courier New" w:hint="default"/>
      </w:rPr>
    </w:lvl>
    <w:lvl w:ilvl="5" w:tplc="A88A6054">
      <w:start w:val="1"/>
      <w:numFmt w:val="bullet"/>
      <w:lvlText w:val=""/>
      <w:lvlJc w:val="left"/>
      <w:pPr>
        <w:ind w:left="4320" w:hanging="360"/>
      </w:pPr>
      <w:rPr>
        <w:rFonts w:ascii="Wingdings" w:hAnsi="Wingdings" w:hint="default"/>
      </w:rPr>
    </w:lvl>
    <w:lvl w:ilvl="6" w:tplc="1038AA42">
      <w:start w:val="1"/>
      <w:numFmt w:val="bullet"/>
      <w:lvlText w:val=""/>
      <w:lvlJc w:val="left"/>
      <w:pPr>
        <w:ind w:left="5040" w:hanging="360"/>
      </w:pPr>
      <w:rPr>
        <w:rFonts w:ascii="Symbol" w:hAnsi="Symbol" w:hint="default"/>
      </w:rPr>
    </w:lvl>
    <w:lvl w:ilvl="7" w:tplc="1C5EB0C6">
      <w:start w:val="1"/>
      <w:numFmt w:val="bullet"/>
      <w:lvlText w:val="o"/>
      <w:lvlJc w:val="left"/>
      <w:pPr>
        <w:ind w:left="5760" w:hanging="360"/>
      </w:pPr>
      <w:rPr>
        <w:rFonts w:ascii="Courier New" w:hAnsi="Courier New" w:hint="default"/>
      </w:rPr>
    </w:lvl>
    <w:lvl w:ilvl="8" w:tplc="31FC1D32">
      <w:start w:val="1"/>
      <w:numFmt w:val="bullet"/>
      <w:lvlText w:val=""/>
      <w:lvlJc w:val="left"/>
      <w:pPr>
        <w:ind w:left="6480" w:hanging="360"/>
      </w:pPr>
      <w:rPr>
        <w:rFonts w:ascii="Wingdings" w:hAnsi="Wingdings" w:hint="default"/>
      </w:rPr>
    </w:lvl>
  </w:abstractNum>
  <w:abstractNum w:abstractNumId="7" w15:restartNumberingAfterBreak="0">
    <w:nsid w:val="43C10AD7"/>
    <w:multiLevelType w:val="hybridMultilevel"/>
    <w:tmpl w:val="1C984A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9" w15:restartNumberingAfterBreak="0">
    <w:nsid w:val="748B4562"/>
    <w:multiLevelType w:val="hybridMultilevel"/>
    <w:tmpl w:val="E11C9E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77A721E3"/>
    <w:multiLevelType w:val="hybridMultilevel"/>
    <w:tmpl w:val="CB66A304"/>
    <w:lvl w:ilvl="0" w:tplc="04090003">
      <w:start w:val="1"/>
      <w:numFmt w:val="bullet"/>
      <w:lvlText w:val="o"/>
      <w:lvlJc w:val="left"/>
      <w:pPr>
        <w:ind w:left="811" w:hanging="360"/>
      </w:pPr>
      <w:rPr>
        <w:rFonts w:ascii="Courier New" w:hAnsi="Courier New" w:cs="Courier New" w:hint="default"/>
      </w:rPr>
    </w:lvl>
    <w:lvl w:ilvl="1" w:tplc="04090003" w:tentative="1">
      <w:start w:val="1"/>
      <w:numFmt w:val="bullet"/>
      <w:lvlText w:val="o"/>
      <w:lvlJc w:val="left"/>
      <w:pPr>
        <w:ind w:left="1531" w:hanging="360"/>
      </w:pPr>
      <w:rPr>
        <w:rFonts w:ascii="Courier New" w:hAnsi="Courier New" w:cs="Courier New" w:hint="default"/>
      </w:rPr>
    </w:lvl>
    <w:lvl w:ilvl="2" w:tplc="04090005" w:tentative="1">
      <w:start w:val="1"/>
      <w:numFmt w:val="bullet"/>
      <w:lvlText w:val=""/>
      <w:lvlJc w:val="left"/>
      <w:pPr>
        <w:ind w:left="2251" w:hanging="360"/>
      </w:pPr>
      <w:rPr>
        <w:rFonts w:ascii="Wingdings" w:hAnsi="Wingdings" w:hint="default"/>
      </w:rPr>
    </w:lvl>
    <w:lvl w:ilvl="3" w:tplc="04090001" w:tentative="1">
      <w:start w:val="1"/>
      <w:numFmt w:val="bullet"/>
      <w:lvlText w:val=""/>
      <w:lvlJc w:val="left"/>
      <w:pPr>
        <w:ind w:left="2971" w:hanging="360"/>
      </w:pPr>
      <w:rPr>
        <w:rFonts w:ascii="Symbol" w:hAnsi="Symbol" w:hint="default"/>
      </w:rPr>
    </w:lvl>
    <w:lvl w:ilvl="4" w:tplc="04090003" w:tentative="1">
      <w:start w:val="1"/>
      <w:numFmt w:val="bullet"/>
      <w:lvlText w:val="o"/>
      <w:lvlJc w:val="left"/>
      <w:pPr>
        <w:ind w:left="3691" w:hanging="360"/>
      </w:pPr>
      <w:rPr>
        <w:rFonts w:ascii="Courier New" w:hAnsi="Courier New" w:cs="Courier New" w:hint="default"/>
      </w:rPr>
    </w:lvl>
    <w:lvl w:ilvl="5" w:tplc="04090005" w:tentative="1">
      <w:start w:val="1"/>
      <w:numFmt w:val="bullet"/>
      <w:lvlText w:val=""/>
      <w:lvlJc w:val="left"/>
      <w:pPr>
        <w:ind w:left="4411" w:hanging="360"/>
      </w:pPr>
      <w:rPr>
        <w:rFonts w:ascii="Wingdings" w:hAnsi="Wingdings" w:hint="default"/>
      </w:rPr>
    </w:lvl>
    <w:lvl w:ilvl="6" w:tplc="04090001" w:tentative="1">
      <w:start w:val="1"/>
      <w:numFmt w:val="bullet"/>
      <w:lvlText w:val=""/>
      <w:lvlJc w:val="left"/>
      <w:pPr>
        <w:ind w:left="5131" w:hanging="360"/>
      </w:pPr>
      <w:rPr>
        <w:rFonts w:ascii="Symbol" w:hAnsi="Symbol" w:hint="default"/>
      </w:rPr>
    </w:lvl>
    <w:lvl w:ilvl="7" w:tplc="04090003" w:tentative="1">
      <w:start w:val="1"/>
      <w:numFmt w:val="bullet"/>
      <w:lvlText w:val="o"/>
      <w:lvlJc w:val="left"/>
      <w:pPr>
        <w:ind w:left="5851" w:hanging="360"/>
      </w:pPr>
      <w:rPr>
        <w:rFonts w:ascii="Courier New" w:hAnsi="Courier New" w:cs="Courier New" w:hint="default"/>
      </w:rPr>
    </w:lvl>
    <w:lvl w:ilvl="8" w:tplc="04090005" w:tentative="1">
      <w:start w:val="1"/>
      <w:numFmt w:val="bullet"/>
      <w:lvlText w:val=""/>
      <w:lvlJc w:val="left"/>
      <w:pPr>
        <w:ind w:left="6571" w:hanging="360"/>
      </w:pPr>
      <w:rPr>
        <w:rFonts w:ascii="Wingdings" w:hAnsi="Wingdings" w:hint="default"/>
      </w:rPr>
    </w:lvl>
  </w:abstractNum>
  <w:num w:numId="1" w16cid:durableId="1120076797">
    <w:abstractNumId w:val="8"/>
  </w:num>
  <w:num w:numId="2" w16cid:durableId="777917315">
    <w:abstractNumId w:val="4"/>
  </w:num>
  <w:num w:numId="3" w16cid:durableId="820774057">
    <w:abstractNumId w:val="3"/>
  </w:num>
  <w:num w:numId="4" w16cid:durableId="70543604">
    <w:abstractNumId w:val="2"/>
  </w:num>
  <w:num w:numId="5" w16cid:durableId="759759283">
    <w:abstractNumId w:val="6"/>
  </w:num>
  <w:num w:numId="6" w16cid:durableId="1336572178">
    <w:abstractNumId w:val="10"/>
  </w:num>
  <w:num w:numId="7" w16cid:durableId="146092544">
    <w:abstractNumId w:val="5"/>
  </w:num>
  <w:num w:numId="8" w16cid:durableId="1440904779">
    <w:abstractNumId w:val="7"/>
  </w:num>
  <w:num w:numId="9" w16cid:durableId="1016469572">
    <w:abstractNumId w:val="9"/>
  </w:num>
  <w:num w:numId="10" w16cid:durableId="395707342">
    <w:abstractNumId w:val="0"/>
  </w:num>
  <w:num w:numId="11" w16cid:durableId="7614861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1"/>
  <w:embedSystemFonts/>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3686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3C43"/>
    <w:rsid w:val="00002716"/>
    <w:rsid w:val="00003C43"/>
    <w:rsid w:val="00005791"/>
    <w:rsid w:val="00010827"/>
    <w:rsid w:val="00015089"/>
    <w:rsid w:val="000229AD"/>
    <w:rsid w:val="0002520B"/>
    <w:rsid w:val="000325DF"/>
    <w:rsid w:val="00036D3C"/>
    <w:rsid w:val="00037A9E"/>
    <w:rsid w:val="00037F91"/>
    <w:rsid w:val="000538A6"/>
    <w:rsid w:val="000539F1"/>
    <w:rsid w:val="00054747"/>
    <w:rsid w:val="00055A2A"/>
    <w:rsid w:val="000615C1"/>
    <w:rsid w:val="00061675"/>
    <w:rsid w:val="000728CB"/>
    <w:rsid w:val="000743AA"/>
    <w:rsid w:val="0009076F"/>
    <w:rsid w:val="0009225C"/>
    <w:rsid w:val="000A17C4"/>
    <w:rsid w:val="000A36A4"/>
    <w:rsid w:val="000B2352"/>
    <w:rsid w:val="000C7B84"/>
    <w:rsid w:val="000D261B"/>
    <w:rsid w:val="000D4D4A"/>
    <w:rsid w:val="000D58A3"/>
    <w:rsid w:val="000E3ED4"/>
    <w:rsid w:val="000E3F9C"/>
    <w:rsid w:val="000F1550"/>
    <w:rsid w:val="000F251B"/>
    <w:rsid w:val="000F5FE8"/>
    <w:rsid w:val="000F6644"/>
    <w:rsid w:val="00100833"/>
    <w:rsid w:val="001011EB"/>
    <w:rsid w:val="00102F72"/>
    <w:rsid w:val="00107E85"/>
    <w:rsid w:val="00113EE8"/>
    <w:rsid w:val="0011455A"/>
    <w:rsid w:val="00114A65"/>
    <w:rsid w:val="00125408"/>
    <w:rsid w:val="00133061"/>
    <w:rsid w:val="00141699"/>
    <w:rsid w:val="00147000"/>
    <w:rsid w:val="00163091"/>
    <w:rsid w:val="001645CB"/>
    <w:rsid w:val="00166305"/>
    <w:rsid w:val="00167545"/>
    <w:rsid w:val="001703C6"/>
    <w:rsid w:val="00173781"/>
    <w:rsid w:val="00175ADF"/>
    <w:rsid w:val="00175CAE"/>
    <w:rsid w:val="001828DB"/>
    <w:rsid w:val="001850FE"/>
    <w:rsid w:val="00185135"/>
    <w:rsid w:val="0019037C"/>
    <w:rsid w:val="001905A9"/>
    <w:rsid w:val="00191273"/>
    <w:rsid w:val="00192CE9"/>
    <w:rsid w:val="001942A7"/>
    <w:rsid w:val="0019587B"/>
    <w:rsid w:val="00195EDD"/>
    <w:rsid w:val="001A163D"/>
    <w:rsid w:val="001A4175"/>
    <w:rsid w:val="001A441E"/>
    <w:rsid w:val="001A6733"/>
    <w:rsid w:val="001B341F"/>
    <w:rsid w:val="001B357F"/>
    <w:rsid w:val="001B3E76"/>
    <w:rsid w:val="001B43C0"/>
    <w:rsid w:val="001C3444"/>
    <w:rsid w:val="001C3702"/>
    <w:rsid w:val="001C4656"/>
    <w:rsid w:val="001C46BC"/>
    <w:rsid w:val="001D1E06"/>
    <w:rsid w:val="001E5660"/>
    <w:rsid w:val="001F23E6"/>
    <w:rsid w:val="001F4238"/>
    <w:rsid w:val="00200A38"/>
    <w:rsid w:val="00200A46"/>
    <w:rsid w:val="00211B6F"/>
    <w:rsid w:val="00217CC3"/>
    <w:rsid w:val="00220AB6"/>
    <w:rsid w:val="0022120F"/>
    <w:rsid w:val="002263FE"/>
    <w:rsid w:val="0022754A"/>
    <w:rsid w:val="00233166"/>
    <w:rsid w:val="00236560"/>
    <w:rsid w:val="0023662E"/>
    <w:rsid w:val="00245D0F"/>
    <w:rsid w:val="002548C3"/>
    <w:rsid w:val="00257ACD"/>
    <w:rsid w:val="00262908"/>
    <w:rsid w:val="002650F4"/>
    <w:rsid w:val="002715FD"/>
    <w:rsid w:val="002770B1"/>
    <w:rsid w:val="00281BF0"/>
    <w:rsid w:val="002855DF"/>
    <w:rsid w:val="00285B33"/>
    <w:rsid w:val="00287A3C"/>
    <w:rsid w:val="002A2FC6"/>
    <w:rsid w:val="002C1EC7"/>
    <w:rsid w:val="002C3015"/>
    <w:rsid w:val="002C4342"/>
    <w:rsid w:val="002C7EA3"/>
    <w:rsid w:val="002D20AE"/>
    <w:rsid w:val="002D6C61"/>
    <w:rsid w:val="002E2104"/>
    <w:rsid w:val="002E2DAC"/>
    <w:rsid w:val="002E6963"/>
    <w:rsid w:val="002E6F8F"/>
    <w:rsid w:val="002F05D8"/>
    <w:rsid w:val="002F24D9"/>
    <w:rsid w:val="002F2DE0"/>
    <w:rsid w:val="002F3729"/>
    <w:rsid w:val="002F5E25"/>
    <w:rsid w:val="0030353C"/>
    <w:rsid w:val="00307769"/>
    <w:rsid w:val="003125C3"/>
    <w:rsid w:val="00312AE6"/>
    <w:rsid w:val="00317D1A"/>
    <w:rsid w:val="003211FF"/>
    <w:rsid w:val="003242AB"/>
    <w:rsid w:val="00327247"/>
    <w:rsid w:val="00327A9D"/>
    <w:rsid w:val="0033130E"/>
    <w:rsid w:val="0033269C"/>
    <w:rsid w:val="00345996"/>
    <w:rsid w:val="00351C79"/>
    <w:rsid w:val="0035516C"/>
    <w:rsid w:val="00355A4C"/>
    <w:rsid w:val="003604FB"/>
    <w:rsid w:val="00360B73"/>
    <w:rsid w:val="00371DF6"/>
    <w:rsid w:val="00380B71"/>
    <w:rsid w:val="00381C82"/>
    <w:rsid w:val="0038365A"/>
    <w:rsid w:val="003846A2"/>
    <w:rsid w:val="00386A89"/>
    <w:rsid w:val="0039648E"/>
    <w:rsid w:val="003A306E"/>
    <w:rsid w:val="003A5AFE"/>
    <w:rsid w:val="003A5D5F"/>
    <w:rsid w:val="003A7FFE"/>
    <w:rsid w:val="003B0A63"/>
    <w:rsid w:val="003B50E1"/>
    <w:rsid w:val="003C1746"/>
    <w:rsid w:val="003C2AA9"/>
    <w:rsid w:val="003C2C9E"/>
    <w:rsid w:val="003C58BF"/>
    <w:rsid w:val="003D451D"/>
    <w:rsid w:val="003F2DD8"/>
    <w:rsid w:val="003F3F2D"/>
    <w:rsid w:val="003F50B2"/>
    <w:rsid w:val="003F71D3"/>
    <w:rsid w:val="00400CCF"/>
    <w:rsid w:val="00401BFF"/>
    <w:rsid w:val="00404424"/>
    <w:rsid w:val="004061A4"/>
    <w:rsid w:val="0041156B"/>
    <w:rsid w:val="004122C5"/>
    <w:rsid w:val="00413B78"/>
    <w:rsid w:val="00416DDE"/>
    <w:rsid w:val="0044411E"/>
    <w:rsid w:val="00445CDA"/>
    <w:rsid w:val="00453435"/>
    <w:rsid w:val="00460089"/>
    <w:rsid w:val="00465680"/>
    <w:rsid w:val="00466398"/>
    <w:rsid w:val="0047306D"/>
    <w:rsid w:val="00473791"/>
    <w:rsid w:val="00473BE4"/>
    <w:rsid w:val="00476E48"/>
    <w:rsid w:val="00481DE9"/>
    <w:rsid w:val="0049128B"/>
    <w:rsid w:val="00493B49"/>
    <w:rsid w:val="00495501"/>
    <w:rsid w:val="004A070A"/>
    <w:rsid w:val="004A1F0B"/>
    <w:rsid w:val="004A320E"/>
    <w:rsid w:val="004A4E9C"/>
    <w:rsid w:val="004B1A3C"/>
    <w:rsid w:val="004D16BB"/>
    <w:rsid w:val="004D2CC3"/>
    <w:rsid w:val="004D35CB"/>
    <w:rsid w:val="004D7DAB"/>
    <w:rsid w:val="004E20E5"/>
    <w:rsid w:val="004E243C"/>
    <w:rsid w:val="004E64EA"/>
    <w:rsid w:val="004E7828"/>
    <w:rsid w:val="004F46AA"/>
    <w:rsid w:val="004F6A70"/>
    <w:rsid w:val="00500AD7"/>
    <w:rsid w:val="00502ABF"/>
    <w:rsid w:val="00504DB0"/>
    <w:rsid w:val="00505A90"/>
    <w:rsid w:val="0050678F"/>
    <w:rsid w:val="00507C35"/>
    <w:rsid w:val="00510735"/>
    <w:rsid w:val="00514D2F"/>
    <w:rsid w:val="00532528"/>
    <w:rsid w:val="0054420E"/>
    <w:rsid w:val="00544D1B"/>
    <w:rsid w:val="00545DC0"/>
    <w:rsid w:val="00545F6C"/>
    <w:rsid w:val="005477D9"/>
    <w:rsid w:val="0055720C"/>
    <w:rsid w:val="00561796"/>
    <w:rsid w:val="005632DD"/>
    <w:rsid w:val="0056423B"/>
    <w:rsid w:val="00571206"/>
    <w:rsid w:val="00573424"/>
    <w:rsid w:val="0057402F"/>
    <w:rsid w:val="00574AEA"/>
    <w:rsid w:val="00581653"/>
    <w:rsid w:val="005849D6"/>
    <w:rsid w:val="00585367"/>
    <w:rsid w:val="005871A1"/>
    <w:rsid w:val="0058737E"/>
    <w:rsid w:val="00592518"/>
    <w:rsid w:val="00592E87"/>
    <w:rsid w:val="0059420B"/>
    <w:rsid w:val="00594C4D"/>
    <w:rsid w:val="005A0CA5"/>
    <w:rsid w:val="005A33B0"/>
    <w:rsid w:val="005C2DC2"/>
    <w:rsid w:val="005C304A"/>
    <w:rsid w:val="005C3D69"/>
    <w:rsid w:val="005C7C98"/>
    <w:rsid w:val="005D2C3A"/>
    <w:rsid w:val="005D55A4"/>
    <w:rsid w:val="005D57C8"/>
    <w:rsid w:val="005D7761"/>
    <w:rsid w:val="005E0278"/>
    <w:rsid w:val="005E090D"/>
    <w:rsid w:val="005E3CA0"/>
    <w:rsid w:val="005E44B1"/>
    <w:rsid w:val="005E67B0"/>
    <w:rsid w:val="005E7047"/>
    <w:rsid w:val="005E777F"/>
    <w:rsid w:val="005F1CA7"/>
    <w:rsid w:val="005F43DD"/>
    <w:rsid w:val="005F51A9"/>
    <w:rsid w:val="005F6BE1"/>
    <w:rsid w:val="005F7416"/>
    <w:rsid w:val="00600C11"/>
    <w:rsid w:val="006055C7"/>
    <w:rsid w:val="00606B89"/>
    <w:rsid w:val="006110F6"/>
    <w:rsid w:val="00611EAF"/>
    <w:rsid w:val="00613FEE"/>
    <w:rsid w:val="00623F30"/>
    <w:rsid w:val="00625FB8"/>
    <w:rsid w:val="006261BD"/>
    <w:rsid w:val="00635EDB"/>
    <w:rsid w:val="00642741"/>
    <w:rsid w:val="0064734E"/>
    <w:rsid w:val="00650137"/>
    <w:rsid w:val="006509D7"/>
    <w:rsid w:val="00651CE8"/>
    <w:rsid w:val="0065521B"/>
    <w:rsid w:val="00671EF6"/>
    <w:rsid w:val="0067205B"/>
    <w:rsid w:val="006748F8"/>
    <w:rsid w:val="00680489"/>
    <w:rsid w:val="00683C32"/>
    <w:rsid w:val="00690BB2"/>
    <w:rsid w:val="00693D09"/>
    <w:rsid w:val="006A6549"/>
    <w:rsid w:val="006A7710"/>
    <w:rsid w:val="006A7A61"/>
    <w:rsid w:val="006B1E59"/>
    <w:rsid w:val="006B2FFB"/>
    <w:rsid w:val="006C10A2"/>
    <w:rsid w:val="006C1F18"/>
    <w:rsid w:val="006D40D5"/>
    <w:rsid w:val="006D5351"/>
    <w:rsid w:val="006F009A"/>
    <w:rsid w:val="006F3D93"/>
    <w:rsid w:val="00700F2B"/>
    <w:rsid w:val="007019B1"/>
    <w:rsid w:val="0070238E"/>
    <w:rsid w:val="00716C22"/>
    <w:rsid w:val="00721657"/>
    <w:rsid w:val="007279A8"/>
    <w:rsid w:val="00727B1A"/>
    <w:rsid w:val="00736EEC"/>
    <w:rsid w:val="00741337"/>
    <w:rsid w:val="007440CF"/>
    <w:rsid w:val="007512BA"/>
    <w:rsid w:val="00752258"/>
    <w:rsid w:val="007529E1"/>
    <w:rsid w:val="00762880"/>
    <w:rsid w:val="00762AD6"/>
    <w:rsid w:val="00762E02"/>
    <w:rsid w:val="00772290"/>
    <w:rsid w:val="00777265"/>
    <w:rsid w:val="007805E7"/>
    <w:rsid w:val="007819FB"/>
    <w:rsid w:val="0078222A"/>
    <w:rsid w:val="00787D48"/>
    <w:rsid w:val="00792196"/>
    <w:rsid w:val="00795294"/>
    <w:rsid w:val="007A4E50"/>
    <w:rsid w:val="007B18A7"/>
    <w:rsid w:val="007B250E"/>
    <w:rsid w:val="007C27FC"/>
    <w:rsid w:val="007C34B5"/>
    <w:rsid w:val="007C51FF"/>
    <w:rsid w:val="007D07A7"/>
    <w:rsid w:val="007D50E4"/>
    <w:rsid w:val="007E2DC5"/>
    <w:rsid w:val="007E3A17"/>
    <w:rsid w:val="007F1CC7"/>
    <w:rsid w:val="008027AC"/>
    <w:rsid w:val="008028CE"/>
    <w:rsid w:val="0080332E"/>
    <w:rsid w:val="008141E0"/>
    <w:rsid w:val="00816EE1"/>
    <w:rsid w:val="00816F88"/>
    <w:rsid w:val="00821996"/>
    <w:rsid w:val="00822323"/>
    <w:rsid w:val="00823C81"/>
    <w:rsid w:val="00827BC6"/>
    <w:rsid w:val="008300AD"/>
    <w:rsid w:val="00833024"/>
    <w:rsid w:val="008419B1"/>
    <w:rsid w:val="00844A56"/>
    <w:rsid w:val="00845B11"/>
    <w:rsid w:val="00852081"/>
    <w:rsid w:val="00856E48"/>
    <w:rsid w:val="00864603"/>
    <w:rsid w:val="00872B6E"/>
    <w:rsid w:val="00873313"/>
    <w:rsid w:val="00874DFD"/>
    <w:rsid w:val="008771B3"/>
    <w:rsid w:val="008802F9"/>
    <w:rsid w:val="00883086"/>
    <w:rsid w:val="008879FD"/>
    <w:rsid w:val="00894C37"/>
    <w:rsid w:val="008A00EA"/>
    <w:rsid w:val="008A014F"/>
    <w:rsid w:val="008A3F93"/>
    <w:rsid w:val="008A6236"/>
    <w:rsid w:val="008A6E1C"/>
    <w:rsid w:val="008A72FD"/>
    <w:rsid w:val="008B2EDF"/>
    <w:rsid w:val="008B47C7"/>
    <w:rsid w:val="008B54CB"/>
    <w:rsid w:val="008B5A3D"/>
    <w:rsid w:val="008C4010"/>
    <w:rsid w:val="008C4FDF"/>
    <w:rsid w:val="008C6B1F"/>
    <w:rsid w:val="008D5E4F"/>
    <w:rsid w:val="008E34F0"/>
    <w:rsid w:val="008F0090"/>
    <w:rsid w:val="008F14F5"/>
    <w:rsid w:val="008F71C1"/>
    <w:rsid w:val="00902D41"/>
    <w:rsid w:val="00902DF9"/>
    <w:rsid w:val="00902F49"/>
    <w:rsid w:val="00904230"/>
    <w:rsid w:val="00914004"/>
    <w:rsid w:val="009216ED"/>
    <w:rsid w:val="00922EC1"/>
    <w:rsid w:val="00923CF1"/>
    <w:rsid w:val="009301F1"/>
    <w:rsid w:val="00930514"/>
    <w:rsid w:val="009307DF"/>
    <w:rsid w:val="009359B8"/>
    <w:rsid w:val="00935FF0"/>
    <w:rsid w:val="009431F8"/>
    <w:rsid w:val="0094464F"/>
    <w:rsid w:val="00947A35"/>
    <w:rsid w:val="00952667"/>
    <w:rsid w:val="0096201B"/>
    <w:rsid w:val="00962081"/>
    <w:rsid w:val="00966CB5"/>
    <w:rsid w:val="00975786"/>
    <w:rsid w:val="00981CB7"/>
    <w:rsid w:val="00983E1F"/>
    <w:rsid w:val="00993F46"/>
    <w:rsid w:val="00997358"/>
    <w:rsid w:val="009A452B"/>
    <w:rsid w:val="009B050C"/>
    <w:rsid w:val="009B087F"/>
    <w:rsid w:val="009B2AF4"/>
    <w:rsid w:val="009C110B"/>
    <w:rsid w:val="009C5441"/>
    <w:rsid w:val="009C78C5"/>
    <w:rsid w:val="009D119F"/>
    <w:rsid w:val="009D49A2"/>
    <w:rsid w:val="009E1E91"/>
    <w:rsid w:val="009F3940"/>
    <w:rsid w:val="009F3EB2"/>
    <w:rsid w:val="009F6EB1"/>
    <w:rsid w:val="00A11D05"/>
    <w:rsid w:val="00A13162"/>
    <w:rsid w:val="00A143FE"/>
    <w:rsid w:val="00A20267"/>
    <w:rsid w:val="00A21824"/>
    <w:rsid w:val="00A25971"/>
    <w:rsid w:val="00A3158C"/>
    <w:rsid w:val="00A32DF3"/>
    <w:rsid w:val="00A33E32"/>
    <w:rsid w:val="00A35E20"/>
    <w:rsid w:val="00A36F6D"/>
    <w:rsid w:val="00A4048C"/>
    <w:rsid w:val="00A50CA0"/>
    <w:rsid w:val="00A525CC"/>
    <w:rsid w:val="00A53E7C"/>
    <w:rsid w:val="00A55187"/>
    <w:rsid w:val="00A60087"/>
    <w:rsid w:val="00A66C4C"/>
    <w:rsid w:val="00A705E8"/>
    <w:rsid w:val="00A721F4"/>
    <w:rsid w:val="00A9392C"/>
    <w:rsid w:val="00A9462B"/>
    <w:rsid w:val="00A97762"/>
    <w:rsid w:val="00A97D59"/>
    <w:rsid w:val="00AA3E09"/>
    <w:rsid w:val="00AA4BEF"/>
    <w:rsid w:val="00AB1659"/>
    <w:rsid w:val="00AB446F"/>
    <w:rsid w:val="00AB4962"/>
    <w:rsid w:val="00AB734E"/>
    <w:rsid w:val="00AB740F"/>
    <w:rsid w:val="00AC6F14"/>
    <w:rsid w:val="00AC7221"/>
    <w:rsid w:val="00AD4677"/>
    <w:rsid w:val="00AE29C5"/>
    <w:rsid w:val="00AE5961"/>
    <w:rsid w:val="00AF0745"/>
    <w:rsid w:val="00AF4971"/>
    <w:rsid w:val="00AF5276"/>
    <w:rsid w:val="00AF7C86"/>
    <w:rsid w:val="00B01046"/>
    <w:rsid w:val="00B310F9"/>
    <w:rsid w:val="00B35C89"/>
    <w:rsid w:val="00B37866"/>
    <w:rsid w:val="00B412FB"/>
    <w:rsid w:val="00B4576B"/>
    <w:rsid w:val="00B46350"/>
    <w:rsid w:val="00B46DF3"/>
    <w:rsid w:val="00B648C7"/>
    <w:rsid w:val="00B66E8F"/>
    <w:rsid w:val="00B80157"/>
    <w:rsid w:val="00B83D5E"/>
    <w:rsid w:val="00B8460A"/>
    <w:rsid w:val="00B8650D"/>
    <w:rsid w:val="00B879B4"/>
    <w:rsid w:val="00B90F07"/>
    <w:rsid w:val="00B97BB9"/>
    <w:rsid w:val="00BA0009"/>
    <w:rsid w:val="00BB02B5"/>
    <w:rsid w:val="00BB1863"/>
    <w:rsid w:val="00BB25EE"/>
    <w:rsid w:val="00BB363A"/>
    <w:rsid w:val="00BB74F4"/>
    <w:rsid w:val="00BC0512"/>
    <w:rsid w:val="00BC10A0"/>
    <w:rsid w:val="00BC7BA2"/>
    <w:rsid w:val="00BD426B"/>
    <w:rsid w:val="00BD79F0"/>
    <w:rsid w:val="00BE2B4D"/>
    <w:rsid w:val="00C015F8"/>
    <w:rsid w:val="00C02C2A"/>
    <w:rsid w:val="00C07E26"/>
    <w:rsid w:val="00C1011C"/>
    <w:rsid w:val="00C12F94"/>
    <w:rsid w:val="00C177C5"/>
    <w:rsid w:val="00C2218B"/>
    <w:rsid w:val="00C24D14"/>
    <w:rsid w:val="00C340F6"/>
    <w:rsid w:val="00C34EC3"/>
    <w:rsid w:val="00C4038C"/>
    <w:rsid w:val="00C42BA2"/>
    <w:rsid w:val="00C44066"/>
    <w:rsid w:val="00C44E13"/>
    <w:rsid w:val="00C60A41"/>
    <w:rsid w:val="00C627A0"/>
    <w:rsid w:val="00C62DE8"/>
    <w:rsid w:val="00C62DFB"/>
    <w:rsid w:val="00C630E6"/>
    <w:rsid w:val="00C63812"/>
    <w:rsid w:val="00C64AF3"/>
    <w:rsid w:val="00C661B4"/>
    <w:rsid w:val="00C66F4D"/>
    <w:rsid w:val="00C67BB5"/>
    <w:rsid w:val="00C72713"/>
    <w:rsid w:val="00C769D6"/>
    <w:rsid w:val="00C848EF"/>
    <w:rsid w:val="00C86600"/>
    <w:rsid w:val="00C87BCA"/>
    <w:rsid w:val="00C87EED"/>
    <w:rsid w:val="00C94506"/>
    <w:rsid w:val="00C954BC"/>
    <w:rsid w:val="00CA1F0B"/>
    <w:rsid w:val="00CB110F"/>
    <w:rsid w:val="00CB2A2E"/>
    <w:rsid w:val="00CB338A"/>
    <w:rsid w:val="00CB79C5"/>
    <w:rsid w:val="00CC411F"/>
    <w:rsid w:val="00CC4B75"/>
    <w:rsid w:val="00CC732E"/>
    <w:rsid w:val="00CD2FCD"/>
    <w:rsid w:val="00CD7207"/>
    <w:rsid w:val="00CE0422"/>
    <w:rsid w:val="00CE0DBE"/>
    <w:rsid w:val="00CE5E4D"/>
    <w:rsid w:val="00CF02C4"/>
    <w:rsid w:val="00CF167F"/>
    <w:rsid w:val="00CF72E5"/>
    <w:rsid w:val="00D013EE"/>
    <w:rsid w:val="00D01F54"/>
    <w:rsid w:val="00D040F7"/>
    <w:rsid w:val="00D04A76"/>
    <w:rsid w:val="00D10AE5"/>
    <w:rsid w:val="00D10FC7"/>
    <w:rsid w:val="00D1519F"/>
    <w:rsid w:val="00D20E99"/>
    <w:rsid w:val="00D21C83"/>
    <w:rsid w:val="00D22FA4"/>
    <w:rsid w:val="00D35BDD"/>
    <w:rsid w:val="00D44BDE"/>
    <w:rsid w:val="00D47E23"/>
    <w:rsid w:val="00D63006"/>
    <w:rsid w:val="00D66D44"/>
    <w:rsid w:val="00D72301"/>
    <w:rsid w:val="00D7552F"/>
    <w:rsid w:val="00D80932"/>
    <w:rsid w:val="00D81AA6"/>
    <w:rsid w:val="00D911DE"/>
    <w:rsid w:val="00D91B97"/>
    <w:rsid w:val="00D93ACC"/>
    <w:rsid w:val="00D93C08"/>
    <w:rsid w:val="00D95DAC"/>
    <w:rsid w:val="00DA0B53"/>
    <w:rsid w:val="00DB1171"/>
    <w:rsid w:val="00DB1519"/>
    <w:rsid w:val="00DB2840"/>
    <w:rsid w:val="00DC1BD3"/>
    <w:rsid w:val="00DC2C1A"/>
    <w:rsid w:val="00DD66B4"/>
    <w:rsid w:val="00DE1972"/>
    <w:rsid w:val="00DE27AB"/>
    <w:rsid w:val="00DE6CAD"/>
    <w:rsid w:val="00DF2AB3"/>
    <w:rsid w:val="00DF7250"/>
    <w:rsid w:val="00E00CAA"/>
    <w:rsid w:val="00E03EBF"/>
    <w:rsid w:val="00E05209"/>
    <w:rsid w:val="00E05AC1"/>
    <w:rsid w:val="00E0710F"/>
    <w:rsid w:val="00E07F09"/>
    <w:rsid w:val="00E11BCF"/>
    <w:rsid w:val="00E2258E"/>
    <w:rsid w:val="00E25345"/>
    <w:rsid w:val="00E260C2"/>
    <w:rsid w:val="00E30F20"/>
    <w:rsid w:val="00E32596"/>
    <w:rsid w:val="00E368F7"/>
    <w:rsid w:val="00E36EB8"/>
    <w:rsid w:val="00E37FB8"/>
    <w:rsid w:val="00E40B07"/>
    <w:rsid w:val="00E42326"/>
    <w:rsid w:val="00E42752"/>
    <w:rsid w:val="00E43544"/>
    <w:rsid w:val="00E44D89"/>
    <w:rsid w:val="00E477EA"/>
    <w:rsid w:val="00E55807"/>
    <w:rsid w:val="00E63B14"/>
    <w:rsid w:val="00E65CA0"/>
    <w:rsid w:val="00E66432"/>
    <w:rsid w:val="00E70D9F"/>
    <w:rsid w:val="00E8086A"/>
    <w:rsid w:val="00E83810"/>
    <w:rsid w:val="00E83BB0"/>
    <w:rsid w:val="00E857A8"/>
    <w:rsid w:val="00E86933"/>
    <w:rsid w:val="00E9605B"/>
    <w:rsid w:val="00E966D0"/>
    <w:rsid w:val="00E97298"/>
    <w:rsid w:val="00E97753"/>
    <w:rsid w:val="00E97BD0"/>
    <w:rsid w:val="00EA0C51"/>
    <w:rsid w:val="00EA2FD3"/>
    <w:rsid w:val="00EA7DE7"/>
    <w:rsid w:val="00EB663F"/>
    <w:rsid w:val="00EB7A8A"/>
    <w:rsid w:val="00EC6FED"/>
    <w:rsid w:val="00EC7F3B"/>
    <w:rsid w:val="00ED5299"/>
    <w:rsid w:val="00EE3A64"/>
    <w:rsid w:val="00EE50E5"/>
    <w:rsid w:val="00EF01CF"/>
    <w:rsid w:val="00F03590"/>
    <w:rsid w:val="00F03622"/>
    <w:rsid w:val="00F077FD"/>
    <w:rsid w:val="00F204F3"/>
    <w:rsid w:val="00F218AB"/>
    <w:rsid w:val="00F238B3"/>
    <w:rsid w:val="00F24FED"/>
    <w:rsid w:val="00F25586"/>
    <w:rsid w:val="00F2651D"/>
    <w:rsid w:val="00F27362"/>
    <w:rsid w:val="00F31498"/>
    <w:rsid w:val="00F32FEF"/>
    <w:rsid w:val="00F41B1C"/>
    <w:rsid w:val="00F42E13"/>
    <w:rsid w:val="00F42F1C"/>
    <w:rsid w:val="00F43B44"/>
    <w:rsid w:val="00F440E5"/>
    <w:rsid w:val="00F448F6"/>
    <w:rsid w:val="00F52741"/>
    <w:rsid w:val="00F53D8A"/>
    <w:rsid w:val="00F626F7"/>
    <w:rsid w:val="00F736F9"/>
    <w:rsid w:val="00F73833"/>
    <w:rsid w:val="00F9211C"/>
    <w:rsid w:val="00FA095D"/>
    <w:rsid w:val="00FA6C8B"/>
    <w:rsid w:val="00FA6CDA"/>
    <w:rsid w:val="00FA7C89"/>
    <w:rsid w:val="00FB4139"/>
    <w:rsid w:val="00FB476E"/>
    <w:rsid w:val="00FC0D90"/>
    <w:rsid w:val="00FC7D8C"/>
    <w:rsid w:val="00FD3980"/>
    <w:rsid w:val="00FD431E"/>
    <w:rsid w:val="00FD5A2C"/>
    <w:rsid w:val="00FE0D47"/>
    <w:rsid w:val="00FE1D5C"/>
    <w:rsid w:val="00FE2F8B"/>
    <w:rsid w:val="00FE3669"/>
    <w:rsid w:val="00FE5204"/>
    <w:rsid w:val="00FF287F"/>
    <w:rsid w:val="00FF74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14:docId w14:val="39FAF29E"/>
  <w15:docId w15:val="{DDEE480D-52BF-4038-9942-1B7C16C25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F7C86"/>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uiPriority w:val="9"/>
    <w:qFormat/>
    <w:rsid w:val="00B37866"/>
    <w:pPr>
      <w:keepNext/>
      <w:keepLines/>
      <w:spacing w:before="280"/>
      <w:ind w:left="794" w:hanging="794"/>
      <w:outlineLvl w:val="0"/>
    </w:pPr>
    <w:rPr>
      <w:b/>
      <w:sz w:val="28"/>
    </w:rPr>
  </w:style>
  <w:style w:type="paragraph" w:styleId="Heading2">
    <w:name w:val="heading 2"/>
    <w:basedOn w:val="Heading1"/>
    <w:next w:val="Normal"/>
    <w:qFormat/>
    <w:rsid w:val="00B37866"/>
    <w:pPr>
      <w:spacing w:before="200"/>
      <w:outlineLvl w:val="1"/>
    </w:pPr>
    <w:rPr>
      <w:sz w:val="24"/>
    </w:rPr>
  </w:style>
  <w:style w:type="paragraph" w:styleId="Heading3">
    <w:name w:val="heading 3"/>
    <w:basedOn w:val="Heading1"/>
    <w:next w:val="Normal"/>
    <w:link w:val="Heading3Char"/>
    <w:qFormat/>
    <w:rsid w:val="00B37866"/>
    <w:pPr>
      <w:spacing w:before="200"/>
      <w:outlineLvl w:val="2"/>
    </w:pPr>
    <w:rPr>
      <w:sz w:val="24"/>
    </w:rPr>
  </w:style>
  <w:style w:type="paragraph" w:styleId="Heading4">
    <w:name w:val="heading 4"/>
    <w:basedOn w:val="Heading3"/>
    <w:next w:val="Normal"/>
    <w:qFormat/>
    <w:rsid w:val="00B37866"/>
    <w:pPr>
      <w:tabs>
        <w:tab w:val="clear" w:pos="794"/>
        <w:tab w:val="left" w:pos="992"/>
      </w:tabs>
      <w:ind w:left="992" w:hanging="992"/>
      <w:outlineLvl w:val="3"/>
    </w:pPr>
  </w:style>
  <w:style w:type="paragraph" w:styleId="Heading5">
    <w:name w:val="heading 5"/>
    <w:basedOn w:val="Heading4"/>
    <w:next w:val="Normal"/>
    <w:qFormat/>
    <w:rsid w:val="00B37866"/>
    <w:pPr>
      <w:outlineLvl w:val="4"/>
    </w:pPr>
  </w:style>
  <w:style w:type="paragraph" w:styleId="Heading6">
    <w:name w:val="heading 6"/>
    <w:basedOn w:val="Heading4"/>
    <w:next w:val="Normal"/>
    <w:qFormat/>
    <w:rsid w:val="00B37866"/>
    <w:pPr>
      <w:tabs>
        <w:tab w:val="clear" w:pos="992"/>
        <w:tab w:val="clear" w:pos="1191"/>
      </w:tabs>
      <w:ind w:left="1588" w:hanging="1588"/>
      <w:outlineLvl w:val="5"/>
    </w:pPr>
  </w:style>
  <w:style w:type="paragraph" w:styleId="Heading7">
    <w:name w:val="heading 7"/>
    <w:basedOn w:val="Heading6"/>
    <w:next w:val="Normal"/>
    <w:qFormat/>
    <w:rsid w:val="00B37866"/>
    <w:pPr>
      <w:outlineLvl w:val="6"/>
    </w:pPr>
  </w:style>
  <w:style w:type="paragraph" w:styleId="Heading8">
    <w:name w:val="heading 8"/>
    <w:basedOn w:val="Heading6"/>
    <w:next w:val="Normal"/>
    <w:qFormat/>
    <w:rsid w:val="00B37866"/>
    <w:pPr>
      <w:outlineLvl w:val="7"/>
    </w:pPr>
  </w:style>
  <w:style w:type="paragraph" w:styleId="Heading9">
    <w:name w:val="heading 9"/>
    <w:basedOn w:val="Heading6"/>
    <w:next w:val="Normal"/>
    <w:qFormat/>
    <w:rsid w:val="00B3786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B37866"/>
  </w:style>
  <w:style w:type="paragraph" w:styleId="TOC4">
    <w:name w:val="toc 4"/>
    <w:basedOn w:val="TOC3"/>
    <w:semiHidden/>
    <w:rsid w:val="00B37866"/>
  </w:style>
  <w:style w:type="paragraph" w:styleId="TOC3">
    <w:name w:val="toc 3"/>
    <w:basedOn w:val="TOC2"/>
    <w:rsid w:val="00B37866"/>
  </w:style>
  <w:style w:type="paragraph" w:styleId="TOC2">
    <w:name w:val="toc 2"/>
    <w:basedOn w:val="TOC1"/>
    <w:rsid w:val="00B37866"/>
    <w:pPr>
      <w:spacing w:before="120"/>
    </w:pPr>
  </w:style>
  <w:style w:type="paragraph" w:styleId="TOC1">
    <w:name w:val="toc 1"/>
    <w:basedOn w:val="Normal"/>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semiHidden/>
    <w:rsid w:val="00B37866"/>
  </w:style>
  <w:style w:type="paragraph" w:styleId="TOC6">
    <w:name w:val="toc 6"/>
    <w:basedOn w:val="TOC4"/>
    <w:semiHidden/>
    <w:rsid w:val="00B37866"/>
  </w:style>
  <w:style w:type="paragraph" w:styleId="TOC5">
    <w:name w:val="toc 5"/>
    <w:basedOn w:val="TOC4"/>
    <w:semiHidden/>
    <w:rsid w:val="00B37866"/>
  </w:style>
  <w:style w:type="paragraph" w:styleId="Index7">
    <w:name w:val="index 7"/>
    <w:basedOn w:val="Normal"/>
    <w:next w:val="Normal"/>
    <w:semiHidden/>
    <w:rsid w:val="00B37866"/>
    <w:pPr>
      <w:ind w:left="1698"/>
    </w:pPr>
  </w:style>
  <w:style w:type="paragraph" w:styleId="Index6">
    <w:name w:val="index 6"/>
    <w:basedOn w:val="Normal"/>
    <w:next w:val="Normal"/>
    <w:semiHidden/>
    <w:rsid w:val="00B37866"/>
    <w:pPr>
      <w:ind w:left="1415"/>
    </w:pPr>
  </w:style>
  <w:style w:type="paragraph" w:styleId="Index5">
    <w:name w:val="index 5"/>
    <w:basedOn w:val="Normal"/>
    <w:next w:val="Normal"/>
    <w:semiHidden/>
    <w:rsid w:val="00B37866"/>
    <w:pPr>
      <w:ind w:left="1132"/>
    </w:pPr>
  </w:style>
  <w:style w:type="paragraph" w:styleId="Index4">
    <w:name w:val="index 4"/>
    <w:basedOn w:val="Normal"/>
    <w:next w:val="Normal"/>
    <w:semiHidden/>
    <w:rsid w:val="00B37866"/>
    <w:pPr>
      <w:ind w:left="849"/>
    </w:pPr>
  </w:style>
  <w:style w:type="paragraph" w:styleId="Index3">
    <w:name w:val="index 3"/>
    <w:basedOn w:val="Normal"/>
    <w:next w:val="Normal"/>
    <w:semiHidden/>
    <w:rsid w:val="00B37866"/>
    <w:pPr>
      <w:ind w:left="566"/>
    </w:pPr>
  </w:style>
  <w:style w:type="paragraph" w:styleId="Index2">
    <w:name w:val="index 2"/>
    <w:basedOn w:val="Normal"/>
    <w:next w:val="Normal"/>
    <w:semiHidden/>
    <w:rsid w:val="00B37866"/>
    <w:pPr>
      <w:ind w:left="283"/>
    </w:pPr>
  </w:style>
  <w:style w:type="paragraph" w:styleId="Index1">
    <w:name w:val="index 1"/>
    <w:basedOn w:val="Normal"/>
    <w:next w:val="Normal"/>
    <w:semiHidden/>
    <w:rsid w:val="00B37866"/>
  </w:style>
  <w:style w:type="character" w:styleId="LineNumber">
    <w:name w:val="line number"/>
    <w:basedOn w:val="DefaultParagraphFont"/>
    <w:rsid w:val="00B37866"/>
  </w:style>
  <w:style w:type="paragraph" w:styleId="IndexHeading">
    <w:name w:val="index heading"/>
    <w:basedOn w:val="Normal"/>
    <w:next w:val="Index1"/>
    <w:semiHidden/>
    <w:rsid w:val="00B37866"/>
  </w:style>
  <w:style w:type="paragraph" w:styleId="Footer">
    <w:name w:val="footer"/>
    <w:basedOn w:val="Normal"/>
    <w:link w:val="FooterChar"/>
    <w:rsid w:val="00B37866"/>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B37866"/>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uiPriority w:val="99"/>
    <w:rsid w:val="00F52741"/>
    <w:rPr>
      <w:rFonts w:asciiTheme="minorHAnsi" w:hAnsiTheme="minorHAnsi"/>
      <w:position w:val="6"/>
      <w:sz w:val="18"/>
    </w:rPr>
  </w:style>
  <w:style w:type="paragraph" w:styleId="FootnoteText">
    <w:name w:val="footnote text"/>
    <w:basedOn w:val="Normal"/>
    <w:link w:val="FootnoteTextChar"/>
    <w:uiPriority w:val="99"/>
    <w:rsid w:val="00B37866"/>
    <w:pPr>
      <w:keepLines/>
      <w:tabs>
        <w:tab w:val="left" w:pos="255"/>
      </w:tabs>
      <w:ind w:left="255" w:hanging="255"/>
    </w:pPr>
  </w:style>
  <w:style w:type="paragraph" w:styleId="NormalIndent">
    <w:name w:val="Normal Indent"/>
    <w:basedOn w:val="Normal"/>
    <w:rsid w:val="00B37866"/>
    <w:pPr>
      <w:ind w:left="794"/>
    </w:pPr>
  </w:style>
  <w:style w:type="paragraph" w:customStyle="1" w:styleId="enumlev1">
    <w:name w:val="enumlev1"/>
    <w:basedOn w:val="Normal"/>
    <w:rsid w:val="00B37866"/>
    <w:pPr>
      <w:spacing w:before="80"/>
      <w:ind w:left="794" w:hanging="794"/>
    </w:pPr>
  </w:style>
  <w:style w:type="paragraph" w:customStyle="1" w:styleId="enumlev2">
    <w:name w:val="enumlev2"/>
    <w:basedOn w:val="enumlev1"/>
    <w:rsid w:val="00B37866"/>
    <w:pPr>
      <w:ind w:left="1191" w:hanging="397"/>
    </w:pPr>
  </w:style>
  <w:style w:type="paragraph" w:customStyle="1" w:styleId="enumlev3">
    <w:name w:val="enumlev3"/>
    <w:basedOn w:val="enumlev2"/>
    <w:rsid w:val="00B37866"/>
    <w:pPr>
      <w:ind w:left="1588"/>
    </w:pPr>
  </w:style>
  <w:style w:type="paragraph" w:customStyle="1" w:styleId="Normalaftertitle">
    <w:name w:val="Normal after title"/>
    <w:basedOn w:val="Normal"/>
    <w:next w:val="Normal"/>
    <w:rsid w:val="00B37866"/>
    <w:pPr>
      <w:spacing w:before="280"/>
    </w:pPr>
  </w:style>
  <w:style w:type="paragraph" w:customStyle="1" w:styleId="Equation">
    <w:name w:val="Equation"/>
    <w:basedOn w:val="Normal"/>
    <w:rsid w:val="00B37866"/>
    <w:pPr>
      <w:tabs>
        <w:tab w:val="clear" w:pos="1191"/>
        <w:tab w:val="clear" w:pos="1588"/>
        <w:tab w:val="clear" w:pos="1985"/>
        <w:tab w:val="center" w:pos="4820"/>
        <w:tab w:val="right" w:pos="9639"/>
      </w:tabs>
    </w:pPr>
  </w:style>
  <w:style w:type="paragraph" w:customStyle="1" w:styleId="toc0">
    <w:name w:val="toc 0"/>
    <w:basedOn w:val="Normal"/>
    <w:next w:val="TOC1"/>
    <w:rsid w:val="00B37866"/>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B37866"/>
    <w:pPr>
      <w:keepNext/>
      <w:keepLines/>
      <w:spacing w:before="480" w:after="80"/>
      <w:jc w:val="center"/>
    </w:pPr>
    <w:rPr>
      <w:caps/>
      <w:sz w:val="28"/>
    </w:rPr>
  </w:style>
  <w:style w:type="paragraph" w:customStyle="1" w:styleId="ASN1">
    <w:name w:val="ASN.1"/>
    <w:basedOn w:val="Normal"/>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rsid w:val="00B37866"/>
    <w:pPr>
      <w:spacing w:before="80"/>
    </w:pPr>
  </w:style>
  <w:style w:type="paragraph" w:styleId="TOC9">
    <w:name w:val="toc 9"/>
    <w:basedOn w:val="TOC3"/>
    <w:next w:val="Normal"/>
    <w:semiHidden/>
    <w:rsid w:val="00B37866"/>
  </w:style>
  <w:style w:type="paragraph" w:customStyle="1" w:styleId="Source">
    <w:name w:val="Source"/>
    <w:basedOn w:val="Normal"/>
    <w:next w:val="Normalaftertitle"/>
    <w:rsid w:val="00EC6FED"/>
    <w:pPr>
      <w:spacing w:before="240" w:after="240"/>
      <w:jc w:val="center"/>
    </w:pPr>
    <w:rPr>
      <w:b/>
      <w:sz w:val="28"/>
    </w:rPr>
  </w:style>
  <w:style w:type="paragraph" w:customStyle="1" w:styleId="Title1">
    <w:name w:val="Title 1"/>
    <w:basedOn w:val="Source"/>
    <w:next w:val="Title2"/>
    <w:link w:val="Title1Char"/>
    <w:qFormat/>
    <w:rsid w:val="00EC6FED"/>
    <w:pPr>
      <w:tabs>
        <w:tab w:val="clear" w:pos="794"/>
        <w:tab w:val="clear" w:pos="1191"/>
        <w:tab w:val="clear" w:pos="1588"/>
        <w:tab w:val="clear" w:pos="1985"/>
        <w:tab w:val="left" w:pos="567"/>
        <w:tab w:val="left" w:pos="1134"/>
        <w:tab w:val="left" w:pos="1701"/>
        <w:tab w:val="left" w:pos="2268"/>
        <w:tab w:val="left" w:pos="2835"/>
      </w:tabs>
      <w:spacing w:before="120" w:after="120"/>
    </w:pPr>
    <w:rPr>
      <w:rFonts w:cs="Times New Roman Bold"/>
      <w:b w:val="0"/>
    </w:rPr>
  </w:style>
  <w:style w:type="paragraph" w:customStyle="1" w:styleId="Title2">
    <w:name w:val="Title 2"/>
    <w:basedOn w:val="Title1"/>
    <w:next w:val="Title3"/>
    <w:rsid w:val="00B37866"/>
  </w:style>
  <w:style w:type="paragraph" w:customStyle="1" w:styleId="Title3">
    <w:name w:val="Title 3"/>
    <w:basedOn w:val="Title2"/>
    <w:next w:val="Title4"/>
    <w:rsid w:val="00B37866"/>
  </w:style>
  <w:style w:type="paragraph" w:customStyle="1" w:styleId="Title4">
    <w:name w:val="Title 4"/>
    <w:basedOn w:val="Title3"/>
    <w:next w:val="Heading1"/>
    <w:rsid w:val="00B37866"/>
  </w:style>
  <w:style w:type="paragraph" w:customStyle="1" w:styleId="FirstFooter">
    <w:name w:val="FirstFooter"/>
    <w:basedOn w:val="Footer"/>
    <w:rsid w:val="00B37866"/>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rsid w:val="00F52741"/>
    <w:pPr>
      <w:keepNext/>
      <w:keepLines/>
      <w:spacing w:before="240" w:after="280"/>
      <w:jc w:val="center"/>
    </w:pPr>
    <w:rPr>
      <w:b/>
      <w:sz w:val="28"/>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rsid w:val="00F52741"/>
    <w:rPr>
      <w:rFonts w:asciiTheme="minorHAnsi" w:hAnsiTheme="minorHAnsi"/>
    </w:rPr>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rsid w:val="00F52741"/>
    <w:pPr>
      <w:spacing w:before="480"/>
      <w:jc w:val="center"/>
    </w:pPr>
    <w:rPr>
      <w:b/>
      <w:sz w:val="28"/>
    </w:rPr>
  </w:style>
  <w:style w:type="paragraph" w:customStyle="1" w:styleId="ArtNo">
    <w:name w:val="Art_No"/>
    <w:basedOn w:val="Normal"/>
    <w:next w:val="Arttitle"/>
    <w:rsid w:val="00B37866"/>
    <w:pPr>
      <w:keepNext/>
      <w:keepLines/>
      <w:spacing w:before="480"/>
      <w:jc w:val="center"/>
    </w:pPr>
    <w:rPr>
      <w:caps/>
      <w:sz w:val="28"/>
    </w:rPr>
  </w:style>
  <w:style w:type="paragraph" w:customStyle="1" w:styleId="Arttitle">
    <w:name w:val="Art_title"/>
    <w:basedOn w:val="Normal"/>
    <w:next w:val="Normalaftertitle"/>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rsid w:val="00B37866"/>
    <w:pPr>
      <w:keepNext/>
      <w:keepLines/>
      <w:spacing w:before="160"/>
      <w:ind w:left="794"/>
    </w:pPr>
    <w:rPr>
      <w:i/>
    </w:rPr>
  </w:style>
  <w:style w:type="paragraph" w:customStyle="1" w:styleId="ChapNo">
    <w:name w:val="Chap_No"/>
    <w:basedOn w:val="ArtNo"/>
    <w:next w:val="Chaptitle"/>
    <w:rsid w:val="00F52741"/>
    <w:rPr>
      <w:b/>
    </w:rPr>
  </w:style>
  <w:style w:type="paragraph" w:customStyle="1" w:styleId="Chaptitle">
    <w:name w:val="Chap_title"/>
    <w:basedOn w:val="Arttitle"/>
    <w:next w:val="Normalaftertitle"/>
    <w:rsid w:val="00B37866"/>
  </w:style>
  <w:style w:type="paragraph" w:customStyle="1" w:styleId="ddate">
    <w:name w:val="ddate"/>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B37866"/>
    <w:rPr>
      <w:vertAlign w:val="superscript"/>
    </w:rPr>
  </w:style>
  <w:style w:type="paragraph" w:customStyle="1" w:styleId="Equationlegend">
    <w:name w:val="Equation_legend"/>
    <w:basedOn w:val="Normal"/>
    <w:rsid w:val="00B37866"/>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B3786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B37866"/>
    <w:pPr>
      <w:keepNext/>
      <w:keepLines/>
      <w:spacing w:before="480" w:after="120"/>
      <w:jc w:val="center"/>
    </w:pPr>
    <w:rPr>
      <w:caps/>
    </w:rPr>
  </w:style>
  <w:style w:type="paragraph" w:customStyle="1" w:styleId="Figuretitle">
    <w:name w:val="Figure_title"/>
    <w:basedOn w:val="Tabletitle"/>
    <w:next w:val="Normal"/>
    <w:rsid w:val="00F52741"/>
    <w:pPr>
      <w:keepNext w:val="0"/>
      <w:spacing w:after="480"/>
    </w:pPr>
  </w:style>
  <w:style w:type="paragraph" w:customStyle="1" w:styleId="Tabletitle">
    <w:name w:val="Table_title"/>
    <w:basedOn w:val="Normal"/>
    <w:next w:val="Tabletext"/>
    <w:rsid w:val="00F52741"/>
    <w:pPr>
      <w:keepNext/>
      <w:keepLines/>
      <w:spacing w:before="0" w:after="120"/>
      <w:jc w:val="center"/>
    </w:pPr>
    <w:rPr>
      <w:b/>
    </w:rPr>
  </w:style>
  <w:style w:type="paragraph" w:customStyle="1" w:styleId="Tabletext">
    <w:name w:val="Table_text"/>
    <w:basedOn w:val="Normal"/>
    <w:rsid w:val="00B378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37866"/>
    <w:pPr>
      <w:keepNext w:val="0"/>
    </w:pPr>
  </w:style>
  <w:style w:type="paragraph" w:customStyle="1" w:styleId="Headingb">
    <w:name w:val="Heading_b"/>
    <w:basedOn w:val="Normal"/>
    <w:next w:val="Normal"/>
    <w:rsid w:val="00F52741"/>
    <w:pPr>
      <w:keepNext/>
      <w:spacing w:before="160"/>
    </w:pPr>
    <w:rPr>
      <w:b/>
    </w:rPr>
  </w:style>
  <w:style w:type="paragraph" w:customStyle="1" w:styleId="Headingi">
    <w:name w:val="Heading_i"/>
    <w:basedOn w:val="Normal"/>
    <w:next w:val="Normal"/>
    <w:rsid w:val="00F52741"/>
    <w:pPr>
      <w:keepNext/>
      <w:spacing w:before="160"/>
    </w:pPr>
    <w:rPr>
      <w:i/>
    </w:rPr>
  </w:style>
  <w:style w:type="paragraph" w:customStyle="1" w:styleId="PartNo">
    <w:name w:val="Part_No"/>
    <w:basedOn w:val="AnnexNo"/>
    <w:next w:val="Partref"/>
    <w:rsid w:val="00B37866"/>
  </w:style>
  <w:style w:type="paragraph" w:customStyle="1" w:styleId="Partref">
    <w:name w:val="Part_ref"/>
    <w:basedOn w:val="Annexref"/>
    <w:next w:val="Parttitle"/>
    <w:rsid w:val="00B37866"/>
  </w:style>
  <w:style w:type="paragraph" w:customStyle="1" w:styleId="Parttitle">
    <w:name w:val="Part_title"/>
    <w:basedOn w:val="Annextitle"/>
    <w:next w:val="Normalaftertitle"/>
    <w:rsid w:val="00B37866"/>
  </w:style>
  <w:style w:type="paragraph" w:customStyle="1" w:styleId="RecNo">
    <w:name w:val="Rec_No"/>
    <w:basedOn w:val="Normal"/>
    <w:next w:val="Rectitle"/>
    <w:rsid w:val="00B37866"/>
    <w:pPr>
      <w:keepNext/>
      <w:keepLines/>
      <w:spacing w:before="480"/>
      <w:jc w:val="center"/>
    </w:pPr>
    <w:rPr>
      <w:caps/>
      <w:sz w:val="28"/>
    </w:rPr>
  </w:style>
  <w:style w:type="paragraph" w:customStyle="1" w:styleId="Rectitle">
    <w:name w:val="Rec_title"/>
    <w:basedOn w:val="RecNo"/>
    <w:next w:val="Recref"/>
    <w:rsid w:val="00F52741"/>
    <w:pPr>
      <w:spacing w:before="240"/>
    </w:pPr>
    <w:rPr>
      <w:b/>
      <w:caps w:val="0"/>
    </w:rPr>
  </w:style>
  <w:style w:type="paragraph" w:customStyle="1" w:styleId="Recref">
    <w:name w:val="Rec_ref"/>
    <w:basedOn w:val="Rectitle"/>
    <w:next w:val="Recdate"/>
    <w:rsid w:val="00F52741"/>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B37866"/>
    <w:pPr>
      <w:jc w:val="right"/>
    </w:pPr>
    <w:rPr>
      <w:sz w:val="22"/>
    </w:rPr>
  </w:style>
  <w:style w:type="paragraph" w:customStyle="1" w:styleId="Questiondate">
    <w:name w:val="Question_date"/>
    <w:basedOn w:val="Recdate"/>
    <w:next w:val="Normalaftertitle"/>
    <w:rsid w:val="00F52741"/>
  </w:style>
  <w:style w:type="paragraph" w:customStyle="1" w:styleId="QuestionNo">
    <w:name w:val="Question_No"/>
    <w:basedOn w:val="RecNo"/>
    <w:next w:val="Questiontitle"/>
    <w:rsid w:val="00B37866"/>
  </w:style>
  <w:style w:type="paragraph" w:customStyle="1" w:styleId="Questiontitle">
    <w:name w:val="Question_title"/>
    <w:basedOn w:val="Rectitle"/>
    <w:next w:val="Questionref"/>
    <w:rsid w:val="00F52741"/>
  </w:style>
  <w:style w:type="paragraph" w:customStyle="1" w:styleId="Questionref">
    <w:name w:val="Question_ref"/>
    <w:basedOn w:val="Recref"/>
    <w:next w:val="Questiondate"/>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rsid w:val="00B37866"/>
    <w:pPr>
      <w:ind w:left="794" w:hanging="794"/>
    </w:pPr>
  </w:style>
  <w:style w:type="paragraph" w:customStyle="1" w:styleId="Reftitle">
    <w:name w:val="Ref_title"/>
    <w:basedOn w:val="Normal"/>
    <w:next w:val="Reftext"/>
    <w:rsid w:val="00B37866"/>
    <w:pPr>
      <w:spacing w:before="480"/>
      <w:jc w:val="center"/>
    </w:pPr>
    <w:rPr>
      <w:caps/>
    </w:rPr>
  </w:style>
  <w:style w:type="paragraph" w:customStyle="1" w:styleId="Repdate">
    <w:name w:val="Rep_date"/>
    <w:basedOn w:val="Recdate"/>
    <w:next w:val="Normalaftertitle"/>
    <w:rsid w:val="00B37866"/>
  </w:style>
  <w:style w:type="paragraph" w:customStyle="1" w:styleId="RepNo">
    <w:name w:val="Rep_No"/>
    <w:basedOn w:val="RecNo"/>
    <w:next w:val="Reptitle"/>
    <w:rsid w:val="00B37866"/>
  </w:style>
  <w:style w:type="paragraph" w:customStyle="1" w:styleId="Reptitle">
    <w:name w:val="Rep_title"/>
    <w:basedOn w:val="Rectitle"/>
    <w:next w:val="Repref"/>
    <w:rsid w:val="00B37866"/>
  </w:style>
  <w:style w:type="paragraph" w:customStyle="1" w:styleId="Repref">
    <w:name w:val="Rep_ref"/>
    <w:basedOn w:val="Recref"/>
    <w:next w:val="Repdate"/>
    <w:rsid w:val="00B37866"/>
  </w:style>
  <w:style w:type="paragraph" w:customStyle="1" w:styleId="Resdate">
    <w:name w:val="Res_date"/>
    <w:basedOn w:val="Recdate"/>
    <w:next w:val="Normalaftertitle"/>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rsid w:val="00B37866"/>
  </w:style>
  <w:style w:type="paragraph" w:customStyle="1" w:styleId="Restitle">
    <w:name w:val="Res_title"/>
    <w:basedOn w:val="Rectitle"/>
    <w:next w:val="Resref"/>
    <w:rsid w:val="00B37866"/>
  </w:style>
  <w:style w:type="paragraph" w:customStyle="1" w:styleId="Resref">
    <w:name w:val="Res_ref"/>
    <w:basedOn w:val="Recref"/>
    <w:next w:val="Resdate"/>
    <w:rsid w:val="00B37866"/>
  </w:style>
  <w:style w:type="paragraph" w:customStyle="1" w:styleId="SectionNo">
    <w:name w:val="Section_No"/>
    <w:basedOn w:val="AnnexNo"/>
    <w:next w:val="Sectiontitle"/>
    <w:rsid w:val="00B37866"/>
  </w:style>
  <w:style w:type="paragraph" w:customStyle="1" w:styleId="Sectiontitle">
    <w:name w:val="Section_title"/>
    <w:basedOn w:val="Annextitle"/>
    <w:next w:val="Normalaftertitle"/>
    <w:rsid w:val="00B37866"/>
  </w:style>
  <w:style w:type="paragraph" w:customStyle="1" w:styleId="SpecialFooter">
    <w:name w:val="Special Footer"/>
    <w:basedOn w:val="Footer"/>
    <w:rsid w:val="00B3786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rsid w:val="00B37866"/>
    <w:pPr>
      <w:keepNext/>
      <w:spacing w:before="80" w:after="80"/>
      <w:jc w:val="center"/>
    </w:pPr>
    <w:rPr>
      <w:b/>
    </w:rPr>
  </w:style>
  <w:style w:type="paragraph" w:customStyle="1" w:styleId="Tablelegend">
    <w:name w:val="Table_legend"/>
    <w:basedOn w:val="Tabletext"/>
    <w:rsid w:val="00B37866"/>
    <w:pPr>
      <w:spacing w:before="120"/>
    </w:pPr>
  </w:style>
  <w:style w:type="paragraph" w:customStyle="1" w:styleId="TableNo">
    <w:name w:val="Table_No"/>
    <w:basedOn w:val="Normal"/>
    <w:next w:val="Tabletitle"/>
    <w:rsid w:val="00B37866"/>
    <w:pPr>
      <w:keepNext/>
      <w:spacing w:before="560" w:after="120"/>
      <w:jc w:val="center"/>
    </w:pPr>
    <w:rPr>
      <w:caps/>
    </w:rPr>
  </w:style>
  <w:style w:type="paragraph" w:customStyle="1" w:styleId="Tableref">
    <w:name w:val="Table_ref"/>
    <w:basedOn w:val="Normal"/>
    <w:next w:val="Tabletitle"/>
    <w:rsid w:val="00B37866"/>
    <w:pPr>
      <w:keepNext/>
      <w:spacing w:before="0" w:after="120"/>
      <w:jc w:val="center"/>
    </w:pPr>
  </w:style>
  <w:style w:type="character" w:styleId="PageNumber">
    <w:name w:val="page number"/>
    <w:basedOn w:val="DefaultParagraphFont"/>
    <w:rsid w:val="00F52741"/>
    <w:rPr>
      <w:rFonts w:asciiTheme="minorHAnsi" w:hAnsiTheme="minorHAnsi"/>
    </w:rPr>
  </w:style>
  <w:style w:type="character" w:customStyle="1" w:styleId="HeaderChar">
    <w:name w:val="Header Char"/>
    <w:basedOn w:val="DefaultParagraphFont"/>
    <w:link w:val="Header"/>
    <w:uiPriority w:val="99"/>
    <w:rsid w:val="00005791"/>
    <w:rPr>
      <w:rFonts w:ascii="Times New Roman" w:hAnsi="Times New Roman"/>
      <w:sz w:val="18"/>
      <w:lang w:val="fr-FR" w:eastAsia="en-US"/>
    </w:rPr>
  </w:style>
  <w:style w:type="character" w:customStyle="1" w:styleId="FooterChar">
    <w:name w:val="Footer Char"/>
    <w:basedOn w:val="DefaultParagraphFont"/>
    <w:link w:val="Footer"/>
    <w:rsid w:val="0056423B"/>
    <w:rPr>
      <w:rFonts w:ascii="Times New Roman" w:hAnsi="Times New Roman"/>
      <w:caps/>
      <w:noProof/>
      <w:sz w:val="16"/>
      <w:lang w:val="fr-FR" w:eastAsia="en-US"/>
    </w:rPr>
  </w:style>
  <w:style w:type="table" w:styleId="TableGrid">
    <w:name w:val="Table Grid"/>
    <w:basedOn w:val="TableNormal"/>
    <w:uiPriority w:val="39"/>
    <w:rsid w:val="001470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1A163D"/>
    <w:rPr>
      <w:rFonts w:cs="Times New Roman Bold"/>
      <w:b/>
      <w:caps/>
    </w:rPr>
  </w:style>
  <w:style w:type="character" w:styleId="Hyperlink">
    <w:name w:val="Hyperlink"/>
    <w:aliases w:val="CEO_Hyperlink,超级链接,超?级链,Style 58,超????,하이퍼링크2,超链接1,超?级链?,Style?,S,ECC Hyperlink,하이퍼링크21,超??级链Ú,fL????,fL?级,超??级链,超?级链ïÈ,õ±?级链,õ±链ïÈ1,õ±???"/>
    <w:basedOn w:val="DefaultParagraphFont"/>
    <w:uiPriority w:val="99"/>
    <w:qFormat/>
    <w:rsid w:val="00BA0009"/>
    <w:rPr>
      <w:color w:val="0000FF" w:themeColor="hyperlink"/>
      <w:u w:val="single"/>
    </w:rPr>
  </w:style>
  <w:style w:type="paragraph" w:customStyle="1" w:styleId="BDTLogo">
    <w:name w:val="BDT_Logo"/>
    <w:uiPriority w:val="99"/>
    <w:rsid w:val="00C72713"/>
    <w:pPr>
      <w:jc w:val="center"/>
    </w:pPr>
    <w:rPr>
      <w:rFonts w:ascii="Calibri" w:eastAsia="SimHei" w:hAnsi="Calibri" w:cs="Simplified Arabic"/>
      <w:sz w:val="22"/>
      <w:szCs w:val="28"/>
      <w:lang w:val="en-GB" w:eastAsia="en-US"/>
    </w:rPr>
  </w:style>
  <w:style w:type="paragraph" w:styleId="ListParagraph">
    <w:name w:val="List Paragraph"/>
    <w:aliases w:val="NUMBERED PARAGRAPH,List Paragraph 1,List Paragraph (numbered (a)),Use Case List Paragraph,References,ReferencesCxSpLast,lp1,List Paragraph1,Recommendation,List Paragraph11"/>
    <w:basedOn w:val="Normal"/>
    <w:link w:val="ListParagraphChar"/>
    <w:uiPriority w:val="34"/>
    <w:qFormat/>
    <w:rsid w:val="00A721F4"/>
    <w:pPr>
      <w:tabs>
        <w:tab w:val="clear" w:pos="794"/>
        <w:tab w:val="clear" w:pos="1191"/>
        <w:tab w:val="clear" w:pos="1588"/>
        <w:tab w:val="clear" w:pos="1985"/>
        <w:tab w:val="left" w:pos="1134"/>
        <w:tab w:val="left" w:pos="1871"/>
        <w:tab w:val="left" w:pos="2268"/>
      </w:tabs>
      <w:ind w:left="720"/>
      <w:contextualSpacing/>
    </w:pPr>
  </w:style>
  <w:style w:type="paragraph" w:customStyle="1" w:styleId="AppArtNo">
    <w:name w:val="App_Art_No"/>
    <w:basedOn w:val="ArtNo"/>
    <w:qFormat/>
    <w:rsid w:val="00A50CA0"/>
    <w:pPr>
      <w:tabs>
        <w:tab w:val="clear" w:pos="794"/>
        <w:tab w:val="clear" w:pos="1191"/>
        <w:tab w:val="clear" w:pos="1588"/>
        <w:tab w:val="clear" w:pos="1985"/>
        <w:tab w:val="left" w:pos="1134"/>
        <w:tab w:val="left" w:pos="1871"/>
        <w:tab w:val="left" w:pos="2268"/>
      </w:tabs>
    </w:pPr>
  </w:style>
  <w:style w:type="paragraph" w:customStyle="1" w:styleId="AppArttitle">
    <w:name w:val="App_Art_title"/>
    <w:basedOn w:val="Arttitle"/>
    <w:qFormat/>
    <w:rsid w:val="00A50CA0"/>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next w:val="Normal"/>
    <w:qFormat/>
    <w:rsid w:val="00A50CA0"/>
    <w:pPr>
      <w:tabs>
        <w:tab w:val="clear" w:pos="794"/>
        <w:tab w:val="clear" w:pos="1191"/>
        <w:tab w:val="clear" w:pos="1588"/>
        <w:tab w:val="clear" w:pos="1985"/>
        <w:tab w:val="left" w:pos="1134"/>
        <w:tab w:val="left" w:pos="1871"/>
        <w:tab w:val="left" w:pos="2268"/>
      </w:tabs>
    </w:pPr>
  </w:style>
  <w:style w:type="paragraph" w:customStyle="1" w:styleId="Volumetitle">
    <w:name w:val="Volume_title"/>
    <w:basedOn w:val="Normal"/>
    <w:qFormat/>
    <w:rsid w:val="00A50CA0"/>
    <w:pPr>
      <w:tabs>
        <w:tab w:val="clear" w:pos="794"/>
        <w:tab w:val="clear" w:pos="1191"/>
        <w:tab w:val="clear" w:pos="1588"/>
        <w:tab w:val="clear" w:pos="1985"/>
        <w:tab w:val="left" w:pos="1871"/>
      </w:tabs>
      <w:overflowPunct/>
      <w:autoSpaceDE/>
      <w:autoSpaceDN/>
      <w:adjustRightInd/>
      <w:spacing w:before="0"/>
      <w:textAlignment w:val="auto"/>
    </w:pPr>
    <w:rPr>
      <w:b/>
      <w:sz w:val="28"/>
      <w:lang w:val="en-US"/>
    </w:rPr>
  </w:style>
  <w:style w:type="paragraph" w:customStyle="1" w:styleId="Proposal">
    <w:name w:val="Proposal"/>
    <w:basedOn w:val="Normal"/>
    <w:next w:val="Normal"/>
    <w:rsid w:val="00904230"/>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Reasons">
    <w:name w:val="Reasons"/>
    <w:basedOn w:val="Normal"/>
    <w:rsid w:val="005D2C3A"/>
    <w:pPr>
      <w:tabs>
        <w:tab w:val="clear" w:pos="794"/>
        <w:tab w:val="clear" w:pos="1191"/>
        <w:tab w:val="left" w:pos="1134"/>
        <w:tab w:val="left" w:pos="1871"/>
      </w:tabs>
    </w:pPr>
  </w:style>
  <w:style w:type="character" w:styleId="FollowedHyperlink">
    <w:name w:val="FollowedHyperlink"/>
    <w:basedOn w:val="DefaultParagraphFont"/>
    <w:semiHidden/>
    <w:unhideWhenUsed/>
    <w:rsid w:val="00AD4677"/>
    <w:rPr>
      <w:color w:val="800080" w:themeColor="followedHyperlink"/>
      <w:u w:val="single"/>
    </w:rPr>
  </w:style>
  <w:style w:type="character" w:styleId="UnresolvedMention">
    <w:name w:val="Unresolved Mention"/>
    <w:basedOn w:val="DefaultParagraphFont"/>
    <w:uiPriority w:val="99"/>
    <w:semiHidden/>
    <w:unhideWhenUsed/>
    <w:rsid w:val="003A306E"/>
    <w:rPr>
      <w:color w:val="605E5C"/>
      <w:shd w:val="clear" w:color="auto" w:fill="E1DFDD"/>
    </w:rPr>
  </w:style>
  <w:style w:type="paragraph" w:customStyle="1" w:styleId="Figure">
    <w:name w:val="Figure"/>
    <w:basedOn w:val="Normal"/>
    <w:rsid w:val="003A306E"/>
    <w:rPr>
      <w:lang w:val="fr-FR"/>
    </w:rPr>
  </w:style>
  <w:style w:type="table" w:styleId="GridTable4-Accent1">
    <w:name w:val="Grid Table 4 Accent 1"/>
    <w:basedOn w:val="TableNormal"/>
    <w:uiPriority w:val="49"/>
    <w:rsid w:val="003A306E"/>
    <w:rPr>
      <w:rFonts w:eastAsia="SimSun"/>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FootnoteTextChar">
    <w:name w:val="Footnote Text Char"/>
    <w:basedOn w:val="DefaultParagraphFont"/>
    <w:link w:val="FootnoteText"/>
    <w:uiPriority w:val="99"/>
    <w:rsid w:val="003A306E"/>
    <w:rPr>
      <w:rFonts w:asciiTheme="minorHAnsi" w:hAnsiTheme="minorHAnsi"/>
      <w:sz w:val="24"/>
      <w:lang w:val="en-GB" w:eastAsia="en-US"/>
    </w:rPr>
  </w:style>
  <w:style w:type="character" w:customStyle="1" w:styleId="ListParagraphChar">
    <w:name w:val="List Paragraph Char"/>
    <w:aliases w:val="NUMBERED PARAGRAPH Char,List Paragraph 1 Char,List Paragraph (numbered (a)) Char,Use Case List Paragraph Char,References Char,ReferencesCxSpLast Char,lp1 Char,List Paragraph1 Char,Recommendation Char,List Paragraph11 Char"/>
    <w:basedOn w:val="DefaultParagraphFont"/>
    <w:link w:val="ListParagraph"/>
    <w:uiPriority w:val="34"/>
    <w:locked/>
    <w:rsid w:val="00EB663F"/>
    <w:rPr>
      <w:rFonts w:asciiTheme="minorHAnsi" w:hAnsiTheme="minorHAnsi"/>
      <w:sz w:val="24"/>
      <w:lang w:val="en-GB" w:eastAsia="en-US"/>
    </w:rPr>
  </w:style>
  <w:style w:type="table" w:customStyle="1" w:styleId="TableGrid2">
    <w:name w:val="Table Grid2"/>
    <w:basedOn w:val="TableNormal"/>
    <w:next w:val="TableGrid"/>
    <w:uiPriority w:val="39"/>
    <w:rsid w:val="00EB663F"/>
    <w:rPr>
      <w:rFonts w:ascii="Calibri" w:eastAsia="Calibri" w:hAnsi="Calibri"/>
      <w:kern w:val="2"/>
      <w:sz w:val="22"/>
      <w:szCs w:val="22"/>
      <w:lang w:val="en-GB"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281BF0"/>
    <w:rPr>
      <w:sz w:val="16"/>
      <w:szCs w:val="16"/>
    </w:rPr>
  </w:style>
  <w:style w:type="paragraph" w:styleId="CommentText">
    <w:name w:val="annotation text"/>
    <w:basedOn w:val="Normal"/>
    <w:link w:val="CommentTextChar"/>
    <w:unhideWhenUsed/>
    <w:rsid w:val="00281BF0"/>
    <w:pPr>
      <w:jc w:val="both"/>
    </w:pPr>
    <w:rPr>
      <w:rFonts w:eastAsia="SimSun"/>
      <w:sz w:val="20"/>
    </w:rPr>
  </w:style>
  <w:style w:type="character" w:customStyle="1" w:styleId="CommentTextChar">
    <w:name w:val="Comment Text Char"/>
    <w:basedOn w:val="DefaultParagraphFont"/>
    <w:link w:val="CommentText"/>
    <w:rsid w:val="00281BF0"/>
    <w:rPr>
      <w:rFonts w:asciiTheme="minorHAnsi" w:eastAsia="SimSun" w:hAnsiTheme="minorHAnsi"/>
      <w:lang w:val="en-GB" w:eastAsia="en-US"/>
    </w:rPr>
  </w:style>
  <w:style w:type="table" w:customStyle="1" w:styleId="TableGrid3">
    <w:name w:val="Table Grid3"/>
    <w:basedOn w:val="TableNormal"/>
    <w:next w:val="TableGrid"/>
    <w:uiPriority w:val="39"/>
    <w:rsid w:val="00281BF0"/>
    <w:rPr>
      <w:rFonts w:asciiTheme="minorHAnsi" w:eastAsiaTheme="minorHAnsi" w:hAnsiTheme="minorHAnsi" w:cstheme="minorBidi"/>
      <w:kern w:val="2"/>
      <w:sz w:val="22"/>
      <w:szCs w:val="22"/>
      <w:lang w:val="en-GB"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yh">
    <w:name w:val="yh"/>
    <w:basedOn w:val="Tabletext"/>
    <w:rsid w:val="00E97BD0"/>
    <w:pPr>
      <w:pageBreakBefore/>
      <w:tabs>
        <w:tab w:val="clear" w:pos="284"/>
      </w:tabs>
      <w:spacing w:before="120" w:after="120"/>
      <w:ind w:left="311" w:hanging="311"/>
    </w:pPr>
    <w:rPr>
      <w:rFonts w:eastAsiaTheme="minorHAnsi" w:cstheme="minorBidi"/>
      <w:kern w:val="2"/>
      <w:szCs w:val="22"/>
      <w:lang w:val="fr-FR"/>
      <w14:ligatures w14:val="standardContextual"/>
    </w:rPr>
  </w:style>
  <w:style w:type="paragraph" w:styleId="Revision">
    <w:name w:val="Revision"/>
    <w:hidden/>
    <w:uiPriority w:val="99"/>
    <w:semiHidden/>
    <w:rsid w:val="00902DF9"/>
    <w:rPr>
      <w:rFonts w:asciiTheme="minorHAnsi" w:hAnsiTheme="minorHAnsi"/>
      <w:sz w:val="24"/>
      <w:lang w:val="en-GB" w:eastAsia="en-US"/>
    </w:rPr>
  </w:style>
  <w:style w:type="table" w:customStyle="1" w:styleId="TableGrid4">
    <w:name w:val="Table Grid4"/>
    <w:basedOn w:val="TableNormal"/>
    <w:next w:val="TableGrid"/>
    <w:uiPriority w:val="39"/>
    <w:rsid w:val="00642741"/>
    <w:rPr>
      <w:rFonts w:ascii="Calibri" w:eastAsia="Calibri" w:hAnsi="Calibri"/>
      <w:kern w:val="2"/>
      <w:sz w:val="22"/>
      <w:szCs w:val="22"/>
      <w:lang w:val="en-GB"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f0">
    <w:name w:val="pf0"/>
    <w:basedOn w:val="Normal"/>
    <w:rsid w:val="00642741"/>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hAnsi="Times New Roman"/>
      <w:szCs w:val="24"/>
      <w:lang w:eastAsia="en-GB"/>
    </w:rPr>
  </w:style>
  <w:style w:type="character" w:customStyle="1" w:styleId="xnormaltextrun">
    <w:name w:val="x_normaltextrun"/>
    <w:basedOn w:val="DefaultParagraphFont"/>
    <w:rsid w:val="00642741"/>
  </w:style>
  <w:style w:type="table" w:styleId="GridTable2-Accent1">
    <w:name w:val="Grid Table 2 Accent 1"/>
    <w:basedOn w:val="TableNormal"/>
    <w:uiPriority w:val="47"/>
    <w:rsid w:val="00EA2FD3"/>
    <w:rPr>
      <w:rFonts w:eastAsia="SimSun"/>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leGrid1">
    <w:name w:val="Table Grid1"/>
    <w:basedOn w:val="TableNormal"/>
    <w:next w:val="TableGrid"/>
    <w:uiPriority w:val="39"/>
    <w:rsid w:val="00EA2FD3"/>
    <w:rPr>
      <w:rFonts w:ascii="Calibri" w:eastAsia="Calibri"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2-Accent11">
    <w:name w:val="Grid Table 2 - Accent 11"/>
    <w:basedOn w:val="TableNormal"/>
    <w:next w:val="GridTable2-Accent1"/>
    <w:uiPriority w:val="47"/>
    <w:rsid w:val="00EA2FD3"/>
    <w:rPr>
      <w:rFonts w:ascii="Calibri" w:eastAsia="Calibri" w:hAnsi="Calibri"/>
      <w:sz w:val="22"/>
      <w:szCs w:val="22"/>
      <w:lang w:val="en-GB" w:eastAsia="en-US"/>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denotaalpie1">
    <w:name w:val="de nota al pie1"/>
    <w:basedOn w:val="DefaultParagraphFont"/>
    <w:uiPriority w:val="99"/>
    <w:rsid w:val="00EA2FD3"/>
    <w:rPr>
      <w:rFonts w:ascii="Calibri" w:hAnsi="Calibri"/>
      <w:position w:val="6"/>
      <w:sz w:val="18"/>
    </w:rPr>
  </w:style>
  <w:style w:type="table" w:customStyle="1" w:styleId="GridTable4-Accent11">
    <w:name w:val="Grid Table 4 - Accent 11"/>
    <w:basedOn w:val="TableNormal"/>
    <w:uiPriority w:val="49"/>
    <w:rsid w:val="00EA2FD3"/>
    <w:rPr>
      <w:rFonts w:ascii="Calibri" w:eastAsia="Calibri" w:hAnsi="Calibri" w:cs="Arial"/>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ListTable6Colorful-Accent1">
    <w:name w:val="List Table 6 Colorful Accent 1"/>
    <w:basedOn w:val="TableNormal"/>
    <w:uiPriority w:val="51"/>
    <w:rsid w:val="00EA2FD3"/>
    <w:rPr>
      <w:rFonts w:asciiTheme="minorHAnsi" w:eastAsiaTheme="minorHAnsi" w:hAnsiTheme="minorHAnsi" w:cstheme="minorBidi"/>
      <w:color w:val="365F91" w:themeColor="accent1" w:themeShade="BF"/>
      <w:sz w:val="22"/>
      <w:szCs w:val="22"/>
      <w:lang w:val="en-GB" w:eastAsia="en-US"/>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
    <w:name w:val="Grid Table 4"/>
    <w:basedOn w:val="TableNormal"/>
    <w:uiPriority w:val="49"/>
    <w:rsid w:val="00EA2FD3"/>
    <w:rPr>
      <w:rFonts w:eastAsia="SimSun"/>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DecimalAligned">
    <w:name w:val="Decimal Aligned"/>
    <w:basedOn w:val="Normal"/>
    <w:uiPriority w:val="40"/>
    <w:qFormat/>
    <w:rsid w:val="00EA2FD3"/>
    <w:pPr>
      <w:tabs>
        <w:tab w:val="clear" w:pos="794"/>
        <w:tab w:val="clear" w:pos="1191"/>
        <w:tab w:val="clear" w:pos="1588"/>
        <w:tab w:val="clear" w:pos="1985"/>
        <w:tab w:val="decimal" w:pos="360"/>
      </w:tabs>
      <w:overflowPunct/>
      <w:autoSpaceDE/>
      <w:autoSpaceDN/>
      <w:adjustRightInd/>
      <w:spacing w:before="0" w:after="200" w:line="276" w:lineRule="auto"/>
      <w:jc w:val="both"/>
      <w:textAlignment w:val="auto"/>
    </w:pPr>
    <w:rPr>
      <w:rFonts w:eastAsiaTheme="minorEastAsia"/>
      <w:sz w:val="22"/>
      <w:szCs w:val="22"/>
    </w:rPr>
  </w:style>
  <w:style w:type="character" w:styleId="SubtleEmphasis">
    <w:name w:val="Subtle Emphasis"/>
    <w:basedOn w:val="DefaultParagraphFont"/>
    <w:uiPriority w:val="19"/>
    <w:qFormat/>
    <w:rsid w:val="00EA2FD3"/>
    <w:rPr>
      <w:i/>
      <w:iCs/>
    </w:rPr>
  </w:style>
  <w:style w:type="table" w:styleId="MediumShading2-Accent5">
    <w:name w:val="Medium Shading 2 Accent 5"/>
    <w:basedOn w:val="TableNormal"/>
    <w:uiPriority w:val="64"/>
    <w:rsid w:val="00EA2FD3"/>
    <w:rPr>
      <w:rFonts w:asciiTheme="minorHAnsi" w:eastAsiaTheme="minorEastAsia" w:hAnsiTheme="minorHAnsi" w:cstheme="minorBid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NormalWeb">
    <w:name w:val="Normal (Web)"/>
    <w:basedOn w:val="Normal"/>
    <w:uiPriority w:val="99"/>
    <w:unhideWhenUsed/>
    <w:rsid w:val="00EA2FD3"/>
    <w:pPr>
      <w:jc w:val="both"/>
    </w:pPr>
    <w:rPr>
      <w:rFonts w:ascii="Times New Roman" w:eastAsia="SimSun" w:hAnsi="Times New Roman"/>
      <w:szCs w:val="24"/>
    </w:rPr>
  </w:style>
  <w:style w:type="character" w:customStyle="1" w:styleId="normaltextrun">
    <w:name w:val="normaltextrun"/>
    <w:basedOn w:val="DefaultParagraphFont"/>
    <w:rsid w:val="00EA2FD3"/>
  </w:style>
  <w:style w:type="paragraph" w:styleId="CommentSubject">
    <w:name w:val="annotation subject"/>
    <w:basedOn w:val="CommentText"/>
    <w:next w:val="CommentText"/>
    <w:link w:val="CommentSubjectChar"/>
    <w:semiHidden/>
    <w:unhideWhenUsed/>
    <w:rsid w:val="00EA2FD3"/>
    <w:rPr>
      <w:b/>
      <w:bCs/>
    </w:rPr>
  </w:style>
  <w:style w:type="character" w:customStyle="1" w:styleId="CommentSubjectChar">
    <w:name w:val="Comment Subject Char"/>
    <w:basedOn w:val="CommentTextChar"/>
    <w:link w:val="CommentSubject"/>
    <w:semiHidden/>
    <w:rsid w:val="00EA2FD3"/>
    <w:rPr>
      <w:rFonts w:asciiTheme="minorHAnsi" w:eastAsia="SimSun" w:hAnsiTheme="minorHAnsi"/>
      <w:b/>
      <w:bCs/>
      <w:lang w:val="en-GB" w:eastAsia="en-US"/>
    </w:rPr>
  </w:style>
  <w:style w:type="paragraph" w:customStyle="1" w:styleId="Pa13">
    <w:name w:val="Pa13"/>
    <w:basedOn w:val="Normal"/>
    <w:next w:val="Normal"/>
    <w:uiPriority w:val="99"/>
    <w:rsid w:val="00EA2FD3"/>
    <w:pPr>
      <w:tabs>
        <w:tab w:val="clear" w:pos="794"/>
        <w:tab w:val="clear" w:pos="1191"/>
        <w:tab w:val="clear" w:pos="1588"/>
        <w:tab w:val="clear" w:pos="1985"/>
      </w:tabs>
      <w:overflowPunct/>
      <w:spacing w:before="0" w:line="201" w:lineRule="atLeast"/>
      <w:textAlignment w:val="auto"/>
    </w:pPr>
    <w:rPr>
      <w:rFonts w:ascii="Calibri Light" w:eastAsia="SimSun" w:hAnsi="Calibri Light" w:cs="Calibri Light"/>
      <w:szCs w:val="24"/>
      <w:lang w:eastAsia="zh-CN"/>
    </w:rPr>
  </w:style>
  <w:style w:type="character" w:customStyle="1" w:styleId="eop">
    <w:name w:val="eop"/>
    <w:basedOn w:val="DefaultParagraphFont"/>
    <w:rsid w:val="00EA2FD3"/>
  </w:style>
  <w:style w:type="paragraph" w:customStyle="1" w:styleId="paragraph">
    <w:name w:val="paragraph"/>
    <w:basedOn w:val="Normal"/>
    <w:rsid w:val="00EA2FD3"/>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eastAsia="SimSun" w:hAnsi="Times New Roman"/>
      <w:szCs w:val="24"/>
      <w:lang w:eastAsia="en-GB"/>
    </w:rPr>
  </w:style>
  <w:style w:type="character" w:customStyle="1" w:styleId="ui-provider">
    <w:name w:val="ui-provider"/>
    <w:basedOn w:val="DefaultParagraphFont"/>
    <w:rsid w:val="00EA2FD3"/>
  </w:style>
  <w:style w:type="character" w:styleId="Mention">
    <w:name w:val="Mention"/>
    <w:basedOn w:val="DefaultParagraphFont"/>
    <w:uiPriority w:val="99"/>
    <w:unhideWhenUsed/>
    <w:rsid w:val="00EA2FD3"/>
    <w:rPr>
      <w:color w:val="2B579A"/>
      <w:shd w:val="clear" w:color="auto" w:fill="E1DFDD"/>
    </w:rPr>
  </w:style>
  <w:style w:type="paragraph" w:styleId="BalloonText">
    <w:name w:val="Balloon Text"/>
    <w:basedOn w:val="Normal"/>
    <w:link w:val="BalloonTextChar"/>
    <w:semiHidden/>
    <w:unhideWhenUsed/>
    <w:rsid w:val="00EA2FD3"/>
    <w:pPr>
      <w:spacing w:before="0"/>
      <w:jc w:val="both"/>
    </w:pPr>
    <w:rPr>
      <w:rFonts w:ascii="Segoe UI" w:eastAsia="SimSun" w:hAnsi="Segoe UI" w:cs="Segoe UI"/>
      <w:sz w:val="18"/>
      <w:szCs w:val="18"/>
    </w:rPr>
  </w:style>
  <w:style w:type="character" w:customStyle="1" w:styleId="BalloonTextChar">
    <w:name w:val="Balloon Text Char"/>
    <w:basedOn w:val="DefaultParagraphFont"/>
    <w:link w:val="BalloonText"/>
    <w:semiHidden/>
    <w:rsid w:val="00EA2FD3"/>
    <w:rPr>
      <w:rFonts w:ascii="Segoe UI" w:eastAsia="SimSun" w:hAnsi="Segoe UI" w:cs="Segoe UI"/>
      <w:sz w:val="18"/>
      <w:szCs w:val="18"/>
      <w:lang w:val="en-GB" w:eastAsia="en-US"/>
    </w:rPr>
  </w:style>
  <w:style w:type="character" w:customStyle="1" w:styleId="Title1Char">
    <w:name w:val="Title 1 Char"/>
    <w:link w:val="Title1"/>
    <w:qFormat/>
    <w:locked/>
    <w:rsid w:val="00EA2FD3"/>
    <w:rPr>
      <w:rFonts w:asciiTheme="minorHAnsi" w:hAnsiTheme="minorHAnsi" w:cs="Times New Roman Bold"/>
      <w:sz w:val="28"/>
      <w:lang w:val="en-GB" w:eastAsia="en-US"/>
    </w:rPr>
  </w:style>
  <w:style w:type="table" w:customStyle="1" w:styleId="TableGrid5">
    <w:name w:val="Table Grid5"/>
    <w:basedOn w:val="TableNormal"/>
    <w:next w:val="TableGrid"/>
    <w:uiPriority w:val="39"/>
    <w:rsid w:val="00EA2FD3"/>
    <w:rPr>
      <w:rFonts w:asciiTheme="minorHAnsi" w:eastAsiaTheme="minorHAnsi" w:hAnsiTheme="minorHAnsi" w:cstheme="minorBidi"/>
      <w:kern w:val="2"/>
      <w:sz w:val="22"/>
      <w:szCs w:val="22"/>
      <w:lang w:val="en-GB"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EA2FD3"/>
    <w:rPr>
      <w:rFonts w:asciiTheme="minorHAnsi" w:eastAsiaTheme="minorHAnsi" w:hAnsiTheme="minorHAnsi" w:cstheme="minorBidi"/>
      <w:kern w:val="2"/>
      <w:sz w:val="22"/>
      <w:szCs w:val="22"/>
      <w:lang w:val="en-GB"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EA2FD3"/>
    <w:rPr>
      <w:rFonts w:asciiTheme="minorHAnsi" w:eastAsiaTheme="minorHAnsi" w:hAnsiTheme="minorHAnsi" w:cstheme="minorBidi"/>
      <w:kern w:val="2"/>
      <w:sz w:val="22"/>
      <w:szCs w:val="22"/>
      <w:lang w:val="en-GB"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EA2FD3"/>
    <w:rPr>
      <w:rFonts w:asciiTheme="minorHAnsi" w:eastAsiaTheme="minorHAnsi" w:hAnsiTheme="minorHAnsi" w:cstheme="minorBidi"/>
      <w:kern w:val="2"/>
      <w:sz w:val="22"/>
      <w:szCs w:val="22"/>
      <w:lang w:val="en-GB"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EA2FD3"/>
    <w:rPr>
      <w:rFonts w:asciiTheme="minorHAnsi" w:eastAsiaTheme="minorHAnsi" w:hAnsiTheme="minorHAnsi" w:cstheme="minorBidi"/>
      <w:kern w:val="2"/>
      <w:sz w:val="22"/>
      <w:szCs w:val="22"/>
      <w:lang w:val="en-GB"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rsid w:val="00EA2FD3"/>
    <w:rPr>
      <w:rFonts w:asciiTheme="minorHAnsi" w:hAnsiTheme="minorHAnsi"/>
      <w:b/>
      <w:sz w:val="24"/>
      <w:lang w:val="en-GB" w:eastAsia="en-US"/>
    </w:rPr>
  </w:style>
  <w:style w:type="table" w:customStyle="1" w:styleId="TableGrid10">
    <w:name w:val="Table Grid10"/>
    <w:basedOn w:val="TableNormal"/>
    <w:next w:val="TableGrid"/>
    <w:uiPriority w:val="39"/>
    <w:rsid w:val="00EA2FD3"/>
    <w:rPr>
      <w:rFonts w:asciiTheme="minorHAnsi" w:eastAsiaTheme="minorHAnsi" w:hAnsiTheme="minorHAnsi" w:cstheme="minorBidi"/>
      <w:kern w:val="2"/>
      <w:sz w:val="22"/>
      <w:szCs w:val="22"/>
      <w:lang w:val="en-GB"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EA2FD3"/>
    <w:rPr>
      <w:rFonts w:asciiTheme="minorHAnsi" w:eastAsiaTheme="minorHAnsi" w:hAnsiTheme="minorHAnsi" w:cstheme="minorBidi"/>
      <w:kern w:val="2"/>
      <w:sz w:val="22"/>
      <w:szCs w:val="22"/>
      <w:lang w:val="en-GB"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EA2FD3"/>
    <w:rPr>
      <w:b/>
      <w:bCs/>
    </w:rPr>
  </w:style>
  <w:style w:type="character" w:customStyle="1" w:styleId="apple-converted-space">
    <w:name w:val="apple-converted-space"/>
    <w:basedOn w:val="DefaultParagraphFont"/>
    <w:rsid w:val="00EA2FD3"/>
  </w:style>
  <w:style w:type="character" w:customStyle="1" w:styleId="xfindhit">
    <w:name w:val="x_findhit"/>
    <w:basedOn w:val="DefaultParagraphFont"/>
    <w:rsid w:val="00EA2FD3"/>
  </w:style>
  <w:style w:type="character" w:customStyle="1" w:styleId="xeop">
    <w:name w:val="x_eop"/>
    <w:basedOn w:val="DefaultParagraphFont"/>
    <w:rsid w:val="00EA2F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www.govstack.global/" TargetMode="External"/><Relationship Id="rId117" Type="http://schemas.openxmlformats.org/officeDocument/2006/relationships/hyperlink" Target="https://academy.itu.int/training-courses/full-catalogue/green-and-digital-entrepreneurship" TargetMode="External"/><Relationship Id="rId21" Type="http://schemas.openxmlformats.org/officeDocument/2006/relationships/hyperlink" Target="https://www.itu.int/en/ITU-D/Regional-Presence/Africa/Pages/EVENTS/2023/workshop-sierra-leone.aspx" TargetMode="External"/><Relationship Id="rId42" Type="http://schemas.openxmlformats.org/officeDocument/2006/relationships/hyperlink" Target="https://www.itu.int/en/ITU-D/Regional-Presence/Americas/Pages/ACTVTS/DTK/DTK-AMS.aspx" TargetMode="External"/><Relationship Id="rId47" Type="http://schemas.openxmlformats.org/officeDocument/2006/relationships/hyperlink" Target="https://www.itu.int/en/ITU-D/Regulatory-Market/Pages/collaborative-regulation-country-reviews/default.aspx" TargetMode="External"/><Relationship Id="rId63" Type="http://schemas.openxmlformats.org/officeDocument/2006/relationships/hyperlink" Target="https://www.itu.int/itu-d/sites/projectumc/" TargetMode="External"/><Relationship Id="rId68" Type="http://schemas.openxmlformats.org/officeDocument/2006/relationships/hyperlink" Target="https://www.itu.int/net4/ITU-D/CDS/sg/blkmeetings.asp?lg=1&amp;sp=2022&amp;blk=28245" TargetMode="External"/><Relationship Id="rId84" Type="http://schemas.openxmlformats.org/officeDocument/2006/relationships/hyperlink" Target="https://thailand.un.org/en/166885-united-nations-sustainable-development-cooperation-framework-unsdcf-2022%E2%80%932026" TargetMode="External"/><Relationship Id="rId89" Type="http://schemas.openxmlformats.org/officeDocument/2006/relationships/hyperlink" Target="https://www.itu.int/fr/ITU-D/Conferences/WTDC/WTDC21/Pages/default.aspx" TargetMode="External"/><Relationship Id="rId112" Type="http://schemas.openxmlformats.org/officeDocument/2006/relationships/hyperlink" Target="https://academy.itu.int/training-courses/full-catalogue/introduction-e-waste-challenge-0" TargetMode="External"/><Relationship Id="rId16" Type="http://schemas.openxmlformats.org/officeDocument/2006/relationships/hyperlink" Target="https://www.itu.int/en/ITU-D/Emergency-Telecommunications/Pages/AI-COP-28.aspx" TargetMode="External"/><Relationship Id="rId107" Type="http://schemas.openxmlformats.org/officeDocument/2006/relationships/hyperlink" Target="https://www.itu.int/hub/publication/d-hdb-guidelines-04-2023/" TargetMode="External"/><Relationship Id="rId11" Type="http://schemas.openxmlformats.org/officeDocument/2006/relationships/hyperlink" Target="https://www.itu.int/fr/publications/ITU-D/Pages/publications.aspx?parent=D-TDC-WTDC-2022&amp;media=electronic" TargetMode="External"/><Relationship Id="rId32" Type="http://schemas.openxmlformats.org/officeDocument/2006/relationships/hyperlink" Target="https://www.itu.int/itu-d/sites/digital-impact-unlocked/building-digital-skills-to-accelerate-economic-prosperity/,%20https:/www.fao.org/in-action/eu-streit-png/news/detail/sepik-agripreneurs-break-digital-barriers-expanding-market-outreach/en" TargetMode="External"/><Relationship Id="rId37" Type="http://schemas.openxmlformats.org/officeDocument/2006/relationships/hyperlink" Target="https://academy.itu.int/" TargetMode="External"/><Relationship Id="rId53" Type="http://schemas.openxmlformats.org/officeDocument/2006/relationships/hyperlink" Target="https://datahub.itu.int/dashboards/umc/?e=CHE" TargetMode="External"/><Relationship Id="rId58" Type="http://schemas.openxmlformats.org/officeDocument/2006/relationships/hyperlink" Target="https://www.itu.int/itu-d/meetings/statistics/egh2023/" TargetMode="External"/><Relationship Id="rId74" Type="http://schemas.openxmlformats.org/officeDocument/2006/relationships/hyperlink" Target="https://www.itu.int/net4/ITU-D/CDS/sg/blkmeetings.asp?lg=1&amp;sp=2022&amp;blk=28246" TargetMode="External"/><Relationship Id="rId79" Type="http://schemas.openxmlformats.org/officeDocument/2006/relationships/hyperlink" Target="https://www.itu.int/fr/ITU-D/Pages/regional-development-forums.aspx" TargetMode="External"/><Relationship Id="rId102" Type="http://schemas.openxmlformats.org/officeDocument/2006/relationships/hyperlink" Target="https://www.itu.int/en/ITU-D/Regional-Presence/Africa/Pages/EVENTS/2023/uganda-e-waste-workshop.aspx" TargetMode="External"/><Relationship Id="rId5" Type="http://schemas.openxmlformats.org/officeDocument/2006/relationships/styles" Target="styles.xml"/><Relationship Id="rId61" Type="http://schemas.openxmlformats.org/officeDocument/2006/relationships/hyperlink" Target="https://academy.itu.int/training-courses/full-catalogue/mobile-phone-data" TargetMode="External"/><Relationship Id="rId82" Type="http://schemas.openxmlformats.org/officeDocument/2006/relationships/hyperlink" Target="https://www.internetsociety.org/regions/middle-east/" TargetMode="External"/><Relationship Id="rId90" Type="http://schemas.openxmlformats.org/officeDocument/2006/relationships/hyperlink" Target="https://www.itu.int/en/ITU-D/Regional-Presence/CIS/Pages/WTDC22RIs.aspx" TargetMode="External"/><Relationship Id="rId95" Type="http://schemas.openxmlformats.org/officeDocument/2006/relationships/hyperlink" Target="https://www.itu.int/fr/ITU-D/Regional-Presence/CIS/Pages/Events/2024/RDF.aspx" TargetMode="External"/><Relationship Id="rId19" Type="http://schemas.openxmlformats.org/officeDocument/2006/relationships/hyperlink" Target="https://www.itu.int/en/ITU-D/Regional-Presence/CIS/Pages/Events/2023/Connectivity%20Week.aspx" TargetMode="External"/><Relationship Id="rId14" Type="http://schemas.openxmlformats.org/officeDocument/2006/relationships/header" Target="header1.xml"/><Relationship Id="rId22" Type="http://schemas.openxmlformats.org/officeDocument/2006/relationships/hyperlink" Target="https://academy.itu.int/training-courses/full-catalogue/introduction-broadband-mapping" TargetMode="External"/><Relationship Id="rId27" Type="http://schemas.openxmlformats.org/officeDocument/2006/relationships/hyperlink" Target="https://govstack.gitbook.io/specification/" TargetMode="External"/><Relationship Id="rId30" Type="http://schemas.openxmlformats.org/officeDocument/2006/relationships/hyperlink" Target="https://www.itu.int/en/ITU-D/Environment/Pages/Priority-Areas/Green-GovStack.aspx" TargetMode="External"/><Relationship Id="rId35" Type="http://schemas.openxmlformats.org/officeDocument/2006/relationships/hyperlink" Target="https://academy.itu.int/" TargetMode="External"/><Relationship Id="rId43" Type="http://schemas.openxmlformats.org/officeDocument/2006/relationships/hyperlink" Target="https://www.itu.int/en/ITU-D/Regulatory-Market/Pages/collaborative-regulation-country-reviews/default.aspx" TargetMode="External"/><Relationship Id="rId48" Type="http://schemas.openxmlformats.org/officeDocument/2006/relationships/hyperlink" Target="https://www.itu.int/itu-d/sites/statistics/" TargetMode="External"/><Relationship Id="rId56" Type="http://schemas.openxmlformats.org/officeDocument/2006/relationships/hyperlink" Target="https://datahub.itu.int/" TargetMode="External"/><Relationship Id="rId64" Type="http://schemas.openxmlformats.org/officeDocument/2006/relationships/hyperlink" Target="https://www.worldbank.org/en/programs/global-data-facility/brief/international-telecommunication-union-and-the-world-bank-s-development-data-group-announce-collaboration-on-mobile-phone" TargetMode="External"/><Relationship Id="rId69" Type="http://schemas.openxmlformats.org/officeDocument/2006/relationships/hyperlink" Target="https://www.itu.int/itu-d/sites/ra-network/" TargetMode="External"/><Relationship Id="rId77" Type="http://schemas.openxmlformats.org/officeDocument/2006/relationships/hyperlink" Target="https://youtu.be/-O7K7DbZaHk" TargetMode="External"/><Relationship Id="rId100" Type="http://schemas.openxmlformats.org/officeDocument/2006/relationships/hyperlink" Target="https://dr1.com/news/2023/07/27/executive-branch-issues-decree-to-regulate-electrical-waste-management/" TargetMode="External"/><Relationship Id="rId105" Type="http://schemas.openxmlformats.org/officeDocument/2006/relationships/hyperlink" Target="https://www.itu.int/en/ITU-D/Environment/Pages/Spotlight/WEEE-Policy-in-Botswana.aspx" TargetMode="External"/><Relationship Id="rId113" Type="http://schemas.openxmlformats.org/officeDocument/2006/relationships/hyperlink" Target="https://www.itu.int/en/ITU-D/Regional-Presence/AsiaPacific/Pages/Events/2023/South-Asia-Information-Session-Green-Digital-Transformation-and-a-Circular-Economy-for-Electronics.aspx" TargetMode="External"/><Relationship Id="rId118" Type="http://schemas.openxmlformats.org/officeDocument/2006/relationships/header" Target="header2.xml"/><Relationship Id="rId8" Type="http://schemas.openxmlformats.org/officeDocument/2006/relationships/footnotes" Target="footnotes.xml"/><Relationship Id="rId51" Type="http://schemas.openxmlformats.org/officeDocument/2006/relationships/hyperlink" Target="https://www.itu.int/en/ITU-D/Statistics/Pages/ICTprices/default.aspx" TargetMode="External"/><Relationship Id="rId72" Type="http://schemas.openxmlformats.org/officeDocument/2006/relationships/hyperlink" Target="https://www.itu.int/hub/publication/d-stg-sg01-06-3-2023/" TargetMode="External"/><Relationship Id="rId80" Type="http://schemas.openxmlformats.org/officeDocument/2006/relationships/hyperlink" Target="https://www.itu.int/fr/ITU-D/Study-Groups/2022-2025/Pages/reference/Questions-under-study.aspx" TargetMode="External"/><Relationship Id="rId85" Type="http://schemas.openxmlformats.org/officeDocument/2006/relationships/hyperlink" Target="https://wanpasifik.org/lagatoi-declaration/" TargetMode="External"/><Relationship Id="rId93" Type="http://schemas.openxmlformats.org/officeDocument/2006/relationships/hyperlink" Target="https://www.itu.int/en/ITU-D/Regional-Presence/Africa/Documents/2023/RDF/meeting-report/RDF-AFR-2023-Report.pdf" TargetMode="External"/><Relationship Id="rId98" Type="http://schemas.openxmlformats.org/officeDocument/2006/relationships/hyperlink" Target="https://www.itu.int/en/ITU-D/Regional-Presence/Europe/Documents/Events/2023/0522-23%20-%20RDF/reports/EUR-RDF-2023-Outcome-report.pdf" TargetMode="External"/><Relationship Id="rId121"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image" Target="media/image2.emf"/><Relationship Id="rId17" Type="http://schemas.openxmlformats.org/officeDocument/2006/relationships/hyperlink" Target="https://www.itu.int/en/ITU-D/Emergency-Telecommunications/Pages/Common-Alerting-Protocol-and-Call-to-Action.aspx" TargetMode="External"/><Relationship Id="rId25" Type="http://schemas.openxmlformats.org/officeDocument/2006/relationships/hyperlink" Target="https://www.itu.int/itu-d/sites/innovation-alliance/fr/events/news/" TargetMode="External"/><Relationship Id="rId33" Type="http://schemas.openxmlformats.org/officeDocument/2006/relationships/hyperlink" Target="https://www.itu.int/en/ITU-D/Regional-Presence/CIS/Pages/EVENTS/2024/GovStack.aspx" TargetMode="External"/><Relationship Id="rId38" Type="http://schemas.openxmlformats.org/officeDocument/2006/relationships/hyperlink" Target="https://academy.itu.int/itu-d/projects-activities/itu-academy-training-centres/events/atc-annual-meeting-2023" TargetMode="External"/><Relationship Id="rId46" Type="http://schemas.openxmlformats.org/officeDocument/2006/relationships/hyperlink" Target="https://app.gen5.digital/benchmark/charts" TargetMode="External"/><Relationship Id="rId59" Type="http://schemas.openxmlformats.org/officeDocument/2006/relationships/hyperlink" Target="https://academy.itu.int/training-courses/full-catalogue/measuring-digital-development-telecommunicationict-indicators-2" TargetMode="External"/><Relationship Id="rId67" Type="http://schemas.openxmlformats.org/officeDocument/2006/relationships/hyperlink" Target="https://www.itu.int/fr/ITU-D/Projects/" TargetMode="External"/><Relationship Id="rId103" Type="http://schemas.openxmlformats.org/officeDocument/2006/relationships/hyperlink" Target="https://www.itu.int/en/ITU-D/Environment/Pages/Spotlight/WEEE-Policy-Support-Malawi.aspx" TargetMode="External"/><Relationship Id="rId108" Type="http://schemas.openxmlformats.org/officeDocument/2006/relationships/hyperlink" Target="https://academy.itu.int/training-courses/full-catalogue/circular-and-sustainable-public-procurement-icts-0" TargetMode="External"/><Relationship Id="rId116" Type="http://schemas.openxmlformats.org/officeDocument/2006/relationships/hyperlink" Target="https://www.itu.int/en/ITU-D/Environment/Pages/Toolbox/Green-data-center-guide.aspx" TargetMode="External"/><Relationship Id="rId20" Type="http://schemas.openxmlformats.org/officeDocument/2006/relationships/hyperlink" Target="https://www.itu.int/en/ITU-D/Regional-Presence/CIS/Pages/News/14062023.aspx" TargetMode="External"/><Relationship Id="rId41" Type="http://schemas.openxmlformats.org/officeDocument/2006/relationships/hyperlink" Target="https://academy.itu.int/itu-d/projects-activities/gcbi/" TargetMode="External"/><Relationship Id="rId54" Type="http://schemas.openxmlformats.org/officeDocument/2006/relationships/hyperlink" Target="https://www.itu.int/itu-d/reports/statistics/IDI2023/" TargetMode="External"/><Relationship Id="rId62" Type="http://schemas.openxmlformats.org/officeDocument/2006/relationships/hyperlink" Target="https://www.itu.int/itu-d/meetings/wtis23/" TargetMode="External"/><Relationship Id="rId70" Type="http://schemas.openxmlformats.org/officeDocument/2006/relationships/hyperlink" Target="https://www.itu.int/en/ITU-D/Study-Groups/2022-2025/Pages/reference/Management.aspx" TargetMode="External"/><Relationship Id="rId75" Type="http://schemas.openxmlformats.org/officeDocument/2006/relationships/hyperlink" Target="https://www.itu.int/en/ITU-D/Study-Groups/2022-2025/Pages/reference/Management.aspx" TargetMode="External"/><Relationship Id="rId83" Type="http://schemas.openxmlformats.org/officeDocument/2006/relationships/hyperlink" Target="https://pacific.un.org/sites/default/files/2023-06/9669_UNSDF_pacific_A4_01.05.23_WEB_version_LR_3.pdf" TargetMode="External"/><Relationship Id="rId88" Type="http://schemas.openxmlformats.org/officeDocument/2006/relationships/hyperlink" Target="https://www.itu.int/fr/ITU-D/Regional-Presence/CIS/Pages/EVENTS/2024/RDF.aspx" TargetMode="External"/><Relationship Id="rId91" Type="http://schemas.openxmlformats.org/officeDocument/2006/relationships/hyperlink" Target="https://www.itu.int/itu-d/sites/partner2connect/fr/" TargetMode="External"/><Relationship Id="rId96" Type="http://schemas.openxmlformats.org/officeDocument/2006/relationships/hyperlink" Target="https://www.itu.int/en/ITU-D/Regional-Presence/ArabStates/Documents/events/2023/RDF-23/ARB-RDF-2023-Outcome-report%20-%20vFinal.pdf" TargetMode="External"/><Relationship Id="rId111" Type="http://schemas.openxmlformats.org/officeDocument/2006/relationships/hyperlink" Target="https://academy.itu.int/training-courses/full-catalogue/addressing-e-waste-challenge-through-data-and-statistics-0" TargetMode="Externa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hyperlink" Target="https://www.itu.int/hub/publication/d-pref-ef-ict_struct_kit-2023/" TargetMode="External"/><Relationship Id="rId28" Type="http://schemas.openxmlformats.org/officeDocument/2006/relationships/hyperlink" Target="https://govstack.gitbook.io/sandbox/" TargetMode="External"/><Relationship Id="rId36" Type="http://schemas.openxmlformats.org/officeDocument/2006/relationships/hyperlink" Target="https://academy.itu.int/itu-d/projects-activities/itu-academy-training-centres" TargetMode="External"/><Relationship Id="rId49" Type="http://schemas.openxmlformats.org/officeDocument/2006/relationships/hyperlink" Target="https://www.itu.int/itu-d/reports/statistics/facts-figures-2023/" TargetMode="External"/><Relationship Id="rId57" Type="http://schemas.openxmlformats.org/officeDocument/2006/relationships/hyperlink" Target="https://www.itu.int/itu-d/meetings/statistics/egti2023/" TargetMode="External"/><Relationship Id="rId106" Type="http://schemas.openxmlformats.org/officeDocument/2006/relationships/hyperlink" Target="https://www.itu.int/en/ITU-D/Environment/Pages/Spotlight/WEEE-Policy-Niger.aspx" TargetMode="External"/><Relationship Id="rId114" Type="http://schemas.openxmlformats.org/officeDocument/2006/relationships/hyperlink" Target="https://www.itu.int/itu-d/meetings/gsr-23/programme-overview/session-details?sessionid=16" TargetMode="External"/><Relationship Id="rId119" Type="http://schemas.openxmlformats.org/officeDocument/2006/relationships/header" Target="header3.xml"/><Relationship Id="rId10" Type="http://schemas.openxmlformats.org/officeDocument/2006/relationships/image" Target="media/image1.jpeg"/><Relationship Id="rId31" Type="http://schemas.openxmlformats.org/officeDocument/2006/relationships/hyperlink" Target="https://www.itu.int/en/ITU-D/Environment/Pages/Toolbox/Green-data-center-guide.aspx" TargetMode="External"/><Relationship Id="rId44" Type="http://schemas.openxmlformats.org/officeDocument/2006/relationships/hyperlink" Target="https://www.itu.int/hub/publication/d-pref-asean-01-2023/" TargetMode="External"/><Relationship Id="rId52" Type="http://schemas.openxmlformats.org/officeDocument/2006/relationships/hyperlink" Target="https://www.itu.int/en/ITU-D/Statistics/Dashboards/Pages/IPB.aspx" TargetMode="External"/><Relationship Id="rId60" Type="http://schemas.openxmlformats.org/officeDocument/2006/relationships/hyperlink" Target="https://academy.itu.int/training-courses/full-catalogue/measuring-digital-development-ict-access-and-use-households-and-individuals-2" TargetMode="External"/><Relationship Id="rId65" Type="http://schemas.openxmlformats.org/officeDocument/2006/relationships/hyperlink" Target="https://www.itu.int/en/ITU-D/Cybersecurity/Pages/global-cybersecurity-index.aspx" TargetMode="External"/><Relationship Id="rId73" Type="http://schemas.openxmlformats.org/officeDocument/2006/relationships/hyperlink" Target="https://youtu.be/wx0ep9bT-Ys" TargetMode="External"/><Relationship Id="rId78" Type="http://schemas.openxmlformats.org/officeDocument/2006/relationships/hyperlink" Target="https://www.itu.int/fr/publications/ITU-D/Pages/publications.aspx?parent=D-TDC-WTDC-2022&amp;media=electronic" TargetMode="External"/><Relationship Id="rId81" Type="http://schemas.openxmlformats.org/officeDocument/2006/relationships/hyperlink" Target="http://www.aicto.org/" TargetMode="External"/><Relationship Id="rId86" Type="http://schemas.openxmlformats.org/officeDocument/2006/relationships/hyperlink" Target="https://land-locked.org/" TargetMode="External"/><Relationship Id="rId94" Type="http://schemas.openxmlformats.org/officeDocument/2006/relationships/hyperlink" Target="https://www.itu.int/en/ITU-D/Regional-Presence/Americas/Documents/EVENTS/2023/RDF-2023/Outcome-EN.pdf" TargetMode="External"/><Relationship Id="rId99" Type="http://schemas.openxmlformats.org/officeDocument/2006/relationships/hyperlink" Target="https://www.itu.int/en/ITU-D/Regional-Presence/Africa/Pages/EVENTS/2023/Rwanda-EPR-Blueprint-for-Electronics-Event.aspx" TargetMode="External"/><Relationship Id="rId101" Type="http://schemas.openxmlformats.org/officeDocument/2006/relationships/hyperlink" Target="https://www.itu.int/en/ITU-D/Regional-Presence/Africa/Pages/Government-Consultation-Workshop.aspx" TargetMode="External"/><Relationship Id="rId122"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3" Type="http://schemas.openxmlformats.org/officeDocument/2006/relationships/package" Target="embeddings/Microsoft_PowerPoint_Slide.sldx"/><Relationship Id="rId18" Type="http://schemas.openxmlformats.org/officeDocument/2006/relationships/hyperlink" Target="https://events.pita.org.fj/PITAStrategyForum2023" TargetMode="External"/><Relationship Id="rId39" Type="http://schemas.openxmlformats.org/officeDocument/2006/relationships/hyperlink" Target="https://academy.itu.int/itu-d/projects-activities/digital-transformation-centres-initiative" TargetMode="External"/><Relationship Id="rId109" Type="http://schemas.openxmlformats.org/officeDocument/2006/relationships/hyperlink" Target="https://www.itu.int/pub/D-HDB-E%20WASTE-2023-WB/fr" TargetMode="External"/><Relationship Id="rId34" Type="http://schemas.openxmlformats.org/officeDocument/2006/relationships/hyperlink" Target="https://www.itu.int/en/ITU-D/Regional-Presence/Europe/Documents/Publications/2024/ITU%20FAO%20compendium/final_Meeting%20the%20EU%27s%20digital%20agriculture%20requirements_An%20ITU-FAO%20compendium%20to%20pre-accession%20countries%20and%20territories_2024031.pdf" TargetMode="External"/><Relationship Id="rId50" Type="http://schemas.openxmlformats.org/officeDocument/2006/relationships/hyperlink" Target="https://www.itu.int/itu-d/reports/statistics/facts-figures-for-ldc/" TargetMode="External"/><Relationship Id="rId55" Type="http://schemas.openxmlformats.org/officeDocument/2006/relationships/hyperlink" Target="https://www.itu.int/en/ITU-D/Statistics/Pages/IDI/default.aspx" TargetMode="External"/><Relationship Id="rId76" Type="http://schemas.openxmlformats.org/officeDocument/2006/relationships/hyperlink" Target="https://www.itu.int/hub/publication/d-stg-sg02-03-2-2023/" TargetMode="External"/><Relationship Id="rId97" Type="http://schemas.openxmlformats.org/officeDocument/2006/relationships/hyperlink" Target="https://www.itu.int/en/ITU-D/Regional-Presence/AsiaPacific/Documents/Events/2023/RDF-2023/report/RDF-ASP-2023-Report.pdf" TargetMode="External"/><Relationship Id="rId104" Type="http://schemas.openxmlformats.org/officeDocument/2006/relationships/hyperlink" Target="https://www.itu.int/en/ITU-D/Environment/Pages/Spotlight/WEEE-Policy-in-Burundi.aspx" TargetMode="External"/><Relationship Id="rId120" Type="http://schemas.openxmlformats.org/officeDocument/2006/relationships/footer" Target="footer2.xml"/><Relationship Id="rId7" Type="http://schemas.openxmlformats.org/officeDocument/2006/relationships/webSettings" Target="webSettings.xml"/><Relationship Id="rId71" Type="http://schemas.openxmlformats.org/officeDocument/2006/relationships/hyperlink" Target="https://www.itu.int/net4/ITU-D/CDS/sg/blkmeetings.asp?lg=1&amp;stg=&amp;sp=2022&amp;blk=28776" TargetMode="External"/><Relationship Id="rId92" Type="http://schemas.openxmlformats.org/officeDocument/2006/relationships/hyperlink" Target="https://regionalforum.unece.org/events/regional-forum-2024" TargetMode="External"/><Relationship Id="rId2" Type="http://schemas.openxmlformats.org/officeDocument/2006/relationships/customXml" Target="../customXml/item2.xml"/><Relationship Id="rId29" Type="http://schemas.openxmlformats.org/officeDocument/2006/relationships/hyperlink" Target="https://govstack.gitbook.io/implementation-playbook/" TargetMode="External"/><Relationship Id="rId24" Type="http://schemas.openxmlformats.org/officeDocument/2006/relationships/hyperlink" Target="https://www.itu.int/itu-d/sites/innovation-alliance/fr/" TargetMode="External"/><Relationship Id="rId40" Type="http://schemas.openxmlformats.org/officeDocument/2006/relationships/hyperlink" Target="https://academy.itu.int/index.php/main-activities/ilo-itu-digital-skills-campaign" TargetMode="External"/><Relationship Id="rId45" Type="http://schemas.openxmlformats.org/officeDocument/2006/relationships/hyperlink" Target="https://app.gen5.digital/benchmark/metrics" TargetMode="External"/><Relationship Id="rId66" Type="http://schemas.openxmlformats.org/officeDocument/2006/relationships/hyperlink" Target="https://www.itu.int/en/ITU-D/Cybersecurity/Pages/Cyber4Good/Cyber4Good.aspx" TargetMode="External"/><Relationship Id="rId87" Type="http://schemas.openxmlformats.org/officeDocument/2006/relationships/hyperlink" Target="https://www.itu.int/en/ITU-D/Regional-Presence/CIS/Pages/EVENTS/2024/GovStack.aspx" TargetMode="External"/><Relationship Id="rId110" Type="http://schemas.openxmlformats.org/officeDocument/2006/relationships/hyperlink" Target="https://ewastemonitor.info/the-national-e-waste-monitor-kazakhstan/" TargetMode="External"/><Relationship Id="rId115" Type="http://schemas.openxmlformats.org/officeDocument/2006/relationships/hyperlink" Target="https://africarisevent.eu/transform"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http://www.itu.int/en/ITU-D/Conferences/TDAG/Pages/default.aspx" TargetMode="External"/><Relationship Id="rId2" Type="http://schemas.openxmlformats.org/officeDocument/2006/relationships/hyperlink" Target="https://www.itu.int/fr/ITU-D/Conferences/TDAG/Pages/default.aspx" TargetMode="External"/><Relationship Id="rId1" Type="http://schemas.openxmlformats.org/officeDocument/2006/relationships/hyperlink" Target="mailto:bruno.ramos@itu.int"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itu.int/en/ITU-D/Conferences/TDAG/Pages/defaul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E6D76106C0699043BAEC233347507970" ma:contentTypeVersion="17" ma:contentTypeDescription="Create a new document." ma:contentTypeScope="" ma:versionID="98dc16c74f77d92d1bb6cb4b0c3ae757">
  <xsd:schema xmlns:xsd="http://www.w3.org/2001/XMLSchema" xmlns:xs="http://www.w3.org/2001/XMLSchema" xmlns:p="http://schemas.microsoft.com/office/2006/metadata/properties" xmlns:ns2="28b57394-764b-4c95-9edc-f65ae3c1af13" xmlns:ns3="365cf670-b44e-4dbb-b1e7-5ca0e9f395b1" targetNamespace="http://schemas.microsoft.com/office/2006/metadata/properties" ma:root="true" ma:fieldsID="adfa0e3f5e5a423483900749a5d0d07a" ns2:_="" ns3:_="">
    <xsd:import namespace="28b57394-764b-4c95-9edc-f65ae3c1af13"/>
    <xsd:import namespace="365cf670-b44e-4dbb-b1e7-5ca0e9f395b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b57394-764b-4c95-9edc-f65ae3c1af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65cf670-b44e-4dbb-b1e7-5ca0e9f395b1"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87776fd9-5068-4ffa-87a4-e6b077caf2fb}" ma:internalName="TaxCatchAll" ma:showField="CatchAllData" ma:web="365cf670-b44e-4dbb-b1e7-5ca0e9f395b1">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68DF19B-9980-4520-8B5D-C665C698A8EB}">
  <ds:schemaRefs>
    <ds:schemaRef ds:uri="http://schemas.microsoft.com/sharepoint/v3/contenttype/forms"/>
  </ds:schemaRefs>
</ds:datastoreItem>
</file>

<file path=customXml/itemProps2.xml><?xml version="1.0" encoding="utf-8"?>
<ds:datastoreItem xmlns:ds="http://schemas.openxmlformats.org/officeDocument/2006/customXml" ds:itemID="{F2F1D565-43B9-4C7F-B66B-71FFC04F5E78}">
  <ds:schemaRefs>
    <ds:schemaRef ds:uri="http://schemas.openxmlformats.org/officeDocument/2006/bibliography"/>
  </ds:schemaRefs>
</ds:datastoreItem>
</file>

<file path=customXml/itemProps3.xml><?xml version="1.0" encoding="utf-8"?>
<ds:datastoreItem xmlns:ds="http://schemas.openxmlformats.org/officeDocument/2006/customXml" ds:itemID="{E804F0B6-679C-49A7-91CC-A24737125B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b57394-764b-4c95-9edc-f65ae3c1af13"/>
    <ds:schemaRef ds:uri="365cf670-b44e-4dbb-b1e7-5ca0e9f395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662</TotalTime>
  <Pages>70</Pages>
  <Words>35168</Words>
  <Characters>209012</Characters>
  <Application>Microsoft Office Word</Application>
  <DocSecurity>0</DocSecurity>
  <Lines>1741</Lines>
  <Paragraphs>487</Paragraphs>
  <ScaleCrop>false</ScaleCrop>
  <HeadingPairs>
    <vt:vector size="2" baseType="variant">
      <vt:variant>
        <vt:lpstr>Title</vt:lpstr>
      </vt:variant>
      <vt:variant>
        <vt:i4>1</vt:i4>
      </vt:variant>
    </vt:vector>
  </HeadingPairs>
  <TitlesOfParts>
    <vt:vector size="1" baseType="lpstr">
      <vt:lpstr>TDAG19</vt:lpstr>
    </vt:vector>
  </TitlesOfParts>
  <Manager>General Secretariat - Pool</Manager>
  <Company>International Telecommunication Union (ITU)</Company>
  <LinksUpToDate>false</LinksUpToDate>
  <CharactersWithSpaces>243693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TDAG19</dc:title>
  <dc:creator>BDT-nd</dc:creator>
  <cp:lastModifiedBy>French</cp:lastModifiedBy>
  <cp:revision>56</cp:revision>
  <cp:lastPrinted>2014-11-04T09:22:00Z</cp:lastPrinted>
  <dcterms:created xsi:type="dcterms:W3CDTF">2024-05-14T06:37:00Z</dcterms:created>
  <dcterms:modified xsi:type="dcterms:W3CDTF">2024-05-15T10:59:00Z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1/001-E</vt:lpwstr>
  </property>
  <property fmtid="{D5CDD505-2E9C-101B-9397-08002B2CF9AE}" pid="3" name="Docdate">
    <vt:lpwstr>[Date]</vt:lpwstr>
  </property>
  <property fmtid="{D5CDD505-2E9C-101B-9397-08002B2CF9AE}" pid="4" name="Docorlang">
    <vt:lpwstr>For action</vt:lpwstr>
  </property>
  <property fmtid="{D5CDD505-2E9C-101B-9397-08002B2CF9AE}" pid="5" name="Docdest">
    <vt:lpwstr/>
  </property>
  <property fmtid="{D5CDD505-2E9C-101B-9397-08002B2CF9AE}" pid="6" name="Docauthor">
    <vt:lpwstr>[Insert here]</vt:lpwstr>
  </property>
  <property fmtid="{D5CDD505-2E9C-101B-9397-08002B2CF9AE}" pid="7" name="Docbluepink">
    <vt:lpwstr/>
  </property>
</Properties>
</file>