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4A2CC5" w14:paraId="3F0E9EC4" w14:textId="77777777" w:rsidTr="00952667">
        <w:trPr>
          <w:cantSplit/>
          <w:trHeight w:val="1134"/>
        </w:trPr>
        <w:tc>
          <w:tcPr>
            <w:tcW w:w="6379" w:type="dxa"/>
          </w:tcPr>
          <w:p w14:paraId="68FE8375" w14:textId="6390CADE" w:rsidR="00307769" w:rsidRPr="004A2CC5" w:rsidRDefault="00B42366" w:rsidP="00307769">
            <w:pPr>
              <w:tabs>
                <w:tab w:val="clear" w:pos="1191"/>
                <w:tab w:val="clear" w:pos="1588"/>
                <w:tab w:val="clear" w:pos="1985"/>
              </w:tabs>
              <w:ind w:left="34"/>
              <w:rPr>
                <w:b/>
                <w:bCs/>
                <w:sz w:val="32"/>
                <w:szCs w:val="32"/>
                <w:lang w:val="es-ES_tradnl"/>
              </w:rPr>
            </w:pPr>
            <w:r w:rsidRPr="004A2CC5">
              <w:rPr>
                <w:b/>
                <w:bCs/>
                <w:sz w:val="32"/>
                <w:szCs w:val="32"/>
                <w:lang w:val="es-ES_tradnl"/>
              </w:rPr>
              <w:t>Grupo Asesor de Desarrollo de las Telecomunicaciones</w:t>
            </w:r>
            <w:r w:rsidR="00307769" w:rsidRPr="004A2CC5">
              <w:rPr>
                <w:b/>
                <w:bCs/>
                <w:sz w:val="32"/>
                <w:szCs w:val="32"/>
                <w:lang w:val="es-ES_tradnl"/>
              </w:rPr>
              <w:t xml:space="preserve"> (</w:t>
            </w:r>
            <w:r w:rsidRPr="004A2CC5">
              <w:rPr>
                <w:b/>
                <w:bCs/>
                <w:sz w:val="32"/>
                <w:szCs w:val="32"/>
                <w:lang w:val="es-ES_tradnl"/>
              </w:rPr>
              <w:t>GADT</w:t>
            </w:r>
            <w:r w:rsidR="00307769" w:rsidRPr="004A2CC5">
              <w:rPr>
                <w:b/>
                <w:bCs/>
                <w:sz w:val="32"/>
                <w:szCs w:val="32"/>
                <w:lang w:val="es-ES_tradnl"/>
              </w:rPr>
              <w:t>)</w:t>
            </w:r>
          </w:p>
          <w:p w14:paraId="5F5F590A" w14:textId="09229892" w:rsidR="00307769" w:rsidRPr="004A2CC5" w:rsidRDefault="00307769" w:rsidP="00307769">
            <w:pPr>
              <w:tabs>
                <w:tab w:val="clear" w:pos="1191"/>
                <w:tab w:val="clear" w:pos="1588"/>
                <w:tab w:val="clear" w:pos="1985"/>
              </w:tabs>
              <w:spacing w:after="120"/>
              <w:ind w:left="34"/>
              <w:rPr>
                <w:rFonts w:ascii="Verdana" w:hAnsi="Verdana"/>
                <w:sz w:val="28"/>
                <w:szCs w:val="28"/>
                <w:lang w:val="es-ES_tradnl"/>
              </w:rPr>
            </w:pPr>
            <w:r w:rsidRPr="004A2CC5">
              <w:rPr>
                <w:b/>
                <w:bCs/>
                <w:sz w:val="26"/>
                <w:szCs w:val="26"/>
                <w:lang w:val="es-ES_tradnl"/>
              </w:rPr>
              <w:t>3</w:t>
            </w:r>
            <w:r w:rsidR="00341DA6" w:rsidRPr="004A2CC5">
              <w:rPr>
                <w:b/>
                <w:bCs/>
                <w:sz w:val="26"/>
                <w:szCs w:val="26"/>
                <w:lang w:val="es-ES_tradnl"/>
              </w:rPr>
              <w:t>1</w:t>
            </w:r>
            <w:r w:rsidR="00B42366" w:rsidRPr="004A2CC5">
              <w:rPr>
                <w:b/>
                <w:bCs/>
                <w:sz w:val="26"/>
                <w:szCs w:val="26"/>
                <w:lang w:val="es-ES_tradnl"/>
              </w:rPr>
              <w:t xml:space="preserve">ª reunión, Ginebra, Suiza, </w:t>
            </w:r>
            <w:r w:rsidR="00341DA6" w:rsidRPr="004A2CC5">
              <w:rPr>
                <w:b/>
                <w:bCs/>
                <w:sz w:val="26"/>
                <w:szCs w:val="26"/>
                <w:lang w:val="es-ES_tradnl"/>
              </w:rPr>
              <w:t>20</w:t>
            </w:r>
            <w:r w:rsidRPr="004A2CC5">
              <w:rPr>
                <w:b/>
                <w:bCs/>
                <w:sz w:val="26"/>
                <w:szCs w:val="26"/>
                <w:lang w:val="es-ES_tradnl"/>
              </w:rPr>
              <w:t>-2</w:t>
            </w:r>
            <w:r w:rsidR="00B9710C" w:rsidRPr="004A2CC5">
              <w:rPr>
                <w:b/>
                <w:bCs/>
                <w:sz w:val="26"/>
                <w:szCs w:val="26"/>
                <w:lang w:val="es-ES_tradnl"/>
              </w:rPr>
              <w:t>3</w:t>
            </w:r>
            <w:r w:rsidRPr="004A2CC5">
              <w:rPr>
                <w:b/>
                <w:bCs/>
                <w:sz w:val="26"/>
                <w:szCs w:val="26"/>
                <w:lang w:val="es-ES_tradnl"/>
              </w:rPr>
              <w:t xml:space="preserve"> </w:t>
            </w:r>
            <w:r w:rsidR="00B42366" w:rsidRPr="004A2CC5">
              <w:rPr>
                <w:b/>
                <w:bCs/>
                <w:sz w:val="26"/>
                <w:szCs w:val="26"/>
                <w:lang w:val="es-ES_tradnl"/>
              </w:rPr>
              <w:t xml:space="preserve">de </w:t>
            </w:r>
            <w:r w:rsidR="00341DA6" w:rsidRPr="004A2CC5">
              <w:rPr>
                <w:b/>
                <w:bCs/>
                <w:sz w:val="26"/>
                <w:szCs w:val="26"/>
                <w:lang w:val="es-ES_tradnl"/>
              </w:rPr>
              <w:t>mayo</w:t>
            </w:r>
            <w:r w:rsidR="00B42366" w:rsidRPr="004A2CC5">
              <w:rPr>
                <w:b/>
                <w:bCs/>
                <w:sz w:val="26"/>
                <w:szCs w:val="26"/>
                <w:lang w:val="es-ES_tradnl"/>
              </w:rPr>
              <w:t xml:space="preserve"> de</w:t>
            </w:r>
            <w:r w:rsidRPr="004A2CC5">
              <w:rPr>
                <w:b/>
                <w:bCs/>
                <w:sz w:val="26"/>
                <w:szCs w:val="26"/>
                <w:lang w:val="es-ES_tradnl"/>
              </w:rPr>
              <w:t xml:space="preserve"> 2023</w:t>
            </w:r>
          </w:p>
        </w:tc>
        <w:tc>
          <w:tcPr>
            <w:tcW w:w="3509" w:type="dxa"/>
          </w:tcPr>
          <w:p w14:paraId="67E7B4C4" w14:textId="0F52E4CC" w:rsidR="00307769" w:rsidRPr="004A2CC5" w:rsidRDefault="00307769" w:rsidP="00952667">
            <w:pPr>
              <w:spacing w:after="120"/>
              <w:ind w:right="142"/>
              <w:jc w:val="right"/>
              <w:rPr>
                <w:lang w:val="es-ES_tradnl"/>
              </w:rPr>
            </w:pPr>
            <w:r w:rsidRPr="004A2CC5">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A2CC5" w14:paraId="3C13197B" w14:textId="77777777" w:rsidTr="0009076F">
        <w:trPr>
          <w:cantSplit/>
        </w:trPr>
        <w:tc>
          <w:tcPr>
            <w:tcW w:w="6379" w:type="dxa"/>
            <w:tcBorders>
              <w:top w:val="single" w:sz="12" w:space="0" w:color="auto"/>
            </w:tcBorders>
          </w:tcPr>
          <w:p w14:paraId="2EED9DB2" w14:textId="77777777" w:rsidR="00683C32" w:rsidRPr="004A2CC5"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4A2CC5" w:rsidRDefault="00683C32" w:rsidP="00107E85">
            <w:pPr>
              <w:spacing w:before="0"/>
              <w:rPr>
                <w:b/>
                <w:bCs/>
                <w:sz w:val="20"/>
                <w:lang w:val="es-ES_tradnl"/>
              </w:rPr>
            </w:pPr>
          </w:p>
        </w:tc>
      </w:tr>
      <w:tr w:rsidR="00683C32" w:rsidRPr="004A2CC5" w14:paraId="0BB3FBC4" w14:textId="77777777" w:rsidTr="0009076F">
        <w:trPr>
          <w:cantSplit/>
        </w:trPr>
        <w:tc>
          <w:tcPr>
            <w:tcW w:w="6379" w:type="dxa"/>
          </w:tcPr>
          <w:p w14:paraId="43C54B3D" w14:textId="77777777" w:rsidR="00683C32" w:rsidRPr="004A2CC5" w:rsidRDefault="00683C32" w:rsidP="00400CCF">
            <w:pPr>
              <w:pStyle w:val="Committee"/>
              <w:spacing w:before="0"/>
              <w:rPr>
                <w:b w:val="0"/>
                <w:szCs w:val="24"/>
                <w:lang w:val="es-ES_tradnl"/>
              </w:rPr>
            </w:pPr>
          </w:p>
        </w:tc>
        <w:tc>
          <w:tcPr>
            <w:tcW w:w="3509" w:type="dxa"/>
          </w:tcPr>
          <w:p w14:paraId="02E44EE9" w14:textId="06B981F1" w:rsidR="00683C32" w:rsidRPr="004A2CC5" w:rsidRDefault="0096201B" w:rsidP="00B648C7">
            <w:pPr>
              <w:spacing w:before="0"/>
              <w:jc w:val="both"/>
              <w:rPr>
                <w:bCs/>
                <w:szCs w:val="24"/>
                <w:lang w:val="es-ES_tradnl"/>
              </w:rPr>
            </w:pPr>
            <w:r w:rsidRPr="004A2CC5">
              <w:rPr>
                <w:b/>
                <w:bCs/>
                <w:lang w:val="es-ES_tradnl"/>
              </w:rPr>
              <w:t>Document</w:t>
            </w:r>
            <w:r w:rsidR="00B42366" w:rsidRPr="004A2CC5">
              <w:rPr>
                <w:b/>
                <w:bCs/>
                <w:lang w:val="es-ES_tradnl"/>
              </w:rPr>
              <w:t>o</w:t>
            </w:r>
            <w:r w:rsidRPr="004A2CC5">
              <w:rPr>
                <w:b/>
                <w:bCs/>
                <w:lang w:val="es-ES_tradnl"/>
              </w:rPr>
              <w:t xml:space="preserve"> </w:t>
            </w:r>
            <w:bookmarkStart w:id="0" w:name="DocRef1"/>
            <w:bookmarkEnd w:id="0"/>
            <w:r w:rsidRPr="004A2CC5">
              <w:rPr>
                <w:b/>
                <w:bCs/>
                <w:lang w:val="es-ES_tradnl"/>
              </w:rPr>
              <w:t>TDAG</w:t>
            </w:r>
            <w:r w:rsidR="003242AB" w:rsidRPr="004A2CC5">
              <w:rPr>
                <w:b/>
                <w:bCs/>
                <w:lang w:val="es-ES_tradnl"/>
              </w:rPr>
              <w:t>-</w:t>
            </w:r>
            <w:r w:rsidR="00B648C7" w:rsidRPr="004A2CC5">
              <w:rPr>
                <w:b/>
                <w:bCs/>
                <w:lang w:val="es-ES_tradnl"/>
              </w:rPr>
              <w:t>2</w:t>
            </w:r>
            <w:bookmarkStart w:id="1" w:name="DocNo1"/>
            <w:bookmarkEnd w:id="1"/>
            <w:r w:rsidR="00341DA6" w:rsidRPr="004A2CC5">
              <w:rPr>
                <w:b/>
                <w:bCs/>
                <w:lang w:val="es-ES_tradnl"/>
              </w:rPr>
              <w:t>4</w:t>
            </w:r>
            <w:r w:rsidR="0009076F" w:rsidRPr="004A2CC5">
              <w:rPr>
                <w:b/>
                <w:bCs/>
                <w:lang w:val="es-ES_tradnl"/>
              </w:rPr>
              <w:t>/</w:t>
            </w:r>
            <w:r w:rsidR="00F33FC8" w:rsidRPr="004A2CC5">
              <w:rPr>
                <w:b/>
                <w:bCs/>
                <w:lang w:val="es-ES_tradnl"/>
              </w:rPr>
              <w:t>2</w:t>
            </w:r>
            <w:r w:rsidRPr="004A2CC5">
              <w:rPr>
                <w:b/>
                <w:bCs/>
                <w:lang w:val="es-ES_tradnl"/>
              </w:rPr>
              <w:t>-</w:t>
            </w:r>
            <w:r w:rsidR="00B42366" w:rsidRPr="004A2CC5">
              <w:rPr>
                <w:b/>
                <w:bCs/>
                <w:lang w:val="es-ES_tradnl"/>
              </w:rPr>
              <w:t>S</w:t>
            </w:r>
          </w:p>
        </w:tc>
      </w:tr>
      <w:tr w:rsidR="00683C32" w:rsidRPr="004A2CC5" w14:paraId="24D04936" w14:textId="77777777" w:rsidTr="0009076F">
        <w:trPr>
          <w:cantSplit/>
        </w:trPr>
        <w:tc>
          <w:tcPr>
            <w:tcW w:w="6379" w:type="dxa"/>
          </w:tcPr>
          <w:p w14:paraId="12CE4DBF" w14:textId="77777777" w:rsidR="00683C32" w:rsidRPr="004A2CC5" w:rsidRDefault="00683C32" w:rsidP="00400CCF">
            <w:pPr>
              <w:spacing w:before="0"/>
              <w:rPr>
                <w:b/>
                <w:bCs/>
                <w:smallCaps/>
                <w:szCs w:val="24"/>
                <w:lang w:val="es-ES_tradnl"/>
              </w:rPr>
            </w:pPr>
          </w:p>
        </w:tc>
        <w:tc>
          <w:tcPr>
            <w:tcW w:w="3509" w:type="dxa"/>
          </w:tcPr>
          <w:p w14:paraId="0F89640F" w14:textId="0FE97197" w:rsidR="00683C32" w:rsidRPr="004A2CC5" w:rsidRDefault="00D40DD9" w:rsidP="00B648C7">
            <w:pPr>
              <w:spacing w:before="0"/>
              <w:rPr>
                <w:b/>
                <w:szCs w:val="24"/>
                <w:lang w:val="es-ES_tradnl"/>
              </w:rPr>
            </w:pPr>
            <w:bookmarkStart w:id="2" w:name="CreationDate"/>
            <w:bookmarkEnd w:id="2"/>
            <w:r>
              <w:rPr>
                <w:b/>
                <w:bCs/>
                <w:szCs w:val="28"/>
                <w:lang w:val="es-ES_tradnl"/>
              </w:rPr>
              <w:t>7 de mayo</w:t>
            </w:r>
            <w:r w:rsidR="00CE0422" w:rsidRPr="004A2CC5">
              <w:rPr>
                <w:b/>
                <w:bCs/>
                <w:szCs w:val="28"/>
                <w:lang w:val="es-ES_tradnl"/>
              </w:rPr>
              <w:t xml:space="preserve"> </w:t>
            </w:r>
            <w:r w:rsidR="00B42366" w:rsidRPr="004A2CC5">
              <w:rPr>
                <w:b/>
                <w:bCs/>
                <w:szCs w:val="28"/>
                <w:lang w:val="es-ES_tradnl"/>
              </w:rPr>
              <w:t xml:space="preserve">de </w:t>
            </w:r>
            <w:r w:rsidR="00CE0422" w:rsidRPr="004A2CC5">
              <w:rPr>
                <w:b/>
                <w:bCs/>
                <w:szCs w:val="28"/>
                <w:lang w:val="es-ES_tradnl"/>
              </w:rPr>
              <w:t>20</w:t>
            </w:r>
            <w:r w:rsidR="00B648C7" w:rsidRPr="004A2CC5">
              <w:rPr>
                <w:b/>
                <w:bCs/>
                <w:szCs w:val="28"/>
                <w:lang w:val="es-ES_tradnl"/>
              </w:rPr>
              <w:t>2</w:t>
            </w:r>
            <w:r w:rsidR="00341DA6" w:rsidRPr="004A2CC5">
              <w:rPr>
                <w:b/>
                <w:bCs/>
                <w:szCs w:val="28"/>
                <w:lang w:val="es-ES_tradnl"/>
              </w:rPr>
              <w:t>4</w:t>
            </w:r>
          </w:p>
        </w:tc>
      </w:tr>
      <w:tr w:rsidR="00683C32" w:rsidRPr="004A2CC5" w14:paraId="7B96545F" w14:textId="77777777" w:rsidTr="0009076F">
        <w:trPr>
          <w:cantSplit/>
        </w:trPr>
        <w:tc>
          <w:tcPr>
            <w:tcW w:w="6379" w:type="dxa"/>
          </w:tcPr>
          <w:p w14:paraId="65956FD3" w14:textId="77777777" w:rsidR="00683C32" w:rsidRPr="004A2CC5" w:rsidRDefault="00683C32" w:rsidP="00400CCF">
            <w:pPr>
              <w:spacing w:before="0"/>
              <w:rPr>
                <w:b/>
                <w:bCs/>
                <w:smallCaps/>
                <w:szCs w:val="24"/>
                <w:lang w:val="es-ES_tradnl"/>
              </w:rPr>
            </w:pPr>
          </w:p>
        </w:tc>
        <w:tc>
          <w:tcPr>
            <w:tcW w:w="3509" w:type="dxa"/>
          </w:tcPr>
          <w:p w14:paraId="30EFD39F" w14:textId="560C5C27" w:rsidR="00514D2F" w:rsidRPr="004A2CC5" w:rsidRDefault="0096201B" w:rsidP="00400CCF">
            <w:pPr>
              <w:spacing w:before="0"/>
              <w:rPr>
                <w:szCs w:val="24"/>
                <w:lang w:val="es-ES_tradnl"/>
              </w:rPr>
            </w:pPr>
            <w:r w:rsidRPr="004A2CC5">
              <w:rPr>
                <w:b/>
                <w:lang w:val="es-ES_tradnl"/>
              </w:rPr>
              <w:t>Original:</w:t>
            </w:r>
            <w:bookmarkStart w:id="3" w:name="Original"/>
            <w:bookmarkEnd w:id="3"/>
            <w:r w:rsidR="00CE0422" w:rsidRPr="004A2CC5">
              <w:rPr>
                <w:b/>
                <w:lang w:val="es-ES_tradnl"/>
              </w:rPr>
              <w:t xml:space="preserve"> </w:t>
            </w:r>
            <w:r w:rsidR="00B42366" w:rsidRPr="004A2CC5">
              <w:rPr>
                <w:b/>
                <w:lang w:val="es-ES_tradnl"/>
              </w:rPr>
              <w:t>inglés</w:t>
            </w:r>
          </w:p>
        </w:tc>
      </w:tr>
      <w:tr w:rsidR="00A13162" w:rsidRPr="00B6045A" w14:paraId="31656E31" w14:textId="77777777" w:rsidTr="00107E85">
        <w:trPr>
          <w:cantSplit/>
          <w:trHeight w:val="852"/>
        </w:trPr>
        <w:tc>
          <w:tcPr>
            <w:tcW w:w="9888" w:type="dxa"/>
            <w:gridSpan w:val="2"/>
          </w:tcPr>
          <w:p w14:paraId="512FCA01" w14:textId="5DEAFE97" w:rsidR="00A13162" w:rsidRPr="004A2CC5" w:rsidRDefault="00F33FC8" w:rsidP="0030353C">
            <w:pPr>
              <w:pStyle w:val="Source"/>
              <w:rPr>
                <w:lang w:val="es-ES_tradnl"/>
              </w:rPr>
            </w:pPr>
            <w:bookmarkStart w:id="4" w:name="Source"/>
            <w:bookmarkEnd w:id="4"/>
            <w:r w:rsidRPr="004A2CC5">
              <w:rPr>
                <w:lang w:val="es-ES_tradnl"/>
              </w:rPr>
              <w:t>Director de la Oficina de Desarrollo de las Telecomunicaciones</w:t>
            </w:r>
          </w:p>
        </w:tc>
      </w:tr>
      <w:tr w:rsidR="00AC6F14" w:rsidRPr="00B6045A" w14:paraId="2CBD3A36" w14:textId="77777777" w:rsidTr="00107E85">
        <w:trPr>
          <w:cantSplit/>
        </w:trPr>
        <w:tc>
          <w:tcPr>
            <w:tcW w:w="9888" w:type="dxa"/>
            <w:gridSpan w:val="2"/>
          </w:tcPr>
          <w:p w14:paraId="1B4121DF" w14:textId="54D878A4" w:rsidR="00AC6F14" w:rsidRPr="004A2CC5" w:rsidRDefault="00F33FC8" w:rsidP="0030353C">
            <w:pPr>
              <w:pStyle w:val="Title1"/>
              <w:rPr>
                <w:lang w:val="es-ES_tradnl"/>
              </w:rPr>
            </w:pPr>
            <w:bookmarkStart w:id="5" w:name="Title"/>
            <w:bookmarkEnd w:id="5"/>
            <w:r w:rsidRPr="004A2CC5">
              <w:rPr>
                <w:lang w:val="es-ES_tradnl"/>
              </w:rPr>
              <w:t>Informe sobre la aplicación del Plan de Acción de Kigali (PAK)</w:t>
            </w:r>
          </w:p>
        </w:tc>
      </w:tr>
      <w:tr w:rsidR="00A721F4" w:rsidRPr="00B6045A" w14:paraId="23A30231" w14:textId="77777777" w:rsidTr="00A721F4">
        <w:trPr>
          <w:cantSplit/>
        </w:trPr>
        <w:tc>
          <w:tcPr>
            <w:tcW w:w="9888" w:type="dxa"/>
            <w:gridSpan w:val="2"/>
            <w:tcBorders>
              <w:bottom w:val="single" w:sz="4" w:space="0" w:color="auto"/>
            </w:tcBorders>
          </w:tcPr>
          <w:p w14:paraId="726EE70E" w14:textId="77777777" w:rsidR="00A721F4" w:rsidRPr="004A2CC5" w:rsidRDefault="00A721F4" w:rsidP="0030353C">
            <w:pPr>
              <w:rPr>
                <w:lang w:val="es-ES_tradnl"/>
              </w:rPr>
            </w:pPr>
          </w:p>
        </w:tc>
      </w:tr>
      <w:tr w:rsidR="00A721F4" w:rsidRPr="004A2CC5"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4A2CC5" w:rsidRDefault="00B42366" w:rsidP="00EA0C51">
            <w:pPr>
              <w:spacing w:after="120"/>
              <w:rPr>
                <w:b/>
                <w:bCs/>
                <w:szCs w:val="24"/>
                <w:lang w:val="es-ES_tradnl"/>
              </w:rPr>
            </w:pPr>
            <w:r w:rsidRPr="004A2CC5">
              <w:rPr>
                <w:b/>
                <w:bCs/>
                <w:szCs w:val="24"/>
                <w:lang w:val="es-ES_tradnl"/>
              </w:rPr>
              <w:t>Resumen</w:t>
            </w:r>
            <w:r w:rsidR="00A721F4" w:rsidRPr="004A2CC5">
              <w:rPr>
                <w:b/>
                <w:bCs/>
                <w:szCs w:val="24"/>
                <w:lang w:val="es-ES_tradnl"/>
              </w:rPr>
              <w:t>:</w:t>
            </w:r>
          </w:p>
          <w:p w14:paraId="3812A18B" w14:textId="6E8C5B06" w:rsidR="00F33FC8" w:rsidRPr="004A2CC5" w:rsidRDefault="00F33FC8" w:rsidP="00EA0C51">
            <w:pPr>
              <w:spacing w:after="120"/>
              <w:rPr>
                <w:lang w:val="es-ES_tradnl"/>
              </w:rPr>
            </w:pPr>
            <w:r w:rsidRPr="004A2CC5">
              <w:rPr>
                <w:lang w:val="es-ES_tradnl"/>
              </w:rPr>
              <w:t xml:space="preserve">El presente documento contiene un informe sobre la aplicación del Plan de Acción de Kigali (PAK) durante el periodo comprendido entre </w:t>
            </w:r>
            <w:r w:rsidRPr="004A2CC5">
              <w:rPr>
                <w:b/>
                <w:bCs/>
                <w:lang w:val="es-ES_tradnl"/>
              </w:rPr>
              <w:t>junio de 2023 y abril de 2024</w:t>
            </w:r>
            <w:r w:rsidRPr="004A2CC5">
              <w:rPr>
                <w:lang w:val="es-ES_tradnl"/>
              </w:rPr>
              <w:t xml:space="preserve">, incluidos los principales logros alcanzados en todas las regiones, en consonancia con los objetivos de dicho Plan. También se facilita información sobre los resultados de </w:t>
            </w:r>
            <w:r w:rsidR="00D40DD9">
              <w:rPr>
                <w:lang w:val="es-ES_tradnl"/>
              </w:rPr>
              <w:t>un</w:t>
            </w:r>
            <w:r w:rsidRPr="004A2CC5">
              <w:rPr>
                <w:lang w:val="es-ES_tradnl"/>
              </w:rPr>
              <w:t xml:space="preserve"> ejercicio realizado por la BDT a fin de combinar los indicadores fundamentales de rendimiento (IFR), conforme a lo solicitado por el GADT-23.</w:t>
            </w:r>
          </w:p>
          <w:p w14:paraId="76A1C541" w14:textId="64980C09" w:rsidR="00A721F4" w:rsidRPr="004A2CC5" w:rsidRDefault="00A721F4" w:rsidP="00EA0C51">
            <w:pPr>
              <w:spacing w:after="120"/>
              <w:rPr>
                <w:b/>
                <w:bCs/>
                <w:szCs w:val="24"/>
                <w:lang w:val="es-ES_tradnl"/>
              </w:rPr>
            </w:pPr>
            <w:r w:rsidRPr="004A2CC5">
              <w:rPr>
                <w:b/>
                <w:bCs/>
                <w:lang w:val="es-ES_tradnl"/>
              </w:rPr>
              <w:t>Ac</w:t>
            </w:r>
            <w:r w:rsidR="00B42366" w:rsidRPr="004A2CC5">
              <w:rPr>
                <w:b/>
                <w:bCs/>
                <w:lang w:val="es-ES_tradnl"/>
              </w:rPr>
              <w:t>ción solicitada</w:t>
            </w:r>
            <w:r w:rsidRPr="004A2CC5">
              <w:rPr>
                <w:b/>
                <w:bCs/>
                <w:lang w:val="es-ES_tradnl"/>
              </w:rPr>
              <w:t>:</w:t>
            </w:r>
          </w:p>
          <w:p w14:paraId="25C2CE1C" w14:textId="77777777" w:rsidR="00F33FC8" w:rsidRPr="004A2CC5" w:rsidRDefault="00F33FC8" w:rsidP="00EA0C51">
            <w:pPr>
              <w:spacing w:after="120"/>
              <w:rPr>
                <w:lang w:val="es-ES_tradnl"/>
              </w:rPr>
            </w:pPr>
            <w:r w:rsidRPr="004A2CC5">
              <w:rPr>
                <w:lang w:val="es-ES_tradnl"/>
              </w:rPr>
              <w:t>Se solicita al GADT que examine el presente informe y formule las observaciones que estime oportunas.</w:t>
            </w:r>
          </w:p>
          <w:p w14:paraId="622ACB80" w14:textId="4094C127" w:rsidR="00A721F4" w:rsidRPr="004A2CC5" w:rsidRDefault="00A721F4" w:rsidP="00EA0C51">
            <w:pPr>
              <w:spacing w:after="120"/>
              <w:rPr>
                <w:b/>
                <w:bCs/>
                <w:szCs w:val="24"/>
                <w:lang w:val="es-ES_tradnl"/>
              </w:rPr>
            </w:pPr>
            <w:r w:rsidRPr="004A2CC5">
              <w:rPr>
                <w:b/>
                <w:bCs/>
                <w:szCs w:val="24"/>
                <w:lang w:val="es-ES_tradnl"/>
              </w:rPr>
              <w:t>Referenc</w:t>
            </w:r>
            <w:r w:rsidR="00B42366" w:rsidRPr="004A2CC5">
              <w:rPr>
                <w:b/>
                <w:bCs/>
                <w:szCs w:val="24"/>
                <w:lang w:val="es-ES_tradnl"/>
              </w:rPr>
              <w:t>ia</w:t>
            </w:r>
            <w:r w:rsidRPr="004A2CC5">
              <w:rPr>
                <w:b/>
                <w:bCs/>
                <w:szCs w:val="24"/>
                <w:lang w:val="es-ES_tradnl"/>
              </w:rPr>
              <w:t>s:</w:t>
            </w:r>
          </w:p>
          <w:p w14:paraId="3EA49905" w14:textId="77777777" w:rsidR="00F33FC8" w:rsidRPr="004A2CC5" w:rsidRDefault="00F33FC8" w:rsidP="00F33FC8">
            <w:pPr>
              <w:spacing w:after="120"/>
              <w:rPr>
                <w:lang w:val="es-ES_tradnl"/>
              </w:rPr>
            </w:pPr>
            <w:r w:rsidRPr="004A2CC5">
              <w:rPr>
                <w:lang w:val="es-ES_tradnl"/>
              </w:rPr>
              <w:t>Plan de Acción de Kigali de la CMDT-22</w:t>
            </w:r>
          </w:p>
          <w:p w14:paraId="1ECDD20E" w14:textId="4B8F3720" w:rsidR="00A721F4" w:rsidRPr="004A2CC5" w:rsidRDefault="00F33FC8" w:rsidP="00F33FC8">
            <w:pPr>
              <w:spacing w:after="120"/>
              <w:rPr>
                <w:lang w:val="es-ES_tradnl"/>
              </w:rPr>
            </w:pPr>
            <w:r w:rsidRPr="004A2CC5">
              <w:rPr>
                <w:lang w:val="es-ES_tradnl"/>
              </w:rPr>
              <w:t>Documento TDAG-23/DT/3</w:t>
            </w:r>
          </w:p>
        </w:tc>
      </w:tr>
    </w:tbl>
    <w:p w14:paraId="72F5CF96" w14:textId="77777777" w:rsidR="00923CF1" w:rsidRPr="004A2CC5" w:rsidRDefault="00923CF1" w:rsidP="00935FF0">
      <w:pPr>
        <w:rPr>
          <w:lang w:val="es-ES_tradnl"/>
        </w:rPr>
      </w:pPr>
    </w:p>
    <w:p w14:paraId="5B29B2A3" w14:textId="77777777" w:rsidR="00923CF1" w:rsidRPr="004A2CC5"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4A2CC5">
        <w:rPr>
          <w:lang w:val="es-ES_tradnl"/>
        </w:rPr>
        <w:br w:type="page"/>
      </w:r>
    </w:p>
    <w:p w14:paraId="6A138E9A" w14:textId="77777777" w:rsidR="008E154E" w:rsidRPr="004A2CC5" w:rsidRDefault="008E154E" w:rsidP="008E154E">
      <w:pPr>
        <w:pStyle w:val="Headingb"/>
        <w:rPr>
          <w:rFonts w:eastAsia="SimSun"/>
          <w:lang w:val="es-ES_tradnl"/>
        </w:rPr>
      </w:pPr>
      <w:r w:rsidRPr="004A2CC5">
        <w:rPr>
          <w:rFonts w:eastAsia="SimSun"/>
          <w:lang w:val="es-ES_tradnl"/>
        </w:rPr>
        <w:lastRenderedPageBreak/>
        <w:t>Introducción</w:t>
      </w:r>
    </w:p>
    <w:p w14:paraId="2406C2B6" w14:textId="351D2703" w:rsidR="00F33FC8" w:rsidRPr="004A2CC5" w:rsidRDefault="00F33FC8" w:rsidP="00D34690">
      <w:pPr>
        <w:rPr>
          <w:rFonts w:eastAsia="SimSun"/>
          <w:lang w:val="es-ES_tradnl"/>
        </w:rPr>
      </w:pPr>
      <w:r w:rsidRPr="004A2CC5">
        <w:rPr>
          <w:rFonts w:eastAsia="SimSun"/>
          <w:lang w:val="es-ES_tradnl"/>
        </w:rPr>
        <w:t>La Conferencia Mundial de Desarrollo de las Telecomunicaciones (CMDT-22) se celebró en Kigali (</w:t>
      </w:r>
      <w:proofErr w:type="spellStart"/>
      <w:r w:rsidRPr="004A2CC5">
        <w:rPr>
          <w:rFonts w:eastAsia="SimSun"/>
          <w:lang w:val="es-ES_tradnl"/>
        </w:rPr>
        <w:t>Rwanda</w:t>
      </w:r>
      <w:proofErr w:type="spellEnd"/>
      <w:r w:rsidRPr="004A2CC5">
        <w:rPr>
          <w:rFonts w:eastAsia="SimSun"/>
          <w:lang w:val="es-ES_tradnl"/>
        </w:rPr>
        <w:t xml:space="preserve">) del 6 al 16 de junio de 2022 y adoptó el </w:t>
      </w:r>
      <w:hyperlink r:id="rId11">
        <w:r w:rsidRPr="004A2CC5">
          <w:rPr>
            <w:rFonts w:ascii="Calibri" w:eastAsia="Calibri" w:hAnsi="Calibri"/>
            <w:color w:val="0000FF" w:themeColor="hyperlink"/>
            <w:u w:val="single"/>
            <w:lang w:val="es-ES_tradnl"/>
          </w:rPr>
          <w:t>Plan de Acción de Kigali</w:t>
        </w:r>
      </w:hyperlink>
      <w:r w:rsidRPr="004A2CC5">
        <w:rPr>
          <w:rFonts w:eastAsia="SimSun"/>
          <w:lang w:val="es-ES_tradnl"/>
        </w:rPr>
        <w:t xml:space="preserve"> (PAK). En dicho Plan se especifican las prioridades y los factores habilitadores del UIT-D, las realizaciones y los resultados previstos en forma de productos y servicios del UIT-D, un conjunto de iniciativas regionales, Resoluciones nuevas y revisadas, Recomendaciones y Cuestiones de estudio del UIT-D, todo ello conforme tanto a las prioridades temáticas de la UIT, como a los Objetivos de Desarrollo Sostenible (ODS) y a las Líneas de Acción de la Cumbre Mundial sobre la Sociedad de la Información (CMSI).</w:t>
      </w:r>
    </w:p>
    <w:p w14:paraId="3268802F" w14:textId="77777777" w:rsidR="00F33FC8" w:rsidRPr="004A2CC5" w:rsidRDefault="00F33FC8" w:rsidP="00D34690">
      <w:pPr>
        <w:rPr>
          <w:rFonts w:eastAsia="SimSun"/>
          <w:lang w:val="es-ES_tradnl"/>
        </w:rPr>
      </w:pPr>
      <w:r w:rsidRPr="004A2CC5">
        <w:rPr>
          <w:rFonts w:eastAsia="SimSun"/>
          <w:lang w:val="es-ES_tradnl"/>
        </w:rPr>
        <w:t>El presente documento contiene un informe sobre la aplicación del PAK durante el periodo comprendido entre junio de 2023 y abril de 2024, incluidos los logros alcanzados en cada región, en consonancia con las prioridades y los factores habilitadores del UIT-D, a través de los servicios básicos del UIT-D establecidos en el PAK. También se facilita información sobre los resultados de los ejercicios realizados por la BDT a fin de combinar los indicadores fundamentales de rendimiento (IFR), conforme a lo solicitado por el Grupo Asesor de Desarrollo de las Telecomunicaciones en 2023 (GADT-23).</w:t>
      </w:r>
    </w:p>
    <w:p w14:paraId="6E0A4A29" w14:textId="4657FA14" w:rsidR="00F33FC8" w:rsidRPr="004A2CC5" w:rsidRDefault="00F33FC8" w:rsidP="00D34690">
      <w:pPr>
        <w:rPr>
          <w:rFonts w:eastAsia="SimSun"/>
          <w:lang w:val="es-ES_tradnl"/>
        </w:rPr>
      </w:pPr>
      <w:r w:rsidRPr="004A2CC5">
        <w:rPr>
          <w:rFonts w:eastAsia="SimSun"/>
          <w:lang w:val="es-ES_tradnl"/>
        </w:rPr>
        <w:t>El anexo 2 a este documento incluye una serie de cuadros en los que se resume la ejecución del Plan Operacional de 2023 con arreglo a un marco de gestión basada en resultados (GBR).</w:t>
      </w:r>
    </w:p>
    <w:p w14:paraId="1BCC04DA" w14:textId="77777777" w:rsidR="00F33FC8" w:rsidRPr="004A2CC5" w:rsidRDefault="00F33FC8" w:rsidP="00D34690">
      <w:pPr>
        <w:pStyle w:val="Figuretitle"/>
        <w:spacing w:before="120"/>
        <w:rPr>
          <w:rFonts w:eastAsia="Calibri"/>
          <w:lang w:val="es-ES_tradnl"/>
        </w:rPr>
      </w:pPr>
      <w:r w:rsidRPr="004A2CC5">
        <w:rPr>
          <w:rFonts w:eastAsia="SimSun"/>
          <w:lang w:val="es-ES_tradnl"/>
        </w:rPr>
        <w:t>Figura 1: Planificación operacional para 2023: Realizaciones, productos y actividades</w:t>
      </w:r>
    </w:p>
    <w:p w14:paraId="7CE2DFB5" w14:textId="44ECD67D" w:rsidR="00F33FC8" w:rsidRPr="004A2CC5" w:rsidRDefault="004B3392" w:rsidP="00F33FC8">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szCs w:val="24"/>
          <w:lang w:val="es-ES_tradnl"/>
        </w:rPr>
      </w:pPr>
      <w:r w:rsidRPr="004A2CC5">
        <w:rPr>
          <w:rFonts w:ascii="Calibri" w:eastAsia="Calibri" w:hAnsi="Calibri"/>
          <w:noProof/>
          <w:szCs w:val="24"/>
          <w:lang w:val="es-ES_tradnl"/>
        </w:rPr>
        <w:drawing>
          <wp:inline distT="0" distB="0" distL="0" distR="0" wp14:anchorId="5BE6BEF9" wp14:editId="15658E61">
            <wp:extent cx="5610758" cy="3155723"/>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8503" cy="3165703"/>
                    </a:xfrm>
                    <a:prstGeom prst="rect">
                      <a:avLst/>
                    </a:prstGeom>
                    <a:noFill/>
                  </pic:spPr>
                </pic:pic>
              </a:graphicData>
            </a:graphic>
          </wp:inline>
        </w:drawing>
      </w:r>
    </w:p>
    <w:p w14:paraId="7EAEE39E" w14:textId="7413E119" w:rsidR="00F33FC8" w:rsidRPr="004A2CC5" w:rsidRDefault="00F33FC8" w:rsidP="0071035F">
      <w:pPr>
        <w:pStyle w:val="Headingb"/>
        <w:rPr>
          <w:rFonts w:eastAsia="SimSun"/>
          <w:lang w:val="es-ES_tradnl"/>
        </w:rPr>
      </w:pPr>
      <w:r w:rsidRPr="004A2CC5">
        <w:rPr>
          <w:rFonts w:eastAsia="SimSun"/>
          <w:lang w:val="es-ES_tradnl"/>
        </w:rPr>
        <w:t>Combinación de los indicadores fundamentales de rendimiento del Plan de Acción de Kigali</w:t>
      </w:r>
    </w:p>
    <w:p w14:paraId="165F24E7" w14:textId="53B77F21" w:rsidR="00F33FC8" w:rsidRPr="004A2CC5" w:rsidRDefault="00F33FC8" w:rsidP="00D34690">
      <w:pPr>
        <w:rPr>
          <w:rFonts w:eastAsia="SimSun"/>
          <w:lang w:val="es-ES_tradnl"/>
        </w:rPr>
      </w:pPr>
      <w:r w:rsidRPr="004A2CC5">
        <w:rPr>
          <w:rFonts w:eastAsia="SimSun"/>
          <w:lang w:val="es-ES_tradnl"/>
        </w:rPr>
        <w:t xml:space="preserve">En la última sesión del GADT, que se celebró del 19 al 23 de junio de 2023, se </w:t>
      </w:r>
      <w:r w:rsidR="00D40DD9">
        <w:rPr>
          <w:rFonts w:eastAsia="SimSun"/>
          <w:lang w:val="es-ES_tradnl"/>
        </w:rPr>
        <w:t xml:space="preserve">examinaron y </w:t>
      </w:r>
      <w:r w:rsidRPr="004A2CC5">
        <w:rPr>
          <w:rFonts w:eastAsia="SimSun"/>
          <w:lang w:val="es-ES_tradnl"/>
        </w:rPr>
        <w:t>aprobaron los IFR del marco de aplicación del PAK. El GADT examinó 87 IFR, de los que aprobó 73, y propuso seguir perfeccionando y racionalizando los indicadores en cuestión para proporcionar información de alto nivel sobre los avances generales.</w:t>
      </w:r>
    </w:p>
    <w:p w14:paraId="5B17792C" w14:textId="62C65583" w:rsidR="00F33FC8" w:rsidRPr="004A2CC5" w:rsidRDefault="00F33FC8" w:rsidP="00D34690">
      <w:pPr>
        <w:rPr>
          <w:rFonts w:eastAsia="SimSun"/>
          <w:lang w:val="es-ES_tradnl"/>
        </w:rPr>
      </w:pPr>
      <w:r w:rsidRPr="004A2CC5">
        <w:rPr>
          <w:rFonts w:eastAsia="SimSun"/>
          <w:lang w:val="es-ES_tradnl"/>
        </w:rPr>
        <w:t>De este ejercicio se ha obtenido un total de 18 indicadores atinentes a las realizaciones y 27 indicadores atinentes a los productos.</w:t>
      </w:r>
    </w:p>
    <w:p w14:paraId="2E908339" w14:textId="6DCB7813" w:rsidR="00F33FC8" w:rsidRPr="004A2CC5" w:rsidRDefault="00F33FC8" w:rsidP="00D34690">
      <w:pPr>
        <w:rPr>
          <w:rFonts w:eastAsia="Calibri"/>
          <w:lang w:val="es-ES_tradnl"/>
        </w:rPr>
      </w:pPr>
      <w:r w:rsidRPr="004A2CC5">
        <w:rPr>
          <w:rFonts w:eastAsia="SimSun"/>
          <w:lang w:val="es-ES_tradnl"/>
        </w:rPr>
        <w:lastRenderedPageBreak/>
        <w:t>Los indicadores atinentes a las realizaciones permitirán realizar un seguimiento de las contribuciones de la BDT a las realizaciones previstas en el Plan de Acción de Kigali, de acuerdo con las necesidades de la CMDT-25, mientras que los indicadores atinentes a los productos permitirán realizar un seguimiento de carácter anual de los diversos productos y servicios facilitados por el UIT-D, a tenor del Plan Operacional de dicho Sector.</w:t>
      </w:r>
    </w:p>
    <w:p w14:paraId="7906ED4E" w14:textId="77777777" w:rsidR="00F33FC8" w:rsidRPr="004A2CC5" w:rsidRDefault="00F33FC8" w:rsidP="00F33FC8">
      <w:pPr>
        <w:tabs>
          <w:tab w:val="clear" w:pos="794"/>
          <w:tab w:val="clear" w:pos="1191"/>
          <w:tab w:val="clear" w:pos="1588"/>
          <w:tab w:val="clear" w:pos="1985"/>
        </w:tabs>
        <w:overflowPunct/>
        <w:autoSpaceDE/>
        <w:autoSpaceDN/>
        <w:adjustRightInd/>
        <w:spacing w:before="0"/>
        <w:textAlignment w:val="auto"/>
        <w:rPr>
          <w:rFonts w:ascii="Calibri" w:eastAsia="Calibri" w:hAnsi="Calibri"/>
          <w:lang w:val="es-ES_tradnl"/>
        </w:rPr>
      </w:pPr>
      <w:r w:rsidRPr="004A2CC5">
        <w:rPr>
          <w:rFonts w:ascii="Calibri" w:eastAsia="Calibri" w:hAnsi="Calibri"/>
          <w:lang w:val="es-ES_tradnl"/>
        </w:rPr>
        <w:br w:type="page"/>
      </w:r>
    </w:p>
    <w:tbl>
      <w:tblPr>
        <w:tblStyle w:val="GridTable4-Accent1"/>
        <w:tblW w:w="5000" w:type="pct"/>
        <w:tblInd w:w="-5" w:type="dxa"/>
        <w:tblLook w:val="04A0" w:firstRow="1" w:lastRow="0" w:firstColumn="1" w:lastColumn="0" w:noHBand="0" w:noVBand="1"/>
      </w:tblPr>
      <w:tblGrid>
        <w:gridCol w:w="2721"/>
        <w:gridCol w:w="6907"/>
      </w:tblGrid>
      <w:tr w:rsidR="00F33FC8" w:rsidRPr="00B6045A" w14:paraId="1995FED0" w14:textId="77777777" w:rsidTr="004E7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19CAD41B" w14:textId="77777777" w:rsidR="00F33FC8" w:rsidRPr="004A2CC5" w:rsidRDefault="00F33FC8" w:rsidP="00D34690">
            <w:pPr>
              <w:pStyle w:val="Tablehead"/>
              <w:rPr>
                <w:lang w:val="es-ES_tradnl"/>
              </w:rPr>
            </w:pPr>
            <w:r w:rsidRPr="004A2CC5">
              <w:rPr>
                <w:b/>
                <w:lang w:val="es-ES_tradnl"/>
              </w:rPr>
              <w:lastRenderedPageBreak/>
              <w:t>Prioridades del UIT-D</w:t>
            </w:r>
          </w:p>
        </w:tc>
        <w:tc>
          <w:tcPr>
            <w:tcW w:w="6907" w:type="dxa"/>
          </w:tcPr>
          <w:p w14:paraId="1537D293" w14:textId="77777777" w:rsidR="00F33FC8" w:rsidRPr="004A2CC5" w:rsidRDefault="00F33FC8" w:rsidP="00D34690">
            <w:pPr>
              <w:pStyle w:val="Tablehead"/>
              <w:cnfStyle w:val="100000000000" w:firstRow="1" w:lastRow="0" w:firstColumn="0" w:lastColumn="0" w:oddVBand="0" w:evenVBand="0" w:oddHBand="0" w:evenHBand="0" w:firstRowFirstColumn="0" w:firstRowLastColumn="0" w:lastRowFirstColumn="0" w:lastRowLastColumn="0"/>
              <w:rPr>
                <w:b/>
                <w:lang w:val="es-ES_tradnl"/>
              </w:rPr>
            </w:pPr>
            <w:r w:rsidRPr="004A2CC5">
              <w:rPr>
                <w:b/>
                <w:lang w:val="es-ES_tradnl"/>
              </w:rPr>
              <w:t>Indicadores atinentes a las realizaciones</w:t>
            </w:r>
          </w:p>
        </w:tc>
      </w:tr>
      <w:tr w:rsidR="00F33FC8" w:rsidRPr="00B6045A" w14:paraId="1038BB93" w14:textId="77777777" w:rsidTr="004E72A0">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721" w:type="dxa"/>
            <w:vMerge w:val="restart"/>
          </w:tcPr>
          <w:p w14:paraId="2A5D27E3" w14:textId="77777777" w:rsidR="00F33FC8" w:rsidRPr="004A2CC5" w:rsidRDefault="00F33FC8" w:rsidP="008C5AD4">
            <w:pPr>
              <w:pStyle w:val="Tabletext"/>
              <w:rPr>
                <w:lang w:val="es-ES_tradnl"/>
              </w:rPr>
            </w:pPr>
            <w:r w:rsidRPr="004A2CC5">
              <w:rPr>
                <w:lang w:val="es-ES_tradnl"/>
              </w:rPr>
              <w:t>Conectividad asequible</w:t>
            </w:r>
          </w:p>
        </w:tc>
        <w:tc>
          <w:tcPr>
            <w:tcW w:w="6907" w:type="dxa"/>
          </w:tcPr>
          <w:p w14:paraId="52CFFD64"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Número de países que han integrado un plan nacional de telecomunicaciones de emergencia en sus estrategias nacionales y locales de reducción del riesgo de catástrofes.</w:t>
            </w:r>
          </w:p>
        </w:tc>
      </w:tr>
      <w:tr w:rsidR="00F33FC8" w:rsidRPr="00B6045A" w14:paraId="72C485C8" w14:textId="77777777" w:rsidTr="004E72A0">
        <w:trPr>
          <w:trHeight w:val="296"/>
        </w:trPr>
        <w:tc>
          <w:tcPr>
            <w:cnfStyle w:val="001000000000" w:firstRow="0" w:lastRow="0" w:firstColumn="1" w:lastColumn="0" w:oddVBand="0" w:evenVBand="0" w:oddHBand="0" w:evenHBand="0" w:firstRowFirstColumn="0" w:firstRowLastColumn="0" w:lastRowFirstColumn="0" w:lastRowLastColumn="0"/>
            <w:tcW w:w="2721" w:type="dxa"/>
            <w:vMerge/>
          </w:tcPr>
          <w:p w14:paraId="6B80AC80" w14:textId="77777777" w:rsidR="00F33FC8" w:rsidRPr="004A2CC5" w:rsidRDefault="00F33FC8" w:rsidP="008C5AD4">
            <w:pPr>
              <w:pStyle w:val="Tabletext"/>
              <w:rPr>
                <w:lang w:val="es-ES_tradnl"/>
              </w:rPr>
            </w:pPr>
          </w:p>
        </w:tc>
        <w:tc>
          <w:tcPr>
            <w:tcW w:w="6907" w:type="dxa"/>
          </w:tcPr>
          <w:p w14:paraId="426689E2" w14:textId="31CA69EA"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países menos adelantados (PMA), países en desarrollo sin litoral (PDSL) y pequeños Estados insulares en desarrollo (PEID) que disponen de planes de banda ancha.</w:t>
            </w:r>
          </w:p>
        </w:tc>
      </w:tr>
      <w:tr w:rsidR="00F33FC8" w:rsidRPr="00B6045A" w14:paraId="616FEC4F" w14:textId="77777777" w:rsidTr="004E72A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1" w:type="dxa"/>
            <w:vMerge/>
          </w:tcPr>
          <w:p w14:paraId="784D2BF6" w14:textId="77777777" w:rsidR="00F33FC8" w:rsidRPr="004A2CC5" w:rsidRDefault="00F33FC8" w:rsidP="008C5AD4">
            <w:pPr>
              <w:pStyle w:val="Tabletext"/>
              <w:rPr>
                <w:lang w:val="es-ES_tradnl"/>
              </w:rPr>
            </w:pPr>
          </w:p>
        </w:tc>
        <w:tc>
          <w:tcPr>
            <w:tcW w:w="6907" w:type="dxa"/>
          </w:tcPr>
          <w:p w14:paraId="439C6232"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color w:val="000000" w:themeColor="text1"/>
                <w:lang w:val="es-ES_tradnl"/>
              </w:rPr>
              <w:t xml:space="preserve">Porcentaje de </w:t>
            </w:r>
            <w:r w:rsidRPr="004A2CC5">
              <w:rPr>
                <w:lang w:val="es-ES_tradnl"/>
              </w:rPr>
              <w:t>países respecto de los cuales se dispone de datos en los que al menos el 90% de la población está cubierta por una red 3G o superior.</w:t>
            </w:r>
          </w:p>
        </w:tc>
      </w:tr>
      <w:tr w:rsidR="00F33FC8" w:rsidRPr="00B6045A" w14:paraId="3A98EE36" w14:textId="77777777" w:rsidTr="004E72A0">
        <w:trPr>
          <w:trHeight w:val="503"/>
        </w:trPr>
        <w:tc>
          <w:tcPr>
            <w:cnfStyle w:val="001000000000" w:firstRow="0" w:lastRow="0" w:firstColumn="1" w:lastColumn="0" w:oddVBand="0" w:evenVBand="0" w:oddHBand="0" w:evenHBand="0" w:firstRowFirstColumn="0" w:firstRowLastColumn="0" w:lastRowFirstColumn="0" w:lastRowLastColumn="0"/>
            <w:tcW w:w="2721" w:type="dxa"/>
            <w:vMerge w:val="restart"/>
          </w:tcPr>
          <w:p w14:paraId="1DC96BDE" w14:textId="77777777" w:rsidR="00F33FC8" w:rsidRPr="004A2CC5" w:rsidRDefault="00F33FC8" w:rsidP="008C5AD4">
            <w:pPr>
              <w:pStyle w:val="Tabletext"/>
              <w:rPr>
                <w:lang w:val="es-ES_tradnl"/>
              </w:rPr>
            </w:pPr>
            <w:r w:rsidRPr="004A2CC5">
              <w:rPr>
                <w:lang w:val="es-ES_tradnl"/>
              </w:rPr>
              <w:t xml:space="preserve">Transformación digital </w:t>
            </w:r>
          </w:p>
        </w:tc>
        <w:tc>
          <w:tcPr>
            <w:tcW w:w="6907" w:type="dxa"/>
          </w:tcPr>
          <w:p w14:paraId="533BDCF8"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países que han adoptado una estrategia digital sectorial a escala nacional.</w:t>
            </w:r>
          </w:p>
        </w:tc>
      </w:tr>
      <w:tr w:rsidR="00F33FC8" w:rsidRPr="00B6045A" w14:paraId="20BE6E9B" w14:textId="77777777" w:rsidTr="004E72A0">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721" w:type="dxa"/>
            <w:vMerge/>
          </w:tcPr>
          <w:p w14:paraId="17F75879" w14:textId="77777777" w:rsidR="00F33FC8" w:rsidRPr="004A2CC5" w:rsidRDefault="00F33FC8" w:rsidP="008C5AD4">
            <w:pPr>
              <w:pStyle w:val="Tabletext"/>
              <w:rPr>
                <w:lang w:val="es-ES_tradnl"/>
              </w:rPr>
            </w:pPr>
          </w:p>
        </w:tc>
        <w:tc>
          <w:tcPr>
            <w:tcW w:w="6907" w:type="dxa"/>
          </w:tcPr>
          <w:p w14:paraId="0709DF0B"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Número de países que han adoptado estrategias e iniciativas de innovación.</w:t>
            </w:r>
          </w:p>
        </w:tc>
      </w:tr>
      <w:tr w:rsidR="00F33FC8" w:rsidRPr="00B6045A" w14:paraId="34026309" w14:textId="77777777" w:rsidTr="004E72A0">
        <w:trPr>
          <w:trHeight w:val="220"/>
        </w:trPr>
        <w:tc>
          <w:tcPr>
            <w:cnfStyle w:val="001000000000" w:firstRow="0" w:lastRow="0" w:firstColumn="1" w:lastColumn="0" w:oddVBand="0" w:evenVBand="0" w:oddHBand="0" w:evenHBand="0" w:firstRowFirstColumn="0" w:firstRowLastColumn="0" w:lastRowFirstColumn="0" w:lastRowLastColumn="0"/>
            <w:tcW w:w="2721" w:type="dxa"/>
            <w:vMerge w:val="restart"/>
            <w:shd w:val="clear" w:color="auto" w:fill="DBE5F1" w:themeFill="accent1" w:themeFillTint="33"/>
          </w:tcPr>
          <w:p w14:paraId="44A60055" w14:textId="77777777" w:rsidR="00F33FC8" w:rsidRPr="004A2CC5" w:rsidRDefault="00F33FC8" w:rsidP="008C5AD4">
            <w:pPr>
              <w:pStyle w:val="Tabletext"/>
              <w:rPr>
                <w:lang w:val="es-ES_tradnl"/>
              </w:rPr>
            </w:pPr>
            <w:r w:rsidRPr="004A2CC5">
              <w:rPr>
                <w:lang w:val="es-ES_tradnl"/>
              </w:rPr>
              <w:t>Entorno político y reglamentario propicio</w:t>
            </w:r>
          </w:p>
        </w:tc>
        <w:tc>
          <w:tcPr>
            <w:tcW w:w="6907" w:type="dxa"/>
          </w:tcPr>
          <w:p w14:paraId="2F67966B"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s-ES_tradnl"/>
              </w:rPr>
            </w:pPr>
            <w:r w:rsidRPr="004A2CC5">
              <w:rPr>
                <w:color w:val="000000" w:themeColor="text1"/>
                <w:lang w:val="es-ES_tradnl"/>
              </w:rPr>
              <w:t>Número de países que disponen de estrategias en materia de competencias digitales a escala nacional.</w:t>
            </w:r>
          </w:p>
        </w:tc>
      </w:tr>
      <w:tr w:rsidR="00F33FC8" w:rsidRPr="00B6045A" w14:paraId="5A070570" w14:textId="77777777" w:rsidTr="004E72A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721" w:type="dxa"/>
            <w:vMerge/>
          </w:tcPr>
          <w:p w14:paraId="5A9E13C7" w14:textId="77777777" w:rsidR="00F33FC8" w:rsidRPr="004A2CC5" w:rsidRDefault="00F33FC8" w:rsidP="008C5AD4">
            <w:pPr>
              <w:pStyle w:val="Tabletext"/>
              <w:rPr>
                <w:lang w:val="es-ES_tradnl"/>
              </w:rPr>
            </w:pPr>
          </w:p>
        </w:tc>
        <w:tc>
          <w:tcPr>
            <w:tcW w:w="6907" w:type="dxa"/>
          </w:tcPr>
          <w:p w14:paraId="7D69AC61"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color w:val="000000"/>
                <w:lang w:val="es-ES_tradnl"/>
              </w:rPr>
            </w:pPr>
            <w:r w:rsidRPr="004A2CC5">
              <w:rPr>
                <w:color w:val="000000" w:themeColor="text1"/>
                <w:lang w:val="es-ES_tradnl"/>
              </w:rPr>
              <w:t>Número de países que avanzan hacia la reglamentación de la siguiente generación (G1-G4) y/o hacia un mayor nivel de preparación para la transformación digital (G5).</w:t>
            </w:r>
          </w:p>
        </w:tc>
      </w:tr>
      <w:tr w:rsidR="00F33FC8" w:rsidRPr="00B6045A" w14:paraId="4AFA08B3" w14:textId="77777777" w:rsidTr="004E72A0">
        <w:trPr>
          <w:trHeight w:val="1007"/>
        </w:trPr>
        <w:tc>
          <w:tcPr>
            <w:cnfStyle w:val="001000000000" w:firstRow="0" w:lastRow="0" w:firstColumn="1" w:lastColumn="0" w:oddVBand="0" w:evenVBand="0" w:oddHBand="0" w:evenHBand="0" w:firstRowFirstColumn="0" w:firstRowLastColumn="0" w:lastRowFirstColumn="0" w:lastRowLastColumn="0"/>
            <w:tcW w:w="2721" w:type="dxa"/>
            <w:vMerge/>
            <w:shd w:val="clear" w:color="auto" w:fill="DBE5F1" w:themeFill="accent1" w:themeFillTint="33"/>
          </w:tcPr>
          <w:p w14:paraId="5A6891CC" w14:textId="77777777" w:rsidR="00F33FC8" w:rsidRPr="004A2CC5" w:rsidRDefault="00F33FC8" w:rsidP="008C5AD4">
            <w:pPr>
              <w:pStyle w:val="Tabletext"/>
              <w:rPr>
                <w:lang w:val="es-ES_tradnl"/>
              </w:rPr>
            </w:pPr>
          </w:p>
        </w:tc>
        <w:tc>
          <w:tcPr>
            <w:tcW w:w="6907" w:type="dxa"/>
          </w:tcPr>
          <w:p w14:paraId="78AE1F77"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color w:val="000000"/>
                <w:lang w:val="es-ES_tradnl"/>
              </w:rPr>
            </w:pPr>
            <w:r w:rsidRPr="004A2CC5">
              <w:rPr>
                <w:color w:val="000000" w:themeColor="text1"/>
                <w:lang w:val="es-ES_tradnl"/>
              </w:rPr>
              <w:t>Porcentaje de Estados Miembros que presentaron datos válidos y cuya antigüedad no superaba los dos años para al menos el 80% de los indicadores del cuestionario breve sobre indicadores de las telecomunicaciones mundiales de la UIT.</w:t>
            </w:r>
          </w:p>
        </w:tc>
      </w:tr>
      <w:tr w:rsidR="00F33FC8" w:rsidRPr="00B6045A" w14:paraId="41500D14" w14:textId="77777777" w:rsidTr="004E72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21" w:type="dxa"/>
            <w:vMerge/>
          </w:tcPr>
          <w:p w14:paraId="752C873A" w14:textId="77777777" w:rsidR="00F33FC8" w:rsidRPr="004A2CC5" w:rsidRDefault="00F33FC8" w:rsidP="008C5AD4">
            <w:pPr>
              <w:pStyle w:val="Tabletext"/>
              <w:rPr>
                <w:lang w:val="es-ES_tradnl"/>
              </w:rPr>
            </w:pPr>
          </w:p>
        </w:tc>
        <w:tc>
          <w:tcPr>
            <w:tcW w:w="6907" w:type="dxa"/>
          </w:tcPr>
          <w:p w14:paraId="484CB1DB"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s-ES_tradnl"/>
              </w:rPr>
            </w:pPr>
            <w:r w:rsidRPr="004A2CC5">
              <w:rPr>
                <w:color w:val="000000" w:themeColor="text1"/>
                <w:lang w:val="es-ES_tradnl"/>
              </w:rPr>
              <w:t>Porcentaje de Estados Miembros que presentaron datos válidos y cuya antigüedad no superaba los tres años para al menos el 80% de los indicadores del cuestionario relativo a los hogares de la UIT.</w:t>
            </w:r>
          </w:p>
        </w:tc>
      </w:tr>
      <w:tr w:rsidR="00F33FC8" w:rsidRPr="00B6045A" w14:paraId="29253D8F" w14:textId="77777777" w:rsidTr="004E72A0">
        <w:trPr>
          <w:trHeight w:val="219"/>
        </w:trPr>
        <w:tc>
          <w:tcPr>
            <w:cnfStyle w:val="001000000000" w:firstRow="0" w:lastRow="0" w:firstColumn="1" w:lastColumn="0" w:oddVBand="0" w:evenVBand="0" w:oddHBand="0" w:evenHBand="0" w:firstRowFirstColumn="0" w:firstRowLastColumn="0" w:lastRowFirstColumn="0" w:lastRowLastColumn="0"/>
            <w:tcW w:w="2721" w:type="dxa"/>
            <w:vMerge/>
          </w:tcPr>
          <w:p w14:paraId="37128F09" w14:textId="77777777" w:rsidR="00F33FC8" w:rsidRPr="004A2CC5" w:rsidRDefault="00F33FC8" w:rsidP="008C5AD4">
            <w:pPr>
              <w:pStyle w:val="Tabletext"/>
              <w:rPr>
                <w:lang w:val="es-ES_tradnl"/>
              </w:rPr>
            </w:pPr>
          </w:p>
        </w:tc>
        <w:tc>
          <w:tcPr>
            <w:tcW w:w="6907" w:type="dxa"/>
          </w:tcPr>
          <w:p w14:paraId="5E060CC8"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color w:val="000000"/>
                <w:lang w:val="es-ES_tradnl"/>
              </w:rPr>
            </w:pPr>
            <w:r w:rsidRPr="004A2CC5">
              <w:rPr>
                <w:color w:val="000000" w:themeColor="text1"/>
                <w:lang w:val="es-ES_tradnl"/>
              </w:rPr>
              <w:t>Porcentaje de Estados Miembros que presentaron datos válidos, desglosados por sexo y cuya antigüedad no superaba los tres años para el indicador "Proporción de personas que utilizan Internet".</w:t>
            </w:r>
          </w:p>
        </w:tc>
      </w:tr>
      <w:tr w:rsidR="00F33FC8" w:rsidRPr="00B6045A" w14:paraId="0DD254D7" w14:textId="77777777" w:rsidTr="007A5A6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21" w:type="dxa"/>
            <w:vMerge/>
          </w:tcPr>
          <w:p w14:paraId="14B755D1" w14:textId="77777777" w:rsidR="00F33FC8" w:rsidRPr="004A2CC5" w:rsidRDefault="00F33FC8" w:rsidP="008C5AD4">
            <w:pPr>
              <w:pStyle w:val="Tabletext"/>
              <w:rPr>
                <w:lang w:val="es-ES_tradnl"/>
              </w:rPr>
            </w:pPr>
          </w:p>
        </w:tc>
        <w:tc>
          <w:tcPr>
            <w:tcW w:w="6907" w:type="dxa"/>
          </w:tcPr>
          <w:p w14:paraId="5863F59C"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color w:val="000000"/>
                <w:lang w:val="es-ES_tradnl"/>
              </w:rPr>
            </w:pPr>
            <w:r w:rsidRPr="004A2CC5">
              <w:rPr>
                <w:color w:val="000000" w:themeColor="text1"/>
                <w:lang w:val="es-ES_tradnl"/>
              </w:rPr>
              <w:t>Porcentaje de Estados Miembros que presentaron datos válidos, desglosados por ubicación (rural/urbana) y cuya antigüedad no superaba los tres años para el indicador "Proporción de personas que utilizan Internet".</w:t>
            </w:r>
          </w:p>
        </w:tc>
      </w:tr>
      <w:tr w:rsidR="00F33FC8" w:rsidRPr="00B6045A" w14:paraId="6581A1B1" w14:textId="77777777" w:rsidTr="004E72A0">
        <w:trPr>
          <w:trHeight w:val="219"/>
        </w:trPr>
        <w:tc>
          <w:tcPr>
            <w:cnfStyle w:val="001000000000" w:firstRow="0" w:lastRow="0" w:firstColumn="1" w:lastColumn="0" w:oddVBand="0" w:evenVBand="0" w:oddHBand="0" w:evenHBand="0" w:firstRowFirstColumn="0" w:firstRowLastColumn="0" w:lastRowFirstColumn="0" w:lastRowLastColumn="0"/>
            <w:tcW w:w="2721" w:type="dxa"/>
            <w:vMerge/>
          </w:tcPr>
          <w:p w14:paraId="590D768C" w14:textId="77777777" w:rsidR="00F33FC8" w:rsidRPr="004A2CC5" w:rsidRDefault="00F33FC8" w:rsidP="008C5AD4">
            <w:pPr>
              <w:pStyle w:val="Tabletext"/>
              <w:rPr>
                <w:lang w:val="es-ES_tradnl"/>
              </w:rPr>
            </w:pPr>
          </w:p>
        </w:tc>
        <w:tc>
          <w:tcPr>
            <w:tcW w:w="6907" w:type="dxa"/>
          </w:tcPr>
          <w:p w14:paraId="7489CCC5"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color w:val="000000"/>
                <w:lang w:val="es-ES_tradnl"/>
              </w:rPr>
            </w:pPr>
            <w:r w:rsidRPr="004A2CC5">
              <w:rPr>
                <w:color w:val="000000" w:themeColor="text1"/>
                <w:lang w:val="es-ES_tradnl"/>
              </w:rPr>
              <w:t>Porcentaje de Estados Miembros que presentaron datos válidos y cuya antigüedad no superaba los tres años para al menos cinco de las competencias en tecnologías de la información y la comunicación (TIC) enumeradas en el cuestionario.</w:t>
            </w:r>
          </w:p>
        </w:tc>
      </w:tr>
      <w:tr w:rsidR="007A5A68" w:rsidRPr="00B6045A" w14:paraId="02B6D008" w14:textId="77777777" w:rsidTr="004E72A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21" w:type="dxa"/>
            <w:vMerge w:val="restart"/>
            <w:shd w:val="clear" w:color="auto" w:fill="FFFFFF" w:themeFill="background1"/>
          </w:tcPr>
          <w:p w14:paraId="3924F485" w14:textId="77777777" w:rsidR="007A5A68" w:rsidRPr="004A2CC5" w:rsidRDefault="007A5A68" w:rsidP="008C5AD4">
            <w:pPr>
              <w:pStyle w:val="Tabletext"/>
              <w:rPr>
                <w:lang w:val="es-ES_tradnl"/>
              </w:rPr>
            </w:pPr>
            <w:r w:rsidRPr="004A2CC5">
              <w:rPr>
                <w:lang w:val="es-ES_tradnl"/>
              </w:rPr>
              <w:t>Telecomunicaciones/TIC inclusivas y seguras para el desarrollo sostenible</w:t>
            </w:r>
          </w:p>
        </w:tc>
        <w:tc>
          <w:tcPr>
            <w:tcW w:w="6907" w:type="dxa"/>
          </w:tcPr>
          <w:p w14:paraId="59C55766" w14:textId="282C3264" w:rsidR="007A5A68" w:rsidRPr="004A2CC5" w:rsidRDefault="007A5A6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Número de países que han adoptado estrategias de ciberseguridad en el marco de su programa nacional de desarrollo.</w:t>
            </w:r>
          </w:p>
        </w:tc>
      </w:tr>
      <w:tr w:rsidR="007A5A68" w:rsidRPr="00B6045A" w14:paraId="05FCC126" w14:textId="77777777" w:rsidTr="004E72A0">
        <w:trPr>
          <w:trHeight w:val="310"/>
        </w:trPr>
        <w:tc>
          <w:tcPr>
            <w:cnfStyle w:val="001000000000" w:firstRow="0" w:lastRow="0" w:firstColumn="1" w:lastColumn="0" w:oddVBand="0" w:evenVBand="0" w:oddHBand="0" w:evenHBand="0" w:firstRowFirstColumn="0" w:firstRowLastColumn="0" w:lastRowFirstColumn="0" w:lastRowLastColumn="0"/>
            <w:tcW w:w="2721" w:type="dxa"/>
            <w:vMerge/>
            <w:shd w:val="clear" w:color="auto" w:fill="FFFFFF" w:themeFill="background1"/>
          </w:tcPr>
          <w:p w14:paraId="3A576C91" w14:textId="77777777" w:rsidR="007A5A68" w:rsidRPr="004A2CC5" w:rsidRDefault="007A5A68" w:rsidP="008C5AD4">
            <w:pPr>
              <w:pStyle w:val="Tabletext"/>
              <w:rPr>
                <w:lang w:val="es-ES_tradnl"/>
              </w:rPr>
            </w:pPr>
          </w:p>
        </w:tc>
        <w:tc>
          <w:tcPr>
            <w:tcW w:w="6907" w:type="dxa"/>
          </w:tcPr>
          <w:p w14:paraId="46ECD038" w14:textId="77777777" w:rsidR="007A5A68" w:rsidRPr="004A2CC5" w:rsidRDefault="007A5A6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países que disponen de un equipo de intervención en caso de incidente informático (EIII).</w:t>
            </w:r>
          </w:p>
        </w:tc>
      </w:tr>
      <w:tr w:rsidR="007A5A68" w:rsidRPr="00B6045A" w14:paraId="5C10773C" w14:textId="77777777" w:rsidTr="004E72A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21" w:type="dxa"/>
            <w:vMerge/>
            <w:shd w:val="clear" w:color="auto" w:fill="FFFFFF" w:themeFill="background1"/>
          </w:tcPr>
          <w:p w14:paraId="4C8A8940" w14:textId="77777777" w:rsidR="007A5A68" w:rsidRPr="004A2CC5" w:rsidRDefault="007A5A68" w:rsidP="008C5AD4">
            <w:pPr>
              <w:pStyle w:val="Tabletext"/>
              <w:rPr>
                <w:lang w:val="es-ES_tradnl"/>
              </w:rPr>
            </w:pPr>
          </w:p>
        </w:tc>
        <w:tc>
          <w:tcPr>
            <w:tcW w:w="6907" w:type="dxa"/>
          </w:tcPr>
          <w:p w14:paraId="79C029CC" w14:textId="77777777" w:rsidR="007A5A68" w:rsidRPr="004A2CC5" w:rsidRDefault="007A5A6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Número de Estados Miembros que han ampliado su compromiso con la ciberseguridad, de acuerdo con el Índice de Ciberseguridad Global (ICG).</w:t>
            </w:r>
          </w:p>
        </w:tc>
      </w:tr>
      <w:tr w:rsidR="007A5A68" w:rsidRPr="00B6045A" w14:paraId="6FE693E3" w14:textId="77777777" w:rsidTr="004E72A0">
        <w:trPr>
          <w:trHeight w:val="310"/>
        </w:trPr>
        <w:tc>
          <w:tcPr>
            <w:cnfStyle w:val="001000000000" w:firstRow="0" w:lastRow="0" w:firstColumn="1" w:lastColumn="0" w:oddVBand="0" w:evenVBand="0" w:oddHBand="0" w:evenHBand="0" w:firstRowFirstColumn="0" w:firstRowLastColumn="0" w:lastRowFirstColumn="0" w:lastRowLastColumn="0"/>
            <w:tcW w:w="2721" w:type="dxa"/>
            <w:vMerge/>
            <w:shd w:val="clear" w:color="auto" w:fill="FFFFFF" w:themeFill="background1"/>
          </w:tcPr>
          <w:p w14:paraId="7EBB2A03" w14:textId="77777777" w:rsidR="007A5A68" w:rsidRPr="004A2CC5" w:rsidRDefault="007A5A68" w:rsidP="008C5AD4">
            <w:pPr>
              <w:pStyle w:val="Tabletext"/>
              <w:rPr>
                <w:lang w:val="es-ES_tradnl"/>
              </w:rPr>
            </w:pPr>
          </w:p>
        </w:tc>
        <w:tc>
          <w:tcPr>
            <w:tcW w:w="6907" w:type="dxa"/>
          </w:tcPr>
          <w:p w14:paraId="6D47A089" w14:textId="77777777" w:rsidR="007A5A68" w:rsidRPr="004A2CC5" w:rsidRDefault="007A5A6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países que cuentan con sistemas de apoyo a la infancia en línea (por ejemplo, líneas de ayuda, sistemas de derivación, etc.).</w:t>
            </w:r>
          </w:p>
        </w:tc>
      </w:tr>
      <w:tr w:rsidR="00F33FC8" w:rsidRPr="00B6045A" w14:paraId="51895EF5" w14:textId="77777777" w:rsidTr="004E72A0">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2721" w:type="dxa"/>
          </w:tcPr>
          <w:p w14:paraId="7BC46FDC" w14:textId="57E97E0F" w:rsidR="00F33FC8" w:rsidRPr="004A2CC5" w:rsidRDefault="00F33FC8" w:rsidP="008C5AD4">
            <w:pPr>
              <w:pStyle w:val="Tabletext"/>
              <w:rPr>
                <w:lang w:val="es-ES_tradnl"/>
              </w:rPr>
            </w:pPr>
            <w:r w:rsidRPr="004A2CC5">
              <w:rPr>
                <w:lang w:val="es-ES_tradnl"/>
              </w:rPr>
              <w:lastRenderedPageBreak/>
              <w:t>Movilización de recursos, asociaciones y cooperación internacional</w:t>
            </w:r>
            <w:r w:rsidR="008C5AD4" w:rsidRPr="004A2CC5">
              <w:rPr>
                <w:rStyle w:val="FootnoteReference"/>
                <w:lang w:val="es-ES_tradnl"/>
              </w:rPr>
              <w:footnoteReference w:id="1"/>
            </w:r>
          </w:p>
        </w:tc>
        <w:tc>
          <w:tcPr>
            <w:tcW w:w="6907" w:type="dxa"/>
          </w:tcPr>
          <w:p w14:paraId="3A0449A0"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i/>
                <w:iCs/>
                <w:lang w:val="es-ES_tradnl"/>
              </w:rPr>
            </w:pPr>
            <w:r w:rsidRPr="004A2CC5">
              <w:rPr>
                <w:lang w:val="es-ES_tradnl"/>
              </w:rPr>
              <w:t>Número de acuerdos de desarrollo de las TIC celebrados entre la UIT y sus asociados en favor de la aplicación del Plan de Acción de Kigali.</w:t>
            </w:r>
          </w:p>
        </w:tc>
      </w:tr>
    </w:tbl>
    <w:p w14:paraId="1E0CC30F" w14:textId="77777777" w:rsidR="00F33FC8" w:rsidRPr="004A2CC5" w:rsidRDefault="00F33FC8" w:rsidP="00F33FC8">
      <w:pPr>
        <w:tabs>
          <w:tab w:val="clear" w:pos="794"/>
          <w:tab w:val="clear" w:pos="1191"/>
          <w:tab w:val="clear" w:pos="1588"/>
          <w:tab w:val="clear" w:pos="1985"/>
        </w:tabs>
        <w:overflowPunct/>
        <w:autoSpaceDE/>
        <w:autoSpaceDN/>
        <w:adjustRightInd/>
        <w:spacing w:after="120"/>
        <w:textAlignment w:val="auto"/>
        <w:rPr>
          <w:rFonts w:ascii="Calibri" w:eastAsia="Calibri" w:hAnsi="Calibri"/>
          <w:lang w:val="es-ES_tradnl"/>
        </w:rPr>
      </w:pPr>
    </w:p>
    <w:tbl>
      <w:tblPr>
        <w:tblStyle w:val="GridTable4-Accent1"/>
        <w:tblW w:w="5000" w:type="pct"/>
        <w:tblInd w:w="-5" w:type="dxa"/>
        <w:tblLook w:val="04A0" w:firstRow="1" w:lastRow="0" w:firstColumn="1" w:lastColumn="0" w:noHBand="0" w:noVBand="1"/>
      </w:tblPr>
      <w:tblGrid>
        <w:gridCol w:w="2561"/>
        <w:gridCol w:w="7067"/>
      </w:tblGrid>
      <w:tr w:rsidR="00F33FC8" w:rsidRPr="004A2CC5" w14:paraId="48E49EDF" w14:textId="77777777" w:rsidTr="004E7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dxa"/>
          </w:tcPr>
          <w:p w14:paraId="6AA3D90F" w14:textId="77777777" w:rsidR="00F33FC8" w:rsidRPr="004A2CC5" w:rsidRDefault="00F33FC8" w:rsidP="008C5AD4">
            <w:pPr>
              <w:pStyle w:val="Tablehead"/>
              <w:rPr>
                <w:lang w:val="es-ES_tradnl"/>
              </w:rPr>
            </w:pPr>
            <w:r w:rsidRPr="004A2CC5">
              <w:rPr>
                <w:b/>
                <w:lang w:val="es-ES_tradnl"/>
              </w:rPr>
              <w:t>Factores habilitadores del UIT-D</w:t>
            </w:r>
          </w:p>
        </w:tc>
        <w:tc>
          <w:tcPr>
            <w:tcW w:w="7067" w:type="dxa"/>
          </w:tcPr>
          <w:p w14:paraId="2ACB00A6" w14:textId="77777777" w:rsidR="00F33FC8" w:rsidRPr="004A2CC5" w:rsidRDefault="00F33FC8" w:rsidP="008C5AD4">
            <w:pPr>
              <w:pStyle w:val="Tablehead"/>
              <w:cnfStyle w:val="100000000000" w:firstRow="1" w:lastRow="0" w:firstColumn="0" w:lastColumn="0" w:oddVBand="0" w:evenVBand="0" w:oddHBand="0" w:evenHBand="0" w:firstRowFirstColumn="0" w:firstRowLastColumn="0" w:lastRowFirstColumn="0" w:lastRowLastColumn="0"/>
              <w:rPr>
                <w:b/>
                <w:lang w:val="es-ES_tradnl"/>
              </w:rPr>
            </w:pPr>
            <w:r w:rsidRPr="004A2CC5">
              <w:rPr>
                <w:b/>
                <w:lang w:val="es-ES_tradnl"/>
              </w:rPr>
              <w:t>Indicadores (principalmente productos)</w:t>
            </w:r>
          </w:p>
        </w:tc>
      </w:tr>
      <w:tr w:rsidR="00F33FC8" w:rsidRPr="00B6045A" w14:paraId="6C0EBC83" w14:textId="77777777" w:rsidTr="004E7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dxa"/>
          </w:tcPr>
          <w:p w14:paraId="05AF9E31" w14:textId="77777777" w:rsidR="00F33FC8" w:rsidRPr="004A2CC5" w:rsidRDefault="00F33FC8" w:rsidP="008C5AD4">
            <w:pPr>
              <w:pStyle w:val="Tabletext"/>
              <w:rPr>
                <w:lang w:val="es-ES_tradnl"/>
              </w:rPr>
            </w:pPr>
            <w:r w:rsidRPr="004A2CC5">
              <w:rPr>
                <w:lang w:val="es-ES_tradnl"/>
              </w:rPr>
              <w:t>Diversidad e inclusión</w:t>
            </w:r>
          </w:p>
        </w:tc>
        <w:tc>
          <w:tcPr>
            <w:tcW w:w="7067" w:type="dxa"/>
          </w:tcPr>
          <w:p w14:paraId="3D5474B9"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Número de países que han desarrollado una política y una estrategia de inclusión digital a escala nacional.</w:t>
            </w:r>
          </w:p>
        </w:tc>
      </w:tr>
      <w:tr w:rsidR="00F33FC8" w:rsidRPr="00B6045A" w14:paraId="5121ED82" w14:textId="77777777" w:rsidTr="004E72A0">
        <w:tc>
          <w:tcPr>
            <w:cnfStyle w:val="001000000000" w:firstRow="0" w:lastRow="0" w:firstColumn="1" w:lastColumn="0" w:oddVBand="0" w:evenVBand="0" w:oddHBand="0" w:evenHBand="0" w:firstRowFirstColumn="0" w:firstRowLastColumn="0" w:lastRowFirstColumn="0" w:lastRowLastColumn="0"/>
            <w:tcW w:w="2561" w:type="dxa"/>
          </w:tcPr>
          <w:p w14:paraId="0C62EF98" w14:textId="77777777" w:rsidR="00F33FC8" w:rsidRPr="004A2CC5" w:rsidRDefault="00F33FC8" w:rsidP="008C5AD4">
            <w:pPr>
              <w:pStyle w:val="Tabletext"/>
              <w:rPr>
                <w:lang w:val="es-ES_tradnl"/>
              </w:rPr>
            </w:pPr>
            <w:r w:rsidRPr="004A2CC5">
              <w:rPr>
                <w:lang w:val="es-ES_tradnl"/>
              </w:rPr>
              <w:t>Compromiso con la sostenibilidad medioambiental</w:t>
            </w:r>
          </w:p>
        </w:tc>
        <w:tc>
          <w:tcPr>
            <w:tcW w:w="7067" w:type="dxa"/>
          </w:tcPr>
          <w:p w14:paraId="4A8E5364"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países que han adoptado políticas, leyes o reglamentos en materia de residuos electrónicos a escala nacional.</w:t>
            </w:r>
          </w:p>
        </w:tc>
      </w:tr>
      <w:tr w:rsidR="00F33FC8" w:rsidRPr="00B6045A" w14:paraId="76C44B0F" w14:textId="77777777" w:rsidTr="004E7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dxa"/>
          </w:tcPr>
          <w:p w14:paraId="1DA16753" w14:textId="77777777" w:rsidR="00F33FC8" w:rsidRPr="004A2CC5" w:rsidRDefault="00F33FC8" w:rsidP="008C5AD4">
            <w:pPr>
              <w:pStyle w:val="Tabletext"/>
              <w:rPr>
                <w:lang w:val="es-ES_tradnl"/>
              </w:rPr>
            </w:pPr>
            <w:r w:rsidRPr="004A2CC5">
              <w:rPr>
                <w:lang w:val="es-ES_tradnl"/>
              </w:rPr>
              <w:t>Impulso de los miembros</w:t>
            </w:r>
          </w:p>
        </w:tc>
        <w:tc>
          <w:tcPr>
            <w:tcW w:w="7067" w:type="dxa"/>
          </w:tcPr>
          <w:p w14:paraId="54059F7C"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position w:val="6"/>
                <w:lang w:val="es-ES_tradnl"/>
              </w:rPr>
            </w:pPr>
            <w:r w:rsidRPr="004A2CC5">
              <w:rPr>
                <w:lang w:val="es-ES_tradnl"/>
              </w:rPr>
              <w:t>Número de nuevos miembros del UIT-D.</w:t>
            </w:r>
          </w:p>
        </w:tc>
      </w:tr>
      <w:tr w:rsidR="00F33FC8" w:rsidRPr="00B6045A" w14:paraId="054390E9" w14:textId="77777777" w:rsidTr="004E72A0">
        <w:trPr>
          <w:trHeight w:val="195"/>
        </w:trPr>
        <w:tc>
          <w:tcPr>
            <w:cnfStyle w:val="001000000000" w:firstRow="0" w:lastRow="0" w:firstColumn="1" w:lastColumn="0" w:oddVBand="0" w:evenVBand="0" w:oddHBand="0" w:evenHBand="0" w:firstRowFirstColumn="0" w:firstRowLastColumn="0" w:lastRowFirstColumn="0" w:lastRowLastColumn="0"/>
            <w:tcW w:w="2561" w:type="dxa"/>
            <w:vMerge w:val="restart"/>
          </w:tcPr>
          <w:p w14:paraId="638077AE" w14:textId="77777777" w:rsidR="00F33FC8" w:rsidRPr="004A2CC5" w:rsidRDefault="00F33FC8" w:rsidP="008C5AD4">
            <w:pPr>
              <w:pStyle w:val="Tabletext"/>
              <w:rPr>
                <w:rFonts w:cstheme="minorBidi"/>
                <w:lang w:val="es-ES_tradnl"/>
              </w:rPr>
            </w:pPr>
            <w:r w:rsidRPr="004A2CC5">
              <w:rPr>
                <w:lang w:val="es-ES_tradnl"/>
              </w:rPr>
              <w:t>Excelencia en los recursos humanos e innovación institucional</w:t>
            </w:r>
          </w:p>
        </w:tc>
        <w:tc>
          <w:tcPr>
            <w:tcW w:w="7067" w:type="dxa"/>
          </w:tcPr>
          <w:p w14:paraId="527C4A84" w14:textId="783D5C25"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rFonts w:cstheme="minorBidi"/>
                <w:lang w:val="es-ES_tradnl"/>
              </w:rPr>
            </w:pPr>
            <w:r w:rsidRPr="004A2CC5">
              <w:rPr>
                <w:rFonts w:cstheme="minorBidi"/>
                <w:lang w:val="es-ES_tradnl"/>
              </w:rPr>
              <w:t>Número de iniciativas de formación y desarrollo del personal emprendidas</w:t>
            </w:r>
            <w:r w:rsidR="00D40DD9">
              <w:rPr>
                <w:rFonts w:cstheme="minorBidi"/>
                <w:lang w:val="es-ES_tradnl"/>
              </w:rPr>
              <w:t xml:space="preserve"> </w:t>
            </w:r>
            <w:r w:rsidR="00D40DD9" w:rsidRPr="00D40DD9">
              <w:rPr>
                <w:rFonts w:cstheme="minorBidi"/>
                <w:lang w:val="es-ES_tradnl"/>
              </w:rPr>
              <w:t>por el personal de la BDT</w:t>
            </w:r>
            <w:r w:rsidRPr="004A2CC5">
              <w:rPr>
                <w:rFonts w:cstheme="minorBidi"/>
                <w:lang w:val="es-ES_tradnl"/>
              </w:rPr>
              <w:t>.</w:t>
            </w:r>
          </w:p>
        </w:tc>
      </w:tr>
      <w:tr w:rsidR="00F33FC8" w:rsidRPr="00B6045A" w14:paraId="14F13A0D" w14:textId="77777777" w:rsidTr="004E72A0">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561" w:type="dxa"/>
            <w:vMerge/>
          </w:tcPr>
          <w:p w14:paraId="0C1ADDCA" w14:textId="77777777" w:rsidR="00F33FC8" w:rsidRPr="004A2CC5" w:rsidRDefault="00F33FC8" w:rsidP="008C5AD4">
            <w:pPr>
              <w:pStyle w:val="Tabletext"/>
              <w:rPr>
                <w:lang w:val="es-ES_tradnl"/>
              </w:rPr>
            </w:pPr>
          </w:p>
        </w:tc>
        <w:tc>
          <w:tcPr>
            <w:tcW w:w="7067" w:type="dxa"/>
          </w:tcPr>
          <w:p w14:paraId="7DBB4920"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rFonts w:cstheme="minorBidi"/>
                <w:lang w:val="es-ES_tradnl"/>
              </w:rPr>
            </w:pPr>
            <w:r w:rsidRPr="004A2CC5">
              <w:rPr>
                <w:rFonts w:cstheme="minorBidi"/>
                <w:lang w:val="es-ES_tradnl"/>
              </w:rPr>
              <w:t>Nivel medio de rendimiento del personal.</w:t>
            </w:r>
          </w:p>
        </w:tc>
      </w:tr>
      <w:tr w:rsidR="00F33FC8" w:rsidRPr="00B6045A" w14:paraId="586C9BFD" w14:textId="77777777" w:rsidTr="004E72A0">
        <w:trPr>
          <w:trHeight w:val="195"/>
        </w:trPr>
        <w:tc>
          <w:tcPr>
            <w:cnfStyle w:val="001000000000" w:firstRow="0" w:lastRow="0" w:firstColumn="1" w:lastColumn="0" w:oddVBand="0" w:evenVBand="0" w:oddHBand="0" w:evenHBand="0" w:firstRowFirstColumn="0" w:firstRowLastColumn="0" w:lastRowFirstColumn="0" w:lastRowLastColumn="0"/>
            <w:tcW w:w="2561" w:type="dxa"/>
            <w:vMerge/>
          </w:tcPr>
          <w:p w14:paraId="054CCE15" w14:textId="77777777" w:rsidR="00F33FC8" w:rsidRPr="004A2CC5" w:rsidRDefault="00F33FC8" w:rsidP="008C5AD4">
            <w:pPr>
              <w:pStyle w:val="Tabletext"/>
              <w:rPr>
                <w:lang w:val="es-ES_tradnl"/>
              </w:rPr>
            </w:pPr>
          </w:p>
        </w:tc>
        <w:tc>
          <w:tcPr>
            <w:tcW w:w="7067" w:type="dxa"/>
          </w:tcPr>
          <w:p w14:paraId="6E8AA86F"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rFonts w:cstheme="minorBidi"/>
                <w:lang w:val="es-ES_tradnl"/>
              </w:rPr>
            </w:pPr>
            <w:r w:rsidRPr="004A2CC5">
              <w:rPr>
                <w:rFonts w:cstheme="minorBidi"/>
                <w:lang w:val="es-ES_tradnl"/>
              </w:rPr>
              <w:t>Porcentaje de ejecución del presupuesto del Plan Operacional.</w:t>
            </w:r>
          </w:p>
        </w:tc>
      </w:tr>
      <w:tr w:rsidR="00F33FC8" w:rsidRPr="00B6045A" w14:paraId="453CAACA" w14:textId="77777777" w:rsidTr="004E72A0">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561" w:type="dxa"/>
            <w:vMerge/>
          </w:tcPr>
          <w:p w14:paraId="59A927E1" w14:textId="77777777" w:rsidR="00F33FC8" w:rsidRPr="004A2CC5" w:rsidRDefault="00F33FC8" w:rsidP="008C5AD4">
            <w:pPr>
              <w:pStyle w:val="Tabletext"/>
              <w:rPr>
                <w:lang w:val="es-ES_tradnl"/>
              </w:rPr>
            </w:pPr>
          </w:p>
        </w:tc>
        <w:tc>
          <w:tcPr>
            <w:tcW w:w="7067" w:type="dxa"/>
          </w:tcPr>
          <w:p w14:paraId="496BBCF4"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rFonts w:cstheme="minorBidi"/>
                <w:color w:val="000000"/>
                <w:lang w:val="es-ES_tradnl"/>
              </w:rPr>
            </w:pPr>
            <w:r w:rsidRPr="004A2CC5">
              <w:rPr>
                <w:rFonts w:cstheme="minorBidi"/>
                <w:color w:val="000000" w:themeColor="text1"/>
                <w:lang w:val="es-ES_tradnl"/>
              </w:rPr>
              <w:t>Número de acuerdos sobre proyectos firmados al año.</w:t>
            </w:r>
          </w:p>
        </w:tc>
      </w:tr>
      <w:tr w:rsidR="00F33FC8" w:rsidRPr="00B6045A" w14:paraId="47CD045F" w14:textId="77777777" w:rsidTr="004E72A0">
        <w:trPr>
          <w:trHeight w:val="195"/>
        </w:trPr>
        <w:tc>
          <w:tcPr>
            <w:cnfStyle w:val="001000000000" w:firstRow="0" w:lastRow="0" w:firstColumn="1" w:lastColumn="0" w:oddVBand="0" w:evenVBand="0" w:oddHBand="0" w:evenHBand="0" w:firstRowFirstColumn="0" w:firstRowLastColumn="0" w:lastRowFirstColumn="0" w:lastRowLastColumn="0"/>
            <w:tcW w:w="2561" w:type="dxa"/>
            <w:vMerge/>
          </w:tcPr>
          <w:p w14:paraId="4370F288" w14:textId="77777777" w:rsidR="00F33FC8" w:rsidRPr="004A2CC5" w:rsidRDefault="00F33FC8" w:rsidP="008C5AD4">
            <w:pPr>
              <w:pStyle w:val="Tabletext"/>
              <w:rPr>
                <w:lang w:val="es-ES_tradnl"/>
              </w:rPr>
            </w:pPr>
          </w:p>
        </w:tc>
        <w:tc>
          <w:tcPr>
            <w:tcW w:w="7067" w:type="dxa"/>
          </w:tcPr>
          <w:p w14:paraId="5F151B81"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Porcentaje de proyectos en curso.</w:t>
            </w:r>
          </w:p>
        </w:tc>
      </w:tr>
      <w:tr w:rsidR="00F33FC8" w:rsidRPr="00B6045A" w14:paraId="1446B22A" w14:textId="77777777" w:rsidTr="004E7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dxa"/>
          </w:tcPr>
          <w:p w14:paraId="1F2D888E" w14:textId="77777777" w:rsidR="00F33FC8" w:rsidRPr="004A2CC5" w:rsidRDefault="00F33FC8" w:rsidP="008C5AD4">
            <w:pPr>
              <w:pStyle w:val="Tabletext"/>
              <w:rPr>
                <w:rFonts w:cstheme="minorBidi"/>
                <w:lang w:val="es-ES_tradnl"/>
              </w:rPr>
            </w:pPr>
            <w:r w:rsidRPr="004A2CC5">
              <w:rPr>
                <w:rFonts w:cstheme="minorBidi"/>
                <w:lang w:val="es-ES_tradnl"/>
              </w:rPr>
              <w:t>Presencia regional</w:t>
            </w:r>
          </w:p>
        </w:tc>
        <w:tc>
          <w:tcPr>
            <w:tcW w:w="7067" w:type="dxa"/>
          </w:tcPr>
          <w:p w14:paraId="30DC7379"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Número de acuerdos de desarrollo de las TIC ejecutados en colaboración con organismos de las Naciones Unidas y otros asociados.</w:t>
            </w:r>
          </w:p>
        </w:tc>
      </w:tr>
    </w:tbl>
    <w:p w14:paraId="772DBA7D" w14:textId="77777777" w:rsidR="00F33FC8" w:rsidRPr="004A2CC5" w:rsidRDefault="00F33FC8" w:rsidP="00F33FC8">
      <w:pPr>
        <w:tabs>
          <w:tab w:val="clear" w:pos="794"/>
          <w:tab w:val="clear" w:pos="1191"/>
          <w:tab w:val="clear" w:pos="1588"/>
          <w:tab w:val="clear" w:pos="1985"/>
        </w:tabs>
        <w:overflowPunct/>
        <w:autoSpaceDE/>
        <w:autoSpaceDN/>
        <w:adjustRightInd/>
        <w:spacing w:after="120"/>
        <w:textAlignment w:val="auto"/>
        <w:rPr>
          <w:rFonts w:ascii="Calibri" w:eastAsia="Calibri" w:hAnsi="Calibri"/>
          <w:lang w:val="es-ES_tradnl"/>
        </w:rPr>
      </w:pPr>
    </w:p>
    <w:tbl>
      <w:tblPr>
        <w:tblStyle w:val="GridTable4-Accent1"/>
        <w:tblW w:w="5000" w:type="pct"/>
        <w:tblLook w:val="04A0" w:firstRow="1" w:lastRow="0" w:firstColumn="1" w:lastColumn="0" w:noHBand="0" w:noVBand="1"/>
      </w:tblPr>
      <w:tblGrid>
        <w:gridCol w:w="2515"/>
        <w:gridCol w:w="7113"/>
      </w:tblGrid>
      <w:tr w:rsidR="00F33FC8" w:rsidRPr="00B6045A" w14:paraId="45B4DCA5" w14:textId="77777777" w:rsidTr="004E7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30584752" w14:textId="77777777" w:rsidR="00F33FC8" w:rsidRPr="004A2CC5" w:rsidRDefault="00F33FC8" w:rsidP="008C5AD4">
            <w:pPr>
              <w:pStyle w:val="Tablehead"/>
              <w:rPr>
                <w:b/>
                <w:lang w:val="es-ES_tradnl"/>
              </w:rPr>
            </w:pPr>
            <w:r w:rsidRPr="004A2CC5">
              <w:rPr>
                <w:b/>
                <w:lang w:val="es-ES_tradnl"/>
              </w:rPr>
              <w:t>Indicadores atinentes a los productos (productos y servicios del UIT-D)</w:t>
            </w:r>
          </w:p>
        </w:tc>
      </w:tr>
      <w:tr w:rsidR="00F33FC8" w:rsidRPr="00B6045A" w14:paraId="304B7C15" w14:textId="77777777" w:rsidTr="004E72A0">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515" w:type="dxa"/>
            <w:vMerge w:val="restart"/>
          </w:tcPr>
          <w:p w14:paraId="46818733" w14:textId="77777777" w:rsidR="00F33FC8" w:rsidRPr="004A2CC5" w:rsidRDefault="00F33FC8" w:rsidP="008C5AD4">
            <w:pPr>
              <w:pStyle w:val="Tabletext"/>
              <w:rPr>
                <w:lang w:val="es-ES_tradnl"/>
              </w:rPr>
            </w:pPr>
            <w:r w:rsidRPr="004A2CC5">
              <w:rPr>
                <w:lang w:val="es-ES_tradnl"/>
              </w:rPr>
              <w:t>Elaboración de marcos políticos y productos de conocimiento</w:t>
            </w:r>
          </w:p>
        </w:tc>
        <w:tc>
          <w:tcPr>
            <w:tcW w:w="7113" w:type="dxa"/>
          </w:tcPr>
          <w:p w14:paraId="722C8086" w14:textId="724C4FB6"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Número de manuales, informes técnicos y documentos elaborados</w:t>
            </w:r>
            <w:r w:rsidR="0060047B" w:rsidRPr="004A2CC5">
              <w:rPr>
                <w:rStyle w:val="FootnoteReference"/>
                <w:lang w:val="es-ES_tradnl"/>
              </w:rPr>
              <w:footnoteReference w:id="2"/>
            </w:r>
            <w:r w:rsidRPr="004A2CC5">
              <w:rPr>
                <w:lang w:val="es-ES_tradnl"/>
              </w:rPr>
              <w:t>.</w:t>
            </w:r>
          </w:p>
        </w:tc>
      </w:tr>
      <w:tr w:rsidR="00F33FC8" w:rsidRPr="00B6045A" w14:paraId="5E9200E6" w14:textId="77777777" w:rsidTr="004E72A0">
        <w:trPr>
          <w:trHeight w:val="90"/>
        </w:trPr>
        <w:tc>
          <w:tcPr>
            <w:cnfStyle w:val="001000000000" w:firstRow="0" w:lastRow="0" w:firstColumn="1" w:lastColumn="0" w:oddVBand="0" w:evenVBand="0" w:oddHBand="0" w:evenHBand="0" w:firstRowFirstColumn="0" w:firstRowLastColumn="0" w:lastRowFirstColumn="0" w:lastRowLastColumn="0"/>
            <w:tcW w:w="2515" w:type="dxa"/>
            <w:vMerge/>
          </w:tcPr>
          <w:p w14:paraId="5AE3FE94" w14:textId="77777777" w:rsidR="00F33FC8" w:rsidRPr="004A2CC5" w:rsidRDefault="00F33FC8" w:rsidP="008C5AD4">
            <w:pPr>
              <w:pStyle w:val="Tabletext"/>
              <w:rPr>
                <w:lang w:val="es-ES_tradnl"/>
              </w:rPr>
            </w:pPr>
          </w:p>
        </w:tc>
        <w:tc>
          <w:tcPr>
            <w:tcW w:w="7113" w:type="dxa"/>
          </w:tcPr>
          <w:p w14:paraId="77AA6282"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Estados Miembros que han recibido ayuda a efectos de la elaboración de marcos políticos.</w:t>
            </w:r>
          </w:p>
        </w:tc>
      </w:tr>
      <w:tr w:rsidR="00F33FC8" w:rsidRPr="00B6045A" w14:paraId="08082916" w14:textId="77777777" w:rsidTr="004E72A0">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515" w:type="dxa"/>
            <w:vMerge/>
          </w:tcPr>
          <w:p w14:paraId="22395225" w14:textId="77777777" w:rsidR="00F33FC8" w:rsidRPr="004A2CC5" w:rsidRDefault="00F33FC8" w:rsidP="008C5AD4">
            <w:pPr>
              <w:pStyle w:val="Tabletext"/>
              <w:rPr>
                <w:lang w:val="es-ES_tradnl"/>
              </w:rPr>
            </w:pPr>
          </w:p>
        </w:tc>
        <w:tc>
          <w:tcPr>
            <w:tcW w:w="7113" w:type="dxa"/>
          </w:tcPr>
          <w:p w14:paraId="0C112013" w14:textId="3A895ACD"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Número de herramientas/marcos/recursos elaborados.</w:t>
            </w:r>
          </w:p>
        </w:tc>
      </w:tr>
      <w:tr w:rsidR="00F33FC8" w:rsidRPr="00B6045A" w14:paraId="6FD71892" w14:textId="77777777" w:rsidTr="004E72A0">
        <w:trPr>
          <w:trHeight w:val="90"/>
        </w:trPr>
        <w:tc>
          <w:tcPr>
            <w:cnfStyle w:val="001000000000" w:firstRow="0" w:lastRow="0" w:firstColumn="1" w:lastColumn="0" w:oddVBand="0" w:evenVBand="0" w:oddHBand="0" w:evenHBand="0" w:firstRowFirstColumn="0" w:firstRowLastColumn="0" w:lastRowFirstColumn="0" w:lastRowLastColumn="0"/>
            <w:tcW w:w="2515" w:type="dxa"/>
            <w:vMerge/>
          </w:tcPr>
          <w:p w14:paraId="3C1CDC9A" w14:textId="77777777" w:rsidR="00F33FC8" w:rsidRPr="004A2CC5" w:rsidRDefault="00F33FC8" w:rsidP="008C5AD4">
            <w:pPr>
              <w:pStyle w:val="Tabletext"/>
              <w:rPr>
                <w:lang w:val="es-ES_tradnl"/>
              </w:rPr>
            </w:pPr>
          </w:p>
        </w:tc>
        <w:tc>
          <w:tcPr>
            <w:tcW w:w="7113" w:type="dxa"/>
          </w:tcPr>
          <w:p w14:paraId="3A47CED8"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directrices de prácticas idóneas elaboradas.</w:t>
            </w:r>
          </w:p>
        </w:tc>
      </w:tr>
      <w:tr w:rsidR="00F33FC8" w:rsidRPr="00B6045A" w14:paraId="4B8506CB" w14:textId="77777777" w:rsidTr="004E72A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515" w:type="dxa"/>
            <w:vMerge w:val="restart"/>
            <w:shd w:val="clear" w:color="auto" w:fill="FFFFFF" w:themeFill="background1"/>
          </w:tcPr>
          <w:p w14:paraId="29D68CA8" w14:textId="77777777" w:rsidR="00F33FC8" w:rsidRPr="004A2CC5" w:rsidRDefault="00F33FC8" w:rsidP="008C5AD4">
            <w:pPr>
              <w:pStyle w:val="Tabletext"/>
              <w:rPr>
                <w:lang w:val="es-ES_tradnl"/>
              </w:rPr>
            </w:pPr>
            <w:r w:rsidRPr="004A2CC5">
              <w:rPr>
                <w:lang w:val="es-ES_tradnl"/>
              </w:rPr>
              <w:t>Capacitación</w:t>
            </w:r>
          </w:p>
        </w:tc>
        <w:tc>
          <w:tcPr>
            <w:tcW w:w="7113" w:type="dxa"/>
          </w:tcPr>
          <w:p w14:paraId="26DEC700"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Número de profesionales formados y certificados en temas relacionados con las telecomunicaciones/TIC.</w:t>
            </w:r>
          </w:p>
        </w:tc>
      </w:tr>
      <w:tr w:rsidR="00F33FC8" w:rsidRPr="00B6045A" w14:paraId="1B3A4A7E" w14:textId="77777777" w:rsidTr="004E72A0">
        <w:trPr>
          <w:trHeight w:val="45"/>
        </w:trPr>
        <w:tc>
          <w:tcPr>
            <w:cnfStyle w:val="001000000000" w:firstRow="0" w:lastRow="0" w:firstColumn="1" w:lastColumn="0" w:oddVBand="0" w:evenVBand="0" w:oddHBand="0" w:evenHBand="0" w:firstRowFirstColumn="0" w:firstRowLastColumn="0" w:lastRowFirstColumn="0" w:lastRowLastColumn="0"/>
            <w:tcW w:w="2515" w:type="dxa"/>
            <w:vMerge/>
            <w:shd w:val="clear" w:color="auto" w:fill="FFFFFF" w:themeFill="background1"/>
          </w:tcPr>
          <w:p w14:paraId="496271A3" w14:textId="77777777" w:rsidR="00F33FC8" w:rsidRPr="004A2CC5" w:rsidRDefault="00F33FC8" w:rsidP="008C5AD4">
            <w:pPr>
              <w:pStyle w:val="Tabletext"/>
              <w:rPr>
                <w:lang w:val="es-ES_tradnl"/>
              </w:rPr>
            </w:pPr>
          </w:p>
        </w:tc>
        <w:tc>
          <w:tcPr>
            <w:tcW w:w="7113" w:type="dxa"/>
          </w:tcPr>
          <w:p w14:paraId="60AE5686"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personas formadas en competencias digitales básicas e intermedias.</w:t>
            </w:r>
          </w:p>
        </w:tc>
      </w:tr>
      <w:tr w:rsidR="00F33FC8" w:rsidRPr="00B6045A" w14:paraId="65F4534D" w14:textId="77777777" w:rsidTr="004E72A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515" w:type="dxa"/>
            <w:vMerge/>
            <w:shd w:val="clear" w:color="auto" w:fill="FFFFFF" w:themeFill="background1"/>
          </w:tcPr>
          <w:p w14:paraId="26488843" w14:textId="77777777" w:rsidR="00F33FC8" w:rsidRPr="004A2CC5" w:rsidRDefault="00F33FC8" w:rsidP="008C5AD4">
            <w:pPr>
              <w:pStyle w:val="Tabletext"/>
              <w:rPr>
                <w:lang w:val="es-ES_tradnl"/>
              </w:rPr>
            </w:pPr>
          </w:p>
        </w:tc>
        <w:tc>
          <w:tcPr>
            <w:tcW w:w="7113" w:type="dxa"/>
          </w:tcPr>
          <w:p w14:paraId="47A02691"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color w:val="000000" w:themeColor="text1"/>
                <w:lang w:val="es-ES_tradnl"/>
              </w:rPr>
              <w:t>Número de usuarios de la Academia de la UIT.</w:t>
            </w:r>
          </w:p>
        </w:tc>
      </w:tr>
      <w:tr w:rsidR="00F33FC8" w:rsidRPr="00B6045A" w14:paraId="0632AF05" w14:textId="77777777" w:rsidTr="004E72A0">
        <w:trPr>
          <w:trHeight w:val="45"/>
        </w:trPr>
        <w:tc>
          <w:tcPr>
            <w:cnfStyle w:val="001000000000" w:firstRow="0" w:lastRow="0" w:firstColumn="1" w:lastColumn="0" w:oddVBand="0" w:evenVBand="0" w:oddHBand="0" w:evenHBand="0" w:firstRowFirstColumn="0" w:firstRowLastColumn="0" w:lastRowFirstColumn="0" w:lastRowLastColumn="0"/>
            <w:tcW w:w="2515" w:type="dxa"/>
            <w:vMerge/>
            <w:shd w:val="clear" w:color="auto" w:fill="FFFFFF" w:themeFill="background1"/>
          </w:tcPr>
          <w:p w14:paraId="692CADE0" w14:textId="77777777" w:rsidR="00F33FC8" w:rsidRPr="004A2CC5" w:rsidRDefault="00F33FC8" w:rsidP="008C5AD4">
            <w:pPr>
              <w:pStyle w:val="Tabletext"/>
              <w:rPr>
                <w:lang w:val="es-ES_tradnl"/>
              </w:rPr>
            </w:pPr>
          </w:p>
        </w:tc>
        <w:tc>
          <w:tcPr>
            <w:tcW w:w="7113" w:type="dxa"/>
          </w:tcPr>
          <w:p w14:paraId="51ED3085"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s-ES_tradnl"/>
              </w:rPr>
            </w:pPr>
            <w:r w:rsidRPr="004A2CC5">
              <w:rPr>
                <w:color w:val="000000" w:themeColor="text1"/>
                <w:lang w:val="es-ES_tradnl"/>
              </w:rPr>
              <w:t>Número de personas que han participado en iniciativas de capacitación dirigidas por la BDT.</w:t>
            </w:r>
          </w:p>
          <w:p w14:paraId="14AF18B0" w14:textId="77777777" w:rsidR="004F05BF" w:rsidRPr="004A2CC5" w:rsidRDefault="004F05BF" w:rsidP="008C5AD4">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s-ES_tradnl"/>
              </w:rPr>
            </w:pPr>
          </w:p>
          <w:p w14:paraId="721762B5" w14:textId="136B4126" w:rsidR="004F05BF" w:rsidRPr="004A2CC5" w:rsidRDefault="004F05BF" w:rsidP="008C5AD4">
            <w:pPr>
              <w:pStyle w:val="Tabletext"/>
              <w:cnfStyle w:val="000000000000" w:firstRow="0" w:lastRow="0" w:firstColumn="0" w:lastColumn="0" w:oddVBand="0" w:evenVBand="0" w:oddHBand="0" w:evenHBand="0" w:firstRowFirstColumn="0" w:firstRowLastColumn="0" w:lastRowFirstColumn="0" w:lastRowLastColumn="0"/>
              <w:rPr>
                <w:color w:val="000000"/>
                <w:lang w:val="es-ES_tradnl"/>
              </w:rPr>
            </w:pPr>
          </w:p>
        </w:tc>
      </w:tr>
      <w:tr w:rsidR="00F33FC8" w:rsidRPr="00B6045A" w14:paraId="6421F1AC" w14:textId="77777777" w:rsidTr="004E72A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515" w:type="dxa"/>
            <w:vMerge w:val="restart"/>
          </w:tcPr>
          <w:p w14:paraId="617110A1" w14:textId="77777777" w:rsidR="00F33FC8" w:rsidRPr="004A2CC5" w:rsidRDefault="00F33FC8" w:rsidP="008C5AD4">
            <w:pPr>
              <w:pStyle w:val="Tabletext"/>
              <w:rPr>
                <w:lang w:val="es-ES_tradnl"/>
              </w:rPr>
            </w:pPr>
            <w:r w:rsidRPr="004A2CC5">
              <w:rPr>
                <w:lang w:val="es-ES_tradnl"/>
              </w:rPr>
              <w:lastRenderedPageBreak/>
              <w:t>Suministro de datos y estadísticas</w:t>
            </w:r>
          </w:p>
        </w:tc>
        <w:tc>
          <w:tcPr>
            <w:tcW w:w="7113" w:type="dxa"/>
          </w:tcPr>
          <w:p w14:paraId="4997EB12" w14:textId="426D5013"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Número de puntos de datos disponibles en el conjunto de datos publicado.</w:t>
            </w:r>
          </w:p>
        </w:tc>
      </w:tr>
      <w:tr w:rsidR="00F33FC8" w:rsidRPr="00B6045A" w14:paraId="6CB7ED86" w14:textId="77777777" w:rsidTr="004E72A0">
        <w:trPr>
          <w:trHeight w:val="45"/>
        </w:trPr>
        <w:tc>
          <w:tcPr>
            <w:cnfStyle w:val="001000000000" w:firstRow="0" w:lastRow="0" w:firstColumn="1" w:lastColumn="0" w:oddVBand="0" w:evenVBand="0" w:oddHBand="0" w:evenHBand="0" w:firstRowFirstColumn="0" w:firstRowLastColumn="0" w:lastRowFirstColumn="0" w:lastRowLastColumn="0"/>
            <w:tcW w:w="2515" w:type="dxa"/>
            <w:vMerge/>
          </w:tcPr>
          <w:p w14:paraId="05412F0D" w14:textId="77777777" w:rsidR="00F33FC8" w:rsidRPr="004A2CC5" w:rsidRDefault="00F33FC8" w:rsidP="008C5AD4">
            <w:pPr>
              <w:pStyle w:val="Tabletext"/>
              <w:rPr>
                <w:lang w:val="es-ES_tradnl"/>
              </w:rPr>
            </w:pPr>
          </w:p>
        </w:tc>
        <w:tc>
          <w:tcPr>
            <w:tcW w:w="7113" w:type="dxa"/>
          </w:tcPr>
          <w:p w14:paraId="30B6B7DA"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usuarios semanales del Centro de Datos de la UIT.</w:t>
            </w:r>
          </w:p>
        </w:tc>
      </w:tr>
      <w:tr w:rsidR="00F33FC8" w:rsidRPr="00B6045A" w14:paraId="7A98C18F" w14:textId="77777777" w:rsidTr="004E72A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515" w:type="dxa"/>
            <w:vMerge/>
          </w:tcPr>
          <w:p w14:paraId="67202AE2" w14:textId="77777777" w:rsidR="00F33FC8" w:rsidRPr="004A2CC5" w:rsidRDefault="00F33FC8" w:rsidP="008C5AD4">
            <w:pPr>
              <w:pStyle w:val="Tabletext"/>
              <w:rPr>
                <w:lang w:val="es-ES_tradnl"/>
              </w:rPr>
            </w:pPr>
          </w:p>
        </w:tc>
        <w:tc>
          <w:tcPr>
            <w:tcW w:w="7113" w:type="dxa"/>
          </w:tcPr>
          <w:p w14:paraId="581A0E05"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Porcentaje de Estados Miembros que aprueban la nueva metodología del IDT.</w:t>
            </w:r>
          </w:p>
        </w:tc>
      </w:tr>
      <w:tr w:rsidR="00F33FC8" w:rsidRPr="00B6045A" w14:paraId="401DAA37" w14:textId="77777777" w:rsidTr="004E72A0">
        <w:trPr>
          <w:trHeight w:val="45"/>
        </w:trPr>
        <w:tc>
          <w:tcPr>
            <w:cnfStyle w:val="001000000000" w:firstRow="0" w:lastRow="0" w:firstColumn="1" w:lastColumn="0" w:oddVBand="0" w:evenVBand="0" w:oddHBand="0" w:evenHBand="0" w:firstRowFirstColumn="0" w:firstRowLastColumn="0" w:lastRowFirstColumn="0" w:lastRowLastColumn="0"/>
            <w:tcW w:w="2515" w:type="dxa"/>
            <w:vMerge/>
          </w:tcPr>
          <w:p w14:paraId="514692CB" w14:textId="77777777" w:rsidR="00F33FC8" w:rsidRPr="004A2CC5" w:rsidRDefault="00F33FC8" w:rsidP="008C5AD4">
            <w:pPr>
              <w:pStyle w:val="Tabletext"/>
              <w:rPr>
                <w:lang w:val="es-ES_tradnl"/>
              </w:rPr>
            </w:pPr>
          </w:p>
        </w:tc>
        <w:tc>
          <w:tcPr>
            <w:tcW w:w="7113" w:type="dxa"/>
          </w:tcPr>
          <w:p w14:paraId="1B7A5BBA"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empresas digitales objeto de seguimiento para supervisar las emisiones, el uso de la energía y los compromisos climáticos.</w:t>
            </w:r>
          </w:p>
        </w:tc>
      </w:tr>
      <w:tr w:rsidR="00F33FC8" w:rsidRPr="00B6045A" w14:paraId="44BCEBF0" w14:textId="77777777" w:rsidTr="004E72A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515" w:type="dxa"/>
            <w:vMerge w:val="restart"/>
            <w:shd w:val="clear" w:color="auto" w:fill="FFFFFF" w:themeFill="background1"/>
          </w:tcPr>
          <w:p w14:paraId="4D17C9EF" w14:textId="77777777" w:rsidR="00F33FC8" w:rsidRPr="004A2CC5" w:rsidRDefault="00F33FC8" w:rsidP="008C5AD4">
            <w:pPr>
              <w:pStyle w:val="Tabletext"/>
              <w:rPr>
                <w:lang w:val="es-ES_tradnl"/>
              </w:rPr>
            </w:pPr>
            <w:r w:rsidRPr="004A2CC5">
              <w:rPr>
                <w:lang w:val="es-ES_tradnl"/>
              </w:rPr>
              <w:t>Prestación de asistencia técnica</w:t>
            </w:r>
          </w:p>
        </w:tc>
        <w:tc>
          <w:tcPr>
            <w:tcW w:w="7113" w:type="dxa"/>
          </w:tcPr>
          <w:p w14:paraId="24AABA61"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Número de Estados Miembros que han recibido asistencia técnica.</w:t>
            </w:r>
          </w:p>
        </w:tc>
      </w:tr>
      <w:tr w:rsidR="00F33FC8" w:rsidRPr="00B6045A" w14:paraId="2A736C41" w14:textId="77777777" w:rsidTr="004E72A0">
        <w:trPr>
          <w:trHeight w:val="45"/>
        </w:trPr>
        <w:tc>
          <w:tcPr>
            <w:cnfStyle w:val="001000000000" w:firstRow="0" w:lastRow="0" w:firstColumn="1" w:lastColumn="0" w:oddVBand="0" w:evenVBand="0" w:oddHBand="0" w:evenHBand="0" w:firstRowFirstColumn="0" w:firstRowLastColumn="0" w:lastRowFirstColumn="0" w:lastRowLastColumn="0"/>
            <w:tcW w:w="2515" w:type="dxa"/>
            <w:vMerge/>
            <w:shd w:val="clear" w:color="auto" w:fill="FFFFFF" w:themeFill="background1"/>
          </w:tcPr>
          <w:p w14:paraId="1EB421B8" w14:textId="77777777" w:rsidR="00F33FC8" w:rsidRPr="004A2CC5" w:rsidRDefault="00F33FC8" w:rsidP="008C5AD4">
            <w:pPr>
              <w:pStyle w:val="Tabletext"/>
              <w:rPr>
                <w:lang w:val="es-ES_tradnl"/>
              </w:rPr>
            </w:pPr>
          </w:p>
        </w:tc>
        <w:tc>
          <w:tcPr>
            <w:tcW w:w="7113" w:type="dxa"/>
          </w:tcPr>
          <w:p w14:paraId="7F7E46EA"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Resoluciones de la CMDT aplicadas.</w:t>
            </w:r>
          </w:p>
        </w:tc>
      </w:tr>
      <w:tr w:rsidR="00F33FC8" w:rsidRPr="00B6045A" w14:paraId="61747822" w14:textId="77777777" w:rsidTr="004E72A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515" w:type="dxa"/>
            <w:vMerge/>
            <w:shd w:val="clear" w:color="auto" w:fill="FFFFFF" w:themeFill="background1"/>
          </w:tcPr>
          <w:p w14:paraId="290CCD29" w14:textId="77777777" w:rsidR="00F33FC8" w:rsidRPr="004A2CC5" w:rsidRDefault="00F33FC8" w:rsidP="008C5AD4">
            <w:pPr>
              <w:pStyle w:val="Tabletext"/>
              <w:rPr>
                <w:lang w:val="es-ES_tradnl"/>
              </w:rPr>
            </w:pPr>
          </w:p>
        </w:tc>
        <w:tc>
          <w:tcPr>
            <w:tcW w:w="7113" w:type="dxa"/>
          </w:tcPr>
          <w:p w14:paraId="6B2765AC"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4A2CC5">
              <w:rPr>
                <w:lang w:val="es-ES_tradnl"/>
              </w:rPr>
              <w:t>Número de acuerdos sobre proyectos firmados al año.</w:t>
            </w:r>
          </w:p>
        </w:tc>
      </w:tr>
      <w:tr w:rsidR="00F33FC8" w:rsidRPr="00B6045A" w14:paraId="23155D26" w14:textId="77777777" w:rsidTr="004E72A0">
        <w:trPr>
          <w:trHeight w:val="45"/>
        </w:trPr>
        <w:tc>
          <w:tcPr>
            <w:cnfStyle w:val="001000000000" w:firstRow="0" w:lastRow="0" w:firstColumn="1" w:lastColumn="0" w:oddVBand="0" w:evenVBand="0" w:oddHBand="0" w:evenHBand="0" w:firstRowFirstColumn="0" w:firstRowLastColumn="0" w:lastRowFirstColumn="0" w:lastRowLastColumn="0"/>
            <w:tcW w:w="2515" w:type="dxa"/>
            <w:vMerge w:val="restart"/>
          </w:tcPr>
          <w:p w14:paraId="4C31ABE8" w14:textId="77777777" w:rsidR="00F33FC8" w:rsidRPr="004A2CC5" w:rsidRDefault="00F33FC8" w:rsidP="008C5AD4">
            <w:pPr>
              <w:pStyle w:val="Tabletext"/>
              <w:rPr>
                <w:lang w:val="es-ES_tradnl"/>
              </w:rPr>
            </w:pPr>
            <w:r w:rsidRPr="004A2CC5">
              <w:rPr>
                <w:lang w:val="es-ES_tradnl"/>
              </w:rPr>
              <w:t>Creación de plataformas</w:t>
            </w:r>
          </w:p>
        </w:tc>
        <w:tc>
          <w:tcPr>
            <w:tcW w:w="7113" w:type="dxa"/>
          </w:tcPr>
          <w:p w14:paraId="289CD147"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acuerdos de asociación firmados.</w:t>
            </w:r>
          </w:p>
        </w:tc>
      </w:tr>
      <w:tr w:rsidR="00F33FC8" w:rsidRPr="00B6045A" w14:paraId="6AC47C44" w14:textId="77777777" w:rsidTr="004E72A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515" w:type="dxa"/>
            <w:vMerge/>
          </w:tcPr>
          <w:p w14:paraId="05A331CE" w14:textId="77777777" w:rsidR="00F33FC8" w:rsidRPr="004A2CC5" w:rsidRDefault="00F33FC8" w:rsidP="008C5AD4">
            <w:pPr>
              <w:pStyle w:val="Tabletext"/>
              <w:rPr>
                <w:lang w:val="es-ES_tradnl"/>
              </w:rPr>
            </w:pPr>
          </w:p>
        </w:tc>
        <w:tc>
          <w:tcPr>
            <w:tcW w:w="7113" w:type="dxa"/>
          </w:tcPr>
          <w:p w14:paraId="60BA6BC0" w14:textId="77777777" w:rsidR="00F33FC8" w:rsidRPr="004A2CC5" w:rsidRDefault="00F33FC8" w:rsidP="008C5AD4">
            <w:pPr>
              <w:pStyle w:val="Tabletext"/>
              <w:cnfStyle w:val="000000100000" w:firstRow="0" w:lastRow="0" w:firstColumn="0" w:lastColumn="0" w:oddVBand="0" w:evenVBand="0" w:oddHBand="1" w:evenHBand="0" w:firstRowFirstColumn="0" w:firstRowLastColumn="0" w:lastRowFirstColumn="0" w:lastRowLastColumn="0"/>
              <w:rPr>
                <w:highlight w:val="yellow"/>
                <w:lang w:val="es-ES_tradnl"/>
              </w:rPr>
            </w:pPr>
            <w:r w:rsidRPr="004A2CC5">
              <w:rPr>
                <w:lang w:val="es-ES_tradnl"/>
              </w:rPr>
              <w:t>Porcentaje de acuerdos de asociación firmados con organismos de las Naciones Unidas para alcanzar los Objetivos de Desarrollo Sostenible (ODS) relacionados con cuestiones de desarrollo de las telecomunicaciones/TIC.</w:t>
            </w:r>
          </w:p>
        </w:tc>
      </w:tr>
      <w:tr w:rsidR="00F33FC8" w:rsidRPr="00B6045A" w14:paraId="7323D622" w14:textId="77777777" w:rsidTr="004E72A0">
        <w:trPr>
          <w:trHeight w:val="45"/>
        </w:trPr>
        <w:tc>
          <w:tcPr>
            <w:cnfStyle w:val="001000000000" w:firstRow="0" w:lastRow="0" w:firstColumn="1" w:lastColumn="0" w:oddVBand="0" w:evenVBand="0" w:oddHBand="0" w:evenHBand="0" w:firstRowFirstColumn="0" w:firstRowLastColumn="0" w:lastRowFirstColumn="0" w:lastRowLastColumn="0"/>
            <w:tcW w:w="2515" w:type="dxa"/>
            <w:vMerge/>
          </w:tcPr>
          <w:p w14:paraId="0EE01C8A" w14:textId="77777777" w:rsidR="00F33FC8" w:rsidRPr="004A2CC5" w:rsidRDefault="00F33FC8" w:rsidP="008C5AD4">
            <w:pPr>
              <w:pStyle w:val="Tabletext"/>
              <w:rPr>
                <w:lang w:val="es-ES_tradnl"/>
              </w:rPr>
            </w:pPr>
          </w:p>
        </w:tc>
        <w:tc>
          <w:tcPr>
            <w:tcW w:w="7113" w:type="dxa"/>
          </w:tcPr>
          <w:p w14:paraId="46B399E6" w14:textId="77777777" w:rsidR="00F33FC8" w:rsidRPr="004A2CC5" w:rsidRDefault="00F33FC8" w:rsidP="008C5A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4A2CC5">
              <w:rPr>
                <w:lang w:val="es-ES_tradnl"/>
              </w:rPr>
              <w:t>Número de participantes en foros de desarrollo regional (FDR), diálogos regionales y otros eventos dirigidos por la BDT.</w:t>
            </w:r>
          </w:p>
        </w:tc>
      </w:tr>
    </w:tbl>
    <w:p w14:paraId="40DABE6D" w14:textId="77777777" w:rsidR="00F33FC8" w:rsidRPr="004A2CC5" w:rsidRDefault="00F33FC8" w:rsidP="00F33FC8">
      <w:pPr>
        <w:tabs>
          <w:tab w:val="clear" w:pos="794"/>
          <w:tab w:val="clear" w:pos="1191"/>
          <w:tab w:val="clear" w:pos="1588"/>
          <w:tab w:val="clear" w:pos="1985"/>
        </w:tabs>
        <w:overflowPunct/>
        <w:autoSpaceDE/>
        <w:autoSpaceDN/>
        <w:adjustRightInd/>
        <w:spacing w:after="120"/>
        <w:textAlignment w:val="auto"/>
        <w:rPr>
          <w:rFonts w:ascii="Calibri" w:eastAsia="Calibri" w:hAnsi="Calibri"/>
          <w:lang w:val="es-ES_tradnl"/>
        </w:rPr>
      </w:pPr>
    </w:p>
    <w:p w14:paraId="22C840FA" w14:textId="77777777" w:rsidR="00F33FC8" w:rsidRPr="004A2CC5" w:rsidRDefault="00F33FC8" w:rsidP="00F33FC8">
      <w:pPr>
        <w:tabs>
          <w:tab w:val="clear" w:pos="794"/>
          <w:tab w:val="clear" w:pos="1191"/>
          <w:tab w:val="clear" w:pos="1588"/>
          <w:tab w:val="clear" w:pos="1985"/>
        </w:tabs>
        <w:overflowPunct/>
        <w:autoSpaceDE/>
        <w:autoSpaceDN/>
        <w:adjustRightInd/>
        <w:spacing w:before="0" w:after="160" w:line="259" w:lineRule="auto"/>
        <w:ind w:left="720" w:hanging="360"/>
        <w:contextualSpacing/>
        <w:jc w:val="both"/>
        <w:textAlignment w:val="auto"/>
        <w:outlineLvl w:val="0"/>
        <w:rPr>
          <w:rFonts w:ascii="Calibri" w:eastAsia="Calibri" w:hAnsi="Calibri"/>
          <w:b/>
          <w:bCs/>
          <w:sz w:val="22"/>
          <w:szCs w:val="22"/>
          <w:lang w:val="es-ES_tradnl"/>
        </w:rPr>
        <w:sectPr w:rsidR="00F33FC8" w:rsidRPr="004A2CC5" w:rsidSect="00036B66">
          <w:headerReference w:type="default" r:id="rId13"/>
          <w:footerReference w:type="first" r:id="rId14"/>
          <w:pgSz w:w="11906" w:h="16838"/>
          <w:pgMar w:top="1440" w:right="1134" w:bottom="1134" w:left="1134" w:header="709" w:footer="709" w:gutter="0"/>
          <w:cols w:space="708"/>
          <w:titlePg/>
          <w:docGrid w:linePitch="360"/>
        </w:sectPr>
      </w:pPr>
    </w:p>
    <w:p w14:paraId="77718771" w14:textId="77777777" w:rsidR="00F33FC8" w:rsidRPr="004A2CC5" w:rsidRDefault="00F33FC8" w:rsidP="0060047B">
      <w:pPr>
        <w:pStyle w:val="Tabletitle"/>
        <w:rPr>
          <w:rFonts w:eastAsia="SimSun"/>
          <w:lang w:val="es-ES_tradnl"/>
        </w:rPr>
      </w:pPr>
      <w:r w:rsidRPr="004A2CC5">
        <w:rPr>
          <w:rFonts w:eastAsia="SimSun"/>
          <w:lang w:val="es-ES_tradnl"/>
        </w:rPr>
        <w:lastRenderedPageBreak/>
        <w:t xml:space="preserve">Informe sobre la marcha de </w:t>
      </w:r>
      <w:r w:rsidRPr="004A2CC5">
        <w:rPr>
          <w:lang w:val="es-ES_tradnl"/>
        </w:rPr>
        <w:t>los</w:t>
      </w:r>
      <w:r w:rsidRPr="004A2CC5">
        <w:rPr>
          <w:rFonts w:eastAsia="SimSun"/>
          <w:lang w:val="es-ES_tradnl"/>
        </w:rPr>
        <w:t xml:space="preserve"> trabajos entre junio de 2023 y abril de 2024</w:t>
      </w:r>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90"/>
        <w:gridCol w:w="2993"/>
      </w:tblGrid>
      <w:tr w:rsidR="00F33FC8" w:rsidRPr="00B6045A" w14:paraId="55DE572C" w14:textId="77777777" w:rsidTr="004E72A0">
        <w:trPr>
          <w:trHeight w:val="300"/>
        </w:trPr>
        <w:tc>
          <w:tcPr>
            <w:tcW w:w="14868" w:type="dxa"/>
            <w:gridSpan w:val="3"/>
            <w:shd w:val="clear" w:color="auto" w:fill="2F5496"/>
          </w:tcPr>
          <w:p w14:paraId="5965E4F9" w14:textId="5BC2CC68" w:rsidR="00F33FC8" w:rsidRPr="004A2CC5" w:rsidRDefault="00F33FC8" w:rsidP="00133A7B">
            <w:pPr>
              <w:pStyle w:val="Tablehead"/>
              <w:rPr>
                <w:lang w:val="es-ES_tradnl"/>
              </w:rPr>
            </w:pPr>
            <w:r w:rsidRPr="004A2CC5">
              <w:rPr>
                <w:lang w:val="es-ES_tradnl"/>
              </w:rPr>
              <w:t>Prioridad 1 del UIT-D: Conectividad asequible</w:t>
            </w:r>
          </w:p>
          <w:p w14:paraId="760C6DD4" w14:textId="5B289F7A" w:rsidR="00F33FC8" w:rsidRPr="004A2CC5" w:rsidRDefault="00F33FC8" w:rsidP="00133A7B">
            <w:pPr>
              <w:pStyle w:val="Tablehead"/>
              <w:rPr>
                <w:i/>
                <w:iCs/>
                <w:lang w:val="es-ES_tradnl"/>
              </w:rPr>
            </w:pPr>
            <w:r w:rsidRPr="004A2CC5">
              <w:rPr>
                <w:i/>
                <w:iCs/>
                <w:lang w:val="es-ES_tradnl"/>
              </w:rPr>
              <w:t>Fomentar el desarrollo de infraestructuras y servicios seguros, modernos y asequibles a través de las telecomunicaciones/TIC</w:t>
            </w:r>
          </w:p>
        </w:tc>
      </w:tr>
      <w:tr w:rsidR="00F33FC8" w:rsidRPr="00B6045A" w14:paraId="6A04FDEE" w14:textId="77777777" w:rsidTr="004E72A0">
        <w:trPr>
          <w:trHeight w:val="300"/>
        </w:trPr>
        <w:tc>
          <w:tcPr>
            <w:tcW w:w="14868" w:type="dxa"/>
            <w:gridSpan w:val="3"/>
            <w:shd w:val="clear" w:color="auto" w:fill="E5DFEC" w:themeFill="accent4" w:themeFillTint="33"/>
          </w:tcPr>
          <w:p w14:paraId="4DC3283F" w14:textId="77777777" w:rsidR="00F33FC8" w:rsidRPr="004A2CC5" w:rsidRDefault="00F33FC8" w:rsidP="0060047B">
            <w:pPr>
              <w:pStyle w:val="Tabletext"/>
              <w:rPr>
                <w:b/>
                <w:bCs/>
                <w:lang w:val="es-ES_tradnl"/>
              </w:rPr>
            </w:pPr>
            <w:r w:rsidRPr="004A2CC5">
              <w:rPr>
                <w:b/>
                <w:bCs/>
                <w:lang w:val="es-ES_tradnl"/>
              </w:rPr>
              <w:t>Telecomunicaciones de emergencia</w:t>
            </w:r>
          </w:p>
          <w:p w14:paraId="3D89C986" w14:textId="77777777" w:rsidR="00F33FC8" w:rsidRPr="004A2CC5" w:rsidRDefault="00F33FC8" w:rsidP="0060047B">
            <w:pPr>
              <w:pStyle w:val="Tabletext"/>
              <w:rPr>
                <w:color w:val="FFFFFF"/>
                <w:lang w:val="es-ES_tradnl"/>
              </w:rPr>
            </w:pPr>
            <w:r w:rsidRPr="004A2CC5">
              <w:rPr>
                <w:b/>
                <w:bCs/>
                <w:i/>
                <w:iCs/>
                <w:lang w:val="es-ES_tradnl"/>
              </w:rPr>
              <w:t>Realización:</w:t>
            </w:r>
            <w:r w:rsidRPr="004A2CC5">
              <w:rPr>
                <w:i/>
                <w:iCs/>
                <w:lang w:val="es-ES_tradnl"/>
              </w:rPr>
              <w:t xml:space="preserve"> Refuerzo de la capacidad de los Estados Miembros para utilizar las telecomunicaciones/TIC a efectos de la reducción y la gestión del riesgo de catástrofes, a fin de garantizar la disponibilidad de equipos de telecomunicaciones de emergencia y facilitar la cooperación en este ámbito</w:t>
            </w:r>
          </w:p>
        </w:tc>
      </w:tr>
      <w:tr w:rsidR="00F33FC8" w:rsidRPr="004A2CC5" w14:paraId="03947163" w14:textId="77777777" w:rsidTr="004E72A0">
        <w:trPr>
          <w:trHeight w:val="300"/>
        </w:trPr>
        <w:tc>
          <w:tcPr>
            <w:tcW w:w="11875" w:type="dxa"/>
            <w:gridSpan w:val="2"/>
          </w:tcPr>
          <w:p w14:paraId="5C8E9503" w14:textId="77777777" w:rsidR="00F33FC8" w:rsidRPr="004A2CC5" w:rsidRDefault="00F33FC8" w:rsidP="0060047B">
            <w:pPr>
              <w:pStyle w:val="Tablehead"/>
              <w:rPr>
                <w:lang w:val="es-ES_tradnl"/>
              </w:rPr>
            </w:pPr>
            <w:r w:rsidRPr="004A2CC5">
              <w:rPr>
                <w:lang w:val="es-ES_tradnl"/>
              </w:rPr>
              <w:t>Productos</w:t>
            </w:r>
          </w:p>
        </w:tc>
        <w:tc>
          <w:tcPr>
            <w:tcW w:w="2993" w:type="dxa"/>
          </w:tcPr>
          <w:p w14:paraId="64F7701A" w14:textId="27F17EAB" w:rsidR="00F33FC8" w:rsidRPr="004A2CC5" w:rsidRDefault="00F33FC8" w:rsidP="0060047B">
            <w:pPr>
              <w:pStyle w:val="Tablehead"/>
              <w:rPr>
                <w:lang w:val="es-ES_tradnl"/>
              </w:rPr>
            </w:pPr>
            <w:r w:rsidRPr="004A2CC5">
              <w:rPr>
                <w:lang w:val="es-ES_tradnl"/>
              </w:rPr>
              <w:t>Datos destacados</w:t>
            </w:r>
          </w:p>
        </w:tc>
      </w:tr>
      <w:tr w:rsidR="00F33FC8" w:rsidRPr="00B6045A" w14:paraId="5A475B6B" w14:textId="77777777" w:rsidTr="00D9652B">
        <w:trPr>
          <w:trHeight w:val="699"/>
        </w:trPr>
        <w:tc>
          <w:tcPr>
            <w:tcW w:w="11875" w:type="dxa"/>
            <w:gridSpan w:val="2"/>
          </w:tcPr>
          <w:p w14:paraId="3FB36721" w14:textId="1B07C7A1" w:rsidR="00F33FC8" w:rsidRPr="004A2CC5" w:rsidRDefault="00F33FC8" w:rsidP="0060047B">
            <w:pPr>
              <w:pStyle w:val="Tabletext"/>
              <w:rPr>
                <w:b/>
                <w:bCs/>
                <w:lang w:val="es-ES_tradnl"/>
              </w:rPr>
            </w:pPr>
            <w:r w:rsidRPr="004A2CC5">
              <w:rPr>
                <w:rFonts w:cstheme="minorBidi"/>
                <w:lang w:val="es-ES_tradnl"/>
              </w:rPr>
              <w:t xml:space="preserve">Desde junio de 2023, la </w:t>
            </w:r>
            <w:r w:rsidR="00D227F4">
              <w:rPr>
                <w:rFonts w:cstheme="minorBidi"/>
                <w:lang w:val="es-ES_tradnl"/>
              </w:rPr>
              <w:t>BDT</w:t>
            </w:r>
            <w:r w:rsidR="00D227F4" w:rsidRPr="004A2CC5">
              <w:rPr>
                <w:rFonts w:cstheme="minorBidi"/>
                <w:lang w:val="es-ES_tradnl"/>
              </w:rPr>
              <w:t xml:space="preserve"> </w:t>
            </w:r>
            <w:r w:rsidRPr="004A2CC5">
              <w:rPr>
                <w:rFonts w:cstheme="minorBidi"/>
                <w:lang w:val="es-ES_tradnl"/>
              </w:rPr>
              <w:t>ha venido desplegando una amplia gama de productos y servicios y prestando asistencia a los Estados Miembros a fin de mejorar la confianza y la seguridad en el uso de las telecomunicaciones/TIC. Se han elaborado marcos políticos y productos de conocimiento</w:t>
            </w:r>
            <w:r w:rsidRPr="004A2CC5">
              <w:rPr>
                <w:lang w:val="es-ES_tradnl"/>
              </w:rPr>
              <w:t xml:space="preserve">, se han llevado a cabo iniciativas de capacitación y se ha prestado asistencia técnica, lo que en conjunto </w:t>
            </w:r>
            <w:r w:rsidRPr="004A2CC5">
              <w:rPr>
                <w:b/>
                <w:bCs/>
                <w:lang w:val="es-ES_tradnl"/>
              </w:rPr>
              <w:t>ha mejorado las capacidades de los Estados Miembros para utilizar las telecomunicaciones/TIC a efectos de la reducción y la gestión del riesgo de catástrofes y garantizar la disponibilidad de equipos de telecomunicaciones de emergencia.</w:t>
            </w:r>
          </w:p>
          <w:p w14:paraId="6483F67F" w14:textId="51C9FB62" w:rsidR="00F33FC8" w:rsidRPr="004A2CC5" w:rsidRDefault="00F33FC8" w:rsidP="0060047B">
            <w:pPr>
              <w:pStyle w:val="Tabletext"/>
              <w:rPr>
                <w:b/>
                <w:bCs/>
                <w:lang w:val="es-ES_tradnl" w:eastAsia="zh-CN"/>
              </w:rPr>
            </w:pPr>
            <w:r w:rsidRPr="004A2CC5">
              <w:rPr>
                <w:lang w:val="es-ES_tradnl"/>
              </w:rPr>
              <w:t xml:space="preserve">La </w:t>
            </w:r>
            <w:r w:rsidR="00D227F4">
              <w:rPr>
                <w:lang w:val="es-ES_tradnl"/>
              </w:rPr>
              <w:t>BDT</w:t>
            </w:r>
            <w:r w:rsidR="00D227F4" w:rsidRPr="004A2CC5">
              <w:rPr>
                <w:lang w:val="es-ES_tradnl"/>
              </w:rPr>
              <w:t xml:space="preserve"> </w:t>
            </w:r>
            <w:r w:rsidRPr="004A2CC5">
              <w:rPr>
                <w:lang w:val="es-ES_tradnl"/>
              </w:rPr>
              <w:t xml:space="preserve">también ha prestado apoyo a los Estados Miembros en sus esfuerzos por </w:t>
            </w:r>
            <w:r w:rsidRPr="004A2CC5">
              <w:rPr>
                <w:b/>
                <w:bCs/>
                <w:lang w:val="es-ES_tradnl"/>
              </w:rPr>
              <w:t>mejorar sus capacidades para utilizar las TIC a fin de crear sistemas de alerta temprana eficaces y salvar vidas a través de la iniciativa Alerta Temprana para Todos</w:t>
            </w:r>
            <w:r w:rsidRPr="004A2CC5">
              <w:rPr>
                <w:b/>
                <w:bCs/>
                <w:lang w:val="es-ES_tradnl" w:eastAsia="zh-CN"/>
              </w:rPr>
              <w:t>.</w:t>
            </w:r>
          </w:p>
          <w:p w14:paraId="163B8AE8" w14:textId="332314D7" w:rsidR="00F33FC8" w:rsidRPr="004A2CC5" w:rsidRDefault="00F33FC8" w:rsidP="0060047B">
            <w:pPr>
              <w:pStyle w:val="Tabletext"/>
              <w:rPr>
                <w:lang w:val="es-ES_tradnl"/>
              </w:rPr>
            </w:pPr>
            <w:r w:rsidRPr="004A2CC5">
              <w:rPr>
                <w:lang w:val="es-ES_tradnl"/>
              </w:rPr>
              <w:t xml:space="preserve">La </w:t>
            </w:r>
            <w:r w:rsidR="00D227F4">
              <w:rPr>
                <w:lang w:val="es-ES_tradnl"/>
              </w:rPr>
              <w:t>BDT</w:t>
            </w:r>
            <w:r w:rsidR="00D227F4" w:rsidRPr="004A2CC5">
              <w:rPr>
                <w:lang w:val="es-ES_tradnl"/>
              </w:rPr>
              <w:t xml:space="preserve"> </w:t>
            </w:r>
            <w:r w:rsidRPr="004A2CC5">
              <w:rPr>
                <w:lang w:val="es-ES_tradnl"/>
              </w:rPr>
              <w:t xml:space="preserve">también ha contribuido a </w:t>
            </w:r>
            <w:r w:rsidRPr="004A2CC5">
              <w:rPr>
                <w:b/>
                <w:bCs/>
                <w:lang w:val="es-ES_tradnl"/>
              </w:rPr>
              <w:t xml:space="preserve">reforzar las capacidades de los Estados Miembros para desplegar rápidamente </w:t>
            </w:r>
            <w:r w:rsidR="00D227F4">
              <w:rPr>
                <w:b/>
                <w:bCs/>
                <w:lang w:val="es-ES_tradnl"/>
              </w:rPr>
              <w:t>terminales</w:t>
            </w:r>
            <w:r w:rsidR="00D227F4" w:rsidRPr="004A2CC5">
              <w:rPr>
                <w:b/>
                <w:bCs/>
                <w:lang w:val="es-ES_tradnl"/>
              </w:rPr>
              <w:t xml:space="preserve"> </w:t>
            </w:r>
            <w:r w:rsidRPr="004A2CC5">
              <w:rPr>
                <w:b/>
                <w:bCs/>
                <w:lang w:val="es-ES_tradnl"/>
              </w:rPr>
              <w:t xml:space="preserve">de telecomunicaciones por satélite y coordinar la respuesta nacional con posterioridad a la catástrofe, así como a facilitar el posicionamiento previo de equipos satelitales de telecomunicaciones de emergencia </w:t>
            </w:r>
            <w:r w:rsidRPr="004A2CC5">
              <w:rPr>
                <w:lang w:val="es-ES_tradnl"/>
              </w:rPr>
              <w:t xml:space="preserve">para reducir el tiempo de respuesta tras las catástrofes. En la actualidad, los equipos se hallan en el almacén del Grupo Temático de Telecomunicaciones de Emergencia (ETC) del Programa Mundial de Alimentos (PMA) en Dubái, con objeto de ayudar a las regiones de los Estados árabes, África y Asia y el Pacífico. </w:t>
            </w:r>
            <w:proofErr w:type="spellStart"/>
            <w:r w:rsidRPr="004A2CC5">
              <w:rPr>
                <w:lang w:val="es-ES_tradnl"/>
              </w:rPr>
              <w:t>Zimbabwe</w:t>
            </w:r>
            <w:proofErr w:type="spellEnd"/>
            <w:r w:rsidRPr="004A2CC5">
              <w:rPr>
                <w:lang w:val="es-ES_tradnl"/>
              </w:rPr>
              <w:t xml:space="preserve"> ha sido seleccionado como eje central para apoyar a los países de la SADC y Barbados desempeñará un papel similar en la región de las Américas en caso de catástrofe. La sede de la UIT se encargará de supervisar y gestionar el despliegue de equipos en estas regiones.</w:t>
            </w:r>
          </w:p>
          <w:p w14:paraId="663ABE94" w14:textId="77777777" w:rsidR="00F33FC8" w:rsidRPr="004A2CC5" w:rsidRDefault="00F33FC8" w:rsidP="00A40D49">
            <w:pPr>
              <w:pStyle w:val="Tabletext"/>
              <w:rPr>
                <w:lang w:val="es-ES_tradnl"/>
              </w:rPr>
            </w:pPr>
            <w:r w:rsidRPr="004A2CC5">
              <w:rPr>
                <w:lang w:val="es-ES_tradnl"/>
              </w:rPr>
              <w:t xml:space="preserve">Además, a través de la </w:t>
            </w:r>
            <w:r w:rsidRPr="004A2CC5">
              <w:rPr>
                <w:b/>
                <w:bCs/>
                <w:lang w:val="es-ES_tradnl"/>
              </w:rPr>
              <w:t>iniciativa Alerta Temprana para Todos (</w:t>
            </w:r>
            <w:proofErr w:type="spellStart"/>
            <w:r w:rsidRPr="004A2CC5">
              <w:rPr>
                <w:b/>
                <w:bCs/>
                <w:i/>
                <w:iCs/>
                <w:lang w:val="es-ES_tradnl"/>
              </w:rPr>
              <w:t>Early</w:t>
            </w:r>
            <w:proofErr w:type="spellEnd"/>
            <w:r w:rsidRPr="004A2CC5">
              <w:rPr>
                <w:b/>
                <w:bCs/>
                <w:i/>
                <w:iCs/>
                <w:lang w:val="es-ES_tradnl"/>
              </w:rPr>
              <w:t xml:space="preserve"> </w:t>
            </w:r>
            <w:proofErr w:type="spellStart"/>
            <w:r w:rsidRPr="004A2CC5">
              <w:rPr>
                <w:b/>
                <w:bCs/>
                <w:i/>
                <w:iCs/>
                <w:lang w:val="es-ES_tradnl"/>
              </w:rPr>
              <w:t>Warning</w:t>
            </w:r>
            <w:proofErr w:type="spellEnd"/>
            <w:r w:rsidRPr="004A2CC5">
              <w:rPr>
                <w:b/>
                <w:bCs/>
                <w:i/>
                <w:iCs/>
                <w:lang w:val="es-ES_tradnl"/>
              </w:rPr>
              <w:t xml:space="preserve"> </w:t>
            </w:r>
            <w:proofErr w:type="spellStart"/>
            <w:r w:rsidRPr="004A2CC5">
              <w:rPr>
                <w:b/>
                <w:bCs/>
                <w:i/>
                <w:iCs/>
                <w:lang w:val="es-ES_tradnl"/>
              </w:rPr>
              <w:t>for</w:t>
            </w:r>
            <w:proofErr w:type="spellEnd"/>
            <w:r w:rsidRPr="004A2CC5">
              <w:rPr>
                <w:b/>
                <w:bCs/>
                <w:i/>
                <w:iCs/>
                <w:lang w:val="es-ES_tradnl"/>
              </w:rPr>
              <w:t xml:space="preserve"> </w:t>
            </w:r>
            <w:proofErr w:type="spellStart"/>
            <w:r w:rsidRPr="004A2CC5">
              <w:rPr>
                <w:b/>
                <w:bCs/>
                <w:i/>
                <w:iCs/>
                <w:lang w:val="es-ES_tradnl"/>
              </w:rPr>
              <w:t>All</w:t>
            </w:r>
            <w:proofErr w:type="spellEnd"/>
            <w:r w:rsidRPr="004A2CC5">
              <w:rPr>
                <w:b/>
                <w:bCs/>
                <w:lang w:val="es-ES_tradnl"/>
              </w:rPr>
              <w:t>, EW4ALL)</w:t>
            </w:r>
            <w:r w:rsidRPr="004A2CC5">
              <w:rPr>
                <w:lang w:val="es-ES_tradnl"/>
              </w:rPr>
              <w:t xml:space="preserve">, la UIT ha colaborado con </w:t>
            </w:r>
            <w:r w:rsidRPr="004A2CC5">
              <w:rPr>
                <w:rFonts w:ascii="Calibri" w:hAnsi="Calibri" w:cs="Calibri"/>
                <w:lang w:val="es-ES_tradnl"/>
              </w:rPr>
              <w:t xml:space="preserve">la Oficina de las Naciones Unidas para la Reducción del Riesgo de Desastres (UNDRR), </w:t>
            </w:r>
            <w:r w:rsidRPr="004A2CC5">
              <w:rPr>
                <w:lang w:val="es-ES_tradnl"/>
              </w:rPr>
              <w:t xml:space="preserve">la Organización Meteorológica Mundial (OMM), la Federación Internacional de Sociedades de la Cruz Roja y de la Media Luna Roja (IFRC) y el Programa de las Naciones Unidas para el Desarrollo (PNUD) en la organización de una serie de talleres en distintas regiones, en particular, en Antigua y Barbuda, Bangladesh, Barbados, Camboya, Etiopía, Guatemala, Lao (R.D.P.), Nepal, Somalia, Tayikistán y Uganda. Los países han utilizado estos talleres como plataformas de colaboración para el intercambio de ideas y buenas prácticas sobre sistemas de alerta temprana. Además, en la sesión dedicada a las </w:t>
            </w:r>
            <w:hyperlink r:id="rId15">
              <w:r w:rsidRPr="004A2CC5">
                <w:rPr>
                  <w:rFonts w:cs="Calibri"/>
                  <w:color w:val="0563C1"/>
                  <w:u w:val="single"/>
                  <w:lang w:val="es-ES_tradnl"/>
                </w:rPr>
                <w:t>Alertas tempranas para todos: utilizar la inteligencia artificial para dar rienda suelta al potencial de los sistemas de alerta temprana</w:t>
              </w:r>
            </w:hyperlink>
            <w:r w:rsidRPr="004A2CC5">
              <w:rPr>
                <w:lang w:val="es-ES_tradnl"/>
              </w:rPr>
              <w:t xml:space="preserve"> que tuvo lugar en la conferencia COP-28, la UIT, la UNDRR y la IFRC presentaron iniciativas propias cuyo objetivo es poner la inteligencia artificial (IA) al servicio de estos sistemas, acelerando los procesos y subsanando las deficiencias existentes en </w:t>
            </w:r>
            <w:proofErr w:type="spellStart"/>
            <w:r w:rsidRPr="004A2CC5">
              <w:rPr>
                <w:lang w:val="es-ES_tradnl"/>
              </w:rPr>
              <w:t>pos</w:t>
            </w:r>
            <w:proofErr w:type="spellEnd"/>
            <w:r w:rsidRPr="004A2CC5">
              <w:rPr>
                <w:lang w:val="es-ES_tradnl"/>
              </w:rPr>
              <w:t xml:space="preserve"> de los objetivos de la iniciativa EW4ALL. Los proyectos colectivos concitaron un </w:t>
            </w:r>
            <w:r w:rsidRPr="004A2CC5">
              <w:rPr>
                <w:lang w:val="es-ES_tradnl"/>
              </w:rPr>
              <w:lastRenderedPageBreak/>
              <w:t xml:space="preserve">apoyo significativo de las asociaciones mundiales, incluidos organismos de las Naciones Unidas e instituciones financieras internacionales como el PNUD, la UNDRR, la OMM y el Banco Mundial, además de generar una serie de compromisos y promesas por valor de </w:t>
            </w:r>
            <w:r w:rsidRPr="004A2CC5">
              <w:rPr>
                <w:b/>
                <w:bCs/>
                <w:lang w:val="es-ES_tradnl"/>
              </w:rPr>
              <w:t>15 millones de dólares de los Estados Unidos (USD), lo que refleja el fortalecimiento de las asociaciones y el reconocimiento del poder transformador de la iniciativa Alerta Temprana para Todos.</w:t>
            </w:r>
          </w:p>
          <w:p w14:paraId="112CA3E0" w14:textId="1202C01E" w:rsidR="00F33FC8" w:rsidRPr="004A2CC5" w:rsidRDefault="00A40D49" w:rsidP="00853197">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En África</w:t>
            </w:r>
            <w:r w:rsidR="00F33FC8" w:rsidRPr="004A2CC5">
              <w:rPr>
                <w:lang w:val="es-ES_tradnl"/>
              </w:rPr>
              <w:t xml:space="preserve">, la </w:t>
            </w:r>
            <w:r w:rsidR="00D227F4">
              <w:rPr>
                <w:lang w:val="es-ES_tradnl"/>
              </w:rPr>
              <w:t>BDT</w:t>
            </w:r>
            <w:r w:rsidR="00F33FC8" w:rsidRPr="004A2CC5">
              <w:rPr>
                <w:lang w:val="es-ES_tradnl"/>
              </w:rPr>
              <w:t xml:space="preserve"> ha ayudado a 16 miembros de la región de la SADC a definir sus prioridades nacionales en lo que respecta al uso de las TIC para la gestión de catástrofes, incluida la elaboración de </w:t>
            </w:r>
            <w:r w:rsidR="00F33FC8" w:rsidRPr="004A2CC5">
              <w:rPr>
                <w:b/>
                <w:bCs/>
                <w:lang w:val="es-ES_tradnl"/>
              </w:rPr>
              <w:t>planes nacionales de telecomunicaciones de emergencia (PNTE)</w:t>
            </w:r>
            <w:r w:rsidR="00F33FC8" w:rsidRPr="004A2CC5">
              <w:rPr>
                <w:lang w:val="es-ES_tradnl"/>
              </w:rPr>
              <w:t xml:space="preserve">. La </w:t>
            </w:r>
            <w:r w:rsidR="00D227F4">
              <w:rPr>
                <w:lang w:val="es-ES_tradnl"/>
              </w:rPr>
              <w:t>BDT</w:t>
            </w:r>
            <w:r w:rsidR="00F33FC8" w:rsidRPr="004A2CC5">
              <w:rPr>
                <w:lang w:val="es-ES_tradnl"/>
              </w:rPr>
              <w:t xml:space="preserve"> también ha apoyado a Etiopía, Madagascar y Mozambique en sus esfuerzos por reforzar su capacidad para utilizar las TIC a fin de crear sistemas de alerta temprana eficaces mediante el desarrollo de </w:t>
            </w:r>
            <w:r w:rsidR="00F33FC8" w:rsidRPr="004A2CC5">
              <w:rPr>
                <w:b/>
                <w:bCs/>
                <w:lang w:val="es-ES_tradnl"/>
              </w:rPr>
              <w:t>hojas de ruta de</w:t>
            </w:r>
            <w:r w:rsidR="00F33FC8" w:rsidRPr="004A2CC5">
              <w:rPr>
                <w:lang w:val="es-ES_tradnl"/>
              </w:rPr>
              <w:t xml:space="preserve"> </w:t>
            </w:r>
            <w:r w:rsidR="00F33FC8" w:rsidRPr="004A2CC5">
              <w:rPr>
                <w:b/>
                <w:bCs/>
                <w:lang w:val="es-ES_tradnl"/>
              </w:rPr>
              <w:t>Alertas Tempranas para Todos</w:t>
            </w:r>
            <w:r w:rsidR="00F33FC8" w:rsidRPr="004A2CC5">
              <w:rPr>
                <w:lang w:val="es-ES_tradnl"/>
              </w:rPr>
              <w:t xml:space="preserve">. Con el apoyo de la iniciativa </w:t>
            </w:r>
            <w:r w:rsidR="00F33FC8" w:rsidRPr="004A2CC5">
              <w:rPr>
                <w:b/>
                <w:bCs/>
                <w:lang w:val="es-ES_tradnl"/>
              </w:rPr>
              <w:t>Connect2Recover</w:t>
            </w:r>
            <w:r w:rsidR="00F33FC8" w:rsidRPr="004A2CC5">
              <w:rPr>
                <w:lang w:val="es-ES_tradnl"/>
              </w:rPr>
              <w:t xml:space="preserve"> (C2R), la </w:t>
            </w:r>
            <w:r w:rsidR="00D7163C">
              <w:rPr>
                <w:lang w:val="es-ES_tradnl"/>
              </w:rPr>
              <w:t>BDT</w:t>
            </w:r>
            <w:r w:rsidR="00D7163C" w:rsidRPr="004A2CC5">
              <w:rPr>
                <w:lang w:val="es-ES_tradnl"/>
              </w:rPr>
              <w:t xml:space="preserve"> </w:t>
            </w:r>
            <w:r w:rsidR="00F33FC8" w:rsidRPr="004A2CC5">
              <w:rPr>
                <w:lang w:val="es-ES_tradnl"/>
              </w:rPr>
              <w:t xml:space="preserve">ha prestado apoyo a </w:t>
            </w:r>
            <w:proofErr w:type="spellStart"/>
            <w:r w:rsidR="00F33FC8" w:rsidRPr="004A2CC5">
              <w:rPr>
                <w:lang w:val="es-ES_tradnl"/>
              </w:rPr>
              <w:t>Rwanda</w:t>
            </w:r>
            <w:proofErr w:type="spellEnd"/>
            <w:r w:rsidR="00F33FC8" w:rsidRPr="004A2CC5">
              <w:rPr>
                <w:lang w:val="es-ES_tradnl"/>
              </w:rPr>
              <w:t xml:space="preserve"> en la formulación de un PNTE y la mejora de su nivel preparación para el sistema de alerta temprana.</w:t>
            </w:r>
          </w:p>
          <w:p w14:paraId="694B8B46" w14:textId="5F9092C5" w:rsidR="00F33FC8" w:rsidRPr="004A2CC5" w:rsidRDefault="00634FA8" w:rsidP="00853197">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En las Américas</w:t>
            </w:r>
            <w:r w:rsidR="00F33FC8" w:rsidRPr="004A2CC5">
              <w:rPr>
                <w:lang w:val="es-ES_tradnl"/>
              </w:rPr>
              <w:t xml:space="preserve">, la </w:t>
            </w:r>
            <w:r w:rsidR="00D227F4">
              <w:rPr>
                <w:lang w:val="es-ES_tradnl"/>
              </w:rPr>
              <w:t>BDT</w:t>
            </w:r>
            <w:r w:rsidR="00D227F4" w:rsidRPr="004A2CC5" w:rsidDel="00D227F4">
              <w:rPr>
                <w:lang w:val="es-ES_tradnl"/>
              </w:rPr>
              <w:t xml:space="preserve"> </w:t>
            </w:r>
            <w:r w:rsidR="00F33FC8" w:rsidRPr="004A2CC5">
              <w:rPr>
                <w:lang w:val="es-ES_tradnl"/>
              </w:rPr>
              <w:t xml:space="preserve">ha reforzado el sistema de gestión de catástrofes y el nivel de preparación ante las mismas de Barbados, Granada, Guyana, Haití, Jamaica, Saint </w:t>
            </w:r>
            <w:proofErr w:type="spellStart"/>
            <w:r w:rsidR="00F33FC8" w:rsidRPr="004A2CC5">
              <w:rPr>
                <w:lang w:val="es-ES_tradnl"/>
              </w:rPr>
              <w:t>Kitts</w:t>
            </w:r>
            <w:proofErr w:type="spellEnd"/>
            <w:r w:rsidR="00F33FC8" w:rsidRPr="004A2CC5">
              <w:rPr>
                <w:lang w:val="es-ES_tradnl"/>
              </w:rPr>
              <w:t xml:space="preserve"> y </w:t>
            </w:r>
            <w:proofErr w:type="spellStart"/>
            <w:r w:rsidR="00F33FC8" w:rsidRPr="004A2CC5">
              <w:rPr>
                <w:lang w:val="es-ES_tradnl"/>
              </w:rPr>
              <w:t>Nevis</w:t>
            </w:r>
            <w:proofErr w:type="spellEnd"/>
            <w:r w:rsidR="00F33FC8" w:rsidRPr="004A2CC5">
              <w:rPr>
                <w:lang w:val="es-ES_tradnl"/>
              </w:rPr>
              <w:t xml:space="preserve">, Santa Lucía, San Vicente y las Granadinas y Trinidad y </w:t>
            </w:r>
            <w:proofErr w:type="spellStart"/>
            <w:r w:rsidR="00F33FC8" w:rsidRPr="004A2CC5">
              <w:rPr>
                <w:lang w:val="es-ES_tradnl"/>
              </w:rPr>
              <w:t>Tabago</w:t>
            </w:r>
            <w:proofErr w:type="spellEnd"/>
            <w:r w:rsidR="00F33FC8" w:rsidRPr="004A2CC5">
              <w:rPr>
                <w:lang w:val="es-ES_tradnl"/>
              </w:rPr>
              <w:t xml:space="preserve"> a través de un proyecto de capacitación llevado a cabo en colaboración con la GSMA y el grupo ETC del PMA, que atrajo a diferentes partes interesadas de varios países del Caribe, organizaciones regionales de las Naciones Unidas, organizaciones no gubernamentales (ONG) y organizaciones especializadas en la gestión de catástrofes, entre otros.</w:t>
            </w:r>
          </w:p>
          <w:p w14:paraId="15B7A9B3" w14:textId="4C92E57D" w:rsidR="00F33FC8" w:rsidRPr="004A2CC5" w:rsidRDefault="00634FA8" w:rsidP="00853197">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En la región de Asia y el Pacífico</w:t>
            </w:r>
            <w:r w:rsidR="00F33FC8" w:rsidRPr="004A2CC5">
              <w:rPr>
                <w:lang w:val="es-ES_tradnl"/>
              </w:rPr>
              <w:t>, se han realizado evaluaciones nacionales en Bután, Lao (R.D.P.), Nepal y Filipinas para poner de relieve las deficiencias existentes en lo que atañe a la resiliencia de las infraestructuras digitales nacionales, la política y el nivel de preparación en términos reglamentarios para hacer frente a las disrupciones, la asequibilidad de los servicios de TIC y la situación de la iniciativa EW4ALL. Una reciente encuesta ha revelado que otros 10 países de la región de Asia y el Pacífico estarían interesados en trabajar con la UIT en este tipo de evaluaciones.</w:t>
            </w:r>
          </w:p>
          <w:p w14:paraId="13FC32A8" w14:textId="762E04F5" w:rsidR="00F33FC8" w:rsidRPr="004A2CC5" w:rsidRDefault="00634FA8" w:rsidP="00853197">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En los Estados Árabes, las Américas y Europa</w:t>
            </w:r>
            <w:r w:rsidR="00F33FC8" w:rsidRPr="004A2CC5">
              <w:rPr>
                <w:lang w:val="es-ES_tradnl"/>
              </w:rPr>
              <w:t xml:space="preserve">, la </w:t>
            </w:r>
            <w:r w:rsidR="00D227F4">
              <w:rPr>
                <w:lang w:val="es-ES_tradnl"/>
              </w:rPr>
              <w:t>BDT</w:t>
            </w:r>
            <w:r w:rsidR="00F33FC8" w:rsidRPr="004A2CC5">
              <w:rPr>
                <w:lang w:val="es-ES_tradnl"/>
              </w:rPr>
              <w:t xml:space="preserve"> ha ayudado a los Estados Miembros a elaborar diversos </w:t>
            </w:r>
            <w:r w:rsidR="00F33FC8" w:rsidRPr="004A2CC5">
              <w:rPr>
                <w:b/>
                <w:bCs/>
                <w:lang w:val="es-ES_tradnl"/>
              </w:rPr>
              <w:t>PNTE</w:t>
            </w:r>
            <w:r w:rsidR="00F33FC8" w:rsidRPr="004A2CC5">
              <w:rPr>
                <w:lang w:val="es-ES_tradnl"/>
              </w:rPr>
              <w:t xml:space="preserve">. Las partes interesadas nacionales han validado los correspondientes planes en Iraq, Somalia y el Estado de Palestina. Las partes interesadas también se han reunido para aplicar el </w:t>
            </w:r>
            <w:hyperlink r:id="rId16" w:history="1">
              <w:r w:rsidR="00F33FC8" w:rsidRPr="004A2CC5">
                <w:rPr>
                  <w:rStyle w:val="Hyperlink"/>
                  <w:lang w:val="es-ES_tradnl"/>
                </w:rPr>
                <w:t>Protocolo de Alerta Común (PAC)</w:t>
              </w:r>
            </w:hyperlink>
            <w:r w:rsidR="00F33FC8" w:rsidRPr="004A2CC5">
              <w:rPr>
                <w:lang w:val="es-ES_tradnl"/>
              </w:rPr>
              <w:t xml:space="preserve"> en Somalia, lo que ha reforzado la concienciación y la cooperación entre los organismos gubernamentales, las ONG y las organizaciones regionales de las Naciones Unidas, allanando así el camino para unas </w:t>
            </w:r>
            <w:r w:rsidR="00F33FC8" w:rsidRPr="004A2CC5">
              <w:rPr>
                <w:b/>
                <w:bCs/>
                <w:lang w:val="es-ES_tradnl"/>
              </w:rPr>
              <w:t>estrategias de gestión de catástrofes</w:t>
            </w:r>
            <w:r w:rsidR="00F33FC8" w:rsidRPr="004A2CC5">
              <w:rPr>
                <w:lang w:val="es-ES_tradnl"/>
              </w:rPr>
              <w:t xml:space="preserve"> más eficaces.</w:t>
            </w:r>
          </w:p>
          <w:p w14:paraId="48D05AB9" w14:textId="1046954D" w:rsidR="00F33FC8" w:rsidRPr="004A2CC5" w:rsidRDefault="00634FA8" w:rsidP="00853197">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En Asia y el Pacífico</w:t>
            </w:r>
            <w:r w:rsidR="00F33FC8" w:rsidRPr="004A2CC5">
              <w:rPr>
                <w:lang w:val="es-ES_tradnl"/>
              </w:rPr>
              <w:t xml:space="preserve">, se han establecido marcos para </w:t>
            </w:r>
            <w:r w:rsidR="00F33FC8" w:rsidRPr="004A2CC5">
              <w:rPr>
                <w:b/>
                <w:bCs/>
                <w:lang w:val="es-ES_tradnl"/>
              </w:rPr>
              <w:t>sistemas de difusión y comunicación de alertas tempranas</w:t>
            </w:r>
            <w:r w:rsidR="00F33FC8" w:rsidRPr="004A2CC5">
              <w:rPr>
                <w:lang w:val="es-ES_tradnl"/>
              </w:rPr>
              <w:t xml:space="preserve"> en Bangladesh, Camboya, Maldivas y Lao (R.D.P.). La UIT ha debatido con el Centro de Asistencia Humanitaria de la Asociación de Naciones de Asia Sudoriental (ASEAN) la creación de una </w:t>
            </w:r>
            <w:r w:rsidR="00F33FC8" w:rsidRPr="004A2CC5">
              <w:rPr>
                <w:b/>
                <w:bCs/>
                <w:lang w:val="es-ES_tradnl"/>
              </w:rPr>
              <w:t>red de telecomunicaciones de emergencia</w:t>
            </w:r>
            <w:r w:rsidR="00F33FC8" w:rsidRPr="004A2CC5">
              <w:rPr>
                <w:lang w:val="es-ES_tradnl"/>
              </w:rPr>
              <w:t xml:space="preserve">, que refuerce la colaboración en la región. En colaboración con la Asociación de Telecomunicaciones de los Países Insulares del Pacífico (PITA), la </w:t>
            </w:r>
            <w:hyperlink r:id="rId17" w:history="1">
              <w:r w:rsidR="00F33FC8" w:rsidRPr="004A2CC5">
                <w:rPr>
                  <w:rStyle w:val="Hyperlink"/>
                  <w:color w:val="auto"/>
                  <w:u w:val="none"/>
                  <w:lang w:val="es-ES_tradnl"/>
                </w:rPr>
                <w:t xml:space="preserve">UIT </w:t>
              </w:r>
              <w:r w:rsidR="00F33FC8" w:rsidRPr="004A2CC5">
                <w:rPr>
                  <w:rStyle w:val="Hyperlink"/>
                  <w:b/>
                  <w:bCs/>
                  <w:lang w:val="es-ES_tradnl"/>
                </w:rPr>
                <w:t>ha seguido poniendo a prueba el nivel de preparación de los equipos de telecomunicaciones de emergencia y la resiliencia de las infraestructuras de TIC</w:t>
              </w:r>
            </w:hyperlink>
            <w:r w:rsidR="00F33FC8" w:rsidRPr="004A2CC5">
              <w:rPr>
                <w:lang w:val="es-ES_tradnl"/>
              </w:rPr>
              <w:t xml:space="preserve"> en el Pacífico. La primera prueba se llevó a cabo a principios de 2024, durante la reunión general anual de la PITA en </w:t>
            </w:r>
            <w:proofErr w:type="spellStart"/>
            <w:r w:rsidR="00F33FC8" w:rsidRPr="004A2CC5">
              <w:rPr>
                <w:lang w:val="es-ES_tradnl"/>
              </w:rPr>
              <w:t>Papua</w:t>
            </w:r>
            <w:proofErr w:type="spellEnd"/>
            <w:r w:rsidR="00F33FC8" w:rsidRPr="004A2CC5">
              <w:rPr>
                <w:lang w:val="es-ES_tradnl"/>
              </w:rPr>
              <w:t xml:space="preserve"> Nueva Guinea.</w:t>
            </w:r>
          </w:p>
          <w:p w14:paraId="23F9DFC6" w14:textId="652F9CB6" w:rsidR="00F33FC8" w:rsidRPr="004A2CC5" w:rsidRDefault="00634FA8" w:rsidP="00634FA8">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En Europa</w:t>
            </w:r>
            <w:r w:rsidR="00F33FC8" w:rsidRPr="004A2CC5">
              <w:rPr>
                <w:lang w:val="es-ES_tradnl"/>
              </w:rPr>
              <w:t xml:space="preserve">, concretamente </w:t>
            </w:r>
            <w:r w:rsidR="00F33FC8" w:rsidRPr="004A2CC5">
              <w:rPr>
                <w:rFonts w:cs="Calibri"/>
                <w:lang w:val="es-ES_tradnl"/>
              </w:rPr>
              <w:t xml:space="preserve">en Moldova, se ha realizado </w:t>
            </w:r>
            <w:r w:rsidR="00F33FC8" w:rsidRPr="004A2CC5">
              <w:rPr>
                <w:lang w:val="es-ES_tradnl"/>
              </w:rPr>
              <w:t xml:space="preserve">un estudio de viabilidad que incluye un análisis técnico, económico y normativo con miras a la instalación de un </w:t>
            </w:r>
            <w:r w:rsidR="00F33FC8" w:rsidRPr="004A2CC5">
              <w:rPr>
                <w:b/>
                <w:bCs/>
                <w:lang w:val="es-ES_tradnl"/>
              </w:rPr>
              <w:t>sistema de alerta temprana basado en la tecnología de radiodifusión celular</w:t>
            </w:r>
            <w:r w:rsidR="00F33FC8" w:rsidRPr="004A2CC5">
              <w:rPr>
                <w:rFonts w:cs="Calibri"/>
                <w:lang w:val="es-ES_tradnl"/>
              </w:rPr>
              <w:t xml:space="preserve">. </w:t>
            </w:r>
            <w:r w:rsidR="00F33FC8" w:rsidRPr="004A2CC5">
              <w:rPr>
                <w:rFonts w:cs="Calibri"/>
                <w:lang w:val="es-ES_tradnl"/>
              </w:rPr>
              <w:lastRenderedPageBreak/>
              <w:t xml:space="preserve">Además, en Georgia, se ha emprendido un debate sobre el desarrollo de un plan nacional de telecomunicaciones de emergencia y un sistema de alerta temprana. </w:t>
            </w:r>
            <w:r w:rsidR="00F33FC8" w:rsidRPr="004A2CC5">
              <w:rPr>
                <w:lang w:val="es-ES_tradnl"/>
              </w:rPr>
              <w:t>Ambos estudios contaron con el apoyo de los socios de la C2R.</w:t>
            </w:r>
          </w:p>
        </w:tc>
        <w:tc>
          <w:tcPr>
            <w:tcW w:w="2993" w:type="dxa"/>
            <w:shd w:val="clear" w:color="auto" w:fill="auto"/>
          </w:tcPr>
          <w:p w14:paraId="440A6E65" w14:textId="77777777" w:rsidR="00F33FC8" w:rsidRPr="004A2CC5" w:rsidRDefault="00F33FC8" w:rsidP="00A40D49">
            <w:pPr>
              <w:pStyle w:val="Tabletext"/>
              <w:rPr>
                <w:b/>
                <w:bCs/>
                <w:lang w:val="es-ES_tradnl"/>
              </w:rPr>
            </w:pPr>
            <w:r w:rsidRPr="004A2CC5">
              <w:rPr>
                <w:b/>
                <w:bCs/>
                <w:lang w:val="es-ES_tradnl"/>
              </w:rPr>
              <w:lastRenderedPageBreak/>
              <w:t>PNTE</w:t>
            </w:r>
          </w:p>
          <w:p w14:paraId="5F39ECC2" w14:textId="2F1613EF" w:rsidR="00F33FC8" w:rsidRPr="004A2CC5" w:rsidRDefault="00A40D49" w:rsidP="00A40D49">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África:</w:t>
            </w:r>
            <w:r w:rsidR="00F33FC8" w:rsidRPr="004A2CC5">
              <w:rPr>
                <w:lang w:val="es-ES_tradnl"/>
              </w:rPr>
              <w:t xml:space="preserve"> Angola, </w:t>
            </w:r>
            <w:proofErr w:type="spellStart"/>
            <w:r w:rsidR="00F33FC8" w:rsidRPr="004A2CC5">
              <w:rPr>
                <w:lang w:val="es-ES_tradnl"/>
              </w:rPr>
              <w:t>Botswana</w:t>
            </w:r>
            <w:proofErr w:type="spellEnd"/>
            <w:r w:rsidR="00F33FC8" w:rsidRPr="004A2CC5">
              <w:rPr>
                <w:lang w:val="es-ES_tradnl"/>
              </w:rPr>
              <w:t xml:space="preserve">, Comoras, República Democrática del Congo, </w:t>
            </w:r>
            <w:proofErr w:type="spellStart"/>
            <w:r w:rsidR="00F33FC8" w:rsidRPr="004A2CC5">
              <w:rPr>
                <w:lang w:val="es-ES_tradnl"/>
              </w:rPr>
              <w:t>Eswatini</w:t>
            </w:r>
            <w:proofErr w:type="spellEnd"/>
            <w:r w:rsidR="00F33FC8" w:rsidRPr="004A2CC5">
              <w:rPr>
                <w:lang w:val="es-ES_tradnl"/>
              </w:rPr>
              <w:t xml:space="preserve">, </w:t>
            </w:r>
            <w:proofErr w:type="spellStart"/>
            <w:r w:rsidR="004A2CC5">
              <w:rPr>
                <w:lang w:val="es-ES_tradnl"/>
              </w:rPr>
              <w:t>Lesotho</w:t>
            </w:r>
            <w:proofErr w:type="spellEnd"/>
            <w:r w:rsidR="00F33FC8" w:rsidRPr="004A2CC5">
              <w:rPr>
                <w:lang w:val="es-ES_tradnl"/>
              </w:rPr>
              <w:t xml:space="preserve">, Madagascar, Malawi, Mauricio, Mozambique, Namibia, </w:t>
            </w:r>
            <w:proofErr w:type="spellStart"/>
            <w:r w:rsidR="00F33FC8" w:rsidRPr="004A2CC5">
              <w:rPr>
                <w:lang w:val="es-ES_tradnl"/>
              </w:rPr>
              <w:t>Rwanda</w:t>
            </w:r>
            <w:proofErr w:type="spellEnd"/>
            <w:r w:rsidR="00F33FC8" w:rsidRPr="004A2CC5">
              <w:rPr>
                <w:lang w:val="es-ES_tradnl"/>
              </w:rPr>
              <w:t xml:space="preserve">, Seychelles, Sudáfrica, </w:t>
            </w:r>
            <w:proofErr w:type="spellStart"/>
            <w:r w:rsidR="00F33FC8" w:rsidRPr="004A2CC5">
              <w:rPr>
                <w:lang w:val="es-ES_tradnl"/>
              </w:rPr>
              <w:t>Tanzanía</w:t>
            </w:r>
            <w:proofErr w:type="spellEnd"/>
            <w:r w:rsidR="00F33FC8" w:rsidRPr="004A2CC5">
              <w:rPr>
                <w:lang w:val="es-ES_tradnl"/>
              </w:rPr>
              <w:t xml:space="preserve">, Zambia y </w:t>
            </w:r>
            <w:proofErr w:type="spellStart"/>
            <w:r w:rsidR="00F33FC8" w:rsidRPr="004A2CC5">
              <w:rPr>
                <w:lang w:val="es-ES_tradnl"/>
              </w:rPr>
              <w:t>Zimbabwe</w:t>
            </w:r>
            <w:proofErr w:type="spellEnd"/>
            <w:r w:rsidR="00F33FC8" w:rsidRPr="004A2CC5">
              <w:rPr>
                <w:lang w:val="es-ES_tradnl"/>
              </w:rPr>
              <w:t>.</w:t>
            </w:r>
          </w:p>
          <w:p w14:paraId="52AC8813" w14:textId="7FE0704B" w:rsidR="00F33FC8" w:rsidRPr="004A2CC5" w:rsidRDefault="00A40D49" w:rsidP="00A40D49">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Américas:</w:t>
            </w:r>
            <w:r w:rsidR="00F33FC8" w:rsidRPr="004A2CC5">
              <w:rPr>
                <w:lang w:val="es-ES_tradnl"/>
              </w:rPr>
              <w:t xml:space="preserve"> Ecuador, Perú, Saint </w:t>
            </w:r>
            <w:proofErr w:type="spellStart"/>
            <w:r w:rsidR="00F33FC8" w:rsidRPr="004A2CC5">
              <w:rPr>
                <w:lang w:val="es-ES_tradnl"/>
              </w:rPr>
              <w:t>Kitts</w:t>
            </w:r>
            <w:proofErr w:type="spellEnd"/>
            <w:r w:rsidR="00F33FC8" w:rsidRPr="004A2CC5">
              <w:rPr>
                <w:lang w:val="es-ES_tradnl"/>
              </w:rPr>
              <w:t xml:space="preserve"> y </w:t>
            </w:r>
            <w:proofErr w:type="spellStart"/>
            <w:r w:rsidR="00F33FC8" w:rsidRPr="004A2CC5">
              <w:rPr>
                <w:lang w:val="es-ES_tradnl"/>
              </w:rPr>
              <w:t>Nevis</w:t>
            </w:r>
            <w:proofErr w:type="spellEnd"/>
            <w:r w:rsidR="00F33FC8" w:rsidRPr="004A2CC5">
              <w:rPr>
                <w:lang w:val="es-ES_tradnl"/>
              </w:rPr>
              <w:t>, San Vicente y las Granadinas.</w:t>
            </w:r>
          </w:p>
          <w:p w14:paraId="05D74052" w14:textId="34BA13C5" w:rsidR="00F33FC8" w:rsidRPr="004A2CC5" w:rsidRDefault="00A40D49" w:rsidP="00A40D49">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Estados Árabes:</w:t>
            </w:r>
            <w:r w:rsidR="00F33FC8" w:rsidRPr="004A2CC5">
              <w:rPr>
                <w:lang w:val="es-ES_tradnl"/>
              </w:rPr>
              <w:t xml:space="preserve"> Iraq, Somalia, Estado de Palestina.</w:t>
            </w:r>
          </w:p>
          <w:p w14:paraId="51FFCA9A" w14:textId="77777777" w:rsidR="00A40D49" w:rsidRPr="004A2CC5" w:rsidRDefault="00A40D49" w:rsidP="00A40D49">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Asia-Pacífico:</w:t>
            </w:r>
            <w:r w:rsidR="00F33FC8" w:rsidRPr="004A2CC5">
              <w:rPr>
                <w:lang w:val="es-ES_tradnl"/>
              </w:rPr>
              <w:t xml:space="preserve"> Kiribati, Tonga.</w:t>
            </w:r>
          </w:p>
          <w:p w14:paraId="2B75ED86" w14:textId="6EC62525" w:rsidR="00F33FC8" w:rsidRPr="004A2CC5" w:rsidRDefault="00A40D49" w:rsidP="00A40D49">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 xml:space="preserve">Europa: </w:t>
            </w:r>
            <w:r w:rsidR="00F33FC8" w:rsidRPr="004A2CC5">
              <w:rPr>
                <w:lang w:val="es-ES_tradnl"/>
              </w:rPr>
              <w:t>Georgia, Moldova.</w:t>
            </w:r>
          </w:p>
          <w:p w14:paraId="66260079" w14:textId="77777777" w:rsidR="00F33FC8" w:rsidRPr="004A2CC5" w:rsidRDefault="00F33FC8" w:rsidP="00A40D49">
            <w:pPr>
              <w:pStyle w:val="Tabletext"/>
              <w:rPr>
                <w:lang w:val="es-ES_tradnl"/>
              </w:rPr>
            </w:pPr>
          </w:p>
          <w:p w14:paraId="5AED1725" w14:textId="77777777" w:rsidR="00F33FC8" w:rsidRPr="004A2CC5" w:rsidRDefault="00F33FC8" w:rsidP="00A40D49">
            <w:pPr>
              <w:pStyle w:val="Tabletext"/>
              <w:rPr>
                <w:b/>
                <w:bCs/>
                <w:lang w:val="es-ES_tradnl"/>
              </w:rPr>
            </w:pPr>
            <w:r w:rsidRPr="004A2CC5">
              <w:rPr>
                <w:b/>
                <w:bCs/>
                <w:lang w:val="es-ES_tradnl"/>
              </w:rPr>
              <w:t>EW4ALL:</w:t>
            </w:r>
          </w:p>
          <w:p w14:paraId="4364D623" w14:textId="379229E6" w:rsidR="00F33FC8" w:rsidRPr="004A2CC5" w:rsidRDefault="00A40D49" w:rsidP="00A40D49">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 xml:space="preserve">África: </w:t>
            </w:r>
            <w:r w:rsidR="00F33FC8" w:rsidRPr="004A2CC5">
              <w:rPr>
                <w:lang w:val="es-ES_tradnl"/>
              </w:rPr>
              <w:t>Etiopía, Madagascar, Mozambique.</w:t>
            </w:r>
          </w:p>
          <w:p w14:paraId="27F005EE" w14:textId="106B9225" w:rsidR="00F33FC8" w:rsidRPr="004A2CC5" w:rsidRDefault="00A40D49" w:rsidP="00A40D49">
            <w:pPr>
              <w:pStyle w:val="Tabletext"/>
              <w:ind w:left="284" w:hanging="284"/>
              <w:rPr>
                <w:b/>
                <w:bCs/>
                <w:lang w:val="es-ES_tradnl"/>
              </w:rPr>
            </w:pPr>
            <w:r w:rsidRPr="004A2CC5">
              <w:rPr>
                <w:b/>
                <w:bCs/>
                <w:lang w:val="es-ES_tradnl"/>
              </w:rPr>
              <w:lastRenderedPageBreak/>
              <w:t>•</w:t>
            </w:r>
            <w:r w:rsidRPr="004A2CC5">
              <w:rPr>
                <w:b/>
                <w:bCs/>
                <w:lang w:val="es-ES_tradnl"/>
              </w:rPr>
              <w:tab/>
            </w:r>
            <w:r w:rsidR="00F33FC8" w:rsidRPr="004A2CC5">
              <w:rPr>
                <w:b/>
                <w:bCs/>
                <w:lang w:val="es-ES_tradnl"/>
              </w:rPr>
              <w:t xml:space="preserve">América: </w:t>
            </w:r>
            <w:r w:rsidR="00F33FC8" w:rsidRPr="004A2CC5">
              <w:rPr>
                <w:lang w:val="es-ES_tradnl"/>
              </w:rPr>
              <w:t>Antigua y Barbuda, Barbados, Ecuador, Guatemala, Guyana, Haití (países identificados para la 1ª fase).</w:t>
            </w:r>
          </w:p>
          <w:p w14:paraId="771F578B" w14:textId="666579EA" w:rsidR="00F33FC8" w:rsidRPr="004A2CC5" w:rsidRDefault="00A40D49" w:rsidP="00A40D49">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 xml:space="preserve">Asia-Pacífico: </w:t>
            </w:r>
            <w:r w:rsidR="00F33FC8" w:rsidRPr="004A2CC5">
              <w:rPr>
                <w:lang w:val="es-ES_tradnl"/>
              </w:rPr>
              <w:t xml:space="preserve">Bangladesh, Camboya, </w:t>
            </w:r>
            <w:proofErr w:type="spellStart"/>
            <w:r w:rsidR="00F33FC8" w:rsidRPr="004A2CC5">
              <w:rPr>
                <w:lang w:val="es-ES_tradnl"/>
              </w:rPr>
              <w:t>Fiji</w:t>
            </w:r>
            <w:proofErr w:type="spellEnd"/>
            <w:r w:rsidR="00F33FC8" w:rsidRPr="004A2CC5">
              <w:rPr>
                <w:lang w:val="es-ES_tradnl"/>
              </w:rPr>
              <w:t>, Lao (R.D.P.), Maldivas, Nepal.</w:t>
            </w:r>
          </w:p>
          <w:p w14:paraId="0BE8E402" w14:textId="71B84443" w:rsidR="00F33FC8" w:rsidRPr="004A2CC5" w:rsidRDefault="00A40D49" w:rsidP="00A40D49">
            <w:pPr>
              <w:pStyle w:val="Tabletext"/>
              <w:rPr>
                <w:lang w:val="es-ES_tradnl"/>
              </w:rPr>
            </w:pPr>
            <w:r w:rsidRPr="004A2CC5">
              <w:rPr>
                <w:b/>
                <w:bCs/>
                <w:lang w:val="es-ES_tradnl"/>
              </w:rPr>
              <w:t>•</w:t>
            </w:r>
            <w:r w:rsidRPr="004A2CC5">
              <w:rPr>
                <w:b/>
                <w:bCs/>
                <w:lang w:val="es-ES_tradnl"/>
              </w:rPr>
              <w:tab/>
            </w:r>
            <w:r w:rsidR="00F33FC8" w:rsidRPr="004A2CC5">
              <w:rPr>
                <w:b/>
                <w:bCs/>
                <w:lang w:val="es-ES_tradnl"/>
              </w:rPr>
              <w:t xml:space="preserve">Estados Árabes: </w:t>
            </w:r>
            <w:r w:rsidR="00F33FC8" w:rsidRPr="004A2CC5">
              <w:rPr>
                <w:lang w:val="es-ES_tradnl"/>
              </w:rPr>
              <w:t>Somalia.</w:t>
            </w:r>
          </w:p>
          <w:p w14:paraId="427586A4" w14:textId="30AE29DB" w:rsidR="00F33FC8" w:rsidRPr="004A2CC5" w:rsidRDefault="00A40D49" w:rsidP="00A40D49">
            <w:pPr>
              <w:pStyle w:val="Tabletext"/>
              <w:rPr>
                <w:lang w:val="es-ES_tradnl"/>
              </w:rPr>
            </w:pPr>
            <w:r w:rsidRPr="004A2CC5">
              <w:rPr>
                <w:b/>
                <w:bCs/>
                <w:lang w:val="es-ES_tradnl"/>
              </w:rPr>
              <w:t>•</w:t>
            </w:r>
            <w:r w:rsidRPr="004A2CC5">
              <w:rPr>
                <w:b/>
                <w:bCs/>
                <w:lang w:val="es-ES_tradnl"/>
              </w:rPr>
              <w:tab/>
            </w:r>
            <w:r w:rsidR="00F33FC8" w:rsidRPr="004A2CC5">
              <w:rPr>
                <w:b/>
                <w:bCs/>
                <w:lang w:val="es-ES_tradnl"/>
              </w:rPr>
              <w:t xml:space="preserve">CEI: </w:t>
            </w:r>
            <w:r w:rsidR="00F33FC8" w:rsidRPr="004A2CC5">
              <w:rPr>
                <w:lang w:val="es-ES_tradnl"/>
              </w:rPr>
              <w:t>Tayikistán.</w:t>
            </w:r>
          </w:p>
          <w:p w14:paraId="31BB1CD8" w14:textId="77777777" w:rsidR="00F33FC8" w:rsidRPr="004A2CC5" w:rsidRDefault="00F33FC8" w:rsidP="00F33FC8">
            <w:pPr>
              <w:tabs>
                <w:tab w:val="clear" w:pos="794"/>
                <w:tab w:val="clear" w:pos="1191"/>
                <w:tab w:val="clear" w:pos="1588"/>
                <w:tab w:val="clear" w:pos="1985"/>
              </w:tabs>
              <w:overflowPunct/>
              <w:autoSpaceDE/>
              <w:autoSpaceDN/>
              <w:adjustRightInd/>
              <w:spacing w:before="0"/>
              <w:ind w:left="361"/>
              <w:contextualSpacing/>
              <w:textAlignment w:val="auto"/>
              <w:rPr>
                <w:b/>
                <w:bCs/>
                <w:sz w:val="22"/>
                <w:lang w:val="es-ES_tradnl"/>
              </w:rPr>
            </w:pPr>
          </w:p>
          <w:p w14:paraId="724E528C" w14:textId="77777777" w:rsidR="00F33FC8" w:rsidRPr="004A2CC5" w:rsidRDefault="00F33FC8" w:rsidP="00A40D49">
            <w:pPr>
              <w:pStyle w:val="Tabletext"/>
              <w:rPr>
                <w:b/>
                <w:bCs/>
                <w:lang w:val="es-ES_tradnl"/>
              </w:rPr>
            </w:pPr>
            <w:r w:rsidRPr="004A2CC5">
              <w:rPr>
                <w:b/>
                <w:bCs/>
                <w:lang w:val="es-ES_tradnl"/>
              </w:rPr>
              <w:t>Despliegue de equipos:</w:t>
            </w:r>
          </w:p>
          <w:p w14:paraId="403099E4" w14:textId="47EB930E" w:rsidR="00F33FC8" w:rsidRPr="004A2CC5" w:rsidRDefault="00A40D49" w:rsidP="00A40D49">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África:</w:t>
            </w:r>
            <w:r w:rsidR="00F33FC8" w:rsidRPr="004A2CC5">
              <w:rPr>
                <w:lang w:val="es-ES_tradnl"/>
              </w:rPr>
              <w:t xml:space="preserve"> </w:t>
            </w:r>
            <w:proofErr w:type="spellStart"/>
            <w:r w:rsidR="00F33FC8" w:rsidRPr="004A2CC5">
              <w:rPr>
                <w:lang w:val="es-ES_tradnl"/>
              </w:rPr>
              <w:t>Zimbabwe</w:t>
            </w:r>
            <w:proofErr w:type="spellEnd"/>
            <w:r w:rsidR="00F33FC8" w:rsidRPr="004A2CC5">
              <w:rPr>
                <w:lang w:val="es-ES_tradnl"/>
              </w:rPr>
              <w:t xml:space="preserve"> (Centro para los países de la SADC).</w:t>
            </w:r>
          </w:p>
          <w:p w14:paraId="616F03A2" w14:textId="451FB95F" w:rsidR="00F33FC8" w:rsidRPr="004A2CC5" w:rsidRDefault="00A40D49" w:rsidP="00A40D49">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Américas:</w:t>
            </w:r>
            <w:r w:rsidR="00F33FC8" w:rsidRPr="004A2CC5">
              <w:rPr>
                <w:lang w:val="es-ES_tradnl"/>
              </w:rPr>
              <w:t xml:space="preserve"> Barbados (para ayudar a la región del Caribe).</w:t>
            </w:r>
          </w:p>
          <w:p w14:paraId="01093BCA" w14:textId="7056352E" w:rsidR="00F33FC8" w:rsidRPr="004A2CC5" w:rsidRDefault="00A40D49" w:rsidP="00853197">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Estados Árabes:</w:t>
            </w:r>
            <w:r w:rsidR="00F33FC8" w:rsidRPr="004A2CC5">
              <w:rPr>
                <w:lang w:val="es-ES_tradnl"/>
              </w:rPr>
              <w:t xml:space="preserve"> Dubái (para ayudar a los Estados Árabes, África, Asia y el Pacífico).</w:t>
            </w:r>
          </w:p>
        </w:tc>
      </w:tr>
      <w:tr w:rsidR="00F33FC8" w:rsidRPr="00B6045A" w14:paraId="2B45ED74" w14:textId="77777777" w:rsidTr="004E72A0">
        <w:trPr>
          <w:trHeight w:val="300"/>
        </w:trPr>
        <w:tc>
          <w:tcPr>
            <w:tcW w:w="14868" w:type="dxa"/>
            <w:gridSpan w:val="3"/>
            <w:shd w:val="clear" w:color="auto" w:fill="E5DFEC" w:themeFill="accent4" w:themeFillTint="33"/>
          </w:tcPr>
          <w:p w14:paraId="7E8B0A0F" w14:textId="726C9330" w:rsidR="00F33FC8" w:rsidRPr="004A2CC5" w:rsidRDefault="00F33FC8" w:rsidP="00111B10">
            <w:pPr>
              <w:pStyle w:val="Tabletext"/>
              <w:rPr>
                <w:b/>
                <w:bCs/>
                <w:lang w:val="es-ES_tradnl"/>
              </w:rPr>
            </w:pPr>
            <w:bookmarkStart w:id="6" w:name="_Hlk162438207"/>
            <w:r w:rsidRPr="004A2CC5">
              <w:rPr>
                <w:b/>
                <w:bCs/>
                <w:lang w:val="es-ES_tradnl"/>
              </w:rPr>
              <w:lastRenderedPageBreak/>
              <w:t>Infraestructura digital y de red</w:t>
            </w:r>
          </w:p>
          <w:p w14:paraId="370DE639" w14:textId="77777777" w:rsidR="00F33FC8" w:rsidRPr="004A2CC5" w:rsidRDefault="00F33FC8" w:rsidP="00111B10">
            <w:pPr>
              <w:pStyle w:val="Tabletext"/>
              <w:rPr>
                <w:lang w:val="es-ES_tradnl"/>
              </w:rPr>
            </w:pPr>
            <w:r w:rsidRPr="004A2CC5">
              <w:rPr>
                <w:b/>
                <w:bCs/>
                <w:i/>
                <w:iCs/>
                <w:lang w:val="es-ES_tradnl"/>
              </w:rPr>
              <w:t>Realización:</w:t>
            </w:r>
            <w:r w:rsidRPr="004A2CC5">
              <w:rPr>
                <w:i/>
                <w:iCs/>
                <w:lang w:val="es-ES_tradnl"/>
              </w:rPr>
              <w:t xml:space="preserve"> Mejora de las infraestructuras y servicios de telecomunicaciones/TIC, en particular la cobertura de banda ancha</w:t>
            </w:r>
          </w:p>
        </w:tc>
      </w:tr>
      <w:bookmarkEnd w:id="6"/>
      <w:tr w:rsidR="00F33FC8" w:rsidRPr="004A2CC5" w14:paraId="6D270A8B" w14:textId="77777777" w:rsidTr="004E72A0">
        <w:trPr>
          <w:trHeight w:val="300"/>
        </w:trPr>
        <w:tc>
          <w:tcPr>
            <w:tcW w:w="11875" w:type="dxa"/>
            <w:gridSpan w:val="2"/>
          </w:tcPr>
          <w:p w14:paraId="34B33F54" w14:textId="77777777" w:rsidR="00F33FC8" w:rsidRPr="004A2CC5" w:rsidRDefault="00F33FC8" w:rsidP="00111B10">
            <w:pPr>
              <w:pStyle w:val="Tablehead"/>
              <w:rPr>
                <w:lang w:val="es-ES_tradnl"/>
              </w:rPr>
            </w:pPr>
            <w:r w:rsidRPr="004A2CC5">
              <w:rPr>
                <w:lang w:val="es-ES_tradnl"/>
              </w:rPr>
              <w:t>Productos</w:t>
            </w:r>
          </w:p>
        </w:tc>
        <w:tc>
          <w:tcPr>
            <w:tcW w:w="2993" w:type="dxa"/>
            <w:shd w:val="clear" w:color="auto" w:fill="auto"/>
          </w:tcPr>
          <w:p w14:paraId="5B91383B" w14:textId="77777777" w:rsidR="00F33FC8" w:rsidRPr="004A2CC5" w:rsidRDefault="00F33FC8" w:rsidP="00111B10">
            <w:pPr>
              <w:pStyle w:val="Tablehead"/>
              <w:rPr>
                <w:lang w:val="es-ES_tradnl"/>
              </w:rPr>
            </w:pPr>
            <w:r w:rsidRPr="004A2CC5">
              <w:rPr>
                <w:lang w:val="es-ES_tradnl"/>
              </w:rPr>
              <w:t xml:space="preserve">Datos destacados </w:t>
            </w:r>
          </w:p>
        </w:tc>
      </w:tr>
      <w:tr w:rsidR="00F33FC8" w:rsidRPr="00B6045A" w14:paraId="78CF87DF" w14:textId="77777777" w:rsidTr="004E72A0">
        <w:trPr>
          <w:trHeight w:val="300"/>
        </w:trPr>
        <w:tc>
          <w:tcPr>
            <w:tcW w:w="11875" w:type="dxa"/>
            <w:gridSpan w:val="2"/>
          </w:tcPr>
          <w:p w14:paraId="773A8B0C" w14:textId="66634D93" w:rsidR="00F33FC8" w:rsidRPr="004A2CC5" w:rsidRDefault="00F33FC8" w:rsidP="00C709A5">
            <w:pPr>
              <w:pStyle w:val="Tabletext"/>
              <w:rPr>
                <w:lang w:val="es-ES_tradnl" w:eastAsia="en-GB"/>
              </w:rPr>
            </w:pPr>
            <w:r w:rsidRPr="004A2CC5">
              <w:rPr>
                <w:lang w:val="es-ES_tradnl" w:eastAsia="en-GB"/>
              </w:rPr>
              <w:t xml:space="preserve">Gracias la cartografía y el análisis de infraestructuras realizados a finales de 2023, la </w:t>
            </w:r>
            <w:r w:rsidR="00D227F4">
              <w:rPr>
                <w:lang w:val="es-ES_tradnl"/>
              </w:rPr>
              <w:t>BDT</w:t>
            </w:r>
            <w:r w:rsidRPr="004A2CC5">
              <w:rPr>
                <w:lang w:val="es-ES_tradnl" w:eastAsia="en-GB"/>
              </w:rPr>
              <w:t xml:space="preserve"> ha efectuado importantes contribuciones en varias regiones, que han dado lugar a un </w:t>
            </w:r>
            <w:r w:rsidRPr="004A2CC5">
              <w:rPr>
                <w:b/>
                <w:bCs/>
                <w:lang w:val="es-ES_tradnl" w:eastAsia="en-GB"/>
              </w:rPr>
              <w:t>mayor reconocimiento de las deficiencias de las infraestructuras de TIC en 21 países, lo que, a su vez, ha permitido tomar mejores decisiones en cuanto a la cobertura de banda ancha y la resiliencia</w:t>
            </w:r>
            <w:r w:rsidRPr="004A2CC5">
              <w:rPr>
                <w:lang w:val="es-ES_tradnl" w:eastAsia="en-GB"/>
              </w:rPr>
              <w:t xml:space="preserve">. Se han emprendido iniciativas de investigación, recopilación y procesamiento de datos relativos a las infraestructuras de TIC en </w:t>
            </w:r>
            <w:r w:rsidRPr="004A2CC5">
              <w:rPr>
                <w:b/>
                <w:bCs/>
                <w:lang w:val="es-ES_tradnl" w:eastAsia="en-GB"/>
              </w:rPr>
              <w:t>las regiones de África, las Américas, los Estados Árabes, Asia y el Pacífico y la CEI</w:t>
            </w:r>
            <w:r w:rsidRPr="004A2CC5">
              <w:rPr>
                <w:lang w:val="es-ES_tradnl" w:eastAsia="en-GB"/>
              </w:rPr>
              <w:t>. Se han presentado a los Estados Miembros análisis de la conectividad y las infraestructuras y se han elaborado mapas de infraestructuras</w:t>
            </w:r>
            <w:r w:rsidRPr="004A2CC5">
              <w:rPr>
                <w:lang w:val="es-ES_tradnl"/>
              </w:rPr>
              <w:t xml:space="preserve"> </w:t>
            </w:r>
            <w:r w:rsidRPr="004A2CC5">
              <w:rPr>
                <w:lang w:val="es-ES_tradnl" w:eastAsia="en-GB"/>
              </w:rPr>
              <w:t>personalizados en 21 países, potenciando así los esfuerzos de cartografía de la banda ancha a escala mundial.</w:t>
            </w:r>
          </w:p>
          <w:p w14:paraId="2CA2C229" w14:textId="77777777" w:rsidR="00F33FC8" w:rsidRPr="004A2CC5" w:rsidRDefault="00F33FC8" w:rsidP="00C709A5">
            <w:pPr>
              <w:pStyle w:val="Tabletext"/>
              <w:rPr>
                <w:lang w:val="es-ES_tradnl" w:eastAsia="en-GB"/>
              </w:rPr>
            </w:pPr>
            <w:r w:rsidRPr="004A2CC5">
              <w:rPr>
                <w:spacing w:val="-2"/>
                <w:lang w:val="es-ES_tradnl" w:eastAsia="en-GB"/>
              </w:rPr>
              <w:t xml:space="preserve">La BDT ha llevado a cabo iniciativas de capacitación, incluidos talleres de cartografía de las TIC en </w:t>
            </w:r>
            <w:r w:rsidRPr="004A2CC5">
              <w:rPr>
                <w:b/>
                <w:bCs/>
                <w:lang w:val="es-ES_tradnl" w:eastAsia="en-GB"/>
              </w:rPr>
              <w:t xml:space="preserve">Brasil, </w:t>
            </w:r>
            <w:hyperlink r:id="rId18" w:tgtFrame="_blank" w:history="1">
              <w:r w:rsidRPr="004A2CC5">
                <w:rPr>
                  <w:b/>
                  <w:bCs/>
                  <w:color w:val="0083B3"/>
                  <w:u w:val="single"/>
                  <w:lang w:val="es-ES_tradnl" w:eastAsia="en-GB"/>
                </w:rPr>
                <w:t>Kazajstán</w:t>
              </w:r>
            </w:hyperlink>
            <w:r w:rsidRPr="004A2CC5">
              <w:rPr>
                <w:b/>
                <w:bCs/>
                <w:color w:val="000000"/>
                <w:lang w:val="es-ES_tradnl" w:eastAsia="en-GB"/>
              </w:rPr>
              <w:t xml:space="preserve">, </w:t>
            </w:r>
            <w:hyperlink r:id="rId19" w:history="1">
              <w:r w:rsidRPr="004A2CC5">
                <w:rPr>
                  <w:b/>
                  <w:bCs/>
                  <w:color w:val="0083B3"/>
                  <w:u w:val="single"/>
                  <w:lang w:val="es-ES_tradnl" w:eastAsia="en-GB"/>
                </w:rPr>
                <w:t>Sierra Leona</w:t>
              </w:r>
            </w:hyperlink>
            <w:r w:rsidRPr="004A2CC5">
              <w:rPr>
                <w:b/>
                <w:bCs/>
                <w:lang w:val="es-ES_tradnl" w:eastAsia="en-GB"/>
              </w:rPr>
              <w:t xml:space="preserve"> y </w:t>
            </w:r>
            <w:hyperlink r:id="rId20" w:tgtFrame="_blank" w:history="1">
              <w:r w:rsidRPr="004A2CC5">
                <w:rPr>
                  <w:b/>
                  <w:bCs/>
                  <w:color w:val="0083B3"/>
                  <w:u w:val="single"/>
                  <w:lang w:val="es-ES_tradnl" w:eastAsia="en-GB"/>
                </w:rPr>
                <w:t>Uzbekistán</w:t>
              </w:r>
            </w:hyperlink>
            <w:r w:rsidRPr="004A2CC5">
              <w:rPr>
                <w:color w:val="000000"/>
                <w:lang w:val="es-ES_tradnl" w:eastAsia="en-GB"/>
              </w:rPr>
              <w:t xml:space="preserve">, en el marco del proyecto conjunto de la UIT y el Ministerio de Relaciones Exteriores, del Commonwealth y de Desarrollo (FCDO), </w:t>
            </w:r>
            <w:r w:rsidRPr="004A2CC5">
              <w:rPr>
                <w:b/>
                <w:bCs/>
                <w:color w:val="000000"/>
                <w:lang w:val="es-ES_tradnl" w:eastAsia="en-GB"/>
              </w:rPr>
              <w:t xml:space="preserve">reforzando así la capacidad de dichos países para ampliar la conectividad a las zonas rurales y </w:t>
            </w:r>
            <w:proofErr w:type="spellStart"/>
            <w:r w:rsidRPr="004A2CC5">
              <w:rPr>
                <w:b/>
                <w:bCs/>
                <w:color w:val="000000"/>
                <w:lang w:val="es-ES_tradnl" w:eastAsia="en-GB"/>
              </w:rPr>
              <w:t>subatendidas</w:t>
            </w:r>
            <w:proofErr w:type="spellEnd"/>
            <w:r w:rsidRPr="004A2CC5">
              <w:rPr>
                <w:b/>
                <w:bCs/>
                <w:color w:val="000000"/>
                <w:lang w:val="es-ES_tradnl" w:eastAsia="en-GB"/>
              </w:rPr>
              <w:t>.</w:t>
            </w:r>
            <w:r w:rsidRPr="004A2CC5">
              <w:rPr>
                <w:color w:val="000000"/>
                <w:lang w:val="es-ES_tradnl" w:eastAsia="en-GB"/>
              </w:rPr>
              <w:t xml:space="preserve"> </w:t>
            </w:r>
            <w:r w:rsidRPr="004A2CC5">
              <w:rPr>
                <w:lang w:val="es-ES_tradnl" w:eastAsia="en-GB"/>
              </w:rPr>
              <w:t xml:space="preserve">Además, a través del mismo proyecto de la UIT y el FCDO, la Academia de la UIT ha presentado una formación autodidacta sobre </w:t>
            </w:r>
            <w:hyperlink r:id="rId21" w:history="1">
              <w:r w:rsidRPr="004A2CC5">
                <w:rPr>
                  <w:color w:val="0563C1"/>
                  <w:u w:val="single"/>
                  <w:lang w:val="es-ES_tradnl" w:eastAsia="en-GB"/>
                </w:rPr>
                <w:t>cartografía y planificación de infraestructuras</w:t>
              </w:r>
            </w:hyperlink>
            <w:r w:rsidRPr="004A2CC5">
              <w:rPr>
                <w:lang w:val="es-ES_tradnl" w:eastAsia="en-GB"/>
              </w:rPr>
              <w:t>, que ha atraído a 440 profesionales de las TIC.</w:t>
            </w:r>
          </w:p>
          <w:p w14:paraId="35183DDC" w14:textId="234C57F7" w:rsidR="00F33FC8" w:rsidRPr="004A2CC5" w:rsidRDefault="00C709A5" w:rsidP="00C709A5">
            <w:pPr>
              <w:pStyle w:val="Tabletext"/>
              <w:ind w:left="284" w:hanging="284"/>
              <w:rPr>
                <w:lang w:val="es-ES_tradnl" w:eastAsia="en-GB"/>
              </w:rPr>
            </w:pPr>
            <w:r w:rsidRPr="004A2CC5">
              <w:rPr>
                <w:b/>
                <w:bCs/>
                <w:lang w:val="es-ES_tradnl"/>
              </w:rPr>
              <w:t>•</w:t>
            </w:r>
            <w:r w:rsidRPr="004A2CC5">
              <w:rPr>
                <w:b/>
                <w:bCs/>
                <w:lang w:val="es-ES_tradnl"/>
              </w:rPr>
              <w:tab/>
            </w:r>
            <w:r w:rsidR="00F33FC8" w:rsidRPr="004A2CC5">
              <w:rPr>
                <w:b/>
                <w:bCs/>
                <w:lang w:val="es-ES_tradnl" w:eastAsia="en-GB"/>
              </w:rPr>
              <w:t>En África</w:t>
            </w:r>
            <w:r w:rsidR="00F33FC8" w:rsidRPr="004A2CC5">
              <w:rPr>
                <w:lang w:val="es-ES_tradnl" w:eastAsia="en-GB"/>
              </w:rPr>
              <w:t xml:space="preserve">, en el marco de la C2R, se ha llevado a cabo una evaluación de la resiliencia de </w:t>
            </w:r>
            <w:proofErr w:type="spellStart"/>
            <w:r w:rsidR="00F33FC8" w:rsidRPr="004A2CC5">
              <w:rPr>
                <w:lang w:val="es-ES_tradnl" w:eastAsia="en-GB"/>
              </w:rPr>
              <w:t>Zimbabwe</w:t>
            </w:r>
            <w:proofErr w:type="spellEnd"/>
            <w:r w:rsidR="00F33FC8" w:rsidRPr="004A2CC5">
              <w:rPr>
                <w:lang w:val="es-ES_tradnl" w:eastAsia="en-GB"/>
              </w:rPr>
              <w:t xml:space="preserve"> con miras a reforzar la infraestructura de telecomunicaciones/TIC del país en favor de la recuperación económica tras las pandemias. Con el apoyo del FCDO del Reino Unido, se ha realizado en Nigeria un estudio sobre los costes operacionales de la infraestructura de telecomunicaciones y la conectividad. En </w:t>
            </w:r>
            <w:proofErr w:type="spellStart"/>
            <w:r w:rsidR="00F33FC8" w:rsidRPr="004A2CC5">
              <w:rPr>
                <w:lang w:val="es-ES_tradnl" w:eastAsia="en-GB"/>
              </w:rPr>
              <w:t>Kenya</w:t>
            </w:r>
            <w:proofErr w:type="spellEnd"/>
            <w:r w:rsidR="00F33FC8" w:rsidRPr="004A2CC5">
              <w:rPr>
                <w:lang w:val="es-ES_tradnl" w:eastAsia="en-GB"/>
              </w:rPr>
              <w:t>, se ha realizado un estudio sobre modelos operacionales sostenibles de conectividad a Internet, así como un estudio adicional sobre proyectos de conectividad de último kilómetro. En Sudáfrica, se ha llevado a cabo un trabajo de investigación sobre modelos de conectividad sostenible y competencias digitales para jóvenes sin empleo, educación o formación.</w:t>
            </w:r>
          </w:p>
          <w:p w14:paraId="5D453AC6" w14:textId="3677A361" w:rsidR="00F33FC8" w:rsidRPr="004A2CC5" w:rsidRDefault="00C709A5" w:rsidP="00C709A5">
            <w:pPr>
              <w:pStyle w:val="Tabletext"/>
              <w:ind w:left="284" w:hanging="284"/>
              <w:rPr>
                <w:rFonts w:cs="Calibri"/>
                <w:lang w:val="es-ES_tradnl" w:eastAsia="en-GB"/>
              </w:rPr>
            </w:pPr>
            <w:r w:rsidRPr="004A2CC5">
              <w:rPr>
                <w:b/>
                <w:bCs/>
                <w:lang w:val="es-ES_tradnl"/>
              </w:rPr>
              <w:t>•</w:t>
            </w:r>
            <w:r w:rsidRPr="004A2CC5">
              <w:rPr>
                <w:b/>
                <w:bCs/>
                <w:lang w:val="es-ES_tradnl"/>
              </w:rPr>
              <w:tab/>
            </w:r>
            <w:r w:rsidR="00F33FC8" w:rsidRPr="004A2CC5">
              <w:rPr>
                <w:rFonts w:cs="Calibri"/>
                <w:b/>
                <w:bCs/>
                <w:lang w:val="es-ES_tradnl" w:eastAsia="en-GB"/>
              </w:rPr>
              <w:t xml:space="preserve">En las Américas y los Estados Árabes, </w:t>
            </w:r>
            <w:r w:rsidR="00F33FC8" w:rsidRPr="004A2CC5">
              <w:rPr>
                <w:rFonts w:cs="Calibri"/>
                <w:b/>
                <w:bCs/>
                <w:color w:val="000000"/>
                <w:lang w:val="es-ES_tradnl" w:eastAsia="en-GB"/>
              </w:rPr>
              <w:t xml:space="preserve">se ha mejorado la </w:t>
            </w:r>
            <w:r w:rsidR="00F33FC8" w:rsidRPr="004A2CC5">
              <w:rPr>
                <w:rFonts w:cs="Calibri"/>
                <w:b/>
                <w:bCs/>
                <w:lang w:val="es-ES_tradnl" w:eastAsia="en-GB"/>
              </w:rPr>
              <w:t xml:space="preserve">capacidad de </w:t>
            </w:r>
            <w:r w:rsidR="00F33FC8" w:rsidRPr="004A2CC5">
              <w:rPr>
                <w:rFonts w:cs="Calibri"/>
                <w:b/>
                <w:bCs/>
                <w:color w:val="000000"/>
                <w:lang w:val="es-ES_tradnl" w:eastAsia="en-GB"/>
              </w:rPr>
              <w:t>los Estados Miembros para elaborar planes de negocio relacionados con las infraestructuras de TIC en favor de un ecosistema de TIC sostenible</w:t>
            </w:r>
            <w:r w:rsidR="00F33FC8" w:rsidRPr="004A2CC5">
              <w:rPr>
                <w:rFonts w:cs="Calibri"/>
                <w:color w:val="000000"/>
                <w:lang w:val="es-ES_tradnl" w:eastAsia="en-GB"/>
              </w:rPr>
              <w:t xml:space="preserve">, gracias a la publicación del </w:t>
            </w:r>
            <w:hyperlink r:id="rId22" w:tgtFrame="_blank" w:history="1">
              <w:r w:rsidR="00F33FC8" w:rsidRPr="004A2CC5">
                <w:rPr>
                  <w:rFonts w:cs="Calibri"/>
                  <w:color w:val="0083B3"/>
                  <w:position w:val="-1"/>
                  <w:u w:val="single"/>
                  <w:lang w:val="es-ES_tradnl" w:eastAsia="en-GB"/>
                </w:rPr>
                <w:t>conjunto de herramientas de planificación comercial de las infraestructuras de TIC, en concreto las redes 5G</w:t>
              </w:r>
            </w:hyperlink>
            <w:r w:rsidR="00F33FC8" w:rsidRPr="004A2CC5">
              <w:rPr>
                <w:rFonts w:cs="Calibri"/>
                <w:color w:val="000000"/>
                <w:position w:val="-1"/>
                <w:lang w:val="es-ES_tradnl" w:eastAsia="en-GB"/>
              </w:rPr>
              <w:t xml:space="preserve">, unida a una serie de talleres de planificación comercial de las TIC en los que participaron más de 60 países de todo el mundo. </w:t>
            </w:r>
            <w:r w:rsidR="00F33FC8" w:rsidRPr="004A2CC5">
              <w:rPr>
                <w:rFonts w:cs="Calibri"/>
                <w:b/>
                <w:bCs/>
                <w:color w:val="000000"/>
                <w:position w:val="-1"/>
                <w:lang w:val="es-ES_tradnl" w:eastAsia="en-GB"/>
              </w:rPr>
              <w:t xml:space="preserve">En </w:t>
            </w:r>
            <w:r w:rsidR="00F33FC8" w:rsidRPr="004A2CC5">
              <w:rPr>
                <w:rFonts w:cs="Calibri"/>
                <w:b/>
                <w:bCs/>
                <w:lang w:val="es-ES_tradnl" w:eastAsia="en-GB"/>
              </w:rPr>
              <w:t>las Américas</w:t>
            </w:r>
            <w:r w:rsidR="00F33FC8" w:rsidRPr="004A2CC5">
              <w:rPr>
                <w:rFonts w:cs="Calibri"/>
                <w:lang w:val="es-ES_tradnl" w:eastAsia="en-GB"/>
              </w:rPr>
              <w:t xml:space="preserve">, en el marco de la </w:t>
            </w:r>
            <w:r w:rsidR="00F33FC8" w:rsidRPr="004A2CC5">
              <w:rPr>
                <w:lang w:val="es-ES_tradnl" w:eastAsia="en-GB"/>
              </w:rPr>
              <w:t>C2R</w:t>
            </w:r>
            <w:r w:rsidR="00F33FC8" w:rsidRPr="004A2CC5">
              <w:rPr>
                <w:rFonts w:cs="Calibri"/>
                <w:lang w:val="es-ES_tradnl" w:eastAsia="en-GB"/>
              </w:rPr>
              <w:t xml:space="preserve">, se ha llevado a cabo una evaluación de la resiliencia de Granada con miras a reforzar la infraestructura de telecomunicaciones/TIC en favor de la recuperación económica tras las pandemias y las catástrofes naturales. En Brasil, en el marco del proyecto conjunto de la UIT y el FCDO, se ha creado un grupo de trabajo formado por miembros de </w:t>
            </w:r>
            <w:proofErr w:type="spellStart"/>
            <w:r w:rsidR="00F33FC8" w:rsidRPr="004A2CC5">
              <w:rPr>
                <w:rFonts w:ascii="Calibri" w:hAnsi="Calibri" w:cs="Calibri"/>
                <w:lang w:val="es-ES_tradnl"/>
              </w:rPr>
              <w:t>Anatel</w:t>
            </w:r>
            <w:proofErr w:type="spellEnd"/>
            <w:r w:rsidR="00F33FC8" w:rsidRPr="004A2CC5">
              <w:rPr>
                <w:rFonts w:cs="Calibri"/>
                <w:lang w:val="es-ES_tradnl" w:eastAsia="en-GB"/>
              </w:rPr>
              <w:t>, Nic.br, el FCDO y otras partes interesadas, con el objetivo de proponer mejoras que faciliten el uso de la interfaz cartográfica desarrollada como parte del proyecto.</w:t>
            </w:r>
          </w:p>
          <w:p w14:paraId="673F29F6" w14:textId="26C38FAA" w:rsidR="00F33FC8" w:rsidRPr="004A2CC5" w:rsidRDefault="00C709A5" w:rsidP="00C709A5">
            <w:pPr>
              <w:pStyle w:val="Tabletext"/>
              <w:ind w:left="284" w:hanging="284"/>
              <w:rPr>
                <w:rFonts w:cs="Calibri"/>
                <w:lang w:val="es-ES_tradnl" w:eastAsia="en-GB"/>
              </w:rPr>
            </w:pPr>
            <w:r w:rsidRPr="004A2CC5">
              <w:rPr>
                <w:b/>
                <w:bCs/>
                <w:lang w:val="es-ES_tradnl"/>
              </w:rPr>
              <w:lastRenderedPageBreak/>
              <w:t>•</w:t>
            </w:r>
            <w:r w:rsidRPr="004A2CC5">
              <w:rPr>
                <w:b/>
                <w:bCs/>
                <w:lang w:val="es-ES_tradnl"/>
              </w:rPr>
              <w:tab/>
            </w:r>
            <w:r w:rsidR="00F33FC8" w:rsidRPr="004A2CC5">
              <w:rPr>
                <w:rFonts w:cs="Calibri"/>
                <w:b/>
                <w:bCs/>
                <w:lang w:val="es-ES_tradnl" w:eastAsia="en-GB"/>
              </w:rPr>
              <w:t>En Asia y el Pacífico</w:t>
            </w:r>
            <w:r w:rsidR="00F33FC8" w:rsidRPr="004A2CC5">
              <w:rPr>
                <w:rFonts w:cs="Calibri"/>
                <w:lang w:val="es-ES_tradnl" w:eastAsia="en-GB"/>
              </w:rPr>
              <w:t xml:space="preserve">, la BDT ha prestado asistencia técnica a Sri Lanka para </w:t>
            </w:r>
            <w:r w:rsidR="00F33FC8" w:rsidRPr="004A2CC5">
              <w:rPr>
                <w:rFonts w:cs="Calibri"/>
                <w:b/>
                <w:bCs/>
                <w:lang w:val="es-ES_tradnl" w:eastAsia="en-GB"/>
              </w:rPr>
              <w:t xml:space="preserve">mejorar la asequibilidad de los servicios de TIC </w:t>
            </w:r>
            <w:r w:rsidR="00F33FC8" w:rsidRPr="004A2CC5">
              <w:rPr>
                <w:rFonts w:cs="Calibri"/>
                <w:lang w:val="es-ES_tradnl" w:eastAsia="en-GB"/>
              </w:rPr>
              <w:t xml:space="preserve">mediante la definición </w:t>
            </w:r>
            <w:r w:rsidR="00F33FC8" w:rsidRPr="004A2CC5">
              <w:rPr>
                <w:lang w:val="es-ES_tradnl" w:eastAsia="en-GB"/>
              </w:rPr>
              <w:t>de</w:t>
            </w:r>
            <w:r w:rsidR="00F33FC8" w:rsidRPr="004A2CC5">
              <w:rPr>
                <w:rFonts w:cs="Calibri"/>
                <w:lang w:val="es-ES_tradnl" w:eastAsia="en-GB"/>
              </w:rPr>
              <w:t xml:space="preserve"> directrices nacionales para la compartición de infraestructura activa y pasiva. Se ha prestado asistencia directa a Mongolia para </w:t>
            </w:r>
            <w:r w:rsidR="00F33FC8" w:rsidRPr="004A2CC5">
              <w:rPr>
                <w:rFonts w:cs="Calibri"/>
                <w:b/>
                <w:bCs/>
                <w:lang w:val="es-ES_tradnl" w:eastAsia="en-GB"/>
              </w:rPr>
              <w:t xml:space="preserve">evaluar el nivel de preparación del mercado a efectos de la introducción de la itinerancia nacional </w:t>
            </w:r>
            <w:r w:rsidR="00F33FC8" w:rsidRPr="004A2CC5">
              <w:rPr>
                <w:rFonts w:cs="Calibri"/>
                <w:lang w:val="es-ES_tradnl" w:eastAsia="en-GB"/>
              </w:rPr>
              <w:t xml:space="preserve">en el país. También se ha prestado asistencia a Tonga para la elaboración de </w:t>
            </w:r>
            <w:r w:rsidR="00F33FC8" w:rsidRPr="004A2CC5">
              <w:rPr>
                <w:rFonts w:cs="Calibri"/>
                <w:b/>
                <w:bCs/>
                <w:lang w:val="es-ES_tradnl" w:eastAsia="en-GB"/>
              </w:rPr>
              <w:t>directrices nacionales en materia de calidad de servicio/calidad percibida (QoS/QoE)</w:t>
            </w:r>
            <w:r w:rsidR="00F33FC8" w:rsidRPr="004A2CC5">
              <w:rPr>
                <w:rFonts w:cs="Calibri"/>
                <w:lang w:val="es-ES_tradnl" w:eastAsia="en-GB"/>
              </w:rPr>
              <w:t>, haciendo hincapié en la reducción del tiempo de inactividad.</w:t>
            </w:r>
          </w:p>
          <w:p w14:paraId="26D1276D" w14:textId="376B34EA" w:rsidR="00F33FC8" w:rsidRPr="004A2CC5" w:rsidRDefault="00C709A5" w:rsidP="00C709A5">
            <w:pPr>
              <w:pStyle w:val="Tabletext"/>
              <w:ind w:left="284" w:hanging="284"/>
              <w:rPr>
                <w:rFonts w:cs="Calibri"/>
                <w:lang w:val="es-ES_tradnl" w:eastAsia="en-GB"/>
              </w:rPr>
            </w:pPr>
            <w:r w:rsidRPr="004A2CC5">
              <w:rPr>
                <w:rFonts w:cs="Calibri"/>
                <w:lang w:val="es-ES_tradnl" w:eastAsia="en-GB"/>
              </w:rPr>
              <w:tab/>
            </w:r>
            <w:r w:rsidR="00F33FC8" w:rsidRPr="004A2CC5">
              <w:rPr>
                <w:rFonts w:cs="Calibri"/>
                <w:lang w:val="es-ES_tradnl" w:eastAsia="en-GB"/>
              </w:rPr>
              <w:t xml:space="preserve">Se ha prestado </w:t>
            </w:r>
            <w:r w:rsidR="00F33FC8" w:rsidRPr="004A2CC5">
              <w:rPr>
                <w:lang w:val="es-ES_tradnl" w:eastAsia="en-GB"/>
              </w:rPr>
              <w:t>asistencia</w:t>
            </w:r>
            <w:r w:rsidR="00F33FC8" w:rsidRPr="004A2CC5">
              <w:rPr>
                <w:rFonts w:cs="Calibri"/>
                <w:lang w:val="es-ES_tradnl" w:eastAsia="en-GB"/>
              </w:rPr>
              <w:t xml:space="preserve"> directa a </w:t>
            </w:r>
            <w:proofErr w:type="spellStart"/>
            <w:r w:rsidR="00F33FC8" w:rsidRPr="004A2CC5">
              <w:rPr>
                <w:rFonts w:cs="Calibri"/>
                <w:b/>
                <w:bCs/>
                <w:lang w:val="es-ES_tradnl" w:eastAsia="en-GB"/>
              </w:rPr>
              <w:t>Fiji</w:t>
            </w:r>
            <w:proofErr w:type="spellEnd"/>
            <w:r w:rsidR="00F33FC8" w:rsidRPr="004A2CC5">
              <w:rPr>
                <w:rFonts w:cs="Calibri"/>
                <w:b/>
                <w:bCs/>
                <w:lang w:val="es-ES_tradnl" w:eastAsia="en-GB"/>
              </w:rPr>
              <w:t xml:space="preserve"> para evaluar el modelo de televisión digital</w:t>
            </w:r>
            <w:r w:rsidR="00F33FC8" w:rsidRPr="004A2CC5">
              <w:rPr>
                <w:rFonts w:cs="Calibri"/>
                <w:lang w:val="es-ES_tradnl" w:eastAsia="en-GB"/>
              </w:rPr>
              <w:t>. Además, se impartió una clase magistral previa a la Cumbre y se organizaron diversos talleres de formación sobre el sistema de gestión del espectro para los países en desarrollo (SMS4DC) dirigidos a la India. Esta iniciativa incluyó dos sesiones virtuales y una formación de una semana de duración en Nueva Delhi. En respuesta a múltiples peticiones, se ha previsto impartir una formación sobre el SMS4DC con ocasión de la Reunión General Anual en Vanuatu.</w:t>
            </w:r>
          </w:p>
          <w:p w14:paraId="454FDC65" w14:textId="26D9CBC7" w:rsidR="00F33FC8" w:rsidRPr="004A2CC5" w:rsidRDefault="00C709A5" w:rsidP="00C709A5">
            <w:pPr>
              <w:pStyle w:val="Tabletext"/>
              <w:ind w:left="284" w:hanging="284"/>
              <w:rPr>
                <w:rFonts w:cs="Calibri"/>
                <w:lang w:val="es-ES_tradnl" w:eastAsia="en-GB"/>
              </w:rPr>
            </w:pPr>
            <w:r w:rsidRPr="004A2CC5">
              <w:rPr>
                <w:rFonts w:cs="Calibri"/>
                <w:b/>
                <w:bCs/>
                <w:lang w:val="es-ES_tradnl" w:eastAsia="en-GB"/>
              </w:rPr>
              <w:tab/>
            </w:r>
            <w:r w:rsidR="00F33FC8" w:rsidRPr="004A2CC5">
              <w:rPr>
                <w:rFonts w:cs="Calibri"/>
                <w:b/>
                <w:bCs/>
                <w:lang w:val="es-ES_tradnl" w:eastAsia="en-GB"/>
              </w:rPr>
              <w:t>En la CEI</w:t>
            </w:r>
            <w:r w:rsidR="00F33FC8" w:rsidRPr="004A2CC5">
              <w:rPr>
                <w:rFonts w:cs="Calibri"/>
                <w:lang w:val="es-ES_tradnl" w:eastAsia="en-GB"/>
              </w:rPr>
              <w:t xml:space="preserve">, </w:t>
            </w:r>
            <w:r w:rsidR="00F33FC8" w:rsidRPr="004A2CC5">
              <w:rPr>
                <w:rFonts w:cs="Calibri"/>
                <w:b/>
                <w:bCs/>
                <w:lang w:val="es-ES_tradnl" w:eastAsia="en-GB"/>
              </w:rPr>
              <w:t xml:space="preserve">se ha mejorado la capacidad de los Estados Miembros para desplegar redes 5G </w:t>
            </w:r>
            <w:r w:rsidR="00F33FC8" w:rsidRPr="004A2CC5">
              <w:rPr>
                <w:rFonts w:cs="Calibri"/>
                <w:lang w:val="es-ES_tradnl" w:eastAsia="en-GB"/>
              </w:rPr>
              <w:t xml:space="preserve">mediante cursos de formación en Armenia, Tayikistán y Turkmenistán. Se han llevado a cabo trabajos de investigación acerca de la utilización real y la calidad de la </w:t>
            </w:r>
            <w:r w:rsidR="00F33FC8" w:rsidRPr="004A2CC5">
              <w:rPr>
                <w:lang w:val="es-ES_tradnl" w:eastAsia="en-GB"/>
              </w:rPr>
              <w:t>conectividad</w:t>
            </w:r>
            <w:r w:rsidR="00F33FC8" w:rsidRPr="004A2CC5">
              <w:rPr>
                <w:rFonts w:cs="Calibri"/>
                <w:lang w:val="es-ES_tradnl" w:eastAsia="en-GB"/>
              </w:rPr>
              <w:t xml:space="preserve"> en los centros escolares, así como de la resiliencia de la infraestructura de red local, en diversas escuelas conectadas de Kazajistán, Kirguistán y Uzbekistán, que se presentaron en el marco de la Semana de la Conectividad Escolar de Asia Central en </w:t>
            </w:r>
            <w:proofErr w:type="spellStart"/>
            <w:r w:rsidR="00F33FC8" w:rsidRPr="004A2CC5">
              <w:rPr>
                <w:rFonts w:cs="Calibri"/>
                <w:lang w:val="es-ES_tradnl" w:eastAsia="en-GB"/>
              </w:rPr>
              <w:t>Kostanay</w:t>
            </w:r>
            <w:proofErr w:type="spellEnd"/>
            <w:r w:rsidR="00F33FC8" w:rsidRPr="004A2CC5">
              <w:rPr>
                <w:rFonts w:cs="Calibri"/>
                <w:lang w:val="es-ES_tradnl" w:eastAsia="en-GB"/>
              </w:rPr>
              <w:t xml:space="preserve"> (Kazajistán) en septiembre de 2023.</w:t>
            </w:r>
          </w:p>
          <w:p w14:paraId="2299A6A6" w14:textId="55EEA174" w:rsidR="00F33FC8" w:rsidRPr="004A2CC5" w:rsidRDefault="00C709A5" w:rsidP="00C709A5">
            <w:pPr>
              <w:pStyle w:val="Tabletext"/>
              <w:ind w:left="284" w:hanging="284"/>
              <w:rPr>
                <w:rFonts w:cs="Calibri"/>
                <w:lang w:val="es-ES_tradnl" w:eastAsia="en-GB"/>
              </w:rPr>
            </w:pPr>
            <w:r w:rsidRPr="004A2CC5">
              <w:rPr>
                <w:b/>
                <w:bCs/>
                <w:lang w:val="es-ES_tradnl"/>
              </w:rPr>
              <w:t>•</w:t>
            </w:r>
            <w:r w:rsidRPr="004A2CC5">
              <w:rPr>
                <w:b/>
                <w:bCs/>
                <w:lang w:val="es-ES_tradnl"/>
              </w:rPr>
              <w:tab/>
            </w:r>
            <w:r w:rsidR="00F33FC8" w:rsidRPr="004A2CC5">
              <w:rPr>
                <w:rFonts w:cs="Calibri"/>
                <w:b/>
                <w:bCs/>
                <w:lang w:val="es-ES_tradnl" w:eastAsia="en-GB"/>
              </w:rPr>
              <w:t>En Europa</w:t>
            </w:r>
            <w:r w:rsidR="00F33FC8" w:rsidRPr="004A2CC5">
              <w:rPr>
                <w:rFonts w:cs="Calibri"/>
                <w:lang w:val="es-ES_tradnl" w:eastAsia="en-GB"/>
              </w:rPr>
              <w:t xml:space="preserve">, se ha prestado asistencia técnica a Ucrania en el ámbito de la </w:t>
            </w:r>
            <w:r w:rsidR="00F33FC8" w:rsidRPr="004A2CC5">
              <w:rPr>
                <w:rFonts w:cs="Calibri"/>
                <w:b/>
                <w:bCs/>
                <w:lang w:val="es-ES_tradnl" w:eastAsia="en-GB"/>
              </w:rPr>
              <w:t>rehabilitación de estaciones de radiodifusión</w:t>
            </w:r>
            <w:r w:rsidR="00F33FC8" w:rsidRPr="004A2CC5">
              <w:rPr>
                <w:rFonts w:cs="Calibri"/>
                <w:lang w:val="es-ES_tradnl" w:eastAsia="en-GB"/>
              </w:rPr>
              <w:t xml:space="preserve">, lo que ha </w:t>
            </w:r>
            <w:r w:rsidR="00F33FC8" w:rsidRPr="004A2CC5">
              <w:rPr>
                <w:lang w:val="es-ES_tradnl" w:eastAsia="en-GB"/>
              </w:rPr>
              <w:t>conducido</w:t>
            </w:r>
            <w:r w:rsidR="00F33FC8" w:rsidRPr="004A2CC5">
              <w:rPr>
                <w:rFonts w:cs="Calibri"/>
                <w:lang w:val="es-ES_tradnl" w:eastAsia="en-GB"/>
              </w:rPr>
              <w:t xml:space="preserve"> a la elaboración de previsiones de proyectos para 10 estaciones de radiodifusión, poniendo así de manifiesto el fortalecimiento de las asociaciones y la colaboración en favor de proyectos de conectividad efectivos.</w:t>
            </w:r>
          </w:p>
          <w:p w14:paraId="7FEB864A" w14:textId="53FB8460" w:rsidR="00F33FC8" w:rsidRPr="004A2CC5" w:rsidRDefault="00C709A5" w:rsidP="00C709A5">
            <w:pPr>
              <w:pStyle w:val="Tabletext"/>
              <w:ind w:left="284" w:hanging="284"/>
              <w:rPr>
                <w:rFonts w:cs="Calibri"/>
                <w:lang w:val="es-ES_tradnl"/>
              </w:rPr>
            </w:pPr>
            <w:r w:rsidRPr="004A2CC5">
              <w:rPr>
                <w:rFonts w:cs="Calibri"/>
                <w:lang w:val="es-ES_tradnl"/>
              </w:rPr>
              <w:tab/>
            </w:r>
            <w:r w:rsidR="00F33FC8" w:rsidRPr="004A2CC5">
              <w:rPr>
                <w:rFonts w:cs="Calibri"/>
                <w:lang w:val="es-ES_tradnl"/>
              </w:rPr>
              <w:t xml:space="preserve">Una vez asegurada la coordinación con las autoridades públicas de Ucrania, la </w:t>
            </w:r>
            <w:r w:rsidR="00D227F4">
              <w:rPr>
                <w:lang w:val="es-ES_tradnl"/>
              </w:rPr>
              <w:t>BDT</w:t>
            </w:r>
            <w:r w:rsidR="00F33FC8" w:rsidRPr="004A2CC5">
              <w:rPr>
                <w:rFonts w:cs="Calibri"/>
                <w:lang w:val="es-ES_tradnl"/>
              </w:rPr>
              <w:t xml:space="preserve"> ha emprendido un proyecto de asistencia técnica especial, </w:t>
            </w:r>
            <w:r w:rsidR="00F33FC8" w:rsidRPr="004A2CC5">
              <w:rPr>
                <w:lang w:val="es-ES_tradnl" w:eastAsia="en-GB"/>
              </w:rPr>
              <w:t>centrado</w:t>
            </w:r>
            <w:r w:rsidR="00F33FC8" w:rsidRPr="004A2CC5">
              <w:rPr>
                <w:rFonts w:cs="Calibri"/>
                <w:lang w:val="es-ES_tradnl"/>
              </w:rPr>
              <w:t xml:space="preserve"> en el </w:t>
            </w:r>
            <w:r w:rsidR="00F33FC8" w:rsidRPr="004A2CC5">
              <w:rPr>
                <w:rFonts w:cs="Calibri"/>
                <w:b/>
                <w:bCs/>
                <w:lang w:val="es-ES_tradnl"/>
              </w:rPr>
              <w:t>desarrollo de las capacidades personales de los funcionarios ucranianos que trabajan en el sector digital</w:t>
            </w:r>
            <w:r w:rsidR="00F33FC8" w:rsidRPr="004A2CC5">
              <w:rPr>
                <w:rFonts w:cs="Calibri"/>
                <w:lang w:val="es-ES_tradnl"/>
              </w:rPr>
              <w:t>, con un énfasis especial en el despliegue de la 5G, el diseño de redes, la seguridad de las redes y la reglamentación para la transformación digital.</w:t>
            </w:r>
          </w:p>
          <w:p w14:paraId="52D825F2" w14:textId="1BD9BE48" w:rsidR="00F33FC8" w:rsidRPr="004A2CC5" w:rsidRDefault="00C709A5" w:rsidP="00C709A5">
            <w:pPr>
              <w:pStyle w:val="Tabletext"/>
              <w:ind w:left="284" w:hanging="284"/>
              <w:rPr>
                <w:rFonts w:cs="Calibri"/>
                <w:lang w:val="es-ES_tradnl"/>
              </w:rPr>
            </w:pPr>
            <w:r w:rsidRPr="004A2CC5">
              <w:rPr>
                <w:rFonts w:cs="Calibri"/>
                <w:lang w:val="es-ES_tradnl"/>
              </w:rPr>
              <w:tab/>
            </w:r>
            <w:r w:rsidR="00F33FC8" w:rsidRPr="004A2CC5">
              <w:rPr>
                <w:rFonts w:cs="Calibri"/>
                <w:lang w:val="es-ES_tradnl"/>
              </w:rPr>
              <w:t>Como parte del trabajo de la UIT</w:t>
            </w:r>
            <w:r w:rsidR="00D227F4">
              <w:rPr>
                <w:rFonts w:cs="Calibri"/>
                <w:lang w:val="es-ES_tradnl"/>
              </w:rPr>
              <w:t>/</w:t>
            </w:r>
            <w:r w:rsidR="00D227F4">
              <w:rPr>
                <w:lang w:val="es-ES_tradnl"/>
              </w:rPr>
              <w:t>BDT</w:t>
            </w:r>
            <w:r w:rsidR="00F33FC8" w:rsidRPr="004A2CC5">
              <w:rPr>
                <w:rFonts w:cs="Calibri"/>
                <w:lang w:val="es-ES_tradnl"/>
              </w:rPr>
              <w:t xml:space="preserve">, el Grupo </w:t>
            </w:r>
            <w:proofErr w:type="spellStart"/>
            <w:r w:rsidR="00F33FC8" w:rsidRPr="004A2CC5">
              <w:rPr>
                <w:rFonts w:cs="Calibri"/>
                <w:lang w:val="es-ES_tradnl"/>
              </w:rPr>
              <w:t>Euromediterráneo</w:t>
            </w:r>
            <w:proofErr w:type="spellEnd"/>
            <w:r w:rsidR="00F33FC8" w:rsidRPr="004A2CC5">
              <w:rPr>
                <w:rFonts w:cs="Calibri"/>
                <w:lang w:val="es-ES_tradnl"/>
              </w:rPr>
              <w:t xml:space="preserve"> de Reguladores y la Red de Reguladores de las Comunicaciones Electrónicas de la Asociación Oriental </w:t>
            </w:r>
            <w:r w:rsidR="00F33FC8" w:rsidRPr="004A2CC5">
              <w:rPr>
                <w:rFonts w:cs="Calibri"/>
                <w:b/>
                <w:bCs/>
                <w:lang w:val="es-ES_tradnl"/>
              </w:rPr>
              <w:t>(UIT-EMERG-EAPEREG) sobre sistemas de cartografía</w:t>
            </w:r>
            <w:r w:rsidR="00F33FC8" w:rsidRPr="004A2CC5">
              <w:rPr>
                <w:rFonts w:cs="Calibri"/>
                <w:lang w:val="es-ES_tradnl"/>
              </w:rPr>
              <w:t xml:space="preserve">, se han reforzado las capacidades de 18 países a través de una serie de tres talleres organizados en el marco de la red de reglamentación digital. Esta iniciativa también ha dado lugar a la elaboración de un compendio de estudios de casos que muestran las capacidades de los sistemas de cartografía de la banda </w:t>
            </w:r>
            <w:r w:rsidR="00F33FC8" w:rsidRPr="004A2CC5">
              <w:rPr>
                <w:lang w:val="es-ES_tradnl" w:eastAsia="en-GB"/>
              </w:rPr>
              <w:t>ancha</w:t>
            </w:r>
            <w:r w:rsidR="00F33FC8" w:rsidRPr="004A2CC5">
              <w:rPr>
                <w:rFonts w:cs="Calibri"/>
                <w:lang w:val="es-ES_tradnl"/>
              </w:rPr>
              <w:t xml:space="preserve"> en toda la región del EMERG y la </w:t>
            </w:r>
            <w:proofErr w:type="spellStart"/>
            <w:r w:rsidR="00F33FC8" w:rsidRPr="004A2CC5">
              <w:rPr>
                <w:rFonts w:cs="Calibri"/>
                <w:lang w:val="es-ES_tradnl"/>
              </w:rPr>
              <w:t>EaPeReg</w:t>
            </w:r>
            <w:proofErr w:type="spellEnd"/>
            <w:r w:rsidR="00F33FC8" w:rsidRPr="004A2CC5">
              <w:rPr>
                <w:rFonts w:cs="Calibri"/>
                <w:lang w:val="es-ES_tradnl"/>
              </w:rPr>
              <w:t>.</w:t>
            </w:r>
          </w:p>
          <w:p w14:paraId="7F8EFCB4" w14:textId="01441663" w:rsidR="00F33FC8" w:rsidRPr="004A2CC5" w:rsidRDefault="00C709A5" w:rsidP="00C709A5">
            <w:pPr>
              <w:pStyle w:val="Tabletext"/>
              <w:ind w:left="284" w:hanging="284"/>
              <w:rPr>
                <w:rFonts w:cs="Calibri"/>
                <w:lang w:val="es-ES_tradnl"/>
              </w:rPr>
            </w:pPr>
            <w:r w:rsidRPr="004A2CC5">
              <w:rPr>
                <w:rFonts w:cs="Calibri"/>
                <w:lang w:val="es-ES_tradnl"/>
              </w:rPr>
              <w:tab/>
            </w:r>
            <w:r w:rsidR="00F33FC8" w:rsidRPr="004A2CC5">
              <w:rPr>
                <w:rFonts w:cs="Calibri"/>
                <w:lang w:val="es-ES_tradnl"/>
              </w:rPr>
              <w:t xml:space="preserve">La creación de un </w:t>
            </w:r>
            <w:r w:rsidR="00F33FC8" w:rsidRPr="004A2CC5">
              <w:rPr>
                <w:rFonts w:cs="Calibri"/>
                <w:b/>
                <w:bCs/>
                <w:lang w:val="es-ES_tradnl"/>
              </w:rPr>
              <w:t xml:space="preserve">laboratorio de IPv6 </w:t>
            </w:r>
            <w:r w:rsidR="00F33FC8" w:rsidRPr="004A2CC5">
              <w:rPr>
                <w:rFonts w:cs="Calibri"/>
                <w:lang w:val="es-ES_tradnl"/>
              </w:rPr>
              <w:t xml:space="preserve">ha brindado nuevas oportunidades a Montenegro y los países vecinos para ampliar sus programas de creación de capacidades personales. La </w:t>
            </w:r>
            <w:r w:rsidR="00D227F4">
              <w:rPr>
                <w:lang w:val="es-ES_tradnl"/>
              </w:rPr>
              <w:t>BDT</w:t>
            </w:r>
            <w:r w:rsidR="00D227F4" w:rsidRPr="004A2CC5" w:rsidDel="00D227F4">
              <w:rPr>
                <w:rFonts w:cs="Calibri"/>
                <w:lang w:val="es-ES_tradnl"/>
              </w:rPr>
              <w:t xml:space="preserve"> </w:t>
            </w:r>
            <w:r w:rsidR="00F33FC8" w:rsidRPr="004A2CC5">
              <w:rPr>
                <w:rFonts w:cs="Calibri"/>
                <w:lang w:val="es-ES_tradnl"/>
              </w:rPr>
              <w:t xml:space="preserve">también ha ayudado a Albania a actualizar sus </w:t>
            </w:r>
            <w:r w:rsidR="00F33FC8" w:rsidRPr="004A2CC5">
              <w:rPr>
                <w:rFonts w:cs="Calibri"/>
                <w:b/>
                <w:bCs/>
                <w:lang w:val="es-ES_tradnl"/>
              </w:rPr>
              <w:t xml:space="preserve">sistemas de cartografía de la banda ancha </w:t>
            </w:r>
            <w:r w:rsidR="00F33FC8" w:rsidRPr="004A2CC5">
              <w:rPr>
                <w:rFonts w:cs="Calibri"/>
                <w:lang w:val="es-ES_tradnl"/>
              </w:rPr>
              <w:t>y, en Bosnia y Herzegovina, se ha impartido formación sobre la reglamentación de tipo G5.</w:t>
            </w:r>
          </w:p>
          <w:p w14:paraId="10F274CF" w14:textId="1B92C51B" w:rsidR="00F33FC8" w:rsidRPr="004A2CC5" w:rsidRDefault="00C709A5" w:rsidP="00C709A5">
            <w:pPr>
              <w:pStyle w:val="Tabletext"/>
              <w:ind w:left="284" w:hanging="284"/>
              <w:rPr>
                <w:rFonts w:cs="Calibri"/>
                <w:lang w:val="es-ES_tradnl"/>
              </w:rPr>
            </w:pPr>
            <w:r w:rsidRPr="004A2CC5">
              <w:rPr>
                <w:rFonts w:cs="Calibri"/>
                <w:lang w:val="es-ES_tradnl"/>
              </w:rPr>
              <w:tab/>
            </w:r>
            <w:r w:rsidR="00F33FC8" w:rsidRPr="004A2CC5">
              <w:rPr>
                <w:rFonts w:cs="Calibri"/>
                <w:lang w:val="es-ES_tradnl"/>
              </w:rPr>
              <w:t xml:space="preserve">Se ha prestado asistencia técnica a Albania con miras a la elaboración de especificaciones técnicas destinadas a mejorar Atlas, el sistema de cartografía de la banda ancha albanés. El objetivo de estas especificaciones es potenciar la funcionalidad de los sistemas de cartografía de banda ancha, para que la autoridad de reglamentación nacional y otras partes interesadas de </w:t>
            </w:r>
            <w:r w:rsidR="00F33FC8" w:rsidRPr="004A2CC5">
              <w:rPr>
                <w:rFonts w:cs="Calibri"/>
                <w:lang w:val="es-ES_tradnl"/>
              </w:rPr>
              <w:lastRenderedPageBreak/>
              <w:t>Albania puedan utilizar los datos cartográficos de una forma más eficaz. Esto, a su vez, debería permitirles tomar mejores decisiones, partiendo de una base empírica, y promover el desarrollo de la infraestructura digital en el país.</w:t>
            </w:r>
          </w:p>
        </w:tc>
        <w:tc>
          <w:tcPr>
            <w:tcW w:w="2993" w:type="dxa"/>
            <w:shd w:val="clear" w:color="auto" w:fill="auto"/>
          </w:tcPr>
          <w:p w14:paraId="4077D123" w14:textId="77777777" w:rsidR="00F33FC8" w:rsidRPr="004A2CC5" w:rsidRDefault="00F33FC8" w:rsidP="00EE0E51">
            <w:pPr>
              <w:pStyle w:val="Tabletext"/>
              <w:rPr>
                <w:b/>
                <w:bCs/>
                <w:lang w:val="es-ES_tradnl"/>
              </w:rPr>
            </w:pPr>
            <w:r w:rsidRPr="004A2CC5">
              <w:rPr>
                <w:b/>
                <w:bCs/>
                <w:lang w:val="es-ES_tradnl"/>
              </w:rPr>
              <w:lastRenderedPageBreak/>
              <w:t>Mapas de banda ancha:</w:t>
            </w:r>
          </w:p>
          <w:p w14:paraId="16B740BF" w14:textId="77777777" w:rsidR="00EE0E51" w:rsidRPr="004A2CC5" w:rsidRDefault="00EE0E51" w:rsidP="00EE0E51">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África:</w:t>
            </w:r>
            <w:r w:rsidR="00F33FC8" w:rsidRPr="004A2CC5">
              <w:rPr>
                <w:lang w:val="es-ES_tradnl"/>
              </w:rPr>
              <w:t xml:space="preserve"> Benín, </w:t>
            </w:r>
            <w:proofErr w:type="spellStart"/>
            <w:r w:rsidR="00F33FC8" w:rsidRPr="004A2CC5">
              <w:rPr>
                <w:lang w:val="es-ES_tradnl"/>
              </w:rPr>
              <w:t>Botswana</w:t>
            </w:r>
            <w:proofErr w:type="spellEnd"/>
            <w:r w:rsidR="00F33FC8" w:rsidRPr="004A2CC5">
              <w:rPr>
                <w:lang w:val="es-ES_tradnl"/>
              </w:rPr>
              <w:t xml:space="preserve">, Ghana, Malawi, Namibia, </w:t>
            </w:r>
            <w:proofErr w:type="spellStart"/>
            <w:r w:rsidR="00F33FC8" w:rsidRPr="004A2CC5">
              <w:rPr>
                <w:lang w:val="es-ES_tradnl"/>
              </w:rPr>
              <w:t>Rwanda</w:t>
            </w:r>
            <w:proofErr w:type="spellEnd"/>
            <w:r w:rsidR="00F33FC8" w:rsidRPr="004A2CC5">
              <w:rPr>
                <w:lang w:val="es-ES_tradnl"/>
              </w:rPr>
              <w:t xml:space="preserve">, Sierra Leona, Sudáfrica, Sudán del Sur y </w:t>
            </w:r>
            <w:proofErr w:type="spellStart"/>
            <w:r w:rsidR="00F33FC8" w:rsidRPr="004A2CC5">
              <w:rPr>
                <w:lang w:val="es-ES_tradnl"/>
              </w:rPr>
              <w:t>Zimbabwe</w:t>
            </w:r>
            <w:proofErr w:type="spellEnd"/>
            <w:r w:rsidR="00F33FC8" w:rsidRPr="004A2CC5">
              <w:rPr>
                <w:lang w:val="es-ES_tradnl"/>
              </w:rPr>
              <w:t>.</w:t>
            </w:r>
          </w:p>
          <w:p w14:paraId="3F9A73C1" w14:textId="2C063498" w:rsidR="00F33FC8" w:rsidRPr="004A2CC5" w:rsidRDefault="00EE0E51" w:rsidP="00EE0E51">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Américas:</w:t>
            </w:r>
            <w:r w:rsidR="00F33FC8" w:rsidRPr="004A2CC5">
              <w:rPr>
                <w:lang w:val="es-ES_tradnl"/>
              </w:rPr>
              <w:t xml:space="preserve"> Barbados, Brasil, Costa Rica, El Salvador, Granada, Honduras, Panamá, Trinidad y </w:t>
            </w:r>
            <w:proofErr w:type="spellStart"/>
            <w:r w:rsidR="00F33FC8" w:rsidRPr="004A2CC5">
              <w:rPr>
                <w:lang w:val="es-ES_tradnl"/>
              </w:rPr>
              <w:t>Tabago</w:t>
            </w:r>
            <w:proofErr w:type="spellEnd"/>
            <w:r w:rsidR="00F33FC8" w:rsidRPr="004A2CC5">
              <w:rPr>
                <w:lang w:val="es-ES_tradnl"/>
              </w:rPr>
              <w:t>.</w:t>
            </w:r>
          </w:p>
          <w:p w14:paraId="6F740D92" w14:textId="2FAFC5DB" w:rsidR="00F33FC8" w:rsidRPr="004A2CC5" w:rsidRDefault="00EE0E51" w:rsidP="00EE0E51">
            <w:pPr>
              <w:pStyle w:val="Tabletext"/>
              <w:ind w:left="284" w:hanging="284"/>
              <w:rPr>
                <w:lang w:val="es-ES_tradnl"/>
              </w:rPr>
            </w:pPr>
            <w:r w:rsidRPr="004A2CC5">
              <w:rPr>
                <w:rFonts w:ascii="Calibri" w:hAnsi="Calibri"/>
                <w:lang w:val="es-ES_tradnl"/>
              </w:rPr>
              <w:t>•</w:t>
            </w:r>
            <w:r w:rsidRPr="004A2CC5">
              <w:rPr>
                <w:rFonts w:ascii="Calibri" w:hAnsi="Calibri"/>
                <w:lang w:val="es-ES_tradnl"/>
              </w:rPr>
              <w:tab/>
            </w:r>
            <w:r w:rsidR="00F33FC8" w:rsidRPr="004A2CC5">
              <w:rPr>
                <w:rFonts w:ascii="Calibri" w:hAnsi="Calibri"/>
                <w:b/>
                <w:bCs/>
                <w:lang w:val="es-ES_tradnl"/>
              </w:rPr>
              <w:t>Estados Árabes:</w:t>
            </w:r>
            <w:r w:rsidR="00F33FC8" w:rsidRPr="004A2CC5">
              <w:rPr>
                <w:rFonts w:ascii="Calibri" w:hAnsi="Calibri"/>
                <w:lang w:val="es-ES_tradnl"/>
              </w:rPr>
              <w:t xml:space="preserve"> </w:t>
            </w:r>
            <w:r w:rsidR="00F33FC8" w:rsidRPr="004A2CC5">
              <w:rPr>
                <w:lang w:val="es-ES_tradnl"/>
              </w:rPr>
              <w:t>Sudán.</w:t>
            </w:r>
          </w:p>
          <w:p w14:paraId="04F0A485" w14:textId="3DFAAD31" w:rsidR="00F33FC8" w:rsidRPr="004A2CC5" w:rsidRDefault="00EE0E51" w:rsidP="00EE0E51">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Asia-Pacífico:</w:t>
            </w:r>
            <w:r w:rsidR="00F33FC8" w:rsidRPr="004A2CC5">
              <w:rPr>
                <w:lang w:val="es-ES_tradnl"/>
              </w:rPr>
              <w:t xml:space="preserve"> India, Mongolia, Sri Lanka, Tonga.</w:t>
            </w:r>
          </w:p>
          <w:p w14:paraId="31E835D4" w14:textId="7D9DA03E" w:rsidR="00F33FC8" w:rsidRPr="004A2CC5" w:rsidRDefault="00EE0E51" w:rsidP="00EE0E51">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CEI:</w:t>
            </w:r>
            <w:r w:rsidR="00F33FC8" w:rsidRPr="004A2CC5">
              <w:rPr>
                <w:lang w:val="es-ES_tradnl"/>
              </w:rPr>
              <w:t xml:space="preserve"> Armenia, </w:t>
            </w:r>
            <w:proofErr w:type="spellStart"/>
            <w:r w:rsidR="00F33FC8" w:rsidRPr="004A2CC5">
              <w:rPr>
                <w:lang w:val="es-ES_tradnl"/>
              </w:rPr>
              <w:t>Belarús</w:t>
            </w:r>
            <w:proofErr w:type="spellEnd"/>
            <w:r w:rsidR="00F33FC8" w:rsidRPr="004A2CC5">
              <w:rPr>
                <w:lang w:val="es-ES_tradnl"/>
              </w:rPr>
              <w:t>, Kazajstán, Kirguizistán, Rusia, Uzbekistán.</w:t>
            </w:r>
          </w:p>
          <w:p w14:paraId="2170A0A4" w14:textId="31DF332F" w:rsidR="00F33FC8" w:rsidRPr="004A2CC5" w:rsidRDefault="00EE0E51" w:rsidP="00EE0E51">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Europa:</w:t>
            </w:r>
            <w:r w:rsidR="00F33FC8" w:rsidRPr="004A2CC5">
              <w:rPr>
                <w:lang w:val="es-ES_tradnl"/>
              </w:rPr>
              <w:t xml:space="preserve"> Albania, Bosnia y Herzegovina, Bulgaria, Croacia, Eslovenia, Francia, Georgia, Israel, Letonia, Montenegro, Macedonia del Norte, Rumania, Polonia y Türkiye.</w:t>
            </w:r>
          </w:p>
        </w:tc>
      </w:tr>
      <w:tr w:rsidR="00F33FC8" w:rsidRPr="004A2CC5" w14:paraId="77D867AF" w14:textId="77777777" w:rsidTr="004E72A0">
        <w:trPr>
          <w:trHeight w:val="355"/>
        </w:trPr>
        <w:tc>
          <w:tcPr>
            <w:tcW w:w="2785" w:type="dxa"/>
            <w:shd w:val="clear" w:color="auto" w:fill="auto"/>
          </w:tcPr>
          <w:p w14:paraId="4C9C5D1D" w14:textId="77777777" w:rsidR="00F33FC8" w:rsidRPr="004A2CC5" w:rsidRDefault="00F33FC8" w:rsidP="00C709A5">
            <w:pPr>
              <w:pStyle w:val="Tabletext"/>
              <w:rPr>
                <w:b/>
                <w:bCs/>
                <w:lang w:val="es-ES_tradnl"/>
              </w:rPr>
            </w:pPr>
            <w:r w:rsidRPr="004A2CC5">
              <w:rPr>
                <w:b/>
                <w:bCs/>
                <w:lang w:val="es-ES_tradnl"/>
              </w:rPr>
              <w:lastRenderedPageBreak/>
              <w:t>Contribución a las metas de los ODS</w:t>
            </w:r>
          </w:p>
        </w:tc>
        <w:tc>
          <w:tcPr>
            <w:tcW w:w="12083" w:type="dxa"/>
            <w:gridSpan w:val="2"/>
            <w:shd w:val="clear" w:color="auto" w:fill="auto"/>
          </w:tcPr>
          <w:p w14:paraId="25ACF8FA" w14:textId="77777777" w:rsidR="00F33FC8" w:rsidRPr="004A2CC5" w:rsidRDefault="00F33FC8" w:rsidP="00C709A5">
            <w:pPr>
              <w:pStyle w:val="Tabletext"/>
              <w:rPr>
                <w:lang w:val="es-ES_tradnl"/>
              </w:rPr>
            </w:pPr>
            <w:r w:rsidRPr="004A2CC5">
              <w:rPr>
                <w:lang w:val="es-ES_tradnl"/>
              </w:rPr>
              <w:t>ODS 1, 3, 4, 5, 8, 9, 10, 11, 16, 17</w:t>
            </w:r>
          </w:p>
        </w:tc>
      </w:tr>
      <w:tr w:rsidR="00F33FC8" w:rsidRPr="004A2CC5" w14:paraId="43991C23" w14:textId="77777777" w:rsidTr="004E72A0">
        <w:trPr>
          <w:trHeight w:val="300"/>
        </w:trPr>
        <w:tc>
          <w:tcPr>
            <w:tcW w:w="2785" w:type="dxa"/>
          </w:tcPr>
          <w:p w14:paraId="440E8EBF" w14:textId="3EB4AFC4" w:rsidR="00F33FC8" w:rsidRPr="004A2CC5" w:rsidRDefault="00F33FC8" w:rsidP="00C709A5">
            <w:pPr>
              <w:pStyle w:val="Tabletext"/>
              <w:rPr>
                <w:b/>
                <w:bCs/>
                <w:lang w:val="es-ES_tradnl"/>
              </w:rPr>
            </w:pPr>
            <w:r w:rsidRPr="004A2CC5">
              <w:rPr>
                <w:b/>
                <w:bCs/>
                <w:lang w:val="es-ES_tradnl"/>
              </w:rPr>
              <w:t>Líneas de Acción de la CMSI</w:t>
            </w:r>
          </w:p>
        </w:tc>
        <w:tc>
          <w:tcPr>
            <w:tcW w:w="12083" w:type="dxa"/>
            <w:gridSpan w:val="2"/>
          </w:tcPr>
          <w:p w14:paraId="7D871E0F" w14:textId="77777777" w:rsidR="00F33FC8" w:rsidRPr="004A2CC5" w:rsidRDefault="00F33FC8" w:rsidP="00C709A5">
            <w:pPr>
              <w:pStyle w:val="Tabletext"/>
              <w:rPr>
                <w:lang w:val="es-ES_tradnl"/>
              </w:rPr>
            </w:pPr>
            <w:r w:rsidRPr="004A2CC5">
              <w:rPr>
                <w:lang w:val="es-ES_tradnl"/>
              </w:rPr>
              <w:t>C1, C2, C3, C4, C5, C6, C7, C11</w:t>
            </w:r>
          </w:p>
        </w:tc>
      </w:tr>
      <w:tr w:rsidR="00F33FC8" w:rsidRPr="00B6045A" w14:paraId="075EA61D" w14:textId="77777777" w:rsidTr="004E72A0">
        <w:trPr>
          <w:trHeight w:val="300"/>
        </w:trPr>
        <w:tc>
          <w:tcPr>
            <w:tcW w:w="2785" w:type="dxa"/>
          </w:tcPr>
          <w:p w14:paraId="63D939C3" w14:textId="77777777" w:rsidR="00F33FC8" w:rsidRPr="004A2CC5" w:rsidRDefault="00F33FC8" w:rsidP="00C709A5">
            <w:pPr>
              <w:pStyle w:val="Tabletext"/>
              <w:rPr>
                <w:b/>
                <w:bCs/>
                <w:lang w:val="es-ES_tradnl"/>
              </w:rPr>
            </w:pPr>
            <w:r w:rsidRPr="004A2CC5">
              <w:rPr>
                <w:b/>
                <w:bCs/>
                <w:lang w:val="es-ES_tradnl"/>
              </w:rPr>
              <w:t>Resoluciones</w:t>
            </w:r>
          </w:p>
        </w:tc>
        <w:tc>
          <w:tcPr>
            <w:tcW w:w="12083" w:type="dxa"/>
            <w:gridSpan w:val="2"/>
          </w:tcPr>
          <w:p w14:paraId="1F89DFE2" w14:textId="77777777" w:rsidR="00F33FC8" w:rsidRPr="004A2CC5" w:rsidRDefault="00F33FC8" w:rsidP="00C709A5">
            <w:pPr>
              <w:pStyle w:val="Tabletext"/>
              <w:rPr>
                <w:lang w:val="es-ES_tradnl"/>
              </w:rPr>
            </w:pPr>
            <w:r w:rsidRPr="004A2CC5">
              <w:rPr>
                <w:lang w:val="es-ES_tradnl"/>
              </w:rPr>
              <w:t>136 de la PP; 34, 43 y 66 de la CMDT; 646 y 647 de la CMR; Cuestiones 1/1, 3/1, 5/1 y 4/2</w:t>
            </w:r>
          </w:p>
        </w:tc>
      </w:tr>
    </w:tbl>
    <w:p w14:paraId="5517652D" w14:textId="77777777" w:rsidR="00F33FC8" w:rsidRPr="004A2CC5" w:rsidRDefault="00F33FC8" w:rsidP="00F33FC8">
      <w:pPr>
        <w:jc w:val="both"/>
        <w:rPr>
          <w:rFonts w:eastAsia="SimSun"/>
          <w:lang w:val="es-ES_tradnl"/>
        </w:rPr>
      </w:pPr>
    </w:p>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60"/>
        <w:gridCol w:w="3034"/>
      </w:tblGrid>
      <w:tr w:rsidR="00F33FC8" w:rsidRPr="00B6045A" w14:paraId="7DD80404" w14:textId="77777777" w:rsidTr="004E72A0">
        <w:tc>
          <w:tcPr>
            <w:tcW w:w="14879" w:type="dxa"/>
            <w:gridSpan w:val="3"/>
            <w:tcBorders>
              <w:bottom w:val="dotted" w:sz="4" w:space="0" w:color="0070C0"/>
            </w:tcBorders>
            <w:shd w:val="clear" w:color="auto" w:fill="365F91" w:themeFill="accent1" w:themeFillShade="BF"/>
          </w:tcPr>
          <w:p w14:paraId="7D91437D" w14:textId="77777777" w:rsidR="00F33FC8" w:rsidRPr="004A2CC5" w:rsidRDefault="00F33FC8" w:rsidP="00C709A5">
            <w:pPr>
              <w:pStyle w:val="Tablehead"/>
              <w:rPr>
                <w:lang w:val="es-ES_tradnl"/>
              </w:rPr>
            </w:pPr>
            <w:r w:rsidRPr="004A2CC5">
              <w:rPr>
                <w:lang w:val="es-ES_tradnl"/>
              </w:rPr>
              <w:t>Prioridad 2 del UIT-D: Transformación digital</w:t>
            </w:r>
          </w:p>
          <w:p w14:paraId="48D711F0" w14:textId="77777777" w:rsidR="00F33FC8" w:rsidRPr="004A2CC5" w:rsidRDefault="00F33FC8" w:rsidP="00C709A5">
            <w:pPr>
              <w:pStyle w:val="Tablehead"/>
              <w:rPr>
                <w:i/>
                <w:iCs/>
                <w:lang w:val="es-ES_tradnl"/>
              </w:rPr>
            </w:pPr>
            <w:r w:rsidRPr="004A2CC5">
              <w:rPr>
                <w:i/>
                <w:iCs/>
                <w:lang w:val="es-ES_tradnl"/>
              </w:rPr>
              <w:t>Acelerar la transformación digital mediante el emprendimiento en TIC y una mayor innovación en el ecosistema de las TIC</w:t>
            </w:r>
          </w:p>
        </w:tc>
      </w:tr>
      <w:tr w:rsidR="00F33FC8" w:rsidRPr="00B6045A" w14:paraId="457E79B3" w14:textId="77777777" w:rsidTr="004E72A0">
        <w:tc>
          <w:tcPr>
            <w:tcW w:w="14879" w:type="dxa"/>
            <w:gridSpan w:val="3"/>
            <w:shd w:val="clear" w:color="auto" w:fill="E5DFEC" w:themeFill="accent4" w:themeFillTint="33"/>
          </w:tcPr>
          <w:p w14:paraId="631F19DE" w14:textId="77777777" w:rsidR="00F33FC8" w:rsidRPr="004A2CC5" w:rsidRDefault="00F33FC8" w:rsidP="00C709A5">
            <w:pPr>
              <w:pStyle w:val="Tabletext"/>
              <w:rPr>
                <w:b/>
                <w:bCs/>
                <w:lang w:val="es-ES_tradnl"/>
              </w:rPr>
            </w:pPr>
            <w:r w:rsidRPr="004A2CC5">
              <w:rPr>
                <w:b/>
                <w:bCs/>
                <w:lang w:val="es-ES_tradnl"/>
              </w:rPr>
              <w:t>Ecosistema de innovación digital</w:t>
            </w:r>
          </w:p>
          <w:p w14:paraId="3B3042C6" w14:textId="77777777" w:rsidR="00F33FC8" w:rsidRPr="004A2CC5" w:rsidRDefault="00F33FC8" w:rsidP="00C709A5">
            <w:pPr>
              <w:pStyle w:val="Tabletext"/>
              <w:rPr>
                <w:i/>
                <w:iCs/>
                <w:lang w:val="es-ES_tradnl"/>
              </w:rPr>
            </w:pPr>
            <w:r w:rsidRPr="004A2CC5">
              <w:rPr>
                <w:b/>
                <w:bCs/>
                <w:i/>
                <w:iCs/>
                <w:lang w:val="es-ES_tradnl"/>
              </w:rPr>
              <w:t>Realización</w:t>
            </w:r>
            <w:r w:rsidRPr="004A2CC5">
              <w:rPr>
                <w:b/>
                <w:bCs/>
                <w:i/>
                <w:iCs/>
                <w:color w:val="000000" w:themeColor="text1"/>
                <w:lang w:val="es-ES_tradnl"/>
              </w:rPr>
              <w:t>:</w:t>
            </w:r>
            <w:r w:rsidRPr="004A2CC5">
              <w:rPr>
                <w:i/>
                <w:iCs/>
                <w:color w:val="000000" w:themeColor="text1"/>
                <w:lang w:val="es-ES_tradnl"/>
              </w:rPr>
              <w:t xml:space="preserve"> Mejora de las capacidades personales e institucionales de los Miembros de la UIT en materia de telecomunicaciones/TIC para fomentar la transformación digital</w:t>
            </w:r>
          </w:p>
        </w:tc>
      </w:tr>
      <w:tr w:rsidR="00F33FC8" w:rsidRPr="004A2CC5" w14:paraId="05B14207" w14:textId="77777777" w:rsidTr="004E72A0">
        <w:tc>
          <w:tcPr>
            <w:tcW w:w="11845" w:type="dxa"/>
            <w:gridSpan w:val="2"/>
            <w:shd w:val="clear" w:color="auto" w:fill="auto"/>
          </w:tcPr>
          <w:p w14:paraId="200FA4B7" w14:textId="77777777" w:rsidR="00F33FC8" w:rsidRPr="004A2CC5" w:rsidRDefault="00F33FC8" w:rsidP="00C709A5">
            <w:pPr>
              <w:pStyle w:val="Tablehead"/>
              <w:rPr>
                <w:lang w:val="es-ES_tradnl"/>
              </w:rPr>
            </w:pPr>
            <w:r w:rsidRPr="004A2CC5">
              <w:rPr>
                <w:lang w:val="es-ES_tradnl"/>
              </w:rPr>
              <w:t>Productos</w:t>
            </w:r>
          </w:p>
        </w:tc>
        <w:tc>
          <w:tcPr>
            <w:tcW w:w="3034" w:type="dxa"/>
            <w:shd w:val="clear" w:color="auto" w:fill="auto"/>
          </w:tcPr>
          <w:p w14:paraId="132ECE69" w14:textId="77777777" w:rsidR="00F33FC8" w:rsidRPr="004A2CC5" w:rsidRDefault="00F33FC8" w:rsidP="00C709A5">
            <w:pPr>
              <w:pStyle w:val="Tablehead"/>
              <w:rPr>
                <w:lang w:val="es-ES_tradnl"/>
              </w:rPr>
            </w:pPr>
            <w:r w:rsidRPr="004A2CC5">
              <w:rPr>
                <w:lang w:val="es-ES_tradnl"/>
              </w:rPr>
              <w:t xml:space="preserve">Datos destacados </w:t>
            </w:r>
          </w:p>
        </w:tc>
      </w:tr>
      <w:tr w:rsidR="00F33FC8" w:rsidRPr="00B6045A" w14:paraId="6845C2AD" w14:textId="77777777" w:rsidTr="004E72A0">
        <w:tc>
          <w:tcPr>
            <w:tcW w:w="11845" w:type="dxa"/>
            <w:gridSpan w:val="2"/>
            <w:vMerge w:val="restart"/>
          </w:tcPr>
          <w:p w14:paraId="7C3EBCA3" w14:textId="77777777" w:rsidR="00F33FC8" w:rsidRPr="004A2CC5" w:rsidRDefault="00F33FC8" w:rsidP="00C709A5">
            <w:pPr>
              <w:pStyle w:val="Tabletext"/>
              <w:rPr>
                <w:lang w:val="es-ES_tradnl"/>
              </w:rPr>
            </w:pPr>
            <w:r w:rsidRPr="004A2CC5">
              <w:rPr>
                <w:lang w:val="es-ES_tradnl"/>
              </w:rPr>
              <w:t xml:space="preserve">La UIT ha seguido ayudando a los Estados Miembros a </w:t>
            </w:r>
            <w:r w:rsidRPr="004A2CC5">
              <w:rPr>
                <w:b/>
                <w:bCs/>
                <w:lang w:val="es-ES_tradnl"/>
              </w:rPr>
              <w:t>acelerar</w:t>
            </w:r>
            <w:r w:rsidRPr="004A2CC5">
              <w:rPr>
                <w:lang w:val="es-ES_tradnl"/>
              </w:rPr>
              <w:t xml:space="preserve"> sus iniciativas de </w:t>
            </w:r>
            <w:r w:rsidRPr="004A2CC5">
              <w:rPr>
                <w:b/>
                <w:bCs/>
                <w:lang w:val="es-ES_tradnl"/>
              </w:rPr>
              <w:t>transformación digital</w:t>
            </w:r>
            <w:r w:rsidRPr="004A2CC5">
              <w:rPr>
                <w:lang w:val="es-ES_tradnl"/>
              </w:rPr>
              <w:t>, proporcionando herramientas de marcos políticos, impartiendo capacitación, facilitando asistencia técnica y ejecutando proyectos en favor de la innovación.</w:t>
            </w:r>
          </w:p>
          <w:p w14:paraId="744ECAF9" w14:textId="4D96C4DC" w:rsidR="00357192" w:rsidRDefault="00F33FC8" w:rsidP="00C709A5">
            <w:pPr>
              <w:pStyle w:val="Tabletext"/>
              <w:rPr>
                <w:lang w:val="es-ES_tradnl"/>
              </w:rPr>
            </w:pPr>
            <w:r w:rsidRPr="004A2CC5">
              <w:rPr>
                <w:lang w:val="es-ES_tradnl"/>
              </w:rPr>
              <w:t xml:space="preserve">Se </w:t>
            </w:r>
            <w:r w:rsidR="00357192">
              <w:rPr>
                <w:lang w:val="es-ES_tradnl"/>
              </w:rPr>
              <w:t>creó</w:t>
            </w:r>
            <w:r w:rsidRPr="004A2CC5">
              <w:rPr>
                <w:lang w:val="es-ES_tradnl"/>
              </w:rPr>
              <w:t xml:space="preserve"> la </w:t>
            </w:r>
            <w:hyperlink r:id="rId23">
              <w:r w:rsidRPr="004A2CC5">
                <w:rPr>
                  <w:b/>
                  <w:bCs/>
                  <w:color w:val="0000FF" w:themeColor="hyperlink"/>
                  <w:u w:val="single"/>
                  <w:lang w:val="es-ES_tradnl"/>
                </w:rPr>
                <w:t>Alianza para la innovación y la iniciativa empresarial en aras del desarrollo digital</w:t>
              </w:r>
            </w:hyperlink>
            <w:r w:rsidRPr="004A2CC5">
              <w:rPr>
                <w:lang w:val="es-ES_tradnl"/>
              </w:rPr>
              <w:t xml:space="preserve"> y</w:t>
            </w:r>
            <w:r w:rsidR="00357192" w:rsidRPr="00357192">
              <w:rPr>
                <w:lang w:val="es-ES_tradnl"/>
              </w:rPr>
              <w:t xml:space="preserve">, a través de una convocatoria abierta, se invitó a los Estados </w:t>
            </w:r>
            <w:r w:rsidR="00357192">
              <w:rPr>
                <w:lang w:val="es-ES_tradnl"/>
              </w:rPr>
              <w:t>M</w:t>
            </w:r>
            <w:r w:rsidR="00357192" w:rsidRPr="00357192">
              <w:rPr>
                <w:lang w:val="es-ES_tradnl"/>
              </w:rPr>
              <w:t xml:space="preserve">iembros a manifestar su interés por albergar Centros de Aceleración en sus países, </w:t>
            </w:r>
            <w:r w:rsidR="00357192">
              <w:rPr>
                <w:lang w:val="es-ES_tradnl"/>
              </w:rPr>
              <w:t>a condición de</w:t>
            </w:r>
            <w:r w:rsidR="00357192" w:rsidRPr="00357192">
              <w:rPr>
                <w:lang w:val="es-ES_tradnl"/>
              </w:rPr>
              <w:t xml:space="preserve"> que las entidades anfitrionas propuestas cumplieran los criterios establecidos. Finalmente, se seleccionaron 17 Centros de Aceleración de todas las regiones. </w:t>
            </w:r>
            <w:r w:rsidR="00357192">
              <w:rPr>
                <w:lang w:val="es-ES_tradnl"/>
              </w:rPr>
              <w:t>Para obtener más</w:t>
            </w:r>
            <w:r w:rsidR="00357192" w:rsidRPr="00357192">
              <w:rPr>
                <w:lang w:val="es-ES_tradnl"/>
              </w:rPr>
              <w:t xml:space="preserve"> información sobre estos CENTROS</w:t>
            </w:r>
            <w:r w:rsidR="00357192">
              <w:rPr>
                <w:lang w:val="es-ES_tradnl"/>
              </w:rPr>
              <w:t>, visítese</w:t>
            </w:r>
            <w:r w:rsidR="00357192" w:rsidRPr="00357192">
              <w:rPr>
                <w:lang w:val="es-ES_tradnl"/>
              </w:rPr>
              <w:t xml:space="preserve">: </w:t>
            </w:r>
            <w:hyperlink r:id="rId24" w:history="1">
              <w:r w:rsidR="00574606" w:rsidRPr="00971343">
                <w:rPr>
                  <w:rStyle w:val="Hyperlink"/>
                  <w:lang w:val="es-ES_tradnl"/>
                </w:rPr>
                <w:t>https://www.itu.int/itu-d/sites/innovation-alliance/events/news/</w:t>
              </w:r>
            </w:hyperlink>
            <w:r w:rsidR="00357192" w:rsidRPr="00357192">
              <w:rPr>
                <w:lang w:val="es-ES_tradnl"/>
              </w:rPr>
              <w:t>. Además, se</w:t>
            </w:r>
            <w:r w:rsidR="00AE242A">
              <w:rPr>
                <w:lang w:val="es-ES_tradnl"/>
              </w:rPr>
              <w:t xml:space="preserve"> lanzó un llamamiento a todas las</w:t>
            </w:r>
            <w:r w:rsidR="00357192" w:rsidRPr="00357192">
              <w:rPr>
                <w:lang w:val="es-ES_tradnl"/>
              </w:rPr>
              <w:t xml:space="preserve"> personas cualificadas</w:t>
            </w:r>
            <w:r w:rsidR="00FB2183">
              <w:rPr>
                <w:lang w:val="es-ES_tradnl"/>
              </w:rPr>
              <w:t xml:space="preserve"> que estuvieran</w:t>
            </w:r>
            <w:r w:rsidR="00357192" w:rsidRPr="00357192">
              <w:rPr>
                <w:lang w:val="es-ES_tradnl"/>
              </w:rPr>
              <w:t xml:space="preserve"> interesadas en formar parte de la Junta de </w:t>
            </w:r>
            <w:r w:rsidR="00FB2183">
              <w:rPr>
                <w:lang w:val="es-ES_tradnl"/>
              </w:rPr>
              <w:t>dicha</w:t>
            </w:r>
            <w:r w:rsidR="00357192" w:rsidRPr="00357192">
              <w:rPr>
                <w:lang w:val="es-ES_tradnl"/>
              </w:rPr>
              <w:t xml:space="preserve"> iniciativa. </w:t>
            </w:r>
            <w:r w:rsidR="00AE242A">
              <w:rPr>
                <w:lang w:val="es-ES_tradnl"/>
              </w:rPr>
              <w:t>Al término de este proceso, v</w:t>
            </w:r>
            <w:r w:rsidR="00357192" w:rsidRPr="00357192">
              <w:rPr>
                <w:lang w:val="es-ES_tradnl"/>
              </w:rPr>
              <w:t xml:space="preserve">eintitrés </w:t>
            </w:r>
            <w:r w:rsidR="00AE242A">
              <w:rPr>
                <w:lang w:val="es-ES_tradnl"/>
              </w:rPr>
              <w:t xml:space="preserve">personas fueron seleccionadas </w:t>
            </w:r>
            <w:r w:rsidR="00357192" w:rsidRPr="00357192">
              <w:rPr>
                <w:lang w:val="es-ES_tradnl"/>
              </w:rPr>
              <w:t xml:space="preserve">en función de su experiencia, pericia y conocimiento. Los miembros de la Junta actúan a título individual y participan </w:t>
            </w:r>
            <w:r w:rsidR="00AE242A">
              <w:rPr>
                <w:i/>
                <w:iCs/>
                <w:lang w:val="es-ES_tradnl"/>
              </w:rPr>
              <w:t>ad honorem</w:t>
            </w:r>
            <w:r w:rsidR="00357192" w:rsidRPr="00357192">
              <w:rPr>
                <w:lang w:val="es-ES_tradnl"/>
              </w:rPr>
              <w:t xml:space="preserve">. </w:t>
            </w:r>
            <w:r w:rsidR="00AE242A">
              <w:rPr>
                <w:lang w:val="es-ES_tradnl"/>
              </w:rPr>
              <w:t>l</w:t>
            </w:r>
            <w:r w:rsidR="00357192" w:rsidRPr="00357192">
              <w:rPr>
                <w:lang w:val="es-ES_tradnl"/>
              </w:rPr>
              <w:t xml:space="preserve">a Junta celebró su primera reunión del 19 al 20 de marzo de 2024 en Ginebra. </w:t>
            </w:r>
            <w:r w:rsidR="00AE242A">
              <w:rPr>
                <w:lang w:val="es-ES_tradnl"/>
              </w:rPr>
              <w:t xml:space="preserve">En apoyo de </w:t>
            </w:r>
            <w:r w:rsidR="00357192" w:rsidRPr="00357192">
              <w:rPr>
                <w:lang w:val="es-ES_tradnl"/>
              </w:rPr>
              <w:t>aquellos países que pu</w:t>
            </w:r>
            <w:r w:rsidR="00AE242A">
              <w:rPr>
                <w:lang w:val="es-ES_tradnl"/>
              </w:rPr>
              <w:t>ed</w:t>
            </w:r>
            <w:r w:rsidR="00357192" w:rsidRPr="00357192">
              <w:rPr>
                <w:lang w:val="es-ES_tradnl"/>
              </w:rPr>
              <w:t>an necesitar un</w:t>
            </w:r>
            <w:r w:rsidR="00AE242A">
              <w:rPr>
                <w:lang w:val="es-ES_tradnl"/>
              </w:rPr>
              <w:t>a asistencia</w:t>
            </w:r>
            <w:r w:rsidR="00357192" w:rsidRPr="00357192">
              <w:rPr>
                <w:lang w:val="es-ES_tradnl"/>
              </w:rPr>
              <w:t xml:space="preserve"> específic</w:t>
            </w:r>
            <w:r w:rsidR="00AE242A">
              <w:rPr>
                <w:lang w:val="es-ES_tradnl"/>
              </w:rPr>
              <w:t>a</w:t>
            </w:r>
            <w:r w:rsidR="00357192" w:rsidRPr="00357192">
              <w:rPr>
                <w:lang w:val="es-ES_tradnl"/>
              </w:rPr>
              <w:t xml:space="preserve">, </w:t>
            </w:r>
            <w:r w:rsidR="00AE242A">
              <w:rPr>
                <w:lang w:val="es-ES_tradnl"/>
              </w:rPr>
              <w:t xml:space="preserve">la BDT ha creado </w:t>
            </w:r>
            <w:r w:rsidR="00357192" w:rsidRPr="00357192">
              <w:rPr>
                <w:lang w:val="es-ES_tradnl"/>
              </w:rPr>
              <w:t>un Laboratorio de Transformación</w:t>
            </w:r>
            <w:r w:rsidR="00AE242A" w:rsidRPr="00357192">
              <w:rPr>
                <w:lang w:val="es-ES_tradnl"/>
              </w:rPr>
              <w:t xml:space="preserve"> en Ginebra</w:t>
            </w:r>
            <w:r w:rsidR="00AE242A">
              <w:rPr>
                <w:lang w:val="es-ES_tradnl"/>
              </w:rPr>
              <w:t>.</w:t>
            </w:r>
            <w:r w:rsidR="00357192" w:rsidRPr="00357192">
              <w:rPr>
                <w:lang w:val="es-ES_tradnl"/>
              </w:rPr>
              <w:t xml:space="preserve"> Para </w:t>
            </w:r>
            <w:r w:rsidR="00AE242A">
              <w:rPr>
                <w:lang w:val="es-ES_tradnl"/>
              </w:rPr>
              <w:t xml:space="preserve">obtener </w:t>
            </w:r>
            <w:r w:rsidR="00357192" w:rsidRPr="00357192">
              <w:rPr>
                <w:lang w:val="es-ES_tradnl"/>
              </w:rPr>
              <w:t xml:space="preserve">más información sobre esta iniciativa, sírvase leer </w:t>
            </w:r>
            <w:r w:rsidR="00AE242A">
              <w:rPr>
                <w:lang w:val="es-ES_tradnl"/>
              </w:rPr>
              <w:t>también</w:t>
            </w:r>
            <w:r w:rsidR="00357192" w:rsidRPr="00357192">
              <w:rPr>
                <w:lang w:val="es-ES_tradnl"/>
              </w:rPr>
              <w:t xml:space="preserve"> el Documento 16 del GADT.</w:t>
            </w:r>
          </w:p>
          <w:p w14:paraId="0DD7BEF7" w14:textId="27A4B209" w:rsidR="00F33FC8" w:rsidRPr="004A2CC5" w:rsidRDefault="00F33FC8" w:rsidP="00C709A5">
            <w:pPr>
              <w:pStyle w:val="Tabletext"/>
              <w:rPr>
                <w:lang w:val="es-ES_tradnl"/>
              </w:rPr>
            </w:pPr>
            <w:r w:rsidRPr="004A2CC5">
              <w:rPr>
                <w:lang w:val="es-ES_tradnl"/>
              </w:rPr>
              <w:t>La BDT ha seguido apoyando el desarrollo de perfiles de innovación digital y facilitando asistencia técnica. Actualmente se ofrecen cursos y talleres en línea.</w:t>
            </w:r>
          </w:p>
          <w:p w14:paraId="28C5C60D" w14:textId="29D1EBA3" w:rsidR="00F33FC8" w:rsidRPr="004A2CC5" w:rsidRDefault="00F33FC8" w:rsidP="00C709A5">
            <w:pPr>
              <w:pStyle w:val="Tabletext"/>
              <w:rPr>
                <w:lang w:val="es-ES_tradnl"/>
              </w:rPr>
            </w:pPr>
            <w:r w:rsidRPr="004A2CC5">
              <w:rPr>
                <w:lang w:val="es-ES_tradnl"/>
              </w:rPr>
              <w:t xml:space="preserve">La BDT ha formado a más de 250 partes interesadas de todo el mundo, </w:t>
            </w:r>
            <w:r w:rsidRPr="004A2CC5">
              <w:rPr>
                <w:b/>
                <w:lang w:val="es-ES_tradnl"/>
              </w:rPr>
              <w:t xml:space="preserve">reforzando así las capacidades de responsables de la elaboración de políticas, instancias decisorias, innovadores y creadores de ecosistemas para crear comunidades empresariales </w:t>
            </w:r>
            <w:r w:rsidRPr="004A2CC5">
              <w:rPr>
                <w:b/>
                <w:lang w:val="es-ES_tradnl"/>
              </w:rPr>
              <w:lastRenderedPageBreak/>
              <w:t>prósperas e industrias de TIC competitivas</w:t>
            </w:r>
            <w:r w:rsidRPr="004A2CC5">
              <w:rPr>
                <w:bCs/>
                <w:lang w:val="es-ES_tradnl"/>
              </w:rPr>
              <w:t xml:space="preserve">. </w:t>
            </w:r>
            <w:r w:rsidRPr="004A2CC5">
              <w:rPr>
                <w:lang w:val="es-ES_tradnl"/>
              </w:rPr>
              <w:t>También se diseñó un nuevo curso sobre previsión estratégica para la plataforma de la Academia de la UIT, que se puso en marcha en marzo de 2024.</w:t>
            </w:r>
          </w:p>
          <w:p w14:paraId="464B9CAA" w14:textId="77777777" w:rsidR="00F33FC8" w:rsidRPr="004A2CC5" w:rsidRDefault="00F33FC8" w:rsidP="00C709A5">
            <w:pPr>
              <w:pStyle w:val="Tabletext"/>
              <w:rPr>
                <w:rFonts w:ascii="Calibri" w:hAnsi="Calibri" w:cs="Calibri"/>
                <w:lang w:val="es-ES_tradnl"/>
              </w:rPr>
            </w:pPr>
            <w:r w:rsidRPr="004A2CC5">
              <w:rPr>
                <w:rFonts w:ascii="Calibri" w:hAnsi="Calibri" w:cs="Calibri"/>
                <w:color w:val="0D0D0D" w:themeColor="text1" w:themeTint="F2"/>
                <w:lang w:val="es-ES_tradnl"/>
              </w:rPr>
              <w:t xml:space="preserve">La BDT ha convocado numerosos foros de alto nivel, como el evento dedicado a la innovación y el emprendimiento para los ODS, que se celebró en paralelo al India Mobile </w:t>
            </w:r>
            <w:proofErr w:type="spellStart"/>
            <w:r w:rsidRPr="004A2CC5">
              <w:rPr>
                <w:rFonts w:ascii="Calibri" w:hAnsi="Calibri" w:cs="Calibri"/>
                <w:color w:val="0D0D0D" w:themeColor="text1" w:themeTint="F2"/>
                <w:lang w:val="es-ES_tradnl"/>
              </w:rPr>
              <w:t>Congress</w:t>
            </w:r>
            <w:proofErr w:type="spellEnd"/>
            <w:r w:rsidRPr="004A2CC5">
              <w:rPr>
                <w:rFonts w:ascii="Calibri" w:hAnsi="Calibri" w:cs="Calibri"/>
                <w:color w:val="0D0D0D" w:themeColor="text1" w:themeTint="F2"/>
                <w:lang w:val="es-ES_tradnl"/>
              </w:rPr>
              <w:t xml:space="preserve"> y al Foro de Innovación Regional para Asia y el Pacífico, con el objetivo de fomentar el intercambio de experiencias y facilitar una comprensión más exhaustiva de la integración de ecosistemas sostenibles capaces de impulsar la transformación digital.</w:t>
            </w:r>
          </w:p>
          <w:p w14:paraId="5DC60B95" w14:textId="77777777" w:rsidR="00F33FC8" w:rsidRPr="004A2CC5" w:rsidRDefault="00F33FC8" w:rsidP="00C709A5">
            <w:pPr>
              <w:pStyle w:val="Tabletext"/>
              <w:rPr>
                <w:lang w:val="es-ES_tradnl"/>
              </w:rPr>
            </w:pPr>
            <w:r w:rsidRPr="004A2CC5">
              <w:rPr>
                <w:lang w:val="es-ES_tradnl"/>
              </w:rPr>
              <w:t>A través de los perfiles de innovación digital de la UIT, los Estados Miembros han obtenido evaluaciones precisas de sus ecosistemas y estrategias de diseño para orientar sus políticas nacionales, incluida la economía digital y los planes rectores conexos. Las principales recomendaciones derivadas de estas evaluaciones esbozaron un entorno dinámico y propicio para la innovación impulsada por las TIC.</w:t>
            </w:r>
          </w:p>
          <w:p w14:paraId="11B74D91" w14:textId="77777777" w:rsidR="00F33FC8" w:rsidRPr="004A2CC5" w:rsidRDefault="00F33FC8" w:rsidP="00C709A5">
            <w:pPr>
              <w:pStyle w:val="Tabletext"/>
              <w:rPr>
                <w:lang w:val="es-ES_tradnl"/>
              </w:rPr>
            </w:pPr>
            <w:r w:rsidRPr="004A2CC5">
              <w:rPr>
                <w:lang w:val="es-ES_tradnl"/>
              </w:rPr>
              <w:t xml:space="preserve">Se han logrado avances significativos en el diseño y </w:t>
            </w:r>
            <w:r w:rsidRPr="004A2CC5">
              <w:rPr>
                <w:b/>
                <w:bCs/>
                <w:lang w:val="es-ES_tradnl"/>
              </w:rPr>
              <w:t>desarrollo de varias guías destinadas a acelerar la transformación digital y reducir la brecha de la innovación digital</w:t>
            </w:r>
            <w:r w:rsidRPr="004A2CC5">
              <w:rPr>
                <w:lang w:val="es-ES_tradnl"/>
              </w:rPr>
              <w:t>. La guía en materia de perspectivas estratégicas se presentó en dos talleres sobre preparación para la investigación de tendencias (el taller sobre perspectivas estratégicas centrado en la preparación para la asistencia sanitaria de último kilómetro, que se celebró en Lucknow en julio de 2023, y el taller sobre perspectivas estratégicas que se celebró en Nueva Delhi en octubre de 2023). La BDT ha elaborado varias guías adicionales y, actualmente, está sopesando su uso en la red de Centros de Aceleración de la UIT.</w:t>
            </w:r>
          </w:p>
          <w:p w14:paraId="78F6780B" w14:textId="77777777" w:rsidR="00D14153" w:rsidRPr="004A2CC5" w:rsidRDefault="00F33FC8" w:rsidP="00D14153">
            <w:pPr>
              <w:pStyle w:val="Tabletext"/>
              <w:rPr>
                <w:rFonts w:ascii="Calibri" w:hAnsi="Calibri" w:cs="Calibri"/>
                <w:lang w:val="es-ES_tradnl"/>
              </w:rPr>
            </w:pPr>
            <w:r w:rsidRPr="004A2CC5">
              <w:rPr>
                <w:b/>
                <w:bCs/>
                <w:lang w:val="es-ES_tradnl"/>
              </w:rPr>
              <w:t>En Europa</w:t>
            </w:r>
            <w:r w:rsidRPr="004A2CC5">
              <w:rPr>
                <w:lang w:val="es-ES_tradnl"/>
              </w:rPr>
              <w:t>, se está ultimando el perfil de innovación digital de Albania, en consonancia con la ambiciosa estrategia de especialización inteligente del país. Esta fase, respaldada por la puesta en marcha de un comité interministerial en febrero de 2023 y dirigida por el Viceprimer Ministro, tiene por objeto fomentar el crecimiento económico a través del desarrollo innovador y sostenible en el sector de las TIC. El perfil de innovación digital ofrecerá una imagen completa del panorama digital de Albania en 2024, incluidos los retos y oportunidades en los que se basarán las decisiones estratégicas. Esta iniciativa se enmarca en un compromiso más amplio de Albania para con el avance de los ecosistemas de innovación digital en el país</w:t>
            </w:r>
            <w:r w:rsidRPr="004A2CC5">
              <w:rPr>
                <w:rFonts w:ascii="Calibri" w:hAnsi="Calibri" w:cs="Calibri"/>
                <w:lang w:val="es-ES_tradnl"/>
              </w:rPr>
              <w:t>, como pone de manifiesto su implicación</w:t>
            </w:r>
            <w:r w:rsidRPr="004A2CC5">
              <w:rPr>
                <w:lang w:val="es-ES_tradnl"/>
              </w:rPr>
              <w:t xml:space="preserve"> en la </w:t>
            </w:r>
            <w:r w:rsidRPr="004A2CC5">
              <w:rPr>
                <w:rFonts w:ascii="Calibri" w:hAnsi="Calibri" w:cs="Calibri"/>
                <w:lang w:val="es-ES_tradnl"/>
              </w:rPr>
              <w:t>Alianza para la Innovación de la UIT en calidad de miembro de la Junta y la formalización del Centro de Innovación de la UIT en Albania para la región de Europa.</w:t>
            </w:r>
          </w:p>
          <w:p w14:paraId="4187E208" w14:textId="12C70AD0" w:rsidR="00F33FC8" w:rsidRPr="004A2CC5" w:rsidRDefault="00F33FC8" w:rsidP="00D14153">
            <w:pPr>
              <w:pStyle w:val="Tabletext"/>
              <w:rPr>
                <w:lang w:val="es-ES_tradnl"/>
              </w:rPr>
            </w:pPr>
            <w:r w:rsidRPr="004A2CC5">
              <w:rPr>
                <w:lang w:val="es-ES_tradnl"/>
              </w:rPr>
              <w:t>Se han logrado avances notables en la facilitación de debates y la ampliación de oportunidades para que otros países europeos se unan a la Alianza para la Innovación de la UIT, aprovechando las estrategias nacionales de innovación de los países interesados a fin de armonizarlas con la línea de trabajo en innovación de la UIT. Algunos países han centrado parte de sus trabajos de investigación en la integración de la innovación, con un énfasis particular en la ciberseguridad, y han emprendido proyectos para fusionar las actividades de innovación con el sector espacial. Los debates en curso apuntan a un estudio continuo de estas iniciativas.</w:t>
            </w:r>
          </w:p>
        </w:tc>
        <w:tc>
          <w:tcPr>
            <w:tcW w:w="3034" w:type="dxa"/>
          </w:tcPr>
          <w:p w14:paraId="14F724A6" w14:textId="77777777" w:rsidR="00F33FC8" w:rsidRPr="004A2CC5" w:rsidRDefault="00F33FC8" w:rsidP="00C709A5">
            <w:pPr>
              <w:pStyle w:val="Tabletext"/>
              <w:rPr>
                <w:b/>
                <w:bCs/>
                <w:lang w:val="es-ES_tradnl"/>
              </w:rPr>
            </w:pPr>
            <w:r w:rsidRPr="004A2CC5">
              <w:rPr>
                <w:b/>
                <w:bCs/>
                <w:lang w:val="es-ES_tradnl"/>
              </w:rPr>
              <w:lastRenderedPageBreak/>
              <w:t>Centros de Innovación de la UIT:</w:t>
            </w:r>
          </w:p>
        </w:tc>
      </w:tr>
      <w:tr w:rsidR="00F33FC8" w:rsidRPr="004A2CC5" w14:paraId="0EF4BEDD" w14:textId="77777777" w:rsidTr="004E72A0">
        <w:tc>
          <w:tcPr>
            <w:tcW w:w="11845" w:type="dxa"/>
            <w:gridSpan w:val="2"/>
            <w:vMerge/>
          </w:tcPr>
          <w:p w14:paraId="574A66E6" w14:textId="77777777" w:rsidR="00F33FC8" w:rsidRPr="004A2CC5" w:rsidRDefault="00F33FC8" w:rsidP="00F33FC8">
            <w:pPr>
              <w:jc w:val="both"/>
              <w:rPr>
                <w:sz w:val="22"/>
                <w:lang w:val="es-ES_tradnl"/>
              </w:rPr>
            </w:pPr>
          </w:p>
        </w:tc>
        <w:tc>
          <w:tcPr>
            <w:tcW w:w="3034" w:type="dxa"/>
            <w:tcBorders>
              <w:bottom w:val="dotted" w:sz="4" w:space="0" w:color="0070C0"/>
            </w:tcBorders>
            <w:shd w:val="clear" w:color="auto" w:fill="auto"/>
          </w:tcPr>
          <w:p w14:paraId="5C5A6FA7" w14:textId="77777777" w:rsidR="00F33FC8" w:rsidRPr="004A2CC5" w:rsidRDefault="00F33FC8" w:rsidP="00C709A5">
            <w:pPr>
              <w:pStyle w:val="Tabletext"/>
              <w:rPr>
                <w:lang w:val="es-ES_tradnl"/>
              </w:rPr>
            </w:pPr>
            <w:r w:rsidRPr="004A2CC5">
              <w:rPr>
                <w:b/>
                <w:bCs/>
                <w:lang w:val="es-ES_tradnl"/>
              </w:rPr>
              <w:t>Los siguientes países acogerán Centros de Innovación:</w:t>
            </w:r>
            <w:r w:rsidRPr="004A2CC5">
              <w:rPr>
                <w:lang w:val="es-ES_tradnl"/>
              </w:rPr>
              <w:t xml:space="preserve"> Albania, Argentina, Azerbaiyán, China, Filipinas, Gabón, </w:t>
            </w:r>
            <w:proofErr w:type="spellStart"/>
            <w:r w:rsidRPr="004A2CC5">
              <w:rPr>
                <w:lang w:val="es-ES_tradnl"/>
              </w:rPr>
              <w:t>Kenya</w:t>
            </w:r>
            <w:proofErr w:type="spellEnd"/>
            <w:r w:rsidRPr="004A2CC5">
              <w:rPr>
                <w:lang w:val="es-ES_tradnl"/>
              </w:rPr>
              <w:t xml:space="preserve">, Malawi, Mauritania, Omán, Pakistán, República Dominicana, </w:t>
            </w:r>
            <w:proofErr w:type="spellStart"/>
            <w:r w:rsidRPr="004A2CC5">
              <w:rPr>
                <w:lang w:val="es-ES_tradnl"/>
              </w:rPr>
              <w:t>Tanzanía</w:t>
            </w:r>
            <w:proofErr w:type="spellEnd"/>
            <w:r w:rsidRPr="004A2CC5">
              <w:rPr>
                <w:lang w:val="es-ES_tradnl"/>
              </w:rPr>
              <w:t xml:space="preserve"> y </w:t>
            </w:r>
            <w:proofErr w:type="spellStart"/>
            <w:r w:rsidRPr="004A2CC5">
              <w:rPr>
                <w:lang w:val="es-ES_tradnl"/>
              </w:rPr>
              <w:t>Zimbabwe</w:t>
            </w:r>
            <w:proofErr w:type="spellEnd"/>
            <w:r w:rsidRPr="004A2CC5">
              <w:rPr>
                <w:lang w:val="es-ES_tradnl"/>
              </w:rPr>
              <w:t>.</w:t>
            </w:r>
          </w:p>
          <w:p w14:paraId="17F4623B" w14:textId="77777777" w:rsidR="00F33FC8" w:rsidRPr="004A2CC5" w:rsidRDefault="00F33FC8" w:rsidP="00C709A5">
            <w:pPr>
              <w:pStyle w:val="Tabletext"/>
              <w:rPr>
                <w:b/>
                <w:bCs/>
                <w:lang w:val="es-ES_tradnl"/>
              </w:rPr>
            </w:pPr>
            <w:r w:rsidRPr="004A2CC5">
              <w:rPr>
                <w:b/>
                <w:bCs/>
                <w:lang w:val="es-ES_tradnl"/>
              </w:rPr>
              <w:t>Estrategias nacionales y perfiles de innovación digital:</w:t>
            </w:r>
          </w:p>
          <w:p w14:paraId="7E384A9F" w14:textId="4A8F49FC" w:rsidR="00F33FC8" w:rsidRPr="004A2CC5" w:rsidRDefault="00D14153" w:rsidP="00C709A5">
            <w:pPr>
              <w:pStyle w:val="Tabletext"/>
              <w:rPr>
                <w:lang w:val="es-ES_tradnl"/>
              </w:rPr>
            </w:pPr>
            <w:r w:rsidRPr="004A2CC5">
              <w:rPr>
                <w:lang w:val="es-ES_tradnl"/>
              </w:rPr>
              <w:t>•</w:t>
            </w:r>
            <w:r w:rsidRPr="004A2CC5">
              <w:rPr>
                <w:b/>
                <w:bCs/>
                <w:lang w:val="es-ES_tradnl"/>
              </w:rPr>
              <w:tab/>
            </w:r>
            <w:r w:rsidR="00F33FC8" w:rsidRPr="004A2CC5">
              <w:rPr>
                <w:b/>
                <w:bCs/>
                <w:lang w:val="es-ES_tradnl"/>
              </w:rPr>
              <w:t>África:</w:t>
            </w:r>
            <w:r w:rsidR="00F33FC8" w:rsidRPr="004A2CC5">
              <w:rPr>
                <w:lang w:val="es-ES_tradnl"/>
              </w:rPr>
              <w:t xml:space="preserve"> Benín, </w:t>
            </w:r>
            <w:proofErr w:type="spellStart"/>
            <w:r w:rsidR="00F33FC8" w:rsidRPr="004A2CC5">
              <w:rPr>
                <w:lang w:val="es-ES_tradnl"/>
              </w:rPr>
              <w:t>Zimbabwe</w:t>
            </w:r>
            <w:proofErr w:type="spellEnd"/>
            <w:r w:rsidR="00F33FC8" w:rsidRPr="004A2CC5">
              <w:rPr>
                <w:lang w:val="es-ES_tradnl"/>
              </w:rPr>
              <w:t>.</w:t>
            </w:r>
          </w:p>
          <w:p w14:paraId="4F39C526" w14:textId="12D11635" w:rsidR="00F33FC8" w:rsidRPr="004A2CC5" w:rsidRDefault="00D14153" w:rsidP="00D14153">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Estados Árabes:</w:t>
            </w:r>
            <w:r w:rsidR="00F33FC8" w:rsidRPr="004A2CC5">
              <w:rPr>
                <w:lang w:val="es-ES_tradnl"/>
              </w:rPr>
              <w:t xml:space="preserve"> </w:t>
            </w:r>
            <w:proofErr w:type="spellStart"/>
            <w:r w:rsidR="00F33FC8" w:rsidRPr="004A2CC5">
              <w:rPr>
                <w:lang w:val="es-ES_tradnl"/>
              </w:rPr>
              <w:t>Bahrein</w:t>
            </w:r>
            <w:proofErr w:type="spellEnd"/>
            <w:r w:rsidR="00F33FC8" w:rsidRPr="004A2CC5">
              <w:rPr>
                <w:lang w:val="es-ES_tradnl"/>
              </w:rPr>
              <w:t>, Omán, Egipto</w:t>
            </w:r>
          </w:p>
          <w:p w14:paraId="0606267D" w14:textId="699CA4E5" w:rsidR="00F33FC8" w:rsidRPr="004A2CC5" w:rsidRDefault="00D14153" w:rsidP="00D14153">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Asia-Pacífico:</w:t>
            </w:r>
            <w:r w:rsidR="00F33FC8" w:rsidRPr="004A2CC5">
              <w:rPr>
                <w:lang w:val="es-ES_tradnl"/>
              </w:rPr>
              <w:t xml:space="preserve"> </w:t>
            </w:r>
            <w:proofErr w:type="spellStart"/>
            <w:r w:rsidR="00F33FC8" w:rsidRPr="004A2CC5">
              <w:rPr>
                <w:lang w:val="es-ES_tradnl"/>
              </w:rPr>
              <w:t>Brunei</w:t>
            </w:r>
            <w:proofErr w:type="spellEnd"/>
            <w:r w:rsidR="00F33FC8" w:rsidRPr="004A2CC5">
              <w:rPr>
                <w:lang w:val="es-ES_tradnl"/>
              </w:rPr>
              <w:t xml:space="preserve"> Darussalam e India.</w:t>
            </w:r>
          </w:p>
          <w:p w14:paraId="40C98B60" w14:textId="396EC5DA" w:rsidR="00F33FC8" w:rsidRPr="004A2CC5" w:rsidRDefault="00D14153" w:rsidP="00C709A5">
            <w:pPr>
              <w:pStyle w:val="Tabletext"/>
              <w:rPr>
                <w:lang w:val="es-ES_tradnl"/>
              </w:rPr>
            </w:pPr>
            <w:r w:rsidRPr="004A2CC5">
              <w:rPr>
                <w:lang w:val="es-ES_tradnl"/>
              </w:rPr>
              <w:lastRenderedPageBreak/>
              <w:t>•</w:t>
            </w:r>
            <w:r w:rsidRPr="004A2CC5">
              <w:rPr>
                <w:lang w:val="es-ES_tradnl"/>
              </w:rPr>
              <w:tab/>
            </w:r>
            <w:r w:rsidR="00F33FC8" w:rsidRPr="004A2CC5">
              <w:rPr>
                <w:b/>
                <w:bCs/>
                <w:lang w:val="es-ES_tradnl"/>
              </w:rPr>
              <w:t>Europa:</w:t>
            </w:r>
            <w:r w:rsidR="00F33FC8" w:rsidRPr="004A2CC5">
              <w:rPr>
                <w:lang w:val="es-ES_tradnl"/>
              </w:rPr>
              <w:t xml:space="preserve"> Albania.</w:t>
            </w:r>
          </w:p>
        </w:tc>
      </w:tr>
      <w:tr w:rsidR="00F33FC8" w:rsidRPr="00B6045A" w14:paraId="29F606B1" w14:textId="77777777" w:rsidTr="004E72A0">
        <w:tc>
          <w:tcPr>
            <w:tcW w:w="14879" w:type="dxa"/>
            <w:gridSpan w:val="3"/>
            <w:shd w:val="clear" w:color="auto" w:fill="E5DFEC" w:themeFill="accent4" w:themeFillTint="33"/>
          </w:tcPr>
          <w:p w14:paraId="5E4AE7B8" w14:textId="77777777" w:rsidR="00F33FC8" w:rsidRPr="004A2CC5" w:rsidRDefault="00F33FC8" w:rsidP="00D14153">
            <w:pPr>
              <w:pStyle w:val="Tabletext"/>
              <w:rPr>
                <w:b/>
                <w:bCs/>
                <w:lang w:val="es-ES_tradnl" w:eastAsia="zh-CN"/>
              </w:rPr>
            </w:pPr>
            <w:r w:rsidRPr="004A2CC5">
              <w:rPr>
                <w:b/>
                <w:bCs/>
                <w:lang w:val="es-ES_tradnl"/>
              </w:rPr>
              <w:lastRenderedPageBreak/>
              <w:t>Servicios y aplicaciones digitales</w:t>
            </w:r>
          </w:p>
          <w:p w14:paraId="7AA869F6" w14:textId="77777777" w:rsidR="00F33FC8" w:rsidRPr="004A2CC5" w:rsidRDefault="00F33FC8" w:rsidP="00D14153">
            <w:pPr>
              <w:pStyle w:val="Tabletext"/>
              <w:rPr>
                <w:i/>
                <w:iCs/>
                <w:color w:val="000000" w:themeColor="text1"/>
                <w:lang w:val="es-ES_tradnl"/>
              </w:rPr>
            </w:pPr>
            <w:r w:rsidRPr="004A2CC5">
              <w:rPr>
                <w:b/>
                <w:bCs/>
                <w:i/>
                <w:iCs/>
                <w:lang w:val="es-ES_tradnl"/>
              </w:rPr>
              <w:t>Realización</w:t>
            </w:r>
            <w:r w:rsidRPr="004A2CC5">
              <w:rPr>
                <w:b/>
                <w:bCs/>
                <w:i/>
                <w:iCs/>
                <w:color w:val="000000" w:themeColor="text1"/>
                <w:lang w:val="es-ES_tradnl"/>
              </w:rPr>
              <w:t>:</w:t>
            </w:r>
            <w:r w:rsidRPr="004A2CC5">
              <w:rPr>
                <w:i/>
                <w:iCs/>
                <w:color w:val="000000" w:themeColor="text1"/>
                <w:lang w:val="es-ES_tradnl"/>
              </w:rPr>
              <w:t xml:space="preserve"> Mejora de la capacidad de los Miembros de la UIT para acelerar la transformación digital y el desarrollo socioeconómico sostenible aprovechando y utilizando las telecomunicaciones/TIC y los servicios nuevos e incipientes</w:t>
            </w:r>
          </w:p>
        </w:tc>
      </w:tr>
      <w:tr w:rsidR="00F33FC8" w:rsidRPr="00B6045A" w14:paraId="754ADFA0" w14:textId="77777777" w:rsidTr="004E72A0">
        <w:tc>
          <w:tcPr>
            <w:tcW w:w="11845" w:type="dxa"/>
            <w:gridSpan w:val="2"/>
          </w:tcPr>
          <w:p w14:paraId="5E6B85BF" w14:textId="695B531A" w:rsidR="00F33FC8" w:rsidRPr="004A2CC5" w:rsidRDefault="00F33FC8" w:rsidP="00F34B21">
            <w:pPr>
              <w:pStyle w:val="Tabletext"/>
              <w:rPr>
                <w:lang w:val="es-ES_tradnl"/>
              </w:rPr>
            </w:pPr>
            <w:r w:rsidRPr="004A2CC5">
              <w:rPr>
                <w:lang w:val="es-ES_tradnl"/>
              </w:rPr>
              <w:lastRenderedPageBreak/>
              <w:t xml:space="preserve">La </w:t>
            </w:r>
            <w:r w:rsidR="00AE242A">
              <w:rPr>
                <w:lang w:val="es-ES_tradnl"/>
              </w:rPr>
              <w:t>BDT</w:t>
            </w:r>
            <w:r w:rsidR="00AE242A" w:rsidRPr="004A2CC5">
              <w:rPr>
                <w:lang w:val="es-ES_tradnl"/>
              </w:rPr>
              <w:t xml:space="preserve"> </w:t>
            </w:r>
            <w:r w:rsidRPr="004A2CC5">
              <w:rPr>
                <w:lang w:val="es-ES_tradnl"/>
              </w:rPr>
              <w:t>ha seguido apoyando a los Estados Miembros en el desarrollo y la promoción de soluciones digitales para responder a las necesidades del desarrollo sostenible:</w:t>
            </w:r>
          </w:p>
          <w:p w14:paraId="5DF6DB3C" w14:textId="66163B3B" w:rsidR="00F33FC8" w:rsidRPr="004A2CC5" w:rsidRDefault="00F34B21" w:rsidP="00F34B21">
            <w:pPr>
              <w:pStyle w:val="Tabletext"/>
              <w:ind w:left="284" w:hanging="284"/>
              <w:rPr>
                <w:b/>
                <w:bCs/>
                <w:lang w:val="es-ES_tradnl"/>
              </w:rPr>
            </w:pPr>
            <w:r w:rsidRPr="004A2CC5">
              <w:rPr>
                <w:b/>
                <w:bCs/>
                <w:lang w:val="es-ES_tradnl"/>
              </w:rPr>
              <w:t>•</w:t>
            </w:r>
            <w:r w:rsidRPr="004A2CC5">
              <w:rPr>
                <w:b/>
                <w:bCs/>
                <w:lang w:val="es-ES_tradnl"/>
              </w:rPr>
              <w:tab/>
            </w:r>
            <w:r w:rsidR="00F33FC8" w:rsidRPr="004A2CC5">
              <w:rPr>
                <w:b/>
                <w:bCs/>
                <w:lang w:val="es-ES_tradnl"/>
              </w:rPr>
              <w:t xml:space="preserve">Transformación digital del gobierno: </w:t>
            </w:r>
            <w:r w:rsidR="00F33FC8" w:rsidRPr="004A2CC5">
              <w:rPr>
                <w:lang w:val="es-ES_tradnl"/>
              </w:rPr>
              <w:t xml:space="preserve">La BDT ha contribuido a la </w:t>
            </w:r>
            <w:r w:rsidR="00F33FC8" w:rsidRPr="004A2CC5">
              <w:rPr>
                <w:b/>
                <w:bCs/>
                <w:lang w:val="es-ES_tradnl"/>
              </w:rPr>
              <w:t xml:space="preserve">mejora del acceso de los Estados Miembros a las herramientas y los productos de conocimiento de la UIT para acelerar la transformación digital </w:t>
            </w:r>
            <w:r w:rsidR="00F33FC8" w:rsidRPr="004A2CC5">
              <w:rPr>
                <w:lang w:val="es-ES_tradnl"/>
              </w:rPr>
              <w:t xml:space="preserve">a través </w:t>
            </w:r>
            <w:r w:rsidR="00F33FC8" w:rsidRPr="004A2CC5">
              <w:rPr>
                <w:color w:val="000000" w:themeColor="text1"/>
                <w:lang w:val="es-ES_tradnl"/>
              </w:rPr>
              <w:t xml:space="preserve">del </w:t>
            </w:r>
            <w:hyperlink r:id="rId25">
              <w:r w:rsidR="00F33FC8" w:rsidRPr="004A2CC5">
                <w:rPr>
                  <w:color w:val="0000FF"/>
                  <w:u w:val="single"/>
                  <w:lang w:val="es-ES_tradnl"/>
                </w:rPr>
                <w:t xml:space="preserve">proyecto </w:t>
              </w:r>
              <w:proofErr w:type="spellStart"/>
              <w:r w:rsidR="00F33FC8" w:rsidRPr="004A2CC5">
                <w:rPr>
                  <w:color w:val="0000FF"/>
                  <w:u w:val="single"/>
                  <w:lang w:val="es-ES_tradnl"/>
                </w:rPr>
                <w:t>GovStack</w:t>
              </w:r>
              <w:proofErr w:type="spellEnd"/>
            </w:hyperlink>
            <w:r w:rsidR="00F33FC8" w:rsidRPr="004A2CC5">
              <w:rPr>
                <w:color w:val="000000" w:themeColor="text1"/>
                <w:lang w:val="es-ES_tradnl"/>
              </w:rPr>
              <w:t xml:space="preserve">, en cuyo marco se ha publicado un conjunto de 15 </w:t>
            </w:r>
            <w:hyperlink r:id="rId26">
              <w:r w:rsidR="00F33FC8" w:rsidRPr="004A2CC5">
                <w:rPr>
                  <w:color w:val="0000FF"/>
                  <w:u w:val="single"/>
                  <w:lang w:val="es-ES_tradnl"/>
                </w:rPr>
                <w:t>especificaciones</w:t>
              </w:r>
            </w:hyperlink>
            <w:r w:rsidR="00F33FC8" w:rsidRPr="004A2CC5">
              <w:rPr>
                <w:color w:val="000000" w:themeColor="text1"/>
                <w:lang w:val="es-ES_tradnl"/>
              </w:rPr>
              <w:t xml:space="preserve"> para los elementos constitutivos de un gobierno digital (véanse la identidad, los pagos, el intercambio, el consentimiento, los registros, las firmas digitales, el GIS, los mercados virtuales, etc.). Ahora, los Estados Miembros gozan de acceso a un recurso abierto que sus equipos digitales pueden reutilizar para desarrollar sus propios elementos constitutivos o preparar solicitudes de propuestas para procesos de licitación. </w:t>
            </w:r>
            <w:r w:rsidR="00F33FC8" w:rsidRPr="004A2CC5">
              <w:rPr>
                <w:lang w:val="es-ES_tradnl"/>
              </w:rPr>
              <w:t xml:space="preserve">También se ha publicado la </w:t>
            </w:r>
            <w:hyperlink r:id="rId27">
              <w:r w:rsidR="00F33FC8" w:rsidRPr="004A2CC5">
                <w:rPr>
                  <w:color w:val="1155CC"/>
                  <w:u w:val="single"/>
                  <w:lang w:val="es-ES_tradnl"/>
                </w:rPr>
                <w:t>documentación relativa al espacio controlado de pruebas</w:t>
              </w:r>
            </w:hyperlink>
            <w:r w:rsidR="00F33FC8" w:rsidRPr="004A2CC5">
              <w:rPr>
                <w:lang w:val="es-ES_tradnl"/>
              </w:rPr>
              <w:t xml:space="preserve">, para brindar a los usuarios y desarrolladores técnicos, los arquitectos de soluciones y los diseñadores de servicios la posibilidad de reproducirlo. También se han presentado los servicios disponibles en dicho espacio según las directrices de la </w:t>
            </w:r>
            <w:hyperlink r:id="rId28">
              <w:r w:rsidR="00F33FC8" w:rsidRPr="004A2CC5">
                <w:rPr>
                  <w:color w:val="1155CC"/>
                  <w:u w:val="single"/>
                  <w:lang w:val="es-ES_tradnl"/>
                </w:rPr>
                <w:t>guía</w:t>
              </w:r>
            </w:hyperlink>
            <w:r w:rsidR="00F33FC8" w:rsidRPr="004A2CC5">
              <w:rPr>
                <w:lang w:val="es-ES_tradnl"/>
              </w:rPr>
              <w:t xml:space="preserve"> sobre diseño de servicios. De acuerdo con la vertiente ecológica de esta iniciativa, denominada Green </w:t>
            </w:r>
            <w:proofErr w:type="spellStart"/>
            <w:r w:rsidR="00F33FC8" w:rsidRPr="004A2CC5">
              <w:rPr>
                <w:lang w:val="es-ES_tradnl"/>
              </w:rPr>
              <w:t>GovStack</w:t>
            </w:r>
            <w:proofErr w:type="spellEnd"/>
            <w:r w:rsidR="00F33FC8" w:rsidRPr="004A2CC5">
              <w:rPr>
                <w:lang w:val="es-ES_tradnl"/>
              </w:rPr>
              <w:t xml:space="preserve">, también se han publicado </w:t>
            </w:r>
            <w:hyperlink r:id="rId29">
              <w:r w:rsidR="00F33FC8" w:rsidRPr="004A2CC5">
                <w:rPr>
                  <w:color w:val="1155CC"/>
                  <w:u w:val="single"/>
                  <w:lang w:val="es-ES_tradnl"/>
                </w:rPr>
                <w:t>directrices sobre adquisición de TIC sostenibles</w:t>
              </w:r>
            </w:hyperlink>
            <w:r w:rsidR="00F33FC8" w:rsidRPr="004A2CC5">
              <w:rPr>
                <w:lang w:val="es-ES_tradnl"/>
              </w:rPr>
              <w:t xml:space="preserve"> y </w:t>
            </w:r>
            <w:hyperlink r:id="rId30">
              <w:r w:rsidR="00F33FC8" w:rsidRPr="004A2CC5">
                <w:rPr>
                  <w:color w:val="1155CC"/>
                  <w:u w:val="single"/>
                  <w:lang w:val="es-ES_tradnl"/>
                </w:rPr>
                <w:t>centros de datos ecológicos</w:t>
              </w:r>
            </w:hyperlink>
            <w:r w:rsidR="00F33FC8" w:rsidRPr="004A2CC5">
              <w:rPr>
                <w:lang w:val="es-ES_tradnl"/>
              </w:rPr>
              <w:t>.</w:t>
            </w:r>
          </w:p>
          <w:p w14:paraId="1B9C0B99" w14:textId="7DEB27FD" w:rsidR="00F33FC8" w:rsidRPr="004A2CC5" w:rsidRDefault="00F34B21" w:rsidP="00F34B21">
            <w:pPr>
              <w:pStyle w:val="Tabletext"/>
              <w:ind w:left="284" w:hanging="284"/>
              <w:rPr>
                <w:b/>
                <w:bCs/>
                <w:lang w:val="es-ES_tradnl"/>
              </w:rPr>
            </w:pPr>
            <w:r w:rsidRPr="004A2CC5">
              <w:rPr>
                <w:b/>
                <w:bCs/>
                <w:lang w:val="es-ES_tradnl"/>
              </w:rPr>
              <w:t>•</w:t>
            </w:r>
            <w:r w:rsidRPr="004A2CC5">
              <w:rPr>
                <w:b/>
                <w:bCs/>
                <w:lang w:val="es-ES_tradnl"/>
              </w:rPr>
              <w:tab/>
            </w:r>
            <w:r w:rsidR="00F33FC8" w:rsidRPr="004A2CC5">
              <w:rPr>
                <w:b/>
                <w:bCs/>
                <w:lang w:val="es-ES_tradnl"/>
              </w:rPr>
              <w:t xml:space="preserve">Código abierto para los servicios públicos: </w:t>
            </w:r>
            <w:r w:rsidR="00F33FC8" w:rsidRPr="004A2CC5">
              <w:rPr>
                <w:lang w:val="es-ES_tradnl"/>
              </w:rPr>
              <w:t>Se ha puesto en marcha un proyecto destinado a propiciar ecosistemas de código abierto (</w:t>
            </w:r>
            <w:r w:rsidR="00F33FC8" w:rsidRPr="004A2CC5">
              <w:rPr>
                <w:i/>
                <w:iCs/>
                <w:lang w:val="es-ES_tradnl"/>
              </w:rPr>
              <w:t>Open-</w:t>
            </w:r>
            <w:proofErr w:type="spellStart"/>
            <w:r w:rsidR="00F33FC8" w:rsidRPr="004A2CC5">
              <w:rPr>
                <w:i/>
                <w:iCs/>
                <w:lang w:val="es-ES_tradnl"/>
              </w:rPr>
              <w:t>Source</w:t>
            </w:r>
            <w:proofErr w:type="spellEnd"/>
            <w:r w:rsidR="00F33FC8" w:rsidRPr="004A2CC5">
              <w:rPr>
                <w:i/>
                <w:iCs/>
                <w:lang w:val="es-ES_tradnl"/>
              </w:rPr>
              <w:t xml:space="preserve"> </w:t>
            </w:r>
            <w:proofErr w:type="spellStart"/>
            <w:r w:rsidR="00F33FC8" w:rsidRPr="004A2CC5">
              <w:rPr>
                <w:i/>
                <w:iCs/>
                <w:lang w:val="es-ES_tradnl"/>
              </w:rPr>
              <w:t>Ecosystem</w:t>
            </w:r>
            <w:proofErr w:type="spellEnd"/>
            <w:r w:rsidR="00F33FC8" w:rsidRPr="004A2CC5">
              <w:rPr>
                <w:i/>
                <w:iCs/>
                <w:lang w:val="es-ES_tradnl"/>
              </w:rPr>
              <w:t xml:space="preserve"> </w:t>
            </w:r>
            <w:proofErr w:type="spellStart"/>
            <w:r w:rsidR="00F33FC8" w:rsidRPr="004A2CC5">
              <w:rPr>
                <w:i/>
                <w:iCs/>
                <w:lang w:val="es-ES_tradnl"/>
              </w:rPr>
              <w:t>Enablement</w:t>
            </w:r>
            <w:proofErr w:type="spellEnd"/>
            <w:r w:rsidR="00F33FC8" w:rsidRPr="004A2CC5">
              <w:rPr>
                <w:lang w:val="es-ES_tradnl"/>
              </w:rPr>
              <w:t xml:space="preserve">, OSEE), desarrollado conjuntamente por la UIT y el PNUD, y financiado por la Unión Europea. El objetivo de este proyecto es crear un marco integral de educación, formación y apoyo que permita a los países utilizar tecnologías de código abierto para desarrollar servicios y productos públicos digitales. También se han organizado seminarios web, talleres y eventos sobre temas relacionados con la inteligencia artificial generativa de código abierto para la educación y los servicios públicos, la administración y la gobernanza de los datos, las infraestructuras en la nube, etc. Como resultado, </w:t>
            </w:r>
            <w:r w:rsidR="00F33FC8" w:rsidRPr="004A2CC5">
              <w:rPr>
                <w:b/>
                <w:bCs/>
                <w:lang w:val="es-ES_tradnl"/>
              </w:rPr>
              <w:t>las partes interesadas ha</w:t>
            </w:r>
            <w:r w:rsidR="00AB04BE" w:rsidRPr="004A2CC5">
              <w:rPr>
                <w:b/>
                <w:bCs/>
                <w:lang w:val="es-ES_tradnl"/>
              </w:rPr>
              <w:t>n</w:t>
            </w:r>
            <w:r w:rsidR="00F33FC8" w:rsidRPr="004A2CC5">
              <w:rPr>
                <w:b/>
                <w:bCs/>
                <w:lang w:val="es-ES_tradnl"/>
              </w:rPr>
              <w:t xml:space="preserve"> ampliado sus conocimiento en la materia y el ecosistema internacional de código abierto se ha visto reforzado.</w:t>
            </w:r>
          </w:p>
          <w:p w14:paraId="570BB6CF" w14:textId="455797AB" w:rsidR="00F33FC8" w:rsidRPr="004A2CC5" w:rsidRDefault="00F34B21" w:rsidP="00F34B21">
            <w:pPr>
              <w:pStyle w:val="Tabletext"/>
              <w:ind w:left="284" w:hanging="284"/>
              <w:rPr>
                <w:b/>
                <w:bCs/>
                <w:lang w:val="es-ES_tradnl"/>
              </w:rPr>
            </w:pPr>
            <w:r w:rsidRPr="004A2CC5">
              <w:rPr>
                <w:b/>
                <w:bCs/>
                <w:lang w:val="es-ES_tradnl"/>
              </w:rPr>
              <w:t>•</w:t>
            </w:r>
            <w:r w:rsidRPr="004A2CC5">
              <w:rPr>
                <w:b/>
                <w:bCs/>
                <w:lang w:val="es-ES_tradnl"/>
              </w:rPr>
              <w:tab/>
            </w:r>
            <w:r w:rsidR="00F33FC8" w:rsidRPr="004A2CC5">
              <w:rPr>
                <w:b/>
                <w:bCs/>
                <w:lang w:val="es-ES_tradnl"/>
              </w:rPr>
              <w:t xml:space="preserve">Salud digital: </w:t>
            </w:r>
            <w:r w:rsidR="00F33FC8" w:rsidRPr="004A2CC5">
              <w:rPr>
                <w:lang w:val="es-ES_tradnl"/>
              </w:rPr>
              <w:t xml:space="preserve">La BDT ha desempeñado un papel decisivo en la elaboración del informe titulado </w:t>
            </w:r>
            <w:proofErr w:type="spellStart"/>
            <w:r w:rsidR="00F33FC8" w:rsidRPr="004A2CC5">
              <w:rPr>
                <w:i/>
                <w:iCs/>
                <w:lang w:val="es-ES_tradnl"/>
              </w:rPr>
              <w:t>Tech</w:t>
            </w:r>
            <w:proofErr w:type="spellEnd"/>
            <w:r w:rsidR="00F33FC8" w:rsidRPr="004A2CC5">
              <w:rPr>
                <w:i/>
                <w:iCs/>
                <w:lang w:val="es-ES_tradnl"/>
              </w:rPr>
              <w:t xml:space="preserve"> </w:t>
            </w:r>
            <w:proofErr w:type="spellStart"/>
            <w:r w:rsidR="00F33FC8" w:rsidRPr="004A2CC5">
              <w:rPr>
                <w:i/>
                <w:iCs/>
                <w:lang w:val="es-ES_tradnl"/>
              </w:rPr>
              <w:t>Saves</w:t>
            </w:r>
            <w:proofErr w:type="spellEnd"/>
            <w:r w:rsidR="00F33FC8" w:rsidRPr="004A2CC5">
              <w:rPr>
                <w:i/>
                <w:iCs/>
                <w:lang w:val="es-ES_tradnl"/>
              </w:rPr>
              <w:t xml:space="preserve"> </w:t>
            </w:r>
            <w:proofErr w:type="spellStart"/>
            <w:r w:rsidR="00F33FC8" w:rsidRPr="004A2CC5">
              <w:rPr>
                <w:i/>
                <w:iCs/>
                <w:lang w:val="es-ES_tradnl"/>
              </w:rPr>
              <w:t>Lives</w:t>
            </w:r>
            <w:proofErr w:type="spellEnd"/>
            <w:r w:rsidR="00F33FC8" w:rsidRPr="004A2CC5">
              <w:rPr>
                <w:i/>
                <w:iCs/>
                <w:lang w:val="es-ES_tradnl"/>
              </w:rPr>
              <w:t xml:space="preserve"> and Money: </w:t>
            </w:r>
            <w:proofErr w:type="spellStart"/>
            <w:r w:rsidR="00F33FC8" w:rsidRPr="004A2CC5">
              <w:rPr>
                <w:i/>
                <w:iCs/>
                <w:lang w:val="es-ES_tradnl"/>
              </w:rPr>
              <w:t>The</w:t>
            </w:r>
            <w:proofErr w:type="spellEnd"/>
            <w:r w:rsidR="00F33FC8" w:rsidRPr="004A2CC5">
              <w:rPr>
                <w:i/>
                <w:iCs/>
                <w:lang w:val="es-ES_tradnl"/>
              </w:rPr>
              <w:t xml:space="preserve"> Case </w:t>
            </w:r>
            <w:proofErr w:type="spellStart"/>
            <w:r w:rsidR="00F33FC8" w:rsidRPr="004A2CC5">
              <w:rPr>
                <w:i/>
                <w:iCs/>
                <w:lang w:val="es-ES_tradnl"/>
              </w:rPr>
              <w:t>for</w:t>
            </w:r>
            <w:proofErr w:type="spellEnd"/>
            <w:r w:rsidR="00F33FC8" w:rsidRPr="004A2CC5">
              <w:rPr>
                <w:i/>
                <w:iCs/>
                <w:lang w:val="es-ES_tradnl"/>
              </w:rPr>
              <w:t xml:space="preserve"> </w:t>
            </w:r>
            <w:proofErr w:type="spellStart"/>
            <w:r w:rsidR="00F33FC8" w:rsidRPr="004A2CC5">
              <w:rPr>
                <w:i/>
                <w:iCs/>
                <w:lang w:val="es-ES_tradnl"/>
              </w:rPr>
              <w:t>Using</w:t>
            </w:r>
            <w:proofErr w:type="spellEnd"/>
            <w:r w:rsidR="00F33FC8" w:rsidRPr="004A2CC5">
              <w:rPr>
                <w:i/>
                <w:iCs/>
                <w:lang w:val="es-ES_tradnl"/>
              </w:rPr>
              <w:t xml:space="preserve"> Digital </w:t>
            </w:r>
            <w:proofErr w:type="spellStart"/>
            <w:r w:rsidR="00F33FC8" w:rsidRPr="004A2CC5">
              <w:rPr>
                <w:i/>
                <w:iCs/>
                <w:lang w:val="es-ES_tradnl"/>
              </w:rPr>
              <w:t>Solutions</w:t>
            </w:r>
            <w:proofErr w:type="spellEnd"/>
            <w:r w:rsidR="00F33FC8" w:rsidRPr="004A2CC5">
              <w:rPr>
                <w:i/>
                <w:iCs/>
                <w:lang w:val="es-ES_tradnl"/>
              </w:rPr>
              <w:t xml:space="preserve"> </w:t>
            </w:r>
            <w:proofErr w:type="spellStart"/>
            <w:r w:rsidR="00F33FC8" w:rsidRPr="004A2CC5">
              <w:rPr>
                <w:i/>
                <w:iCs/>
                <w:lang w:val="es-ES_tradnl"/>
              </w:rPr>
              <w:t>to</w:t>
            </w:r>
            <w:proofErr w:type="spellEnd"/>
            <w:r w:rsidR="00F33FC8" w:rsidRPr="004A2CC5">
              <w:rPr>
                <w:i/>
                <w:iCs/>
                <w:lang w:val="es-ES_tradnl"/>
              </w:rPr>
              <w:t xml:space="preserve"> </w:t>
            </w:r>
            <w:proofErr w:type="spellStart"/>
            <w:r w:rsidR="00F33FC8" w:rsidRPr="004A2CC5">
              <w:rPr>
                <w:i/>
                <w:iCs/>
                <w:lang w:val="es-ES_tradnl"/>
              </w:rPr>
              <w:t>Help</w:t>
            </w:r>
            <w:proofErr w:type="spellEnd"/>
            <w:r w:rsidR="00F33FC8" w:rsidRPr="004A2CC5">
              <w:rPr>
                <w:i/>
                <w:iCs/>
                <w:lang w:val="es-ES_tradnl"/>
              </w:rPr>
              <w:t xml:space="preserve"> Beat Non-</w:t>
            </w:r>
            <w:proofErr w:type="spellStart"/>
            <w:r w:rsidR="00F33FC8" w:rsidRPr="004A2CC5">
              <w:rPr>
                <w:i/>
                <w:iCs/>
                <w:lang w:val="es-ES_tradnl"/>
              </w:rPr>
              <w:t>Communicable</w:t>
            </w:r>
            <w:proofErr w:type="spellEnd"/>
            <w:r w:rsidR="00F33FC8" w:rsidRPr="004A2CC5">
              <w:rPr>
                <w:i/>
                <w:iCs/>
                <w:lang w:val="es-ES_tradnl"/>
              </w:rPr>
              <w:t xml:space="preserve"> </w:t>
            </w:r>
            <w:proofErr w:type="spellStart"/>
            <w:r w:rsidR="00F33FC8" w:rsidRPr="004A2CC5">
              <w:rPr>
                <w:i/>
                <w:iCs/>
                <w:lang w:val="es-ES_tradnl"/>
              </w:rPr>
              <w:t>Diseases</w:t>
            </w:r>
            <w:proofErr w:type="spellEnd"/>
            <w:r w:rsidR="00F33FC8" w:rsidRPr="004A2CC5">
              <w:rPr>
                <w:i/>
                <w:iCs/>
                <w:lang w:val="es-ES_tradnl"/>
              </w:rPr>
              <w:t xml:space="preserve"> </w:t>
            </w:r>
            <w:r w:rsidR="00F33FC8" w:rsidRPr="004A2CC5">
              <w:rPr>
                <w:lang w:val="es-ES_tradnl"/>
              </w:rPr>
              <w:t xml:space="preserve">(La tecnología permite salvar vidas y ahorrar dinero: argumentos en favor del uso de soluciones digitales en la lucha contra las enfermedades no transmisibles) en colaboración con el Equipo de Tareas Interinstitucional de las Naciones Unidas sobre la Prevención y el Control de las Enfermedades No Transmisibles. En el informe conjunto de </w:t>
            </w:r>
            <w:r w:rsidR="00F33FC8" w:rsidRPr="004A2CC5">
              <w:rPr>
                <w:rFonts w:ascii="Calibri" w:hAnsi="Calibri" w:cs="Calibri"/>
                <w:lang w:val="es-ES_tradnl"/>
              </w:rPr>
              <w:t>la Organización Mundial de la Salud (</w:t>
            </w:r>
            <w:r w:rsidR="00F33FC8" w:rsidRPr="004A2CC5">
              <w:rPr>
                <w:lang w:val="es-ES_tradnl"/>
              </w:rPr>
              <w:t xml:space="preserve">OMS) y la UIT se examina y evalúa la eficacia de tres amplias categorías de intervenciones digitales en el ámbito sanitario. Los resultados revelan el gran potencial que alberga la tecnología digital para reforzar los sistemas sanitarios nacionales. A través de estas iniciativas, la </w:t>
            </w:r>
            <w:r w:rsidR="00AE242A">
              <w:rPr>
                <w:lang w:val="es-ES_tradnl"/>
              </w:rPr>
              <w:t>BDT</w:t>
            </w:r>
            <w:r w:rsidR="00AE242A" w:rsidRPr="004A2CC5">
              <w:rPr>
                <w:lang w:val="es-ES_tradnl"/>
              </w:rPr>
              <w:t xml:space="preserve"> </w:t>
            </w:r>
            <w:r w:rsidR="00F33FC8" w:rsidRPr="004A2CC5">
              <w:rPr>
                <w:lang w:val="es-ES_tradnl"/>
              </w:rPr>
              <w:t xml:space="preserve">ha contribuido a </w:t>
            </w:r>
            <w:r w:rsidR="00F33FC8" w:rsidRPr="004A2CC5">
              <w:rPr>
                <w:b/>
                <w:bCs/>
                <w:lang w:val="es-ES_tradnl"/>
              </w:rPr>
              <w:t>ampliar los conocimientos de los Estados Miembros sobre la relación costo-beneficio de las intervenciones digitales en el ámbito de la salud para la respuesta mundial a las enfermedades no transmisibles (ENT).</w:t>
            </w:r>
          </w:p>
          <w:p w14:paraId="48C44AF9" w14:textId="509FE471" w:rsidR="00F33FC8" w:rsidRPr="004A2CC5" w:rsidRDefault="00F34B21" w:rsidP="00F34B21">
            <w:pPr>
              <w:pStyle w:val="Tabletext"/>
              <w:ind w:left="284" w:hanging="284"/>
              <w:rPr>
                <w:b/>
                <w:bCs/>
                <w:szCs w:val="24"/>
                <w:lang w:val="es-ES_tradnl"/>
              </w:rPr>
            </w:pPr>
            <w:r w:rsidRPr="004A2CC5">
              <w:rPr>
                <w:b/>
                <w:bCs/>
                <w:lang w:val="es-ES_tradnl"/>
              </w:rPr>
              <w:t>•</w:t>
            </w:r>
            <w:r w:rsidRPr="004A2CC5">
              <w:rPr>
                <w:b/>
                <w:bCs/>
                <w:lang w:val="es-ES_tradnl"/>
              </w:rPr>
              <w:tab/>
            </w:r>
            <w:r w:rsidR="00F33FC8" w:rsidRPr="004A2CC5">
              <w:rPr>
                <w:b/>
                <w:bCs/>
                <w:lang w:val="es-ES_tradnl"/>
              </w:rPr>
              <w:t>Agricultura digital</w:t>
            </w:r>
            <w:r w:rsidR="00F33FC8" w:rsidRPr="004A2CC5">
              <w:rPr>
                <w:lang w:val="es-ES_tradnl"/>
              </w:rPr>
              <w:t xml:space="preserve">: La UIT y la Organización para la Alimentación y la Agricultura (FAO), con la financiación de la Unión Europea, han puesto en marcha el proyecto </w:t>
            </w:r>
            <w:r w:rsidR="001B1471" w:rsidRPr="004A2CC5">
              <w:rPr>
                <w:lang w:val="es-ES_tradnl"/>
              </w:rPr>
              <w:t>"</w:t>
            </w:r>
            <w:r w:rsidR="00F33FC8" w:rsidRPr="004A2CC5">
              <w:rPr>
                <w:lang w:val="es-ES_tradnl"/>
              </w:rPr>
              <w:t>MERIAN</w:t>
            </w:r>
            <w:r w:rsidR="001B1471" w:rsidRPr="004A2CC5">
              <w:rPr>
                <w:lang w:val="es-ES_tradnl"/>
              </w:rPr>
              <w:t>"</w:t>
            </w:r>
            <w:r w:rsidR="00F33FC8" w:rsidRPr="004A2CC5">
              <w:rPr>
                <w:lang w:val="es-ES_tradnl"/>
              </w:rPr>
              <w:t xml:space="preserve"> para el fortalecimiento de las capacidades de investigación, extensión y educación digital agrícola, con el objetivo de mejorar la formación y la educación formal de los profesionales de la agricultura y permitirles utilizar de forma eficaz la tecnología en las prácticas agrícolas y los servicios de extensión. </w:t>
            </w:r>
            <w:proofErr w:type="spellStart"/>
            <w:r w:rsidR="00F33FC8" w:rsidRPr="004A2CC5">
              <w:rPr>
                <w:lang w:val="es-ES_tradnl"/>
              </w:rPr>
              <w:t>GovStack</w:t>
            </w:r>
            <w:proofErr w:type="spellEnd"/>
            <w:r w:rsidR="00F33FC8" w:rsidRPr="004A2CC5">
              <w:rPr>
                <w:lang w:val="es-ES_tradnl"/>
              </w:rPr>
              <w:t xml:space="preserve"> se utilizará como marco para el desarrollo de la plataforma web y la aplicación a través de las cuales se prestarán los servicios de </w:t>
            </w:r>
            <w:r w:rsidR="00F33FC8" w:rsidRPr="004A2CC5">
              <w:rPr>
                <w:lang w:val="es-ES_tradnl"/>
              </w:rPr>
              <w:lastRenderedPageBreak/>
              <w:t xml:space="preserve">extensión. La </w:t>
            </w:r>
            <w:r w:rsidR="00AE242A">
              <w:rPr>
                <w:lang w:val="es-ES_tradnl"/>
              </w:rPr>
              <w:t>BDT</w:t>
            </w:r>
            <w:r w:rsidR="00AE242A" w:rsidRPr="004A2CC5">
              <w:rPr>
                <w:lang w:val="es-ES_tradnl"/>
              </w:rPr>
              <w:t xml:space="preserve"> </w:t>
            </w:r>
            <w:r w:rsidR="00F33FC8" w:rsidRPr="004A2CC5">
              <w:rPr>
                <w:lang w:val="es-ES_tradnl"/>
              </w:rPr>
              <w:t xml:space="preserve">también ha seguido ampliando los beneficios de la transformación digital a las zonas rurales y remotas de </w:t>
            </w:r>
            <w:proofErr w:type="spellStart"/>
            <w:r w:rsidR="00F33FC8" w:rsidRPr="004A2CC5">
              <w:rPr>
                <w:b/>
                <w:bCs/>
                <w:lang w:val="es-ES_tradnl"/>
              </w:rPr>
              <w:t>Papua</w:t>
            </w:r>
            <w:proofErr w:type="spellEnd"/>
            <w:r w:rsidR="00F33FC8" w:rsidRPr="004A2CC5">
              <w:rPr>
                <w:b/>
                <w:bCs/>
                <w:lang w:val="es-ES_tradnl"/>
              </w:rPr>
              <w:t xml:space="preserve"> Nueva Guinea </w:t>
            </w:r>
            <w:r w:rsidR="00F33FC8" w:rsidRPr="004A2CC5">
              <w:rPr>
                <w:lang w:val="es-ES_tradnl"/>
              </w:rPr>
              <w:t>a través del programa STREIT de la UE, encabezado por la FAO, en colaboración con la OIT, la UIT, el FNUDC y el PNUD. En el marco de esta iniciativa, se han creado cuatro centros de recursos y se han organizado sesiones de formación continua para agricultores sobre competencias digitales y temas relacionados con el comercio electrónico. En estas sesiones ha participado un total de 542 interesados. Ahora, esos agricultores pueden utilizar las tecnologías digitales de forma eficaz gracias a los conocimientos recién adquiridos, lo que redunda en favor del crecimiento económico. Además, pueden compartir sus conocimientos con sus coterráneos, contribuyendo así al desarrollo general de sus comunidades. La FAO y la UIT fomentaron el intercambio de conocimientos sobre agricultura digital a través del Foro de Soluciones Agrícolas Digitales para Asia-Pacífico de 2023.</w:t>
            </w:r>
          </w:p>
          <w:p w14:paraId="2F6AA702" w14:textId="5BE700D4"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 xml:space="preserve">Otras soluciones digitales: </w:t>
            </w:r>
            <w:r w:rsidR="00F33FC8" w:rsidRPr="004A2CC5">
              <w:rPr>
                <w:lang w:val="es-ES_tradnl"/>
              </w:rPr>
              <w:t xml:space="preserve">La </w:t>
            </w:r>
            <w:r w:rsidR="00AE242A">
              <w:rPr>
                <w:lang w:val="es-ES_tradnl"/>
              </w:rPr>
              <w:t>BDT</w:t>
            </w:r>
            <w:r w:rsidR="00AE242A" w:rsidRPr="004A2CC5">
              <w:rPr>
                <w:lang w:val="es-ES_tradnl"/>
              </w:rPr>
              <w:t xml:space="preserve"> </w:t>
            </w:r>
            <w:r w:rsidR="00F33FC8" w:rsidRPr="004A2CC5">
              <w:rPr>
                <w:lang w:val="es-ES_tradnl"/>
              </w:rPr>
              <w:t xml:space="preserve">también ha desarrollado un sistema de gestión del aprendizaje mejorado, que ha puesto a disposición de la </w:t>
            </w:r>
            <w:r w:rsidR="00F33FC8" w:rsidRPr="004A2CC5">
              <w:rPr>
                <w:b/>
                <w:bCs/>
                <w:lang w:val="es-ES_tradnl"/>
              </w:rPr>
              <w:t xml:space="preserve">Universidad de Tecnología de </w:t>
            </w:r>
            <w:proofErr w:type="spellStart"/>
            <w:r w:rsidR="00F33FC8" w:rsidRPr="004A2CC5">
              <w:rPr>
                <w:b/>
                <w:bCs/>
                <w:lang w:val="es-ES_tradnl"/>
              </w:rPr>
              <w:t>Papua</w:t>
            </w:r>
            <w:proofErr w:type="spellEnd"/>
            <w:r w:rsidR="00F33FC8" w:rsidRPr="004A2CC5">
              <w:rPr>
                <w:b/>
                <w:bCs/>
                <w:lang w:val="es-ES_tradnl"/>
              </w:rPr>
              <w:t xml:space="preserve"> Nueva Guinea</w:t>
            </w:r>
            <w:r w:rsidR="00F33FC8" w:rsidRPr="004A2CC5">
              <w:rPr>
                <w:lang w:val="es-ES_tradnl"/>
              </w:rPr>
              <w:t xml:space="preserve">. Se siguen desarrollando </w:t>
            </w:r>
            <w:hyperlink r:id="rId31" w:history="1">
              <w:r w:rsidR="00F33FC8" w:rsidRPr="004A2CC5">
                <w:rPr>
                  <w:color w:val="0000FF" w:themeColor="hyperlink"/>
                  <w:u w:val="single"/>
                  <w:lang w:val="es-ES_tradnl"/>
                </w:rPr>
                <w:t>diversas soluciones digitales</w:t>
              </w:r>
            </w:hyperlink>
            <w:r w:rsidR="00F33FC8" w:rsidRPr="004A2CC5">
              <w:rPr>
                <w:lang w:val="es-ES_tradnl"/>
              </w:rPr>
              <w:t xml:space="preserve"> en estrecha colaboración con el gobierno de </w:t>
            </w:r>
            <w:proofErr w:type="spellStart"/>
            <w:r w:rsidR="00F33FC8" w:rsidRPr="004A2CC5">
              <w:rPr>
                <w:lang w:val="es-ES_tradnl"/>
              </w:rPr>
              <w:t>Papua</w:t>
            </w:r>
            <w:proofErr w:type="spellEnd"/>
            <w:r w:rsidR="00F33FC8" w:rsidRPr="004A2CC5">
              <w:rPr>
                <w:lang w:val="es-ES_tradnl"/>
              </w:rPr>
              <w:t xml:space="preserve"> Nueva Guinea y los socios del programa, en consonancia con las estrategias en materia de </w:t>
            </w:r>
            <w:proofErr w:type="spellStart"/>
            <w:r w:rsidR="00F33FC8" w:rsidRPr="004A2CC5">
              <w:rPr>
                <w:lang w:val="es-ES_tradnl"/>
              </w:rPr>
              <w:t>ciberagricultura</w:t>
            </w:r>
            <w:proofErr w:type="spellEnd"/>
            <w:r w:rsidR="00F33FC8" w:rsidRPr="004A2CC5">
              <w:rPr>
                <w:lang w:val="es-ES_tradnl"/>
              </w:rPr>
              <w:t xml:space="preserve"> desarrolladas con anterioridad.</w:t>
            </w:r>
          </w:p>
          <w:p w14:paraId="73C93704" w14:textId="509E0267"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proofErr w:type="spellStart"/>
            <w:r w:rsidR="00F33FC8" w:rsidRPr="004A2CC5">
              <w:rPr>
                <w:b/>
                <w:bCs/>
                <w:lang w:val="es-ES_tradnl"/>
              </w:rPr>
              <w:t>GovStack</w:t>
            </w:r>
            <w:proofErr w:type="spellEnd"/>
            <w:r w:rsidR="00F33FC8" w:rsidRPr="004A2CC5">
              <w:rPr>
                <w:b/>
                <w:bCs/>
                <w:lang w:val="es-ES_tradnl"/>
              </w:rPr>
              <w:t xml:space="preserve"> </w:t>
            </w:r>
            <w:r w:rsidR="00F33FC8" w:rsidRPr="004A2CC5">
              <w:rPr>
                <w:lang w:val="es-ES_tradnl"/>
              </w:rPr>
              <w:t>ha puesto en marcha la 1ª edición de su concurso</w:t>
            </w:r>
            <w:r w:rsidR="00F33FC8" w:rsidRPr="004A2CC5">
              <w:rPr>
                <w:i/>
                <w:iCs/>
                <w:lang w:val="es-ES_tradnl"/>
              </w:rPr>
              <w:t xml:space="preserve"> </w:t>
            </w:r>
            <w:proofErr w:type="spellStart"/>
            <w:r w:rsidR="00F33FC8" w:rsidRPr="004A2CC5">
              <w:rPr>
                <w:i/>
                <w:iCs/>
                <w:lang w:val="es-ES_tradnl"/>
              </w:rPr>
              <w:t>Women</w:t>
            </w:r>
            <w:proofErr w:type="spellEnd"/>
            <w:r w:rsidR="00F33FC8" w:rsidRPr="004A2CC5">
              <w:rPr>
                <w:i/>
                <w:iCs/>
                <w:lang w:val="es-ES_tradnl"/>
              </w:rPr>
              <w:t xml:space="preserve"> in </w:t>
            </w:r>
            <w:proofErr w:type="spellStart"/>
            <w:r w:rsidR="00F33FC8" w:rsidRPr="004A2CC5">
              <w:rPr>
                <w:i/>
                <w:iCs/>
                <w:lang w:val="es-ES_tradnl"/>
              </w:rPr>
              <w:t>GovTech</w:t>
            </w:r>
            <w:proofErr w:type="spellEnd"/>
            <w:r w:rsidR="00F33FC8" w:rsidRPr="004A2CC5">
              <w:rPr>
                <w:lang w:val="es-ES_tradnl"/>
              </w:rPr>
              <w:t xml:space="preserve">, en cuyo marco 139 mujeres han sido seleccionadas de entre las 240 interesadas para recibir formación en las especificaciones técnicas de </w:t>
            </w:r>
            <w:proofErr w:type="spellStart"/>
            <w:r w:rsidR="00F33FC8" w:rsidRPr="004A2CC5">
              <w:rPr>
                <w:lang w:val="es-ES_tradnl"/>
              </w:rPr>
              <w:t>GovStack</w:t>
            </w:r>
            <w:proofErr w:type="spellEnd"/>
            <w:r w:rsidR="00F33FC8" w:rsidRPr="004A2CC5">
              <w:rPr>
                <w:lang w:val="es-ES_tradnl"/>
              </w:rPr>
              <w:t xml:space="preserve">, la gestión de equipos y el liderazgo. El primer grupo comprende aportaciones de 59 países y los mejores proyectos se expondrán en la CMSI de 2024. Se ha desarrollado un espacio controlado de pruebas relacionadas con el gobierno digital, que sirve de plataforma para la puesta a prueba de servicios de gobierno digital interoperables y seguros, y el aprendizaje conexo. En este espacio de </w:t>
            </w:r>
            <w:proofErr w:type="spellStart"/>
            <w:r w:rsidR="00F33FC8" w:rsidRPr="004A2CC5">
              <w:rPr>
                <w:lang w:val="es-ES_tradnl"/>
              </w:rPr>
              <w:t>GovStack</w:t>
            </w:r>
            <w:proofErr w:type="spellEnd"/>
            <w:r w:rsidR="00F33FC8" w:rsidRPr="004A2CC5">
              <w:rPr>
                <w:lang w:val="es-ES_tradnl"/>
              </w:rPr>
              <w:t xml:space="preserve"> se han desarrollado y desplegado cuatro productos/elementos constitutivos digitales relacionados con la identidad, los pagos, la mediación de información y el consentimiento. Estos componentes de software reutilizables han sido integrados para mostrar la digitalización de los servicios gubernamentales partiendo de los elementos constitutivos antes mencionados. Los equipos digitales de los países no cesan de explorar posibilidades de reutilizar estas plataformas para complementar su acervo tecnológico actual.</w:t>
            </w:r>
          </w:p>
          <w:p w14:paraId="73B43F27" w14:textId="45B65BFF"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 xml:space="preserve">En los Estados Árabes, </w:t>
            </w:r>
            <w:r w:rsidR="00F33FC8" w:rsidRPr="004A2CC5">
              <w:rPr>
                <w:lang w:val="es-ES_tradnl"/>
              </w:rPr>
              <w:t xml:space="preserve">la </w:t>
            </w:r>
            <w:r w:rsidR="00AE242A">
              <w:rPr>
                <w:lang w:val="es-ES_tradnl"/>
              </w:rPr>
              <w:t>BDT</w:t>
            </w:r>
            <w:r w:rsidR="00AE242A" w:rsidRPr="004A2CC5" w:rsidDel="00AE242A">
              <w:rPr>
                <w:lang w:val="es-ES_tradnl"/>
              </w:rPr>
              <w:t xml:space="preserve"> </w:t>
            </w:r>
            <w:r w:rsidR="00F33FC8" w:rsidRPr="004A2CC5">
              <w:rPr>
                <w:lang w:val="es-ES_tradnl"/>
              </w:rPr>
              <w:t xml:space="preserve">ha puesto en marcha un proyecto en colaboración con la Autoridad Nacional de Reglamentación de las Telecomunicaciones (NTRA) de Egipto sobre el desarrollo de </w:t>
            </w:r>
            <w:r w:rsidR="00F33FC8" w:rsidRPr="004A2CC5">
              <w:rPr>
                <w:b/>
                <w:bCs/>
                <w:lang w:val="es-ES_tradnl"/>
              </w:rPr>
              <w:t>infraestructuras de telecomunicaciones para ciudades y comunidades inteligentes y sostenibles en Egipto</w:t>
            </w:r>
            <w:r w:rsidR="00F33FC8" w:rsidRPr="004A2CC5">
              <w:rPr>
                <w:lang w:val="es-ES_tradnl"/>
              </w:rPr>
              <w:t xml:space="preserve">. El proyecto tiene por objeto fomentar un entorno propicio para la innovación en Egipto mediante la formulación de una evaluación, un marco reglamentario y una metodología que respalden los esfuerzos del Gobierno de Egipto en el ámbito de las ciudades y comunidades inteligentes y sostenibles (CCIS). Más de 250 partes interesadas han participado en la primera formación exhaustiva de </w:t>
            </w:r>
            <w:proofErr w:type="spellStart"/>
            <w:r w:rsidR="00F33FC8" w:rsidRPr="004A2CC5">
              <w:rPr>
                <w:b/>
                <w:bCs/>
                <w:lang w:val="es-ES_tradnl"/>
              </w:rPr>
              <w:t>GovStack</w:t>
            </w:r>
            <w:proofErr w:type="spellEnd"/>
            <w:r w:rsidR="00F33FC8" w:rsidRPr="004A2CC5">
              <w:rPr>
                <w:b/>
                <w:bCs/>
                <w:lang w:val="es-ES_tradnl"/>
              </w:rPr>
              <w:t xml:space="preserve"> </w:t>
            </w:r>
            <w:r w:rsidR="00F33FC8" w:rsidRPr="004A2CC5">
              <w:rPr>
                <w:lang w:val="es-ES_tradnl"/>
              </w:rPr>
              <w:t xml:space="preserve">en Egipto, </w:t>
            </w:r>
            <w:r w:rsidR="00F33FC8" w:rsidRPr="004A2CC5">
              <w:rPr>
                <w:b/>
                <w:bCs/>
                <w:lang w:val="es-ES_tradnl"/>
              </w:rPr>
              <w:t xml:space="preserve">ampliando así sus conocimientos técnicos sobre las especificaciones técnicas y la interfaz de programación de aplicaciones (API) de </w:t>
            </w:r>
            <w:proofErr w:type="spellStart"/>
            <w:r w:rsidR="00F33FC8" w:rsidRPr="004A2CC5">
              <w:rPr>
                <w:b/>
                <w:bCs/>
                <w:lang w:val="es-ES_tradnl"/>
              </w:rPr>
              <w:t>GovStack</w:t>
            </w:r>
            <w:proofErr w:type="spellEnd"/>
            <w:r w:rsidR="00F33FC8" w:rsidRPr="004A2CC5">
              <w:rPr>
                <w:lang w:val="es-ES_tradnl"/>
              </w:rPr>
              <w:t xml:space="preserve">. Las formaciones exhaustivas facilitan una experiencia de inmersión en la revisión detallada de las funcionalidades disponibles en las especificaciones técnicas y la API de </w:t>
            </w:r>
            <w:proofErr w:type="spellStart"/>
            <w:r w:rsidR="00F33FC8" w:rsidRPr="004A2CC5">
              <w:rPr>
                <w:lang w:val="es-ES_tradnl"/>
              </w:rPr>
              <w:t>GovStack</w:t>
            </w:r>
            <w:proofErr w:type="spellEnd"/>
            <w:r w:rsidR="00F33FC8" w:rsidRPr="004A2CC5">
              <w:rPr>
                <w:lang w:val="es-ES_tradnl"/>
              </w:rPr>
              <w:t xml:space="preserve">, la arquitectura del </w:t>
            </w:r>
            <w:r w:rsidR="00F33FC8" w:rsidRPr="004A2CC5">
              <w:rPr>
                <w:rFonts w:ascii="Calibri" w:hAnsi="Calibri"/>
                <w:lang w:val="es-ES_tradnl"/>
              </w:rPr>
              <w:t>espacio controlado de pruebas</w:t>
            </w:r>
            <w:r w:rsidR="00F33FC8" w:rsidRPr="004A2CC5">
              <w:rPr>
                <w:lang w:val="es-ES_tradnl"/>
              </w:rPr>
              <w:t xml:space="preserve">, la integración de casos de uso, la guía y los recursos de formación disponibles en </w:t>
            </w:r>
            <w:proofErr w:type="spellStart"/>
            <w:r w:rsidR="00F33FC8" w:rsidRPr="004A2CC5">
              <w:rPr>
                <w:lang w:val="es-ES_tradnl"/>
              </w:rPr>
              <w:t>GovStack</w:t>
            </w:r>
            <w:proofErr w:type="spellEnd"/>
            <w:r w:rsidR="00F33FC8" w:rsidRPr="004A2CC5">
              <w:rPr>
                <w:lang w:val="es-ES_tradnl"/>
              </w:rPr>
              <w:t>.</w:t>
            </w:r>
          </w:p>
          <w:p w14:paraId="29FA929A" w14:textId="69F97CCB" w:rsidR="00F33FC8" w:rsidRPr="004A2CC5" w:rsidRDefault="00F34B21" w:rsidP="00F34B21">
            <w:pPr>
              <w:pStyle w:val="Tabletext"/>
              <w:ind w:left="284" w:hanging="284"/>
              <w:rPr>
                <w:rFonts w:ascii="Calibri" w:hAnsi="Calibri" w:cs="Calibri"/>
                <w:lang w:val="es-ES_tradnl"/>
              </w:rPr>
            </w:pPr>
            <w:r w:rsidRPr="004A2CC5">
              <w:rPr>
                <w:b/>
                <w:bCs/>
                <w:lang w:val="es-ES_tradnl"/>
              </w:rPr>
              <w:t>•</w:t>
            </w:r>
            <w:r w:rsidRPr="004A2CC5">
              <w:rPr>
                <w:b/>
                <w:bCs/>
                <w:lang w:val="es-ES_tradnl"/>
              </w:rPr>
              <w:tab/>
            </w:r>
            <w:proofErr w:type="spellStart"/>
            <w:r w:rsidR="00F33FC8" w:rsidRPr="004A2CC5">
              <w:rPr>
                <w:rFonts w:ascii="Calibri" w:hAnsi="Calibri" w:cs="Calibri"/>
                <w:b/>
                <w:bCs/>
                <w:lang w:val="es-ES_tradnl"/>
              </w:rPr>
              <w:t>Djibouti</w:t>
            </w:r>
            <w:proofErr w:type="spellEnd"/>
            <w:r w:rsidR="00F33FC8" w:rsidRPr="004A2CC5">
              <w:rPr>
                <w:rFonts w:ascii="Calibri" w:hAnsi="Calibri" w:cs="Calibri"/>
                <w:lang w:val="es-ES_tradnl"/>
              </w:rPr>
              <w:t xml:space="preserve"> y </w:t>
            </w:r>
            <w:r w:rsidR="00F33FC8" w:rsidRPr="004A2CC5">
              <w:rPr>
                <w:rFonts w:ascii="Calibri" w:hAnsi="Calibri" w:cs="Calibri"/>
                <w:b/>
                <w:bCs/>
                <w:lang w:val="es-ES_tradnl"/>
              </w:rPr>
              <w:t xml:space="preserve">Somalia </w:t>
            </w:r>
            <w:r w:rsidR="00F33FC8" w:rsidRPr="004A2CC5">
              <w:rPr>
                <w:rFonts w:ascii="Calibri" w:hAnsi="Calibri" w:cs="Calibri"/>
                <w:lang w:val="es-ES_tradnl"/>
              </w:rPr>
              <w:t xml:space="preserve">han sido seleccionadas como marcos de referencia de la aplicación de </w:t>
            </w:r>
            <w:proofErr w:type="spellStart"/>
            <w:r w:rsidR="00F33FC8" w:rsidRPr="004A2CC5">
              <w:rPr>
                <w:rFonts w:ascii="Calibri" w:hAnsi="Calibri" w:cs="Calibri"/>
                <w:lang w:val="es-ES_tradnl"/>
              </w:rPr>
              <w:t>GovStack</w:t>
            </w:r>
            <w:proofErr w:type="spellEnd"/>
            <w:r w:rsidR="00F33FC8" w:rsidRPr="004A2CC5">
              <w:rPr>
                <w:rFonts w:ascii="Calibri" w:hAnsi="Calibri" w:cs="Calibri"/>
                <w:lang w:val="es-ES_tradnl"/>
              </w:rPr>
              <w:t xml:space="preserve">. La BDT está prestando asistencia técnica para la digitalización de cuatro casos de uso prioritarios: el </w:t>
            </w:r>
            <w:proofErr w:type="spellStart"/>
            <w:r w:rsidR="00F33FC8" w:rsidRPr="004A2CC5">
              <w:rPr>
                <w:rFonts w:ascii="Calibri" w:hAnsi="Calibri" w:cs="Calibri"/>
                <w:lang w:val="es-ES_tradnl"/>
              </w:rPr>
              <w:t>cibergabinete</w:t>
            </w:r>
            <w:proofErr w:type="spellEnd"/>
            <w:r w:rsidR="00F33FC8" w:rsidRPr="004A2CC5">
              <w:rPr>
                <w:rFonts w:ascii="Calibri" w:hAnsi="Calibri" w:cs="Calibri"/>
                <w:lang w:val="es-ES_tradnl"/>
              </w:rPr>
              <w:t xml:space="preserve"> y los </w:t>
            </w:r>
            <w:proofErr w:type="spellStart"/>
            <w:r w:rsidR="00F33FC8" w:rsidRPr="004A2CC5">
              <w:rPr>
                <w:rFonts w:ascii="Calibri" w:hAnsi="Calibri" w:cs="Calibri"/>
                <w:lang w:val="es-ES_tradnl"/>
              </w:rPr>
              <w:t>ciberpermisos</w:t>
            </w:r>
            <w:proofErr w:type="spellEnd"/>
            <w:r w:rsidR="00F33FC8" w:rsidRPr="004A2CC5">
              <w:rPr>
                <w:rFonts w:ascii="Calibri" w:hAnsi="Calibri" w:cs="Calibri"/>
                <w:lang w:val="es-ES_tradnl"/>
              </w:rPr>
              <w:t xml:space="preserve"> de construcción </w:t>
            </w:r>
            <w:r w:rsidR="00F33FC8" w:rsidRPr="004A2CC5">
              <w:rPr>
                <w:rFonts w:ascii="Calibri" w:hAnsi="Calibri" w:cs="Calibri"/>
                <w:lang w:val="es-ES_tradnl"/>
              </w:rPr>
              <w:lastRenderedPageBreak/>
              <w:t xml:space="preserve">en </w:t>
            </w:r>
            <w:proofErr w:type="spellStart"/>
            <w:r w:rsidR="00E827D6" w:rsidRPr="004A2CC5">
              <w:rPr>
                <w:rFonts w:ascii="Calibri" w:hAnsi="Calibri" w:cs="Calibri"/>
                <w:lang w:val="es-ES_tradnl"/>
              </w:rPr>
              <w:t>Dji</w:t>
            </w:r>
            <w:r w:rsidR="00F33FC8" w:rsidRPr="004A2CC5">
              <w:rPr>
                <w:rFonts w:ascii="Calibri" w:hAnsi="Calibri" w:cs="Calibri"/>
                <w:lang w:val="es-ES_tradnl"/>
              </w:rPr>
              <w:t>b</w:t>
            </w:r>
            <w:r w:rsidR="00E827D6" w:rsidRPr="004A2CC5">
              <w:rPr>
                <w:rFonts w:ascii="Calibri" w:hAnsi="Calibri" w:cs="Calibri"/>
                <w:lang w:val="es-ES_tradnl"/>
              </w:rPr>
              <w:t>o</w:t>
            </w:r>
            <w:r w:rsidR="00F33FC8" w:rsidRPr="004A2CC5">
              <w:rPr>
                <w:rFonts w:ascii="Calibri" w:hAnsi="Calibri" w:cs="Calibri"/>
                <w:lang w:val="es-ES_tradnl"/>
              </w:rPr>
              <w:t>uti</w:t>
            </w:r>
            <w:proofErr w:type="spellEnd"/>
            <w:r w:rsidR="00F33FC8" w:rsidRPr="004A2CC5">
              <w:rPr>
                <w:rFonts w:ascii="Calibri" w:hAnsi="Calibri" w:cs="Calibri"/>
                <w:lang w:val="es-ES_tradnl"/>
              </w:rPr>
              <w:t xml:space="preserve">, y los registros de escuelas secundarias y el portal de servicios en Somalia. A lo largo de 2023, se organizaron varias sesiones de diseño de servicios para determinar los componentes/DPI/elementos constitutivos de software reutilizables necesarios para </w:t>
            </w:r>
            <w:r w:rsidR="00F33FC8" w:rsidRPr="004A2CC5">
              <w:rPr>
                <w:lang w:val="es-ES_tradnl"/>
              </w:rPr>
              <w:t>permitir</w:t>
            </w:r>
            <w:r w:rsidR="00F33FC8" w:rsidRPr="004A2CC5">
              <w:rPr>
                <w:rFonts w:ascii="Calibri" w:hAnsi="Calibri" w:cs="Calibri"/>
                <w:lang w:val="es-ES_tradnl"/>
              </w:rPr>
              <w:t xml:space="preserve"> la digitalización de los casos de uso prioritarios.</w:t>
            </w:r>
          </w:p>
          <w:p w14:paraId="2AADF111" w14:textId="0DF2E970"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En África</w:t>
            </w:r>
            <w:r w:rsidR="00F33FC8" w:rsidRPr="004A2CC5">
              <w:rPr>
                <w:lang w:val="es-ES_tradnl"/>
              </w:rPr>
              <w:t xml:space="preserve">, la BDT ha entablado una relación de colaboración con </w:t>
            </w:r>
            <w:r w:rsidR="00F33FC8" w:rsidRPr="004A2CC5">
              <w:rPr>
                <w:rFonts w:ascii="Calibri" w:hAnsi="Calibri" w:cs="Calibri"/>
                <w:lang w:val="es-ES_tradnl"/>
              </w:rPr>
              <w:t xml:space="preserve">un socio de </w:t>
            </w:r>
            <w:proofErr w:type="spellStart"/>
            <w:r w:rsidR="00F33FC8" w:rsidRPr="004A2CC5">
              <w:rPr>
                <w:rFonts w:ascii="Calibri" w:hAnsi="Calibri" w:cs="Calibri"/>
                <w:lang w:val="es-ES_tradnl"/>
              </w:rPr>
              <w:t>GovStack</w:t>
            </w:r>
            <w:proofErr w:type="spellEnd"/>
            <w:r w:rsidR="00F33FC8" w:rsidRPr="004A2CC5">
              <w:rPr>
                <w:rFonts w:ascii="Calibri" w:hAnsi="Calibri" w:cs="Calibri"/>
                <w:lang w:val="es-ES_tradnl"/>
              </w:rPr>
              <w:t xml:space="preserve"> para el conocimiento, a fin de ayudar a </w:t>
            </w:r>
            <w:r w:rsidR="00F33FC8" w:rsidRPr="004A2CC5">
              <w:rPr>
                <w:rFonts w:ascii="Calibri" w:hAnsi="Calibri" w:cs="Calibri"/>
                <w:b/>
                <w:bCs/>
                <w:lang w:val="es-ES_tradnl"/>
              </w:rPr>
              <w:t xml:space="preserve">Togo </w:t>
            </w:r>
            <w:r w:rsidR="00F33FC8" w:rsidRPr="004A2CC5">
              <w:rPr>
                <w:rFonts w:ascii="Calibri" w:hAnsi="Calibri" w:cs="Calibri"/>
                <w:lang w:val="es-ES_tradnl"/>
              </w:rPr>
              <w:t xml:space="preserve">a implantar una plataforma de identificación digital de acuerdo con las </w:t>
            </w:r>
            <w:r w:rsidR="00F33FC8" w:rsidRPr="004A2CC5">
              <w:rPr>
                <w:lang w:val="es-ES_tradnl"/>
              </w:rPr>
              <w:t xml:space="preserve">especificaciones técnicas </w:t>
            </w:r>
            <w:r w:rsidR="00F33FC8" w:rsidRPr="004A2CC5">
              <w:rPr>
                <w:rFonts w:ascii="Calibri" w:hAnsi="Calibri" w:cs="Calibri"/>
                <w:lang w:val="es-ES_tradnl"/>
              </w:rPr>
              <w:t xml:space="preserve">de </w:t>
            </w:r>
            <w:proofErr w:type="spellStart"/>
            <w:r w:rsidR="00F33FC8" w:rsidRPr="004A2CC5">
              <w:rPr>
                <w:rFonts w:ascii="Calibri" w:hAnsi="Calibri" w:cs="Calibri"/>
                <w:lang w:val="es-ES_tradnl"/>
              </w:rPr>
              <w:t>GovStack</w:t>
            </w:r>
            <w:proofErr w:type="spellEnd"/>
            <w:r w:rsidR="00F33FC8" w:rsidRPr="004A2CC5">
              <w:rPr>
                <w:rFonts w:ascii="Calibri" w:hAnsi="Calibri" w:cs="Calibri"/>
                <w:lang w:val="es-ES_tradnl"/>
              </w:rPr>
              <w:t xml:space="preserve">. En </w:t>
            </w:r>
            <w:proofErr w:type="spellStart"/>
            <w:r w:rsidR="00F33FC8" w:rsidRPr="004A2CC5">
              <w:rPr>
                <w:rFonts w:ascii="Calibri" w:hAnsi="Calibri" w:cs="Calibri"/>
                <w:b/>
                <w:bCs/>
                <w:lang w:val="es-ES_tradnl"/>
              </w:rPr>
              <w:t>Kenya</w:t>
            </w:r>
            <w:proofErr w:type="spellEnd"/>
            <w:r w:rsidR="00F33FC8" w:rsidRPr="004A2CC5">
              <w:rPr>
                <w:rFonts w:ascii="Calibri" w:hAnsi="Calibri" w:cs="Calibri"/>
                <w:lang w:val="es-ES_tradnl"/>
              </w:rPr>
              <w:t xml:space="preserve">, se está desarrollando un sistema de gestión de casos en el marco del compromiso con el Cuerno de África. Más de </w:t>
            </w:r>
            <w:r w:rsidR="00F33FC8" w:rsidRPr="004A2CC5">
              <w:rPr>
                <w:lang w:val="es-ES_tradnl"/>
              </w:rPr>
              <w:t xml:space="preserve">70 interesados de </w:t>
            </w:r>
            <w:proofErr w:type="spellStart"/>
            <w:r w:rsidR="00F33FC8" w:rsidRPr="004A2CC5">
              <w:rPr>
                <w:lang w:val="es-ES_tradnl"/>
              </w:rPr>
              <w:t>Djibouti</w:t>
            </w:r>
            <w:proofErr w:type="spellEnd"/>
            <w:r w:rsidR="00F33FC8" w:rsidRPr="004A2CC5">
              <w:rPr>
                <w:lang w:val="es-ES_tradnl"/>
              </w:rPr>
              <w:t xml:space="preserve">, </w:t>
            </w:r>
            <w:proofErr w:type="spellStart"/>
            <w:r w:rsidR="00F33FC8" w:rsidRPr="004A2CC5">
              <w:rPr>
                <w:lang w:val="es-ES_tradnl"/>
              </w:rPr>
              <w:t>Kenya</w:t>
            </w:r>
            <w:proofErr w:type="spellEnd"/>
            <w:r w:rsidR="00F33FC8" w:rsidRPr="004A2CC5">
              <w:rPr>
                <w:lang w:val="es-ES_tradnl"/>
              </w:rPr>
              <w:t xml:space="preserve"> y Somalia han participado en las iniciativas de capacitación llevadas a cabo en Kigali (</w:t>
            </w:r>
            <w:proofErr w:type="spellStart"/>
            <w:r w:rsidR="00F33FC8" w:rsidRPr="004A2CC5">
              <w:rPr>
                <w:lang w:val="es-ES_tradnl"/>
              </w:rPr>
              <w:t>Rwanda</w:t>
            </w:r>
            <w:proofErr w:type="spellEnd"/>
            <w:r w:rsidR="00F33FC8" w:rsidRPr="004A2CC5">
              <w:rPr>
                <w:lang w:val="es-ES_tradnl"/>
              </w:rPr>
              <w:t xml:space="preserve">) y han recibido información sobre la experiencia de </w:t>
            </w:r>
            <w:proofErr w:type="spellStart"/>
            <w:r w:rsidR="00F33FC8" w:rsidRPr="004A2CC5">
              <w:rPr>
                <w:b/>
                <w:bCs/>
                <w:lang w:val="es-ES_tradnl"/>
              </w:rPr>
              <w:t>Rwanda</w:t>
            </w:r>
            <w:proofErr w:type="spellEnd"/>
            <w:r w:rsidR="00F33FC8" w:rsidRPr="004A2CC5">
              <w:rPr>
                <w:b/>
                <w:bCs/>
                <w:lang w:val="es-ES_tradnl"/>
              </w:rPr>
              <w:t xml:space="preserve"> </w:t>
            </w:r>
            <w:r w:rsidR="00F33FC8" w:rsidRPr="004A2CC5">
              <w:rPr>
                <w:lang w:val="es-ES_tradnl"/>
              </w:rPr>
              <w:t xml:space="preserve">en el ámbito de la transformación digital. En </w:t>
            </w:r>
            <w:r w:rsidR="00F33FC8" w:rsidRPr="004A2CC5">
              <w:rPr>
                <w:b/>
                <w:bCs/>
                <w:lang w:val="es-ES_tradnl"/>
              </w:rPr>
              <w:t xml:space="preserve">Senegal </w:t>
            </w:r>
            <w:r w:rsidR="00F33FC8" w:rsidRPr="004A2CC5">
              <w:rPr>
                <w:lang w:val="es-ES_tradnl"/>
              </w:rPr>
              <w:t xml:space="preserve">y </w:t>
            </w:r>
            <w:r w:rsidR="00F33FC8" w:rsidRPr="004A2CC5">
              <w:rPr>
                <w:b/>
                <w:bCs/>
                <w:lang w:val="es-ES_tradnl"/>
              </w:rPr>
              <w:t>Togo</w:t>
            </w:r>
            <w:r w:rsidR="00F33FC8" w:rsidRPr="004A2CC5">
              <w:rPr>
                <w:lang w:val="es-ES_tradnl"/>
              </w:rPr>
              <w:t xml:space="preserve">, </w:t>
            </w:r>
            <w:r w:rsidR="00F33FC8" w:rsidRPr="004A2CC5">
              <w:rPr>
                <w:b/>
                <w:bCs/>
                <w:lang w:val="es-ES_tradnl"/>
              </w:rPr>
              <w:t xml:space="preserve">más de 60 interesados ampliaron sus conocimiento sobre </w:t>
            </w:r>
            <w:proofErr w:type="spellStart"/>
            <w:r w:rsidR="00F33FC8" w:rsidRPr="004A2CC5">
              <w:rPr>
                <w:b/>
                <w:bCs/>
                <w:lang w:val="es-ES_tradnl"/>
              </w:rPr>
              <w:t>GovStack</w:t>
            </w:r>
            <w:proofErr w:type="spellEnd"/>
            <w:r w:rsidR="00F33FC8" w:rsidRPr="004A2CC5">
              <w:rPr>
                <w:lang w:val="es-ES_tradnl"/>
              </w:rPr>
              <w:t xml:space="preserve"> por conducto de un taller, en el que se abordaron los ecosistemas digitales de los países con miras a la revisión del diseño de su infraestructura pública digital. En </w:t>
            </w:r>
            <w:r w:rsidR="00F33FC8" w:rsidRPr="004A2CC5">
              <w:rPr>
                <w:b/>
                <w:bCs/>
                <w:lang w:val="es-ES_tradnl"/>
              </w:rPr>
              <w:t xml:space="preserve">Gambia, </w:t>
            </w:r>
            <w:r w:rsidR="00F33FC8" w:rsidRPr="004A2CC5">
              <w:rPr>
                <w:lang w:val="es-ES_tradnl"/>
              </w:rPr>
              <w:t xml:space="preserve">con el apoyo de la C2R, se organizó un taller en el que más de 50 partes interesadas profundizaron en los recursos tecnológicos de </w:t>
            </w:r>
            <w:proofErr w:type="spellStart"/>
            <w:r w:rsidR="00F33FC8" w:rsidRPr="004A2CC5">
              <w:rPr>
                <w:lang w:val="es-ES_tradnl"/>
              </w:rPr>
              <w:t>GovStack</w:t>
            </w:r>
            <w:proofErr w:type="spellEnd"/>
            <w:r w:rsidR="00F33FC8" w:rsidRPr="004A2CC5">
              <w:rPr>
                <w:lang w:val="es-ES_tradnl"/>
              </w:rPr>
              <w:t>.</w:t>
            </w:r>
          </w:p>
          <w:p w14:paraId="75798FEC" w14:textId="0259B7F4"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rFonts w:ascii="Calibri" w:hAnsi="Calibri" w:cs="Calibri"/>
                <w:b/>
                <w:bCs/>
                <w:lang w:val="es-ES_tradnl"/>
              </w:rPr>
              <w:t>En las Américas</w:t>
            </w:r>
            <w:r w:rsidR="00F33FC8" w:rsidRPr="004A2CC5">
              <w:rPr>
                <w:b/>
                <w:bCs/>
                <w:lang w:val="es-ES_tradnl"/>
              </w:rPr>
              <w:t>,</w:t>
            </w:r>
            <w:r w:rsidR="00F33FC8" w:rsidRPr="004A2CC5">
              <w:rPr>
                <w:lang w:val="es-ES_tradnl"/>
              </w:rPr>
              <w:t xml:space="preserve"> 26 Jefes de organismos/oficinas con responsabilidades en materia de gobierno digital mejoraron sus conocimientos sobre </w:t>
            </w:r>
            <w:proofErr w:type="spellStart"/>
            <w:r w:rsidR="00F33FC8" w:rsidRPr="004A2CC5">
              <w:rPr>
                <w:lang w:val="es-ES_tradnl"/>
              </w:rPr>
              <w:t>GovStack</w:t>
            </w:r>
            <w:proofErr w:type="spellEnd"/>
            <w:r w:rsidR="00F33FC8" w:rsidRPr="004A2CC5">
              <w:rPr>
                <w:lang w:val="es-ES_tradnl"/>
              </w:rPr>
              <w:t xml:space="preserve"> con ocasión de la reunión anual de la </w:t>
            </w:r>
            <w:r w:rsidR="00F33FC8" w:rsidRPr="004A2CC5">
              <w:rPr>
                <w:b/>
                <w:bCs/>
                <w:lang w:val="es-ES_tradnl"/>
              </w:rPr>
              <w:t xml:space="preserve">Red Regional para el Desarrollo del Gobierno Electrónico </w:t>
            </w:r>
            <w:r w:rsidR="00F33FC8" w:rsidRPr="004A2CC5">
              <w:rPr>
                <w:lang w:val="es-ES_tradnl"/>
              </w:rPr>
              <w:t xml:space="preserve">en noviembre de 2023. Otros compromisos han propiciado la participación de países de la parte central de las Américas, como Belice y Guatemala. En consecuencia, la </w:t>
            </w:r>
            <w:r w:rsidR="00AE242A">
              <w:rPr>
                <w:lang w:val="es-ES_tradnl"/>
              </w:rPr>
              <w:t>BDT</w:t>
            </w:r>
            <w:r w:rsidR="00AE242A" w:rsidRPr="004A2CC5" w:rsidDel="00AE242A">
              <w:rPr>
                <w:lang w:val="es-ES_tradnl"/>
              </w:rPr>
              <w:t xml:space="preserve"> </w:t>
            </w:r>
            <w:r w:rsidR="00F33FC8" w:rsidRPr="004A2CC5">
              <w:rPr>
                <w:lang w:val="es-ES_tradnl"/>
              </w:rPr>
              <w:t xml:space="preserve">ha estado fomentando la participación de los Estados Miembros de la región, incluidos Colombia, Costa Rica y la República Dominicana, a fin de ampliar los conocimientos relativos a </w:t>
            </w:r>
            <w:proofErr w:type="spellStart"/>
            <w:r w:rsidR="00F33FC8" w:rsidRPr="004A2CC5">
              <w:rPr>
                <w:lang w:val="es-ES_tradnl"/>
              </w:rPr>
              <w:t>GovStack</w:t>
            </w:r>
            <w:proofErr w:type="spellEnd"/>
            <w:r w:rsidR="00F33FC8" w:rsidRPr="004A2CC5">
              <w:rPr>
                <w:lang w:val="es-ES_tradnl"/>
              </w:rPr>
              <w:t xml:space="preserve"> y explorar oportunidades para aprovechar mejor esta iniciativa global.</w:t>
            </w:r>
          </w:p>
          <w:p w14:paraId="56864E12" w14:textId="3AAA77BA" w:rsidR="00F33FC8" w:rsidRPr="004A2CC5" w:rsidRDefault="00F34B21" w:rsidP="00F34B21">
            <w:pPr>
              <w:pStyle w:val="Tabletext"/>
              <w:ind w:left="284" w:hanging="284"/>
              <w:rPr>
                <w:rFonts w:ascii="Calibri" w:hAnsi="Calibri" w:cs="Calibri"/>
                <w:lang w:val="es-ES_tradnl"/>
              </w:rPr>
            </w:pPr>
            <w:r w:rsidRPr="004A2CC5">
              <w:rPr>
                <w:b/>
                <w:bCs/>
                <w:lang w:val="es-ES_tradnl"/>
              </w:rPr>
              <w:t>•</w:t>
            </w:r>
            <w:r w:rsidRPr="004A2CC5">
              <w:rPr>
                <w:b/>
                <w:bCs/>
                <w:lang w:val="es-ES_tradnl"/>
              </w:rPr>
              <w:tab/>
            </w:r>
            <w:r w:rsidR="00F33FC8" w:rsidRPr="004A2CC5">
              <w:rPr>
                <w:b/>
                <w:bCs/>
                <w:lang w:val="es-ES_tradnl"/>
              </w:rPr>
              <w:t>En Asia y el Pacífico</w:t>
            </w:r>
            <w:r w:rsidR="00F33FC8" w:rsidRPr="004A2CC5">
              <w:rPr>
                <w:lang w:val="es-ES_tradnl"/>
              </w:rPr>
              <w:t xml:space="preserve">, la </w:t>
            </w:r>
            <w:r w:rsidR="00AE242A">
              <w:rPr>
                <w:lang w:val="es-ES_tradnl"/>
              </w:rPr>
              <w:t>BDT</w:t>
            </w:r>
            <w:r w:rsidR="00AE242A" w:rsidRPr="004A2CC5" w:rsidDel="00AE242A">
              <w:rPr>
                <w:lang w:val="es-ES_tradnl"/>
              </w:rPr>
              <w:t xml:space="preserve"> </w:t>
            </w:r>
            <w:r w:rsidR="00F33FC8" w:rsidRPr="004A2CC5">
              <w:rPr>
                <w:lang w:val="es-ES_tradnl"/>
              </w:rPr>
              <w:t xml:space="preserve">ha apoyado y sigue apoyando el desarrollo de políticas y estrategias para acelerar la transformación digital en los </w:t>
            </w:r>
            <w:r w:rsidR="00F33FC8" w:rsidRPr="004A2CC5">
              <w:rPr>
                <w:b/>
                <w:bCs/>
                <w:lang w:val="es-ES_tradnl"/>
              </w:rPr>
              <w:t xml:space="preserve">Estados Federados de Micronesia </w:t>
            </w:r>
            <w:r w:rsidR="00F33FC8" w:rsidRPr="004A2CC5">
              <w:rPr>
                <w:lang w:val="es-ES_tradnl"/>
              </w:rPr>
              <w:t xml:space="preserve">(estrategias de transformación digital), </w:t>
            </w:r>
            <w:proofErr w:type="spellStart"/>
            <w:r w:rsidR="00F33FC8" w:rsidRPr="004A2CC5">
              <w:rPr>
                <w:b/>
                <w:lang w:val="es-ES_tradnl"/>
              </w:rPr>
              <w:t>Fiji</w:t>
            </w:r>
            <w:proofErr w:type="spellEnd"/>
            <w:r w:rsidR="00F33FC8" w:rsidRPr="004A2CC5">
              <w:rPr>
                <w:lang w:val="es-ES_tradnl"/>
              </w:rPr>
              <w:t xml:space="preserve">, </w:t>
            </w:r>
            <w:r w:rsidR="00F33FC8" w:rsidRPr="004A2CC5">
              <w:rPr>
                <w:b/>
                <w:bCs/>
                <w:lang w:val="es-ES_tradnl"/>
              </w:rPr>
              <w:t xml:space="preserve">Kiribati, Nauru, Islas Salomón </w:t>
            </w:r>
            <w:r w:rsidR="00F33FC8" w:rsidRPr="004A2CC5">
              <w:rPr>
                <w:lang w:val="es-ES_tradnl"/>
              </w:rPr>
              <w:t xml:space="preserve">y Vanuatu (plan maestro de gobierno digital). Más de 400 partes interesadas han participado en iniciativas de desarrollo de capacidades sobre un enfoque </w:t>
            </w:r>
            <w:proofErr w:type="spellStart"/>
            <w:r w:rsidR="00F33FC8" w:rsidRPr="004A2CC5">
              <w:rPr>
                <w:lang w:val="es-ES_tradnl"/>
              </w:rPr>
              <w:t>pangubernamental</w:t>
            </w:r>
            <w:proofErr w:type="spellEnd"/>
            <w:r w:rsidR="00F33FC8" w:rsidRPr="004A2CC5">
              <w:rPr>
                <w:lang w:val="es-ES_tradnl"/>
              </w:rPr>
              <w:t xml:space="preserve"> con ayuda de </w:t>
            </w:r>
            <w:proofErr w:type="spellStart"/>
            <w:r w:rsidR="00F33FC8" w:rsidRPr="004A2CC5">
              <w:rPr>
                <w:lang w:val="es-ES_tradnl"/>
              </w:rPr>
              <w:t>GovStack</w:t>
            </w:r>
            <w:proofErr w:type="spellEnd"/>
            <w:r w:rsidR="00F33FC8" w:rsidRPr="004A2CC5">
              <w:rPr>
                <w:lang w:val="es-ES_tradnl"/>
              </w:rPr>
              <w:t xml:space="preserve">. </w:t>
            </w:r>
            <w:proofErr w:type="spellStart"/>
            <w:r w:rsidR="00F33FC8" w:rsidRPr="004A2CC5">
              <w:rPr>
                <w:rFonts w:ascii="Calibri" w:hAnsi="Calibri" w:cs="Calibri"/>
                <w:b/>
                <w:bCs/>
                <w:lang w:val="es-ES_tradnl"/>
              </w:rPr>
              <w:t>Papua</w:t>
            </w:r>
            <w:proofErr w:type="spellEnd"/>
            <w:r w:rsidR="00F33FC8" w:rsidRPr="004A2CC5">
              <w:rPr>
                <w:rFonts w:ascii="Calibri" w:hAnsi="Calibri" w:cs="Calibri"/>
                <w:b/>
                <w:bCs/>
                <w:lang w:val="es-ES_tradnl"/>
              </w:rPr>
              <w:t xml:space="preserve"> Nueva Guinea </w:t>
            </w:r>
            <w:r w:rsidR="00F33FC8" w:rsidRPr="004A2CC5">
              <w:rPr>
                <w:rFonts w:ascii="Calibri" w:hAnsi="Calibri" w:cs="Calibri"/>
                <w:lang w:val="es-ES_tradnl"/>
              </w:rPr>
              <w:t xml:space="preserve">recibe asesoramiento estratégico continuo sobre la implementación de </w:t>
            </w:r>
            <w:proofErr w:type="spellStart"/>
            <w:r w:rsidR="00F33FC8" w:rsidRPr="004A2CC5">
              <w:rPr>
                <w:rFonts w:ascii="Calibri" w:hAnsi="Calibri" w:cs="Calibri"/>
                <w:lang w:val="es-ES_tradnl"/>
              </w:rPr>
              <w:t>GovStack</w:t>
            </w:r>
            <w:proofErr w:type="spellEnd"/>
            <w:r w:rsidR="00F33FC8" w:rsidRPr="004A2CC5">
              <w:rPr>
                <w:rFonts w:ascii="Calibri" w:hAnsi="Calibri" w:cs="Calibri"/>
                <w:lang w:val="es-ES_tradnl"/>
              </w:rPr>
              <w:t xml:space="preserve"> y de un sistema de identificación digital, a fin de impulsar su política y su plan de gobierno digital. En agosto de 2023 también se puso en marcha un proyecto encaminado a acelerar la transformación digital en Asia y el Pacífico, financiado por el Departamento de Infraestructuras, Transporte, Desarrollo Regional, Comunicaciones y Artes (DITRDCA) de Australia, con el objetivo de ayudar a los Miembros de la UIT de la región.</w:t>
            </w:r>
          </w:p>
          <w:p w14:paraId="086A0B37" w14:textId="4562406A" w:rsidR="00F33FC8" w:rsidRPr="004A2CC5" w:rsidRDefault="00F34B21" w:rsidP="00F34B21">
            <w:pPr>
              <w:pStyle w:val="Tabletext"/>
              <w:ind w:left="284" w:hanging="284"/>
              <w:rPr>
                <w:b/>
                <w:bCs/>
                <w:lang w:val="es-ES_tradnl"/>
              </w:rPr>
            </w:pPr>
            <w:r w:rsidRPr="004A2CC5">
              <w:rPr>
                <w:lang w:val="es-ES_tradnl"/>
              </w:rPr>
              <w:tab/>
            </w:r>
            <w:r w:rsidR="00F33FC8" w:rsidRPr="004A2CC5">
              <w:rPr>
                <w:lang w:val="es-ES_tradnl"/>
              </w:rPr>
              <w:t>La</w:t>
            </w:r>
            <w:r w:rsidR="00F33FC8" w:rsidRPr="004A2CC5">
              <w:rPr>
                <w:b/>
                <w:bCs/>
                <w:lang w:val="es-ES_tradnl"/>
              </w:rPr>
              <w:t xml:space="preserve"> iniciativa de aldeas inteligentes e islas inteligentes </w:t>
            </w:r>
            <w:r w:rsidR="00F33FC8" w:rsidRPr="004A2CC5">
              <w:rPr>
                <w:lang w:val="es-ES_tradnl"/>
              </w:rPr>
              <w:t xml:space="preserve">sigue su curso cada vez con más fuerza en 13 Estados Miembros de la UIT (Estados Federados de Micronesia, </w:t>
            </w:r>
            <w:proofErr w:type="spellStart"/>
            <w:r w:rsidR="00F33FC8" w:rsidRPr="004A2CC5">
              <w:rPr>
                <w:lang w:val="es-ES_tradnl"/>
              </w:rPr>
              <w:t>Fiji</w:t>
            </w:r>
            <w:proofErr w:type="spellEnd"/>
            <w:r w:rsidR="00F33FC8" w:rsidRPr="004A2CC5">
              <w:rPr>
                <w:lang w:val="es-ES_tradnl"/>
              </w:rPr>
              <w:t xml:space="preserve">, Indonesia, Kiribati, República de las Islas Marshall, Nauru, </w:t>
            </w:r>
            <w:proofErr w:type="spellStart"/>
            <w:r w:rsidR="00F33FC8" w:rsidRPr="004A2CC5">
              <w:rPr>
                <w:lang w:val="es-ES_tradnl"/>
              </w:rPr>
              <w:t>Papua</w:t>
            </w:r>
            <w:proofErr w:type="spellEnd"/>
            <w:r w:rsidR="00F33FC8" w:rsidRPr="004A2CC5">
              <w:rPr>
                <w:lang w:val="es-ES_tradnl"/>
              </w:rPr>
              <w:t xml:space="preserve"> Nueva Guinea, Pakistán, Filipinas, Samoa, Tonga, Tuvalu y Vanuatu). Esta iniciativa se financia con cargo a sus propios fondos y con ayuda de varios asociados, entre los que figuran organismos de las Naciones Unidas, el Fondo Conjunto para los ODS, bancos de desarrollo (Banco Asiático de Desarrollo, Banco Islámico de Desarrollo (en fase de debate)), gobiernos (DITRDCA (Australia), MIC (Japón)) y Huawei. Maldivas y las Islas Salomón también han manifestado su interés. La </w:t>
            </w:r>
            <w:r w:rsidR="00AE242A">
              <w:rPr>
                <w:lang w:val="es-ES_tradnl"/>
              </w:rPr>
              <w:t>BDT</w:t>
            </w:r>
            <w:r w:rsidR="00AE242A" w:rsidRPr="004A2CC5" w:rsidDel="00AE242A">
              <w:rPr>
                <w:lang w:val="es-ES_tradnl"/>
              </w:rPr>
              <w:t xml:space="preserve"> </w:t>
            </w:r>
            <w:r w:rsidR="00F33FC8" w:rsidRPr="004A2CC5">
              <w:rPr>
                <w:lang w:val="es-ES_tradnl"/>
              </w:rPr>
              <w:t xml:space="preserve">ha estado trabajando con socios tales como la Asociación de Telecomunicaciones de los Países Insulares del Pacífico y el Gobierno de Indonesia para dar a conocer esta iniciativa a diversas partes interesadas (2023, Indonesia), lo que demuestra </w:t>
            </w:r>
            <w:r w:rsidR="00F33FC8" w:rsidRPr="004A2CC5">
              <w:rPr>
                <w:b/>
                <w:bCs/>
                <w:lang w:val="es-ES_tradnl"/>
              </w:rPr>
              <w:t xml:space="preserve">una mayor confianza en la UIT </w:t>
            </w:r>
            <w:r w:rsidR="00F33FC8" w:rsidRPr="004A2CC5">
              <w:rPr>
                <w:b/>
                <w:bCs/>
                <w:lang w:val="es-ES_tradnl"/>
              </w:rPr>
              <w:lastRenderedPageBreak/>
              <w:t>como socio decisivo en la ejecución de iniciativas de transformación digital y el fortalecimiento de las asociaciones y la colaboración en favor de la transformación digital.</w:t>
            </w:r>
          </w:p>
          <w:p w14:paraId="277FCE93" w14:textId="2CCA23BF" w:rsidR="00F33FC8" w:rsidRPr="004A2CC5" w:rsidRDefault="00F34B21" w:rsidP="00F34B21">
            <w:pPr>
              <w:pStyle w:val="Tabletext"/>
              <w:ind w:left="284" w:hanging="284"/>
              <w:rPr>
                <w:lang w:val="es-ES_tradnl"/>
              </w:rPr>
            </w:pPr>
            <w:r w:rsidRPr="004A2CC5">
              <w:rPr>
                <w:rFonts w:ascii="Calibri" w:hAnsi="Calibri" w:cs="Calibri"/>
                <w:lang w:val="es-ES_tradnl"/>
              </w:rPr>
              <w:tab/>
            </w:r>
            <w:r w:rsidR="00F33FC8" w:rsidRPr="004A2CC5">
              <w:rPr>
                <w:rFonts w:ascii="Calibri" w:hAnsi="Calibri" w:cs="Calibri"/>
                <w:lang w:val="es-ES_tradnl"/>
              </w:rPr>
              <w:t xml:space="preserve">Como parte integrante de la iniciativa de aldeas inteligentes e islas inteligentes, la BDT, a través de diversas asociaciones, ha instaurado una serie de servicios digitales en el sur de </w:t>
            </w:r>
            <w:proofErr w:type="spellStart"/>
            <w:r w:rsidR="00F33FC8" w:rsidRPr="004A2CC5">
              <w:rPr>
                <w:rFonts w:ascii="Calibri" w:hAnsi="Calibri" w:cs="Calibri"/>
                <w:lang w:val="es-ES_tradnl"/>
              </w:rPr>
              <w:t>Malekula</w:t>
            </w:r>
            <w:proofErr w:type="spellEnd"/>
            <w:r w:rsidR="00F33FC8" w:rsidRPr="004A2CC5">
              <w:rPr>
                <w:rFonts w:ascii="Calibri" w:hAnsi="Calibri" w:cs="Calibri"/>
                <w:lang w:val="es-ES_tradnl"/>
              </w:rPr>
              <w:t xml:space="preserve"> (</w:t>
            </w:r>
            <w:r w:rsidR="00F33FC8" w:rsidRPr="004A2CC5">
              <w:rPr>
                <w:rFonts w:ascii="Calibri" w:hAnsi="Calibri" w:cs="Calibri"/>
                <w:b/>
                <w:bCs/>
                <w:lang w:val="es-ES_tradnl"/>
              </w:rPr>
              <w:t>Vanuatu</w:t>
            </w:r>
            <w:r w:rsidR="00F33FC8" w:rsidRPr="004A2CC5">
              <w:rPr>
                <w:rFonts w:ascii="Calibri" w:hAnsi="Calibri" w:cs="Calibri"/>
                <w:lang w:val="es-ES_tradnl"/>
              </w:rPr>
              <w:t xml:space="preserve">), incluidas plataformas de aprendizaje/enseñanza a distancia, servicios de monedero móvil y una aplicación en línea de certificados policiales. Se ha equipado un aula inteligente con 40 tabletas, una pizarra digital, un sistema de videoconferencia y varios equipos de red, para que ejerza las veces de centro comunitario y permita a estudiantes, profesores y miembros de la comunidad participar activamente en el aprendizaje en línea, conectando así las aldeas aisladas con Port Vila, la capital de Vanuatu. En </w:t>
            </w:r>
            <w:r w:rsidR="00F33FC8" w:rsidRPr="004A2CC5">
              <w:rPr>
                <w:rFonts w:ascii="Calibri" w:hAnsi="Calibri" w:cs="Calibri"/>
                <w:b/>
                <w:bCs/>
                <w:lang w:val="es-ES_tradnl"/>
              </w:rPr>
              <w:t>Pakistán</w:t>
            </w:r>
            <w:r w:rsidR="00F33FC8" w:rsidRPr="004A2CC5">
              <w:rPr>
                <w:rFonts w:ascii="Calibri" w:hAnsi="Calibri" w:cs="Calibri"/>
                <w:lang w:val="es-ES_tradnl"/>
              </w:rPr>
              <w:t xml:space="preserve">, desde mayo de 2023, los servicios sanitarios digitales de la aldea inteligente de </w:t>
            </w:r>
            <w:proofErr w:type="spellStart"/>
            <w:r w:rsidR="00F33FC8" w:rsidRPr="004A2CC5">
              <w:rPr>
                <w:rFonts w:ascii="Calibri" w:hAnsi="Calibri" w:cs="Calibri"/>
                <w:lang w:val="es-ES_tradnl"/>
              </w:rPr>
              <w:t>Gokina</w:t>
            </w:r>
            <w:proofErr w:type="spellEnd"/>
            <w:r w:rsidR="00F33FC8" w:rsidRPr="004A2CC5">
              <w:rPr>
                <w:rFonts w:ascii="Calibri" w:hAnsi="Calibri" w:cs="Calibri"/>
                <w:lang w:val="es-ES_tradnl"/>
              </w:rPr>
              <w:t xml:space="preserve"> han beneficiado a unos 2</w:t>
            </w:r>
            <w:r w:rsidR="002D008B" w:rsidRPr="004A2CC5">
              <w:rPr>
                <w:rFonts w:ascii="Calibri" w:hAnsi="Calibri" w:cs="Calibri"/>
                <w:lang w:val="es-ES_tradnl"/>
              </w:rPr>
              <w:t> </w:t>
            </w:r>
            <w:r w:rsidR="00F33FC8" w:rsidRPr="004A2CC5">
              <w:rPr>
                <w:rFonts w:ascii="Calibri" w:hAnsi="Calibri" w:cs="Calibri"/>
                <w:lang w:val="es-ES_tradnl"/>
              </w:rPr>
              <w:t xml:space="preserve">000 pacientes, de los cuales el 84% son mujeres. Además, 100 alumnas siguen cursando estudios formales gracias a los servicios de educación a distancia de </w:t>
            </w:r>
            <w:proofErr w:type="spellStart"/>
            <w:r w:rsidR="00F33FC8" w:rsidRPr="004A2CC5">
              <w:rPr>
                <w:rFonts w:ascii="Calibri" w:hAnsi="Calibri" w:cs="Calibri"/>
                <w:lang w:val="es-ES_tradnl"/>
              </w:rPr>
              <w:t>Gokina</w:t>
            </w:r>
            <w:proofErr w:type="spellEnd"/>
            <w:r w:rsidR="00F33FC8" w:rsidRPr="004A2CC5">
              <w:rPr>
                <w:rFonts w:ascii="Calibri" w:hAnsi="Calibri" w:cs="Calibri"/>
                <w:lang w:val="es-ES_tradnl"/>
              </w:rPr>
              <w:t xml:space="preserve">. </w:t>
            </w:r>
            <w:r w:rsidR="00F33FC8" w:rsidRPr="004A2CC5">
              <w:rPr>
                <w:lang w:val="es-ES_tradnl"/>
              </w:rPr>
              <w:t xml:space="preserve">En </w:t>
            </w:r>
            <w:r w:rsidR="00F33FC8" w:rsidRPr="004A2CC5">
              <w:rPr>
                <w:color w:val="0D0D0D"/>
                <w:shd w:val="clear" w:color="auto" w:fill="FFFFFF"/>
                <w:lang w:val="es-ES_tradnl"/>
              </w:rPr>
              <w:t xml:space="preserve">la isla de </w:t>
            </w:r>
            <w:proofErr w:type="spellStart"/>
            <w:r w:rsidR="00F33FC8" w:rsidRPr="004A2CC5">
              <w:rPr>
                <w:color w:val="0D0D0D"/>
                <w:shd w:val="clear" w:color="auto" w:fill="FFFFFF"/>
                <w:lang w:val="es-ES_tradnl"/>
              </w:rPr>
              <w:t>Tamana</w:t>
            </w:r>
            <w:proofErr w:type="spellEnd"/>
            <w:r w:rsidR="00F33FC8" w:rsidRPr="004A2CC5">
              <w:rPr>
                <w:color w:val="0D0D0D"/>
                <w:shd w:val="clear" w:color="auto" w:fill="FFFFFF"/>
                <w:lang w:val="es-ES_tradnl"/>
              </w:rPr>
              <w:t xml:space="preserve"> (</w:t>
            </w:r>
            <w:r w:rsidR="00F33FC8" w:rsidRPr="004A2CC5">
              <w:rPr>
                <w:b/>
                <w:bCs/>
                <w:color w:val="0D0D0D"/>
                <w:shd w:val="clear" w:color="auto" w:fill="FFFFFF"/>
                <w:lang w:val="es-ES_tradnl"/>
              </w:rPr>
              <w:t>Kiribati</w:t>
            </w:r>
            <w:r w:rsidR="00F33FC8" w:rsidRPr="004A2CC5">
              <w:rPr>
                <w:color w:val="0D0D0D"/>
                <w:shd w:val="clear" w:color="auto" w:fill="FFFFFF"/>
                <w:lang w:val="es-ES_tradnl"/>
              </w:rPr>
              <w:t xml:space="preserve">), en el marco del Programa Conjunto de Digitalización de Micronesia de las Naciones Unidas, se </w:t>
            </w:r>
            <w:r w:rsidR="00F33FC8" w:rsidRPr="004A2CC5">
              <w:rPr>
                <w:color w:val="0D0D0D" w:themeColor="text1" w:themeTint="F2"/>
                <w:lang w:val="es-ES_tradnl"/>
              </w:rPr>
              <w:t xml:space="preserve">está </w:t>
            </w:r>
            <w:r w:rsidR="00F33FC8" w:rsidRPr="004A2CC5">
              <w:rPr>
                <w:color w:val="0D0D0D"/>
                <w:shd w:val="clear" w:color="auto" w:fill="FFFFFF"/>
                <w:lang w:val="es-ES_tradnl"/>
              </w:rPr>
              <w:t xml:space="preserve">ampliando la cobertura </w:t>
            </w:r>
            <w:proofErr w:type="spellStart"/>
            <w:r w:rsidR="00F33FC8" w:rsidRPr="004A2CC5">
              <w:rPr>
                <w:color w:val="0D0D0D"/>
                <w:shd w:val="clear" w:color="auto" w:fill="FFFFFF"/>
                <w:lang w:val="es-ES_tradnl"/>
              </w:rPr>
              <w:t>Wi</w:t>
            </w:r>
            <w:proofErr w:type="spellEnd"/>
            <w:r w:rsidR="00F33FC8" w:rsidRPr="004A2CC5">
              <w:rPr>
                <w:color w:val="0D0D0D"/>
                <w:shd w:val="clear" w:color="auto" w:fill="FFFFFF"/>
                <w:lang w:val="es-ES_tradnl"/>
              </w:rPr>
              <w:t>-Fi con objeto de facilitar el acceso a servicios de pago digitales y a consultas médicas en línea. Las iniciativas encaminadas al refuerzo de</w:t>
            </w:r>
            <w:r w:rsidR="00F33FC8" w:rsidRPr="004A2CC5">
              <w:rPr>
                <w:lang w:val="es-ES_tradnl"/>
              </w:rPr>
              <w:t xml:space="preserve"> la conectividad de banda ancha y la mejora del acceso a los servicios digitales se han ampliado con miras a su extensión a otros países insulares del Pacífico. </w:t>
            </w:r>
            <w:r w:rsidR="00F33FC8" w:rsidRPr="004A2CC5">
              <w:rPr>
                <w:rFonts w:ascii="Calibri" w:hAnsi="Calibri" w:cs="Calibri"/>
                <w:lang w:val="es-ES_tradnl"/>
              </w:rPr>
              <w:t>En el marco de esta iniciativa, d</w:t>
            </w:r>
            <w:r w:rsidR="00F33FC8" w:rsidRPr="004A2CC5">
              <w:rPr>
                <w:lang w:val="es-ES_tradnl"/>
              </w:rPr>
              <w:t xml:space="preserve">esde mayo de 2023, unos 800 habitantes de diversas </w:t>
            </w:r>
            <w:r w:rsidR="00F33FC8" w:rsidRPr="004A2CC5">
              <w:rPr>
                <w:rFonts w:ascii="Calibri" w:hAnsi="Calibri" w:cs="Calibri"/>
                <w:lang w:val="es-ES_tradnl"/>
              </w:rPr>
              <w:t xml:space="preserve">comunidades </w:t>
            </w:r>
            <w:r w:rsidR="00F33FC8" w:rsidRPr="004A2CC5">
              <w:rPr>
                <w:lang w:val="es-ES_tradnl"/>
              </w:rPr>
              <w:t>insulares remotas y aisladas de</w:t>
            </w:r>
            <w:r w:rsidR="00F33FC8" w:rsidRPr="004A2CC5">
              <w:rPr>
                <w:rFonts w:ascii="Calibri" w:hAnsi="Calibri" w:cs="Calibri"/>
                <w:lang w:val="es-ES_tradnl"/>
              </w:rPr>
              <w:t xml:space="preserve"> Asia y el Pacífico han recibido capacitación digital básica. Tan solo en el Pacífico, la labor de base llevada a cabo por la </w:t>
            </w:r>
            <w:r w:rsidR="00AE242A">
              <w:rPr>
                <w:lang w:val="es-ES_tradnl"/>
              </w:rPr>
              <w:t>BDT</w:t>
            </w:r>
            <w:r w:rsidR="00AE242A" w:rsidRPr="004A2CC5" w:rsidDel="00AE242A">
              <w:rPr>
                <w:rFonts w:ascii="Calibri" w:hAnsi="Calibri" w:cs="Calibri"/>
                <w:lang w:val="es-ES_tradnl"/>
              </w:rPr>
              <w:t xml:space="preserve"> </w:t>
            </w:r>
            <w:r w:rsidR="00F33FC8" w:rsidRPr="004A2CC5">
              <w:rPr>
                <w:rFonts w:ascii="Calibri" w:hAnsi="Calibri" w:cs="Calibri"/>
                <w:lang w:val="es-ES_tradnl"/>
              </w:rPr>
              <w:t>en el marco de la citada iniciativa ha beneficiado a 485 mujeres, 19 personas con discapacidad y 309 jóvenes</w:t>
            </w:r>
            <w:r w:rsidR="00F33FC8" w:rsidRPr="004A2CC5">
              <w:rPr>
                <w:lang w:val="es-ES_tradnl"/>
              </w:rPr>
              <w:t>.</w:t>
            </w:r>
          </w:p>
          <w:p w14:paraId="3285AEFE" w14:textId="4EF8167B" w:rsidR="00F33FC8" w:rsidRPr="004A2CC5" w:rsidRDefault="00F34B21" w:rsidP="00F34B21">
            <w:pPr>
              <w:pStyle w:val="Tabletext"/>
              <w:ind w:left="284" w:hanging="284"/>
              <w:rPr>
                <w:b/>
                <w:bCs/>
                <w:lang w:val="es-ES_tradnl"/>
              </w:rPr>
            </w:pPr>
            <w:r w:rsidRPr="004A2CC5">
              <w:rPr>
                <w:b/>
                <w:bCs/>
                <w:lang w:val="es-ES_tradnl"/>
              </w:rPr>
              <w:t>•</w:t>
            </w:r>
            <w:r w:rsidRPr="004A2CC5">
              <w:rPr>
                <w:b/>
                <w:bCs/>
                <w:lang w:val="es-ES_tradnl"/>
              </w:rPr>
              <w:tab/>
            </w:r>
            <w:r w:rsidR="00F33FC8" w:rsidRPr="004A2CC5">
              <w:rPr>
                <w:b/>
                <w:bCs/>
                <w:lang w:val="es-ES_tradnl"/>
              </w:rPr>
              <w:t>En la CEI</w:t>
            </w:r>
            <w:r w:rsidR="00F33FC8" w:rsidRPr="004A2CC5">
              <w:rPr>
                <w:lang w:val="es-ES_tradnl"/>
              </w:rPr>
              <w:t xml:space="preserve">, el lanzamiento de la Cooperación Regional sobre Gobierno Digital brindará un mecanismo que permitirá a gobiernos, instituciones y otras partes interesadas regionales intercambiar conocimientos y colaborar en </w:t>
            </w:r>
            <w:proofErr w:type="spellStart"/>
            <w:r w:rsidR="00F33FC8" w:rsidRPr="004A2CC5">
              <w:rPr>
                <w:lang w:val="es-ES_tradnl"/>
              </w:rPr>
              <w:t>pos</w:t>
            </w:r>
            <w:proofErr w:type="spellEnd"/>
            <w:r w:rsidR="00F33FC8" w:rsidRPr="004A2CC5">
              <w:rPr>
                <w:lang w:val="es-ES_tradnl"/>
              </w:rPr>
              <w:t xml:space="preserve"> de una transformación digital más rápida y eficiente, centrada en el ser humano y equitativa. En el marco de la Cooperación Regional, se celebraron tres reuniones temáticas en línea. Más de 40 profesionales se reunieron en el </w:t>
            </w:r>
            <w:hyperlink r:id="rId32" w:history="1">
              <w:r w:rsidR="00F33FC8" w:rsidRPr="004A2CC5">
                <w:rPr>
                  <w:color w:val="0000FF" w:themeColor="hyperlink"/>
                  <w:u w:val="single"/>
                  <w:lang w:val="es-ES_tradnl"/>
                </w:rPr>
                <w:t>foro regional sobre gobierno digital</w:t>
              </w:r>
            </w:hyperlink>
            <w:r w:rsidR="00F33FC8" w:rsidRPr="004A2CC5">
              <w:rPr>
                <w:lang w:val="es-ES_tradnl"/>
              </w:rPr>
              <w:t xml:space="preserve"> para analizar en detalle las oportunidades que la iniciativa </w:t>
            </w:r>
            <w:proofErr w:type="spellStart"/>
            <w:r w:rsidR="00F33FC8" w:rsidRPr="004A2CC5">
              <w:rPr>
                <w:lang w:val="es-ES_tradnl"/>
              </w:rPr>
              <w:t>GovStack</w:t>
            </w:r>
            <w:proofErr w:type="spellEnd"/>
            <w:r w:rsidR="00F33FC8" w:rsidRPr="004A2CC5">
              <w:rPr>
                <w:lang w:val="es-ES_tradnl"/>
              </w:rPr>
              <w:t xml:space="preserve"> albergaba para los países, junto con las herramientas y los servicios disponibles para su uso, y entablar debates sobre la implantación de servicios de administración electrónica, los retos que ello plantea y las soluciones que podrían plantearse mediante la cooperación y el intercambio de experiencias en el contexto de la iniciativa </w:t>
            </w:r>
            <w:proofErr w:type="spellStart"/>
            <w:r w:rsidR="00F33FC8" w:rsidRPr="004A2CC5">
              <w:rPr>
                <w:lang w:val="es-ES_tradnl"/>
              </w:rPr>
              <w:t>GovStack</w:t>
            </w:r>
            <w:proofErr w:type="spellEnd"/>
            <w:r w:rsidR="00F33FC8" w:rsidRPr="004A2CC5">
              <w:rPr>
                <w:lang w:val="es-ES_tradnl"/>
              </w:rPr>
              <w:t>.</w:t>
            </w:r>
          </w:p>
          <w:p w14:paraId="38535A3F" w14:textId="2426CF80" w:rsidR="00F33FC8" w:rsidRPr="004A2CC5" w:rsidRDefault="00F34B21" w:rsidP="00F34B21">
            <w:pPr>
              <w:pStyle w:val="Tabletext"/>
              <w:ind w:left="284" w:hanging="284"/>
              <w:rPr>
                <w:rFonts w:ascii="Calibri" w:hAnsi="Calibri" w:cs="Calibri"/>
                <w:lang w:val="es-ES_tradnl"/>
              </w:rPr>
            </w:pPr>
            <w:r w:rsidRPr="004A2CC5">
              <w:rPr>
                <w:rFonts w:ascii="Calibri" w:hAnsi="Calibri" w:cs="Calibri"/>
                <w:lang w:val="es-ES_tradnl"/>
              </w:rPr>
              <w:tab/>
            </w:r>
            <w:r w:rsidR="00F33FC8" w:rsidRPr="004A2CC5">
              <w:rPr>
                <w:rFonts w:ascii="Calibri" w:hAnsi="Calibri" w:cs="Calibri"/>
                <w:lang w:val="es-ES_tradnl"/>
              </w:rPr>
              <w:t xml:space="preserve">En </w:t>
            </w:r>
            <w:proofErr w:type="spellStart"/>
            <w:r w:rsidR="00F33FC8" w:rsidRPr="004A2CC5">
              <w:rPr>
                <w:rFonts w:ascii="Calibri" w:hAnsi="Calibri" w:cs="Calibri"/>
                <w:lang w:val="es-ES_tradnl"/>
              </w:rPr>
              <w:t>Belarús</w:t>
            </w:r>
            <w:proofErr w:type="spellEnd"/>
            <w:r w:rsidR="00F33FC8" w:rsidRPr="004A2CC5">
              <w:rPr>
                <w:rFonts w:ascii="Calibri" w:hAnsi="Calibri" w:cs="Calibri"/>
                <w:lang w:val="es-ES_tradnl"/>
              </w:rPr>
              <w:t xml:space="preserve">, la BDT ha seguido ayudando a los municipios a mejorar sus competencias a efectos de la </w:t>
            </w:r>
            <w:r w:rsidR="00F33FC8" w:rsidRPr="004A2CC5">
              <w:rPr>
                <w:rFonts w:ascii="Calibri" w:hAnsi="Calibri" w:cs="Calibri"/>
                <w:b/>
                <w:bCs/>
                <w:lang w:val="es-ES_tradnl"/>
              </w:rPr>
              <w:t>construcción de ciudades y comunidades inteligentes</w:t>
            </w:r>
            <w:r w:rsidR="00F33FC8" w:rsidRPr="004A2CC5">
              <w:rPr>
                <w:rFonts w:ascii="Calibri" w:hAnsi="Calibri" w:cs="Calibri"/>
                <w:lang w:val="es-ES_tradnl"/>
              </w:rPr>
              <w:t>, mediante la formación de más de 340 representantes de administraciones municipales y regionales en aplicación de soluciones inteligentes; creación de programas de alfabetización digital en administraciones municipales y regionales en apoyo de una transformación digital sostenible; familiarización de los funcionarios de las administraciones locales con las nuevas tecnologías que facilitan la interacción entre el público en general, las empresas y el gobierno; y mejora de los servicios para los residentes.</w:t>
            </w:r>
          </w:p>
          <w:p w14:paraId="2627AB07" w14:textId="30BBCB70"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 xml:space="preserve">En Europa, </w:t>
            </w:r>
            <w:r w:rsidR="00F33FC8" w:rsidRPr="004A2CC5">
              <w:rPr>
                <w:lang w:val="es-ES_tradnl"/>
              </w:rPr>
              <w:t xml:space="preserve">se ha elaborado un </w:t>
            </w:r>
            <w:hyperlink r:id="rId33" w:history="1">
              <w:r w:rsidR="00F33FC8" w:rsidRPr="004A2CC5">
                <w:rPr>
                  <w:color w:val="0000FF" w:themeColor="hyperlink"/>
                  <w:u w:val="single"/>
                  <w:lang w:val="es-ES_tradnl"/>
                </w:rPr>
                <w:t>compendio UIT-FAO</w:t>
              </w:r>
            </w:hyperlink>
            <w:r w:rsidR="00F33FC8" w:rsidRPr="004A2CC5">
              <w:rPr>
                <w:lang w:val="es-ES_tradnl"/>
              </w:rPr>
              <w:t xml:space="preserve"> para los países en fase de preadhesión sobre el </w:t>
            </w:r>
            <w:r w:rsidR="00F33FC8" w:rsidRPr="004A2CC5">
              <w:rPr>
                <w:b/>
                <w:bCs/>
                <w:lang w:val="es-ES_tradnl"/>
              </w:rPr>
              <w:t>cumplimiento de los requisitos de la Unión Europea en materia de agricultura digital</w:t>
            </w:r>
            <w:r w:rsidR="00F33FC8" w:rsidRPr="004A2CC5">
              <w:rPr>
                <w:lang w:val="es-ES_tradnl"/>
              </w:rPr>
              <w:t>. Este compendio traza una senda basada en el impacto desde el nivel regional hasta el nacional, aplicando un enfoque por proyectos para reforzar las capacidades nacionales.</w:t>
            </w:r>
          </w:p>
          <w:p w14:paraId="5AD8DF9E" w14:textId="7FF32E4C" w:rsidR="00F33FC8" w:rsidRPr="004A2CC5" w:rsidRDefault="00F34B21" w:rsidP="00F34B21">
            <w:pPr>
              <w:pStyle w:val="Tabletext"/>
              <w:ind w:left="284" w:hanging="284"/>
              <w:rPr>
                <w:lang w:val="es-ES_tradnl"/>
              </w:rPr>
            </w:pPr>
            <w:r w:rsidRPr="004A2CC5">
              <w:rPr>
                <w:lang w:val="es-ES_tradnl"/>
              </w:rPr>
              <w:lastRenderedPageBreak/>
              <w:tab/>
            </w:r>
            <w:r w:rsidR="00F33FC8" w:rsidRPr="004A2CC5">
              <w:rPr>
                <w:lang w:val="es-ES_tradnl"/>
              </w:rPr>
              <w:t>Macedonia del Norte y Moldova han recibido ayudas para el desarrollo de sus estrategias nacionales de transformación digital, en consonancia con las recomendaciones de la UIT y el enfoque basado en elementos constitutivos. El objetivo de estas estrategias es mejorar la conectividad digital, las infraestructuras de TIC, las competencias digitales, los servicios públicos y el apoyo a las empresas y la innovación digitales.</w:t>
            </w:r>
          </w:p>
          <w:p w14:paraId="36B0A7ED" w14:textId="2F4420C8" w:rsidR="00F33FC8" w:rsidRPr="004A2CC5" w:rsidRDefault="00F34B21" w:rsidP="00F34B21">
            <w:pPr>
              <w:pStyle w:val="Tabletext"/>
              <w:ind w:left="284" w:hanging="284"/>
              <w:rPr>
                <w:lang w:val="es-ES_tradnl"/>
              </w:rPr>
            </w:pPr>
            <w:r w:rsidRPr="004A2CC5">
              <w:rPr>
                <w:rFonts w:ascii="Calibri" w:hAnsi="Calibri" w:cs="Calibri"/>
                <w:lang w:val="es-ES_tradnl"/>
              </w:rPr>
              <w:tab/>
            </w:r>
            <w:r w:rsidR="00F33FC8" w:rsidRPr="004A2CC5">
              <w:rPr>
                <w:rFonts w:ascii="Calibri" w:hAnsi="Calibri" w:cs="Calibri"/>
                <w:lang w:val="es-ES_tradnl"/>
              </w:rPr>
              <w:t xml:space="preserve">En Albania, Montenegro y Serbia, la adopción del </w:t>
            </w:r>
            <w:r w:rsidR="00F33FC8" w:rsidRPr="004A2CC5">
              <w:rPr>
                <w:lang w:val="es-ES_tradnl"/>
              </w:rPr>
              <w:t>enfoque basado en elementos constitutivos</w:t>
            </w:r>
            <w:r w:rsidR="00F33FC8" w:rsidRPr="004A2CC5">
              <w:rPr>
                <w:rFonts w:ascii="Calibri" w:hAnsi="Calibri" w:cs="Calibri"/>
                <w:lang w:val="es-ES_tradnl"/>
              </w:rPr>
              <w:t xml:space="preserve"> se facilitará mediante asociaciones estratégicas con organismos de las Naciones Unidas, en el marco de los tres proyectos de la Ventana Digital del Fondo Conjunto para los ODS. </w:t>
            </w:r>
            <w:r w:rsidR="00F33FC8" w:rsidRPr="004A2CC5">
              <w:rPr>
                <w:lang w:val="es-ES_tradnl"/>
              </w:rPr>
              <w:t xml:space="preserve">En Albania, el </w:t>
            </w:r>
            <w:r w:rsidR="00F33FC8" w:rsidRPr="004A2CC5">
              <w:rPr>
                <w:b/>
                <w:bCs/>
                <w:lang w:val="es-ES_tradnl"/>
              </w:rPr>
              <w:t xml:space="preserve">proyecto sobre agricultura digital y transformación rural </w:t>
            </w:r>
            <w:r w:rsidR="00F33FC8" w:rsidRPr="004A2CC5">
              <w:rPr>
                <w:lang w:val="es-ES_tradnl"/>
              </w:rPr>
              <w:t xml:space="preserve">aspira a revolucionar el sector agroalimentario, extendiendo los beneficios de la digitalización a las comunidades </w:t>
            </w:r>
            <w:proofErr w:type="spellStart"/>
            <w:r w:rsidR="00F33FC8" w:rsidRPr="004A2CC5">
              <w:rPr>
                <w:lang w:val="es-ES_tradnl"/>
              </w:rPr>
              <w:t>subatendidas</w:t>
            </w:r>
            <w:proofErr w:type="spellEnd"/>
            <w:r w:rsidR="00F33FC8" w:rsidRPr="004A2CC5">
              <w:rPr>
                <w:lang w:val="es-ES_tradnl"/>
              </w:rPr>
              <w:t xml:space="preserve">. En Serbia, el proyecto relativo al </w:t>
            </w:r>
            <w:r w:rsidR="00F33FC8" w:rsidRPr="004A2CC5">
              <w:rPr>
                <w:b/>
                <w:bCs/>
                <w:lang w:val="es-ES_tradnl"/>
              </w:rPr>
              <w:t xml:space="preserve">centro de diseño de servicios digitales y la colaboración con los ciudadanos </w:t>
            </w:r>
            <w:r w:rsidR="00F33FC8" w:rsidRPr="004A2CC5">
              <w:rPr>
                <w:lang w:val="es-ES_tradnl"/>
              </w:rPr>
              <w:t xml:space="preserve">versa sobre la mejora de los servicios públicos a través de una metodología de diseño centrada en el usuario y parte de la experiencia del país para impulsar la transformación tecnológica. Del mismo modo, el proyecto destinado a la </w:t>
            </w:r>
            <w:r w:rsidR="00F33FC8" w:rsidRPr="004A2CC5">
              <w:rPr>
                <w:b/>
                <w:bCs/>
                <w:lang w:val="es-ES_tradnl"/>
              </w:rPr>
              <w:t xml:space="preserve">transformación digital de los gobiernos locales autónomos </w:t>
            </w:r>
            <w:r w:rsidR="00F33FC8" w:rsidRPr="004A2CC5">
              <w:rPr>
                <w:b/>
                <w:lang w:val="es-ES_tradnl"/>
              </w:rPr>
              <w:t>de Montenegro</w:t>
            </w:r>
            <w:r w:rsidR="00F33FC8" w:rsidRPr="004A2CC5">
              <w:rPr>
                <w:b/>
                <w:bCs/>
                <w:lang w:val="es-ES_tradnl"/>
              </w:rPr>
              <w:t xml:space="preserve"> </w:t>
            </w:r>
            <w:r w:rsidR="00F33FC8" w:rsidRPr="004A2CC5">
              <w:rPr>
                <w:lang w:val="es-ES_tradnl"/>
              </w:rPr>
              <w:t>obra en favor de la digitalización de los gobiernos locales y del establecimiento de una gobernanza electrónica local, sentando así las bases necesarias para el marco de Ciudades Inteligentes y Sostenibles.</w:t>
            </w:r>
          </w:p>
          <w:p w14:paraId="7273E0F7" w14:textId="4C298B6A" w:rsidR="00F33FC8" w:rsidRPr="004A2CC5" w:rsidRDefault="00F34B21" w:rsidP="00F34B21">
            <w:pPr>
              <w:pStyle w:val="Tabletext"/>
              <w:ind w:left="284" w:hanging="284"/>
              <w:rPr>
                <w:lang w:val="es-ES_tradnl"/>
              </w:rPr>
            </w:pPr>
            <w:r w:rsidRPr="004A2CC5">
              <w:rPr>
                <w:b/>
                <w:bCs/>
                <w:lang w:val="es-ES_tradnl"/>
              </w:rPr>
              <w:tab/>
            </w:r>
            <w:r w:rsidR="00F33FC8" w:rsidRPr="004A2CC5">
              <w:rPr>
                <w:b/>
                <w:bCs/>
                <w:lang w:val="es-ES_tradnl"/>
              </w:rPr>
              <w:t>En respuesta a los compromisos contraídos en el FDR de la UIT para Europa</w:t>
            </w:r>
            <w:r w:rsidR="00F33FC8" w:rsidRPr="004A2CC5">
              <w:rPr>
                <w:lang w:val="es-ES_tradnl"/>
              </w:rPr>
              <w:t xml:space="preserve">, la </w:t>
            </w:r>
            <w:r w:rsidR="00AE242A">
              <w:rPr>
                <w:lang w:val="es-ES_tradnl"/>
              </w:rPr>
              <w:t>BDT</w:t>
            </w:r>
            <w:r w:rsidR="00AE242A" w:rsidRPr="004A2CC5" w:rsidDel="00AE242A">
              <w:rPr>
                <w:lang w:val="es-ES_tradnl"/>
              </w:rPr>
              <w:t xml:space="preserve"> </w:t>
            </w:r>
            <w:r w:rsidR="00F33FC8" w:rsidRPr="004A2CC5">
              <w:rPr>
                <w:lang w:val="es-ES_tradnl"/>
              </w:rPr>
              <w:t xml:space="preserve">ha facilitado una colaboración transformadora entre </w:t>
            </w:r>
            <w:r w:rsidR="00531C0D">
              <w:rPr>
                <w:lang w:val="es-ES_tradnl"/>
              </w:rPr>
              <w:t>diversos</w:t>
            </w:r>
            <w:r w:rsidR="00531C0D" w:rsidRPr="00531C0D">
              <w:rPr>
                <w:lang w:val="es-ES_tradnl"/>
              </w:rPr>
              <w:t xml:space="preserve"> socios y Estados </w:t>
            </w:r>
            <w:r w:rsidR="00531C0D">
              <w:rPr>
                <w:lang w:val="es-ES_tradnl"/>
              </w:rPr>
              <w:t>M</w:t>
            </w:r>
            <w:r w:rsidR="00531C0D" w:rsidRPr="00531C0D">
              <w:rPr>
                <w:lang w:val="es-ES_tradnl"/>
              </w:rPr>
              <w:t>iembros. E</w:t>
            </w:r>
            <w:r w:rsidR="00531C0D">
              <w:rPr>
                <w:lang w:val="es-ES_tradnl"/>
              </w:rPr>
              <w:t>l objetivo de es</w:t>
            </w:r>
            <w:r w:rsidR="00531C0D" w:rsidRPr="00531C0D">
              <w:rPr>
                <w:lang w:val="es-ES_tradnl"/>
              </w:rPr>
              <w:t>ta</w:t>
            </w:r>
            <w:r w:rsidR="00C1796F">
              <w:rPr>
                <w:lang w:val="es-ES_tradnl"/>
              </w:rPr>
              <w:t xml:space="preserve"> dinámica</w:t>
            </w:r>
            <w:r w:rsidR="00531C0D" w:rsidRPr="00531C0D">
              <w:rPr>
                <w:lang w:val="es-ES_tradnl"/>
              </w:rPr>
              <w:t xml:space="preserve"> colaboración y </w:t>
            </w:r>
            <w:r w:rsidR="00531C0D">
              <w:rPr>
                <w:lang w:val="es-ES_tradnl"/>
              </w:rPr>
              <w:t>estas</w:t>
            </w:r>
            <w:r w:rsidR="00531C0D" w:rsidRPr="00531C0D">
              <w:rPr>
                <w:lang w:val="es-ES_tradnl"/>
              </w:rPr>
              <w:t xml:space="preserve"> asociaciones </w:t>
            </w:r>
            <w:r w:rsidR="00531C0D">
              <w:rPr>
                <w:lang w:val="es-ES_tradnl"/>
              </w:rPr>
              <w:t xml:space="preserve">es </w:t>
            </w:r>
            <w:r w:rsidR="00531C0D" w:rsidRPr="004A2CC5">
              <w:rPr>
                <w:lang w:val="es-ES_tradnl"/>
              </w:rPr>
              <w:t>racionalizar los proyectos de transformación digital mediante el intercambio de conocimientos y prácticas idóneas. Dicha colaboración</w:t>
            </w:r>
            <w:r w:rsidR="00531C0D">
              <w:rPr>
                <w:lang w:val="es-ES_tradnl"/>
              </w:rPr>
              <w:t xml:space="preserve"> fue posible gracias a</w:t>
            </w:r>
            <w:r w:rsidR="00531C0D" w:rsidRPr="00531C0D">
              <w:rPr>
                <w:lang w:val="es-ES_tradnl"/>
              </w:rPr>
              <w:t xml:space="preserve"> </w:t>
            </w:r>
            <w:r w:rsidR="00531C0D">
              <w:rPr>
                <w:lang w:val="es-ES_tradnl"/>
              </w:rPr>
              <w:t>las</w:t>
            </w:r>
            <w:r w:rsidR="00531C0D" w:rsidRPr="00531C0D">
              <w:rPr>
                <w:lang w:val="es-ES_tradnl"/>
              </w:rPr>
              <w:t xml:space="preserve"> mesas redondas</w:t>
            </w:r>
            <w:r w:rsidR="00C1796F">
              <w:rPr>
                <w:lang w:val="es-ES_tradnl"/>
              </w:rPr>
              <w:t xml:space="preserve"> del Foro</w:t>
            </w:r>
            <w:r w:rsidR="00531C0D" w:rsidRPr="00531C0D">
              <w:rPr>
                <w:lang w:val="es-ES_tradnl"/>
              </w:rPr>
              <w:t xml:space="preserve"> </w:t>
            </w:r>
            <w:r w:rsidR="00531C0D">
              <w:rPr>
                <w:lang w:val="es-ES_tradnl"/>
              </w:rPr>
              <w:t>previstas para concordar las promesas con las necesidades reales</w:t>
            </w:r>
            <w:r w:rsidR="00F33FC8" w:rsidRPr="004A2CC5">
              <w:rPr>
                <w:lang w:val="es-ES_tradnl"/>
              </w:rPr>
              <w:t>.</w:t>
            </w:r>
          </w:p>
          <w:p w14:paraId="733F6CF3" w14:textId="0986257C" w:rsidR="00F33FC8" w:rsidRPr="004A2CC5" w:rsidRDefault="00F34B21" w:rsidP="00F34B21">
            <w:pPr>
              <w:pStyle w:val="Tabletext"/>
              <w:ind w:left="284" w:hanging="284"/>
              <w:rPr>
                <w:lang w:val="es-ES_tradnl"/>
              </w:rPr>
            </w:pPr>
            <w:r w:rsidRPr="004A2CC5">
              <w:rPr>
                <w:lang w:val="es-ES_tradnl"/>
              </w:rPr>
              <w:tab/>
            </w:r>
            <w:r w:rsidR="00F33FC8" w:rsidRPr="004A2CC5">
              <w:rPr>
                <w:lang w:val="es-ES_tradnl"/>
              </w:rPr>
              <w:t xml:space="preserve">El taller encaminado a </w:t>
            </w:r>
            <w:r w:rsidR="00F33FC8" w:rsidRPr="004A2CC5">
              <w:rPr>
                <w:b/>
                <w:bCs/>
                <w:lang w:val="es-ES_tradnl"/>
              </w:rPr>
              <w:t>reconsiderar los servicios públicos y analizar estrategias para alcanzar los objetivos de la transformación digital</w:t>
            </w:r>
            <w:r w:rsidR="00F33FC8" w:rsidRPr="004A2CC5">
              <w:rPr>
                <w:lang w:val="es-ES_tradnl"/>
              </w:rPr>
              <w:t xml:space="preserve">, que se celebró como evento paralelo a la CMSI de 2023, reforzó la creación de capacidades en 11 países. Dicho taller fue organizado por la </w:t>
            </w:r>
            <w:r w:rsidR="003B766B">
              <w:rPr>
                <w:lang w:val="es-ES_tradnl"/>
              </w:rPr>
              <w:t>BDT a través</w:t>
            </w:r>
            <w:r w:rsidR="00F33FC8" w:rsidRPr="004A2CC5">
              <w:rPr>
                <w:lang w:val="es-ES_tradnl"/>
              </w:rPr>
              <w:t xml:space="preserve"> de la Iniciativa Regional de la UIT para Europa sobre transformación digital en favor de la resiliencia y complementó los debates de la CMSI sobre las repercusiones de </w:t>
            </w:r>
            <w:proofErr w:type="spellStart"/>
            <w:r w:rsidR="00F33FC8" w:rsidRPr="004A2CC5">
              <w:rPr>
                <w:lang w:val="es-ES_tradnl"/>
              </w:rPr>
              <w:t>GovTech</w:t>
            </w:r>
            <w:proofErr w:type="spellEnd"/>
            <w:r w:rsidR="00F33FC8" w:rsidRPr="004A2CC5">
              <w:rPr>
                <w:lang w:val="es-ES_tradnl"/>
              </w:rPr>
              <w:t>, en los que se intercambiaron experiencias ejecutivas sobre el desarrollo de los servicios públicos digitales en Europa. En ese contexto, diversos países europeos candidatos y candidatos potenciales expusieron sus conocimientos, fomentando un diálogo constructivo entre las principales partes interesadas en la transformación digital. Los participantes abordaron limitaciones, compartieron enseñanzas y exploraron estrategias para aprovechar las oportunidades existentes. Además, profundizaron en los aspectos relacionados con las interfaces de usuario y de administrador y las infraestructuras de los servicios públicos, y aportaron ideas prácticas para inspirar la acción.</w:t>
            </w:r>
          </w:p>
          <w:p w14:paraId="21DC685B" w14:textId="3B2F4D51" w:rsidR="00F33FC8" w:rsidRPr="004A2CC5" w:rsidRDefault="00F34B21" w:rsidP="00F34B21">
            <w:pPr>
              <w:pStyle w:val="Tabletext"/>
              <w:ind w:left="284" w:hanging="284"/>
              <w:rPr>
                <w:lang w:val="es-ES_tradnl"/>
              </w:rPr>
            </w:pPr>
            <w:r w:rsidRPr="004A2CC5">
              <w:rPr>
                <w:lang w:val="es-ES_tradnl"/>
              </w:rPr>
              <w:tab/>
            </w:r>
            <w:r w:rsidR="00F33FC8" w:rsidRPr="004A2CC5">
              <w:rPr>
                <w:lang w:val="es-ES_tradnl"/>
              </w:rPr>
              <w:t>La serie monográfica sobre transformación digital centrada en el ser humano, que consistió en tres seminarios web, amplió los conocimientos sobre las funcionalidades digitales articuladas en torno al ser humano, lo que condujo a la elaboración del compendio sobre transformación digital centrada en el ser humano, en el que se recogen las experiencias de 10 países europeos. En dicho compendio se exponen retos y recomendaciones relacionados con la digitalización de los servicios gubernamentales, educativos y sanitarios, y se presentan buenas prácticas para orientar a las partes interesadas de Europa y de otros lugares sobre la manera de abordar los componentes centrados en el ser humano de los servicios digitales y poner en marcha prácticas similares.</w:t>
            </w:r>
          </w:p>
        </w:tc>
        <w:tc>
          <w:tcPr>
            <w:tcW w:w="3034" w:type="dxa"/>
            <w:shd w:val="clear" w:color="auto" w:fill="auto"/>
          </w:tcPr>
          <w:p w14:paraId="1F9C2AFA" w14:textId="2A4E2FAB" w:rsidR="00F33FC8" w:rsidRPr="004A2CC5" w:rsidRDefault="00F33FC8" w:rsidP="00F34B21">
            <w:pPr>
              <w:pStyle w:val="Tabletext"/>
              <w:rPr>
                <w:b/>
                <w:bCs/>
                <w:lang w:val="es-ES_tradnl"/>
              </w:rPr>
            </w:pPr>
            <w:r w:rsidRPr="004A2CC5">
              <w:rPr>
                <w:b/>
                <w:bCs/>
                <w:lang w:val="es-ES_tradnl"/>
              </w:rPr>
              <w:lastRenderedPageBreak/>
              <w:t>Transformación digital del gobierno:</w:t>
            </w:r>
          </w:p>
          <w:p w14:paraId="60D3554A" w14:textId="71C5D49E"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 xml:space="preserve">Publicación de las especificaciones </w:t>
            </w:r>
            <w:r w:rsidR="00F33FC8" w:rsidRPr="004A2CC5">
              <w:rPr>
                <w:color w:val="000000" w:themeColor="text1"/>
                <w:lang w:val="es-ES_tradnl"/>
              </w:rPr>
              <w:t>para los elementos constitutivos de un gobierno digital</w:t>
            </w:r>
            <w:r w:rsidR="00F33FC8" w:rsidRPr="004A2CC5">
              <w:rPr>
                <w:lang w:val="es-ES_tradnl"/>
              </w:rPr>
              <w:t>.</w:t>
            </w:r>
          </w:p>
          <w:p w14:paraId="267BDDF0" w14:textId="4D7A94D4"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Documentación relativa al espacio controlado de pruebas para usuarios técnicos.</w:t>
            </w:r>
          </w:p>
          <w:p w14:paraId="78FE02CC" w14:textId="72AC645A"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Publicación de directrices sobre adquisición de TIC sostenibles y centros de datos ecológicos.</w:t>
            </w:r>
          </w:p>
          <w:p w14:paraId="43BE384E" w14:textId="5A92BAA5"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Apoyo al desarrollo de políticas y estrategias.</w:t>
            </w:r>
          </w:p>
          <w:p w14:paraId="00D516E2" w14:textId="4A0F1FC9" w:rsidR="00F33FC8" w:rsidRPr="004A2CC5" w:rsidRDefault="00F33FC8" w:rsidP="00F34B21">
            <w:pPr>
              <w:pStyle w:val="Tabletext"/>
              <w:rPr>
                <w:b/>
                <w:bCs/>
                <w:lang w:val="es-ES_tradnl"/>
              </w:rPr>
            </w:pPr>
            <w:r w:rsidRPr="004A2CC5">
              <w:rPr>
                <w:b/>
                <w:bCs/>
                <w:lang w:val="es-ES_tradnl"/>
              </w:rPr>
              <w:t>Código abierto para los servicios públicos:</w:t>
            </w:r>
          </w:p>
          <w:p w14:paraId="09DB932D" w14:textId="414345AD"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Proyecto emprendido por la UIT, el PNUD y la UE.</w:t>
            </w:r>
          </w:p>
          <w:p w14:paraId="47A9EC3B" w14:textId="4CD4C7A7"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Capacitación en tecnologías y metodologías de código abierto.</w:t>
            </w:r>
          </w:p>
          <w:p w14:paraId="5CD87254" w14:textId="19FC284A"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Establecimiento de instalaciones técnicas de código abierto.</w:t>
            </w:r>
          </w:p>
          <w:p w14:paraId="7D3B6263" w14:textId="406C2C92" w:rsidR="00F33FC8" w:rsidRPr="004A2CC5" w:rsidRDefault="00F33FC8" w:rsidP="00F34B21">
            <w:pPr>
              <w:pStyle w:val="Tabletext"/>
              <w:rPr>
                <w:b/>
                <w:bCs/>
                <w:lang w:val="es-ES_tradnl"/>
              </w:rPr>
            </w:pPr>
            <w:r w:rsidRPr="004A2CC5">
              <w:rPr>
                <w:b/>
                <w:bCs/>
                <w:lang w:val="es-ES_tradnl"/>
              </w:rPr>
              <w:t>Aldeas inteligentes/ Islas inteligentes:</w:t>
            </w:r>
          </w:p>
          <w:p w14:paraId="6A3A68AC" w14:textId="79A25175"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Expansión de las AI/II en la región de Asia y el Pacífico.</w:t>
            </w:r>
          </w:p>
          <w:p w14:paraId="5DCE804D" w14:textId="631BE6A5"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 xml:space="preserve">Repercusiones tangibles en Pakistán y Vanuatu, incluida </w:t>
            </w:r>
            <w:r w:rsidR="00F33FC8" w:rsidRPr="004A2CC5">
              <w:rPr>
                <w:lang w:val="es-ES_tradnl"/>
              </w:rPr>
              <w:lastRenderedPageBreak/>
              <w:t>la mejora de la conectividad y los servicios digitales.</w:t>
            </w:r>
          </w:p>
          <w:p w14:paraId="2CDB1A0E" w14:textId="10F6B4B5" w:rsidR="00F33FC8" w:rsidRPr="004A2CC5" w:rsidRDefault="00F33FC8" w:rsidP="00F34B21">
            <w:pPr>
              <w:pStyle w:val="Tabletext"/>
              <w:rPr>
                <w:b/>
                <w:bCs/>
                <w:lang w:val="es-ES_tradnl"/>
              </w:rPr>
            </w:pPr>
            <w:r w:rsidRPr="004A2CC5">
              <w:rPr>
                <w:b/>
                <w:bCs/>
                <w:lang w:val="es-ES_tradnl"/>
              </w:rPr>
              <w:t>Agricultura digital:</w:t>
            </w:r>
          </w:p>
          <w:p w14:paraId="6C835E1B" w14:textId="637F4B29"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Inicio de proyectos en colaboración con la FAO.</w:t>
            </w:r>
          </w:p>
          <w:p w14:paraId="06BE158B" w14:textId="257341B5"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Formación para agricultores sobre competencias digitales y comercio electrónico.</w:t>
            </w:r>
          </w:p>
          <w:p w14:paraId="3AD0B9A6" w14:textId="51AC801D" w:rsidR="00F33FC8" w:rsidRPr="004A2CC5" w:rsidRDefault="00F33FC8" w:rsidP="00F34B21">
            <w:pPr>
              <w:pStyle w:val="Tabletext"/>
              <w:rPr>
                <w:b/>
                <w:bCs/>
                <w:lang w:val="es-ES_tradnl"/>
              </w:rPr>
            </w:pPr>
            <w:r w:rsidRPr="004A2CC5">
              <w:rPr>
                <w:b/>
                <w:bCs/>
                <w:lang w:val="es-ES_tradnl"/>
              </w:rPr>
              <w:t>Salud digital:</w:t>
            </w:r>
          </w:p>
          <w:p w14:paraId="746EEA7F" w14:textId="61BBBDB0"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Elaboración de informes y manuales.</w:t>
            </w:r>
          </w:p>
          <w:p w14:paraId="5E26F821" w14:textId="76F253BC"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lang w:val="es-ES_tradnl"/>
              </w:rPr>
              <w:t>Iniciativas conjuntas con otros organismos de las Naciones Unidas (OMS) para responder a las ENT.</w:t>
            </w:r>
          </w:p>
          <w:p w14:paraId="49834603" w14:textId="77777777" w:rsidR="00B84B77" w:rsidRPr="004A2CC5" w:rsidRDefault="00B84B77" w:rsidP="00F34B21">
            <w:pPr>
              <w:pStyle w:val="Tabletext"/>
              <w:ind w:left="284" w:hanging="284"/>
              <w:rPr>
                <w:lang w:val="es-ES_tradnl"/>
              </w:rPr>
            </w:pPr>
          </w:p>
          <w:p w14:paraId="523062C0" w14:textId="4C21CA10"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África:</w:t>
            </w:r>
            <w:r w:rsidR="00F33FC8" w:rsidRPr="004A2CC5">
              <w:rPr>
                <w:lang w:val="es-ES_tradnl"/>
              </w:rPr>
              <w:t xml:space="preserve"> Gambia, </w:t>
            </w:r>
            <w:proofErr w:type="spellStart"/>
            <w:r w:rsidR="00F33FC8" w:rsidRPr="004A2CC5">
              <w:rPr>
                <w:lang w:val="es-ES_tradnl"/>
              </w:rPr>
              <w:t>Kenya</w:t>
            </w:r>
            <w:proofErr w:type="spellEnd"/>
            <w:r w:rsidR="00F33FC8" w:rsidRPr="004A2CC5">
              <w:rPr>
                <w:lang w:val="es-ES_tradnl"/>
              </w:rPr>
              <w:t xml:space="preserve">, </w:t>
            </w:r>
            <w:proofErr w:type="spellStart"/>
            <w:r w:rsidR="00F33FC8" w:rsidRPr="004A2CC5">
              <w:rPr>
                <w:lang w:val="es-ES_tradnl"/>
              </w:rPr>
              <w:t>Rwanda</w:t>
            </w:r>
            <w:proofErr w:type="spellEnd"/>
            <w:r w:rsidR="00F33FC8" w:rsidRPr="004A2CC5">
              <w:rPr>
                <w:lang w:val="es-ES_tradnl"/>
              </w:rPr>
              <w:t>, Senegal y Togo.</w:t>
            </w:r>
          </w:p>
          <w:p w14:paraId="07105210" w14:textId="45C289E3"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Estados Árabes:</w:t>
            </w:r>
            <w:r w:rsidR="00F33FC8" w:rsidRPr="004A2CC5">
              <w:rPr>
                <w:lang w:val="es-ES_tradnl"/>
              </w:rPr>
              <w:t xml:space="preserve"> Egipto, </w:t>
            </w:r>
            <w:proofErr w:type="spellStart"/>
            <w:r w:rsidR="00F33FC8" w:rsidRPr="004A2CC5">
              <w:rPr>
                <w:lang w:val="es-ES_tradnl"/>
              </w:rPr>
              <w:t>Djibouti</w:t>
            </w:r>
            <w:proofErr w:type="spellEnd"/>
            <w:r w:rsidR="00F33FC8" w:rsidRPr="004A2CC5">
              <w:rPr>
                <w:lang w:val="es-ES_tradnl"/>
              </w:rPr>
              <w:t xml:space="preserve"> y Somalia</w:t>
            </w:r>
          </w:p>
          <w:p w14:paraId="748A5535" w14:textId="5330954B"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Américas:</w:t>
            </w:r>
            <w:r w:rsidR="00F33FC8" w:rsidRPr="004A2CC5">
              <w:rPr>
                <w:lang w:val="es-ES_tradnl"/>
              </w:rPr>
              <w:t xml:space="preserve"> Belice, Colombia, Costa Rica, República Dominicana y Guatemala.</w:t>
            </w:r>
          </w:p>
          <w:p w14:paraId="16628C58" w14:textId="09DC3132"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Asia-Pacífico:</w:t>
            </w:r>
            <w:r w:rsidR="00F33FC8" w:rsidRPr="004A2CC5">
              <w:rPr>
                <w:lang w:val="es-ES_tradnl"/>
              </w:rPr>
              <w:t xml:space="preserve"> </w:t>
            </w:r>
            <w:proofErr w:type="spellStart"/>
            <w:r w:rsidR="00F33FC8" w:rsidRPr="004A2CC5">
              <w:rPr>
                <w:lang w:val="es-ES_tradnl"/>
              </w:rPr>
              <w:t>Fiji</w:t>
            </w:r>
            <w:proofErr w:type="spellEnd"/>
            <w:r w:rsidR="00F33FC8" w:rsidRPr="004A2CC5">
              <w:rPr>
                <w:lang w:val="es-ES_tradnl"/>
              </w:rPr>
              <w:t xml:space="preserve">, Filipinas, Indonesia, Islas Marshall, Islas Salomón, Kiribati, Micronesia, Nauru, Pakistán, </w:t>
            </w:r>
            <w:proofErr w:type="spellStart"/>
            <w:r w:rsidR="00F33FC8" w:rsidRPr="004A2CC5">
              <w:rPr>
                <w:lang w:val="es-ES_tradnl"/>
              </w:rPr>
              <w:t>Papua</w:t>
            </w:r>
            <w:proofErr w:type="spellEnd"/>
            <w:r w:rsidR="00F33FC8" w:rsidRPr="004A2CC5">
              <w:rPr>
                <w:lang w:val="es-ES_tradnl"/>
              </w:rPr>
              <w:t xml:space="preserve"> Nueva Guinea, Samoa, Tonga, Tuvalu y Vanuatu.</w:t>
            </w:r>
          </w:p>
          <w:p w14:paraId="16AAEACB" w14:textId="5F58018F" w:rsidR="00F33FC8" w:rsidRPr="004A2CC5" w:rsidRDefault="00F34B21" w:rsidP="00F34B21">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CEI:</w:t>
            </w:r>
            <w:r w:rsidR="00F33FC8" w:rsidRPr="004A2CC5">
              <w:rPr>
                <w:lang w:val="es-ES_tradnl"/>
              </w:rPr>
              <w:t xml:space="preserve"> Armenia, Azerbaiyán, </w:t>
            </w:r>
            <w:proofErr w:type="spellStart"/>
            <w:r w:rsidR="00F33FC8" w:rsidRPr="004A2CC5">
              <w:rPr>
                <w:lang w:val="es-ES_tradnl"/>
              </w:rPr>
              <w:t>Belarús</w:t>
            </w:r>
            <w:proofErr w:type="spellEnd"/>
            <w:r w:rsidR="00F33FC8" w:rsidRPr="004A2CC5">
              <w:rPr>
                <w:lang w:val="es-ES_tradnl"/>
              </w:rPr>
              <w:t xml:space="preserve">, Kazajistán, </w:t>
            </w:r>
            <w:r w:rsidR="00F33FC8" w:rsidRPr="004A2CC5">
              <w:rPr>
                <w:lang w:val="es-ES_tradnl"/>
              </w:rPr>
              <w:lastRenderedPageBreak/>
              <w:t>Kirguizistán, Tayikistán y Uzbekistán.</w:t>
            </w:r>
          </w:p>
          <w:p w14:paraId="6EE228FA" w14:textId="2600B161" w:rsidR="00F33FC8" w:rsidRPr="004A2CC5" w:rsidRDefault="00F34B21" w:rsidP="001F3C66">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Europa:</w:t>
            </w:r>
            <w:r w:rsidR="00F33FC8" w:rsidRPr="004A2CC5">
              <w:rPr>
                <w:lang w:val="es-ES_tradnl"/>
              </w:rPr>
              <w:t xml:space="preserve"> Albania, Bosnia y Herzegovina, Georgia, Moldova, Montenegro, Macedonia del Norte, Serbia, Türkiye y Ucrania.</w:t>
            </w:r>
          </w:p>
        </w:tc>
      </w:tr>
      <w:tr w:rsidR="00F33FC8" w:rsidRPr="004A2CC5" w14:paraId="4BEE81A1" w14:textId="77777777" w:rsidTr="004E72A0">
        <w:trPr>
          <w:trHeight w:val="463"/>
        </w:trPr>
        <w:tc>
          <w:tcPr>
            <w:tcW w:w="2785" w:type="dxa"/>
            <w:shd w:val="clear" w:color="auto" w:fill="FFFFFF" w:themeFill="background1"/>
          </w:tcPr>
          <w:p w14:paraId="5471F10A" w14:textId="77777777" w:rsidR="00F33FC8" w:rsidRPr="004A2CC5" w:rsidRDefault="00F33FC8" w:rsidP="00F34B21">
            <w:pPr>
              <w:pStyle w:val="Tabletext"/>
              <w:rPr>
                <w:b/>
                <w:bCs/>
                <w:lang w:val="es-ES_tradnl"/>
              </w:rPr>
            </w:pPr>
            <w:r w:rsidRPr="004A2CC5">
              <w:rPr>
                <w:b/>
                <w:bCs/>
                <w:lang w:val="es-ES_tradnl"/>
              </w:rPr>
              <w:lastRenderedPageBreak/>
              <w:t>Contribución a las metas de los ODS</w:t>
            </w:r>
          </w:p>
        </w:tc>
        <w:tc>
          <w:tcPr>
            <w:tcW w:w="12094" w:type="dxa"/>
            <w:gridSpan w:val="2"/>
            <w:shd w:val="clear" w:color="auto" w:fill="FFFFFF" w:themeFill="background1"/>
          </w:tcPr>
          <w:p w14:paraId="3238E679" w14:textId="77777777" w:rsidR="00F33FC8" w:rsidRPr="004A2CC5" w:rsidRDefault="00F33FC8" w:rsidP="00F34B21">
            <w:pPr>
              <w:pStyle w:val="Tabletext"/>
              <w:rPr>
                <w:lang w:val="es-ES_tradnl"/>
              </w:rPr>
            </w:pPr>
            <w:r w:rsidRPr="004A2CC5">
              <w:rPr>
                <w:lang w:val="es-ES_tradnl"/>
              </w:rPr>
              <w:t>ODS 1, 3, 4, 5, 8, 9, 10, 11, 16, 17</w:t>
            </w:r>
          </w:p>
        </w:tc>
      </w:tr>
      <w:tr w:rsidR="00F33FC8" w:rsidRPr="004A2CC5" w14:paraId="6923267B" w14:textId="77777777" w:rsidTr="004E72A0">
        <w:tc>
          <w:tcPr>
            <w:tcW w:w="2785" w:type="dxa"/>
          </w:tcPr>
          <w:p w14:paraId="17EFD6E1" w14:textId="7C48E496" w:rsidR="00F33FC8" w:rsidRPr="004A2CC5" w:rsidRDefault="00F33FC8" w:rsidP="00F34B21">
            <w:pPr>
              <w:pStyle w:val="Tabletext"/>
              <w:rPr>
                <w:b/>
                <w:bCs/>
                <w:lang w:val="es-ES_tradnl"/>
              </w:rPr>
            </w:pPr>
            <w:r w:rsidRPr="004A2CC5">
              <w:rPr>
                <w:b/>
                <w:bCs/>
                <w:lang w:val="es-ES_tradnl"/>
              </w:rPr>
              <w:t>Líneas de Acción de la CMSI</w:t>
            </w:r>
          </w:p>
        </w:tc>
        <w:tc>
          <w:tcPr>
            <w:tcW w:w="12094" w:type="dxa"/>
            <w:gridSpan w:val="2"/>
          </w:tcPr>
          <w:p w14:paraId="671343F6" w14:textId="77777777" w:rsidR="00F33FC8" w:rsidRPr="004A2CC5" w:rsidRDefault="00F33FC8" w:rsidP="00F34B21">
            <w:pPr>
              <w:pStyle w:val="Tabletext"/>
              <w:rPr>
                <w:rFonts w:ascii="Calibri" w:hAnsi="Calibri" w:cs="Calibri"/>
                <w:lang w:val="es-ES_tradnl"/>
              </w:rPr>
            </w:pPr>
            <w:r w:rsidRPr="004A2CC5">
              <w:rPr>
                <w:lang w:val="es-ES_tradnl"/>
              </w:rPr>
              <w:t>C1, C2, C3, C4, C5, C6, C7, C11</w:t>
            </w:r>
          </w:p>
        </w:tc>
      </w:tr>
      <w:tr w:rsidR="00F33FC8" w:rsidRPr="00B6045A" w14:paraId="253A6C55" w14:textId="77777777" w:rsidTr="004E72A0">
        <w:tc>
          <w:tcPr>
            <w:tcW w:w="2785" w:type="dxa"/>
          </w:tcPr>
          <w:p w14:paraId="04882F07" w14:textId="77777777" w:rsidR="00F33FC8" w:rsidRPr="004A2CC5" w:rsidRDefault="00F33FC8" w:rsidP="00F34B21">
            <w:pPr>
              <w:pStyle w:val="Tabletext"/>
              <w:rPr>
                <w:b/>
                <w:bCs/>
                <w:lang w:val="es-ES_tradnl"/>
              </w:rPr>
            </w:pPr>
            <w:r w:rsidRPr="004A2CC5">
              <w:rPr>
                <w:b/>
                <w:bCs/>
                <w:lang w:val="es-ES_tradnl"/>
              </w:rPr>
              <w:t>Resoluciones</w:t>
            </w:r>
          </w:p>
        </w:tc>
        <w:tc>
          <w:tcPr>
            <w:tcW w:w="12094" w:type="dxa"/>
            <w:gridSpan w:val="2"/>
          </w:tcPr>
          <w:p w14:paraId="7780DA0F" w14:textId="77777777" w:rsidR="00F33FC8" w:rsidRPr="004A2CC5" w:rsidRDefault="00F33FC8" w:rsidP="00F34B21">
            <w:pPr>
              <w:pStyle w:val="Tabletext"/>
              <w:rPr>
                <w:lang w:val="es-ES_tradnl"/>
              </w:rPr>
            </w:pPr>
            <w:r w:rsidRPr="004A2CC5">
              <w:rPr>
                <w:lang w:val="es-ES_tradnl"/>
              </w:rPr>
              <w:t>205 de la PP; 16, 30, 37, 85 y 90 de la CMDT; Cuestiones 2/1, 4/1, 1/2, 2/2</w:t>
            </w:r>
          </w:p>
        </w:tc>
      </w:tr>
    </w:tbl>
    <w:tbl>
      <w:tblPr>
        <w:tblStyle w:val="TableGrid4"/>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80"/>
        <w:gridCol w:w="9000"/>
        <w:gridCol w:w="2970"/>
      </w:tblGrid>
      <w:tr w:rsidR="00F33FC8" w:rsidRPr="00B6045A" w14:paraId="4F96AD77" w14:textId="77777777" w:rsidTr="004E72A0">
        <w:tc>
          <w:tcPr>
            <w:tcW w:w="14850" w:type="dxa"/>
            <w:gridSpan w:val="3"/>
            <w:shd w:val="clear" w:color="auto" w:fill="2F5496"/>
          </w:tcPr>
          <w:p w14:paraId="4D5ACE85" w14:textId="77777777" w:rsidR="00F33FC8" w:rsidRPr="004A2CC5" w:rsidRDefault="00F33FC8" w:rsidP="001F3C66">
            <w:pPr>
              <w:pStyle w:val="Tablehead"/>
              <w:rPr>
                <w:lang w:val="es-ES_tradnl"/>
              </w:rPr>
            </w:pPr>
            <w:r w:rsidRPr="004A2CC5">
              <w:rPr>
                <w:lang w:val="es-ES_tradnl"/>
              </w:rPr>
              <w:t>Prioridad 3 del UIT-D: Entorno político y reglamentario propicio</w:t>
            </w:r>
          </w:p>
          <w:p w14:paraId="2FB1B5C2" w14:textId="77777777" w:rsidR="00F33FC8" w:rsidRPr="004A2CC5" w:rsidRDefault="00F33FC8" w:rsidP="001F3C66">
            <w:pPr>
              <w:pStyle w:val="Tablehead"/>
              <w:rPr>
                <w:i/>
                <w:iCs/>
                <w:lang w:val="es-ES_tradnl"/>
              </w:rPr>
            </w:pPr>
            <w:r w:rsidRPr="004A2CC5">
              <w:rPr>
                <w:i/>
                <w:iCs/>
                <w:lang w:val="es-ES_tradnl"/>
              </w:rPr>
              <w:t>Fomento de un entorno político y reglamentario propicio para el desarrollo sostenible de las telecomunicaciones/TIC</w:t>
            </w:r>
          </w:p>
        </w:tc>
      </w:tr>
      <w:tr w:rsidR="00F33FC8" w:rsidRPr="00B6045A" w14:paraId="47E18696" w14:textId="77777777" w:rsidTr="004E72A0">
        <w:tc>
          <w:tcPr>
            <w:tcW w:w="14850" w:type="dxa"/>
            <w:gridSpan w:val="3"/>
            <w:shd w:val="clear" w:color="auto" w:fill="E5DFEC" w:themeFill="accent4" w:themeFillTint="33"/>
          </w:tcPr>
          <w:p w14:paraId="62898DD6" w14:textId="77777777" w:rsidR="00F33FC8" w:rsidRPr="004A2CC5" w:rsidRDefault="00F33FC8" w:rsidP="001F3C66">
            <w:pPr>
              <w:pStyle w:val="Tabletext"/>
              <w:rPr>
                <w:b/>
                <w:bCs/>
                <w:lang w:val="es-ES_tradnl"/>
              </w:rPr>
            </w:pPr>
            <w:r w:rsidRPr="004A2CC5">
              <w:rPr>
                <w:b/>
                <w:bCs/>
                <w:lang w:val="es-ES_tradnl"/>
              </w:rPr>
              <w:t>Capacitación</w:t>
            </w:r>
          </w:p>
          <w:p w14:paraId="52134241" w14:textId="77777777" w:rsidR="00F33FC8" w:rsidRPr="004A2CC5" w:rsidRDefault="00F33FC8" w:rsidP="001F3C66">
            <w:pPr>
              <w:pStyle w:val="Tabletext"/>
              <w:rPr>
                <w:color w:val="FFFFFF"/>
                <w:lang w:val="es-ES_tradnl"/>
              </w:rPr>
            </w:pPr>
            <w:r w:rsidRPr="004A2CC5">
              <w:rPr>
                <w:b/>
                <w:bCs/>
                <w:i/>
                <w:iCs/>
                <w:lang w:val="es-ES_tradnl"/>
              </w:rPr>
              <w:t>Realización:</w:t>
            </w:r>
            <w:r w:rsidRPr="004A2CC5">
              <w:rPr>
                <w:i/>
                <w:iCs/>
                <w:lang w:val="es-ES_tradnl"/>
              </w:rPr>
              <w:t xml:space="preserve"> Mejora de las capacidades personales e institucionales de los Miembros de la UIT en materia de telecomunicaciones/TIC para aprovechar todo el potencial de la economía y la sociedad digitales</w:t>
            </w:r>
          </w:p>
        </w:tc>
      </w:tr>
      <w:tr w:rsidR="00F33FC8" w:rsidRPr="004A2CC5" w14:paraId="6B9A4576" w14:textId="77777777" w:rsidTr="004E72A0">
        <w:tc>
          <w:tcPr>
            <w:tcW w:w="11880" w:type="dxa"/>
            <w:gridSpan w:val="2"/>
            <w:shd w:val="clear" w:color="auto" w:fill="auto"/>
          </w:tcPr>
          <w:p w14:paraId="31F51391" w14:textId="77777777" w:rsidR="00F33FC8" w:rsidRPr="004A2CC5" w:rsidRDefault="00F33FC8" w:rsidP="001F3C66">
            <w:pPr>
              <w:pStyle w:val="Tablehead"/>
              <w:rPr>
                <w:lang w:val="es-ES_tradnl"/>
              </w:rPr>
            </w:pPr>
            <w:r w:rsidRPr="004A2CC5">
              <w:rPr>
                <w:lang w:val="es-ES_tradnl"/>
              </w:rPr>
              <w:t>Productos</w:t>
            </w:r>
          </w:p>
        </w:tc>
        <w:tc>
          <w:tcPr>
            <w:tcW w:w="2970" w:type="dxa"/>
            <w:shd w:val="clear" w:color="auto" w:fill="auto"/>
          </w:tcPr>
          <w:p w14:paraId="21FC6ACF" w14:textId="77777777" w:rsidR="00F33FC8" w:rsidRPr="004A2CC5" w:rsidRDefault="00F33FC8" w:rsidP="001F3C66">
            <w:pPr>
              <w:pStyle w:val="Tablehead"/>
              <w:rPr>
                <w:lang w:val="es-ES_tradnl"/>
              </w:rPr>
            </w:pPr>
            <w:r w:rsidRPr="004A2CC5">
              <w:rPr>
                <w:lang w:val="es-ES_tradnl"/>
              </w:rPr>
              <w:t xml:space="preserve">Datos destacados </w:t>
            </w:r>
          </w:p>
        </w:tc>
      </w:tr>
      <w:tr w:rsidR="00F33FC8" w:rsidRPr="004A2CC5" w14:paraId="5E70759E" w14:textId="77777777" w:rsidTr="004E72A0">
        <w:tc>
          <w:tcPr>
            <w:tcW w:w="11880" w:type="dxa"/>
            <w:gridSpan w:val="2"/>
            <w:vMerge w:val="restart"/>
          </w:tcPr>
          <w:p w14:paraId="1867BDE6" w14:textId="46FA1446" w:rsidR="00F33FC8" w:rsidRPr="004A2CC5" w:rsidRDefault="00F33FC8" w:rsidP="001F3C66">
            <w:pPr>
              <w:pStyle w:val="Tabletext"/>
              <w:rPr>
                <w:lang w:val="es-ES_tradnl"/>
              </w:rPr>
            </w:pPr>
            <w:r w:rsidRPr="004A2CC5">
              <w:rPr>
                <w:lang w:val="es-ES_tradnl"/>
              </w:rPr>
              <w:t xml:space="preserve">La UIT se ha comprometido a mejorar las capacidades personales e institucionales de sus miembros, dando prioridad a la oferta de programas de formación de alta calidad. En este contexto, se han impartido cursos de formación a través de la </w:t>
            </w:r>
            <w:r w:rsidRPr="004A2CC5">
              <w:rPr>
                <w:rFonts w:ascii="Calibri" w:hAnsi="Calibri" w:cs="Calibri"/>
                <w:color w:val="0000FF"/>
                <w:u w:val="single"/>
                <w:bdr w:val="none" w:sz="0" w:space="0" w:color="auto" w:frame="1"/>
                <w:shd w:val="clear" w:color="auto" w:fill="FFFFFF"/>
                <w:lang w:val="es-ES_tradnl"/>
              </w:rPr>
              <w:t xml:space="preserve">Academia de la </w:t>
            </w:r>
            <w:hyperlink r:id="rId34" w:history="1">
              <w:r w:rsidRPr="004A2CC5">
                <w:rPr>
                  <w:rFonts w:ascii="Calibri" w:hAnsi="Calibri" w:cs="Calibri"/>
                  <w:color w:val="0000FF"/>
                  <w:u w:val="single"/>
                  <w:bdr w:val="none" w:sz="0" w:space="0" w:color="auto" w:frame="1"/>
                  <w:shd w:val="clear" w:color="auto" w:fill="FFFFFF"/>
                  <w:lang w:val="es-ES_tradnl"/>
                </w:rPr>
                <w:t>UIT</w:t>
              </w:r>
            </w:hyperlink>
            <w:r w:rsidRPr="004A2CC5">
              <w:rPr>
                <w:rFonts w:ascii="Calibri" w:hAnsi="Calibri" w:cs="Calibri"/>
                <w:color w:val="242424"/>
                <w:bdr w:val="none" w:sz="0" w:space="0" w:color="auto" w:frame="1"/>
                <w:shd w:val="clear" w:color="auto" w:fill="FFFFFF"/>
                <w:lang w:val="es-ES_tradnl"/>
              </w:rPr>
              <w:t xml:space="preserve"> y los </w:t>
            </w:r>
            <w:hyperlink r:id="rId35" w:history="1">
              <w:r w:rsidRPr="004A2CC5">
                <w:rPr>
                  <w:color w:val="0000FF"/>
                  <w:u w:val="single"/>
                  <w:lang w:val="es-ES_tradnl"/>
                </w:rPr>
                <w:t xml:space="preserve">Centros de Formación de </w:t>
              </w:r>
              <w:r w:rsidRPr="004A2CC5">
                <w:rPr>
                  <w:rFonts w:ascii="Calibri" w:hAnsi="Calibri" w:cs="Calibri"/>
                  <w:color w:val="0000FF"/>
                  <w:u w:val="single"/>
                  <w:bdr w:val="none" w:sz="0" w:space="0" w:color="auto" w:frame="1"/>
                  <w:shd w:val="clear" w:color="auto" w:fill="FFFFFF"/>
                  <w:lang w:val="es-ES_tradnl"/>
                </w:rPr>
                <w:t>la Academia de la UIT</w:t>
              </w:r>
            </w:hyperlink>
            <w:r w:rsidRPr="004A2CC5">
              <w:rPr>
                <w:rFonts w:ascii="Calibri" w:hAnsi="Calibri" w:cs="Calibri"/>
                <w:bdr w:val="none" w:sz="0" w:space="0" w:color="auto" w:frame="1"/>
                <w:shd w:val="clear" w:color="auto" w:fill="FFFFFF"/>
                <w:lang w:val="es-ES_tradnl"/>
              </w:rPr>
              <w:t xml:space="preserve"> (CFA)</w:t>
            </w:r>
            <w:r w:rsidRPr="004A2CC5">
              <w:rPr>
                <w:rFonts w:ascii="Calibri" w:hAnsi="Calibri" w:cs="Calibri"/>
                <w:bdr w:val="none" w:sz="0" w:space="0" w:color="auto" w:frame="1"/>
                <w:lang w:val="es-ES_tradnl"/>
              </w:rPr>
              <w:t xml:space="preserve">, con el objetivo de lograr repercusiones significativas para los miembros de la Unión. Entre junio de 2023 y abril de 2024, </w:t>
            </w:r>
            <w:r w:rsidRPr="004A2CC5">
              <w:rPr>
                <w:rFonts w:ascii="Calibri" w:hAnsi="Calibri" w:cs="Calibri"/>
                <w:color w:val="242424"/>
                <w:bdr w:val="none" w:sz="0" w:space="0" w:color="auto" w:frame="1"/>
                <w:lang w:val="es-ES_tradnl"/>
              </w:rPr>
              <w:t xml:space="preserve">la </w:t>
            </w:r>
            <w:r w:rsidRPr="004A2CC5">
              <w:rPr>
                <w:color w:val="0000FF"/>
                <w:u w:val="single"/>
                <w:lang w:val="es-ES_tradnl"/>
              </w:rPr>
              <w:t xml:space="preserve">Academia de la </w:t>
            </w:r>
            <w:hyperlink r:id="rId36" w:history="1">
              <w:r w:rsidRPr="004A2CC5">
                <w:rPr>
                  <w:rFonts w:ascii="Calibri" w:hAnsi="Calibri" w:cs="Calibri"/>
                  <w:color w:val="0000FF"/>
                  <w:u w:val="single"/>
                  <w:bdr w:val="none" w:sz="0" w:space="0" w:color="auto" w:frame="1"/>
                  <w:lang w:val="es-ES_tradnl"/>
                </w:rPr>
                <w:t>UIT</w:t>
              </w:r>
            </w:hyperlink>
            <w:r w:rsidRPr="004A2CC5">
              <w:rPr>
                <w:lang w:val="es-ES_tradnl"/>
              </w:rPr>
              <w:t xml:space="preserve"> ha registrado </w:t>
            </w:r>
            <w:r w:rsidRPr="004A2CC5">
              <w:rPr>
                <w:b/>
                <w:bCs/>
                <w:lang w:val="es-ES_tradnl"/>
              </w:rPr>
              <w:t>7 800 usuarios adicionales, sumando así un total de más de 47 300 alumnos procedentes de todos los Estados Miembros</w:t>
            </w:r>
            <w:r w:rsidRPr="004A2CC5">
              <w:rPr>
                <w:lang w:val="es-ES_tradnl"/>
              </w:rPr>
              <w:t>, de los cuales más del 70% proviene de países en desarrollo. Durante ese mismo periodo, se han impartido más de 130 cursos a través de la plataforma a más de 13 500 participantes inscritos, de los cuales más de 3 500 habían completado los cursos en cuestión en abril de 2024 (otros están en ello). Más de 2 200 participantes han completado las encuestas de evaluación de sus cursos y el 90% se ha declarado satisfecho o muy satisfecho con la experiencia</w:t>
            </w:r>
            <w:r w:rsidRPr="004A2CC5">
              <w:rPr>
                <w:rFonts w:ascii="Calibri" w:hAnsi="Calibri" w:cs="Calibri"/>
                <w:color w:val="242424"/>
                <w:bdr w:val="none" w:sz="0" w:space="0" w:color="auto" w:frame="1"/>
                <w:shd w:val="clear" w:color="auto" w:fill="FFFFFF"/>
                <w:lang w:val="es-ES_tradnl"/>
              </w:rPr>
              <w:t>.</w:t>
            </w:r>
          </w:p>
          <w:p w14:paraId="419165EB" w14:textId="4751B402" w:rsidR="00F33FC8" w:rsidRPr="004A2CC5" w:rsidRDefault="00F33FC8" w:rsidP="001F3C66">
            <w:pPr>
              <w:pStyle w:val="Tabletext"/>
              <w:rPr>
                <w:rFonts w:ascii="Calibri" w:hAnsi="Calibri" w:cs="Calibri"/>
                <w:bdr w:val="none" w:sz="0" w:space="0" w:color="auto" w:frame="1"/>
                <w:shd w:val="clear" w:color="auto" w:fill="FFFFFF"/>
                <w:lang w:val="es-ES_tradnl"/>
              </w:rPr>
            </w:pPr>
            <w:r w:rsidRPr="004A2CC5">
              <w:rPr>
                <w:rFonts w:ascii="Calibri" w:hAnsi="Calibri" w:cs="Calibri"/>
                <w:bdr w:val="none" w:sz="0" w:space="0" w:color="auto" w:frame="1"/>
                <w:shd w:val="clear" w:color="auto" w:fill="FFFFFF"/>
                <w:lang w:val="es-ES_tradnl"/>
              </w:rPr>
              <w:t xml:space="preserve">Durante el primer año de funcionamiento, </w:t>
            </w:r>
            <w:r w:rsidRPr="004A2CC5">
              <w:rPr>
                <w:rFonts w:ascii="Calibri" w:hAnsi="Calibri" w:cs="Calibri"/>
                <w:b/>
                <w:bCs/>
                <w:bdr w:val="none" w:sz="0" w:space="0" w:color="auto" w:frame="1"/>
                <w:lang w:val="es-ES_tradnl"/>
              </w:rPr>
              <w:t xml:space="preserve">los CFA impartieron 45 cursos a unos 2 900 participantes inscritos </w:t>
            </w:r>
            <w:r w:rsidRPr="004A2CC5">
              <w:rPr>
                <w:rFonts w:ascii="Calibri" w:hAnsi="Calibri" w:cs="Calibri"/>
                <w:bdr w:val="none" w:sz="0" w:space="0" w:color="auto" w:frame="1"/>
                <w:lang w:val="es-ES_tradnl"/>
              </w:rPr>
              <w:t xml:space="preserve">y, en abril de 2024, sumaban más de 900 cursos completados. Durante el primer trimestre de 2024, la BDT ha organizado varias sesiones de formación sobre cómo impartir cursos en línea atractivos, dirigidas a los docentes de los 13 CFA. El objetivo de esta iniciativa ha sido elevar la calidad de los cursos de formación, mejorando las técnicas de facilitación y de enseñanza virtual y permitiendo el intercambio de prácticas idóneas entre las instituciones participantes. Con ocasión de la </w:t>
            </w:r>
            <w:hyperlink r:id="rId37" w:history="1">
              <w:r w:rsidRPr="004A2CC5">
                <w:rPr>
                  <w:color w:val="0000FF" w:themeColor="hyperlink"/>
                  <w:u w:val="single"/>
                  <w:lang w:val="es-ES_tradnl"/>
                </w:rPr>
                <w:t>primera reunión anual mundial de</w:t>
              </w:r>
            </w:hyperlink>
            <w:r w:rsidRPr="004A2CC5">
              <w:rPr>
                <w:color w:val="0000FF" w:themeColor="hyperlink"/>
                <w:u w:val="single"/>
                <w:lang w:val="es-ES_tradnl"/>
              </w:rPr>
              <w:t xml:space="preserve"> los CFA</w:t>
            </w:r>
            <w:r w:rsidRPr="004A2CC5">
              <w:rPr>
                <w:rFonts w:ascii="Calibri" w:hAnsi="Calibri" w:cs="Calibri"/>
                <w:bdr w:val="none" w:sz="0" w:space="0" w:color="auto" w:frame="1"/>
                <w:lang w:val="es-ES_tradnl"/>
              </w:rPr>
              <w:t>, representantes de los 13 centros se reunieron, compartieron metodologías y promovieron prácticas idóneas con el objetivo de ofrecer una experiencia didáctica óptima, empoderando así a profesionales de las TIC de todo el mundo</w:t>
            </w:r>
            <w:r w:rsidRPr="004A2CC5">
              <w:rPr>
                <w:rFonts w:ascii="Calibri" w:hAnsi="Calibri" w:cs="Calibri"/>
                <w:bdr w:val="none" w:sz="0" w:space="0" w:color="auto" w:frame="1"/>
                <w:shd w:val="clear" w:color="auto" w:fill="FFFFFF"/>
                <w:lang w:val="es-ES_tradnl"/>
              </w:rPr>
              <w:t>.</w:t>
            </w:r>
          </w:p>
          <w:p w14:paraId="4CEF9619" w14:textId="01411B36" w:rsidR="00F33FC8" w:rsidRPr="004A2CC5" w:rsidRDefault="00F33FC8" w:rsidP="001F3C66">
            <w:pPr>
              <w:pStyle w:val="Tabletext"/>
              <w:rPr>
                <w:lang w:val="es-ES_tradnl"/>
              </w:rPr>
            </w:pPr>
            <w:r w:rsidRPr="004A2CC5">
              <w:rPr>
                <w:lang w:val="es-ES_tradnl"/>
              </w:rPr>
              <w:t xml:space="preserve">En colaboración con </w:t>
            </w:r>
            <w:r w:rsidRPr="004A2CC5">
              <w:rPr>
                <w:b/>
                <w:bCs/>
                <w:lang w:val="es-ES_tradnl"/>
              </w:rPr>
              <w:t>Cisco,</w:t>
            </w:r>
            <w:r w:rsidRPr="004A2CC5">
              <w:rPr>
                <w:lang w:val="es-ES_tradnl"/>
              </w:rPr>
              <w:t xml:space="preserve"> la </w:t>
            </w:r>
            <w:hyperlink r:id="rId38">
              <w:r w:rsidRPr="004A2CC5">
                <w:rPr>
                  <w:color w:val="0000FF" w:themeColor="hyperlink"/>
                  <w:u w:val="single"/>
                  <w:lang w:val="es-ES_tradnl"/>
                </w:rPr>
                <w:t>iniciativa de los Centros de Transformación</w:t>
              </w:r>
            </w:hyperlink>
            <w:r w:rsidRPr="004A2CC5">
              <w:rPr>
                <w:color w:val="0000FF" w:themeColor="hyperlink"/>
                <w:u w:val="single"/>
                <w:lang w:val="es-ES_tradnl"/>
              </w:rPr>
              <w:t xml:space="preserve"> Digital (CTD)</w:t>
            </w:r>
            <w:r w:rsidRPr="004A2CC5">
              <w:rPr>
                <w:lang w:val="es-ES_tradnl"/>
              </w:rPr>
              <w:t xml:space="preserve"> amplió sus actividades con la incorporación a la red de los nuevos CTD de Senegal y Sierra Leona, lo que elevó a 314 910 el número total de participantes en cursos de formación en competencias digitales básicas e intermedias, de los cuales el 54% fueron mujeres. Además, en 2023, la </w:t>
            </w:r>
            <w:r w:rsidRPr="004A2CC5">
              <w:rPr>
                <w:b/>
                <w:bCs/>
                <w:lang w:val="es-ES_tradnl"/>
              </w:rPr>
              <w:t xml:space="preserve">ST </w:t>
            </w:r>
            <w:proofErr w:type="spellStart"/>
            <w:r w:rsidRPr="004A2CC5">
              <w:rPr>
                <w:b/>
                <w:bCs/>
                <w:lang w:val="es-ES_tradnl"/>
              </w:rPr>
              <w:t>Microelectronics</w:t>
            </w:r>
            <w:proofErr w:type="spellEnd"/>
            <w:r w:rsidRPr="004A2CC5">
              <w:rPr>
                <w:b/>
                <w:bCs/>
                <w:lang w:val="es-ES_tradnl"/>
              </w:rPr>
              <w:t xml:space="preserve"> </w:t>
            </w:r>
            <w:proofErr w:type="spellStart"/>
            <w:r w:rsidRPr="004A2CC5">
              <w:rPr>
                <w:b/>
                <w:bCs/>
                <w:lang w:val="es-ES_tradnl"/>
              </w:rPr>
              <w:t>Foundation</w:t>
            </w:r>
            <w:proofErr w:type="spellEnd"/>
            <w:r w:rsidRPr="004A2CC5">
              <w:rPr>
                <w:b/>
                <w:bCs/>
                <w:lang w:val="es-ES_tradnl"/>
              </w:rPr>
              <w:t xml:space="preserve"> </w:t>
            </w:r>
            <w:r w:rsidRPr="004A2CC5">
              <w:rPr>
                <w:lang w:val="es-ES_tradnl"/>
              </w:rPr>
              <w:t>pasó a formar parte oficialmente de la iniciativa de CTD e impartió con éxito un curso centrado en nociones informáticas básicas para persona</w:t>
            </w:r>
            <w:r w:rsidR="00B84B77" w:rsidRPr="004A2CC5">
              <w:rPr>
                <w:lang w:val="es-ES_tradnl"/>
              </w:rPr>
              <w:t>s</w:t>
            </w:r>
            <w:r w:rsidRPr="004A2CC5">
              <w:rPr>
                <w:lang w:val="es-ES_tradnl"/>
              </w:rPr>
              <w:t xml:space="preserve"> con deficiencia visual a través del CTD de Ghana.</w:t>
            </w:r>
          </w:p>
          <w:p w14:paraId="1AD04258" w14:textId="01677433" w:rsidR="00F33FC8" w:rsidRPr="004A2CC5" w:rsidRDefault="00F33FC8" w:rsidP="001F3C66">
            <w:pPr>
              <w:pStyle w:val="Tabletext"/>
              <w:rPr>
                <w:lang w:val="es-ES_tradnl"/>
              </w:rPr>
            </w:pPr>
            <w:r w:rsidRPr="004A2CC5">
              <w:rPr>
                <w:lang w:val="es-ES_tradnl"/>
              </w:rPr>
              <w:lastRenderedPageBreak/>
              <w:t xml:space="preserve">Las asociaciones revisten una importancia crucial para el éxito de las iniciativas de capacitación de la </w:t>
            </w:r>
            <w:r w:rsidR="003B766B">
              <w:rPr>
                <w:lang w:val="es-ES_tradnl"/>
              </w:rPr>
              <w:t>BDT</w:t>
            </w:r>
            <w:r w:rsidRPr="004A2CC5">
              <w:rPr>
                <w:lang w:val="es-ES_tradnl"/>
              </w:rPr>
              <w:t xml:space="preserve">. Durante el tercer trimestre de 2023, la </w:t>
            </w:r>
            <w:r w:rsidR="003B766B">
              <w:rPr>
                <w:lang w:val="es-ES_tradnl"/>
              </w:rPr>
              <w:t>BDT</w:t>
            </w:r>
            <w:r w:rsidR="003B766B" w:rsidRPr="004A2CC5">
              <w:rPr>
                <w:lang w:val="es-ES_tradnl"/>
              </w:rPr>
              <w:t xml:space="preserve"> </w:t>
            </w:r>
            <w:r w:rsidRPr="004A2CC5">
              <w:rPr>
                <w:lang w:val="es-ES_tradnl"/>
              </w:rPr>
              <w:t xml:space="preserve">puso en marcha un nuevo proyecto encaminado al </w:t>
            </w:r>
            <w:r w:rsidRPr="004A2CC5">
              <w:rPr>
                <w:b/>
                <w:bCs/>
                <w:lang w:val="es-ES_tradnl"/>
              </w:rPr>
              <w:t>desarrollo de capacidades para la transformación digital</w:t>
            </w:r>
            <w:r w:rsidRPr="004A2CC5">
              <w:rPr>
                <w:lang w:val="es-ES_tradnl"/>
              </w:rPr>
              <w:t xml:space="preserve">. Dicho proyecto, financiado por la </w:t>
            </w:r>
            <w:r w:rsidRPr="004A2CC5">
              <w:rPr>
                <w:b/>
                <w:bCs/>
                <w:lang w:val="es-ES_tradnl"/>
              </w:rPr>
              <w:t xml:space="preserve">Comisión Europea </w:t>
            </w:r>
            <w:r w:rsidRPr="004A2CC5">
              <w:rPr>
                <w:lang w:val="es-ES_tradnl"/>
              </w:rPr>
              <w:t>por</w:t>
            </w:r>
            <w:r w:rsidRPr="004A2CC5">
              <w:rPr>
                <w:b/>
                <w:bCs/>
                <w:lang w:val="es-ES_tradnl"/>
              </w:rPr>
              <w:t xml:space="preserve"> </w:t>
            </w:r>
            <w:r w:rsidRPr="004A2CC5">
              <w:rPr>
                <w:lang w:val="es-ES_tradnl"/>
              </w:rPr>
              <w:t>un periodo de cuatro años, tiene por objeto impartir formación de la Academia de la UIT a responsables de la elaboración de políticas y funcionarios gubernamentales del sector de las TIC.</w:t>
            </w:r>
          </w:p>
          <w:p w14:paraId="57A60DE3" w14:textId="2E4FCA0D" w:rsidR="00F33FC8" w:rsidRPr="004A2CC5" w:rsidRDefault="00F33FC8" w:rsidP="001F3C66">
            <w:pPr>
              <w:pStyle w:val="Tabletext"/>
              <w:rPr>
                <w:lang w:val="es-ES_tradnl"/>
              </w:rPr>
            </w:pPr>
            <w:r w:rsidRPr="004A2CC5">
              <w:rPr>
                <w:lang w:val="es-ES_tradnl"/>
              </w:rPr>
              <w:t xml:space="preserve">A través del proyecto de los CTD sobre fomento de las competencias digitales, la </w:t>
            </w:r>
            <w:r w:rsidR="003B766B">
              <w:rPr>
                <w:lang w:val="es-ES_tradnl"/>
              </w:rPr>
              <w:t>BDT</w:t>
            </w:r>
            <w:r w:rsidR="003B766B" w:rsidRPr="004A2CC5">
              <w:rPr>
                <w:lang w:val="es-ES_tradnl"/>
              </w:rPr>
              <w:t xml:space="preserve"> </w:t>
            </w:r>
            <w:r w:rsidRPr="004A2CC5">
              <w:rPr>
                <w:lang w:val="es-ES_tradnl"/>
              </w:rPr>
              <w:t>y la</w:t>
            </w:r>
            <w:r w:rsidRPr="004A2CC5">
              <w:rPr>
                <w:b/>
                <w:bCs/>
                <w:lang w:val="es-ES_tradnl"/>
              </w:rPr>
              <w:t xml:space="preserve"> Agencia Noruega de Cooperación para el Desarrollo (</w:t>
            </w:r>
            <w:proofErr w:type="spellStart"/>
            <w:r w:rsidRPr="004A2CC5">
              <w:rPr>
                <w:b/>
                <w:bCs/>
                <w:lang w:val="es-ES_tradnl"/>
              </w:rPr>
              <w:t>Norad</w:t>
            </w:r>
            <w:proofErr w:type="spellEnd"/>
            <w:r w:rsidRPr="004A2CC5">
              <w:rPr>
                <w:b/>
                <w:bCs/>
                <w:lang w:val="es-ES_tradnl"/>
              </w:rPr>
              <w:t xml:space="preserve">) </w:t>
            </w:r>
            <w:r w:rsidRPr="004A2CC5">
              <w:rPr>
                <w:lang w:val="es-ES_tradnl"/>
              </w:rPr>
              <w:t xml:space="preserve">ha facilitado actividades de estos centros en Ghana, de las que se han beneficiado más de 18 000 ciudadanos, de los cuales el 68% fueron mujeres. A finales de 2023, la UIT recibió nuevos fondos de la </w:t>
            </w:r>
            <w:proofErr w:type="spellStart"/>
            <w:r w:rsidRPr="004A2CC5">
              <w:rPr>
                <w:lang w:val="es-ES_tradnl"/>
              </w:rPr>
              <w:t>Norad</w:t>
            </w:r>
            <w:proofErr w:type="spellEnd"/>
            <w:r w:rsidRPr="004A2CC5">
              <w:rPr>
                <w:lang w:val="es-ES_tradnl"/>
              </w:rPr>
              <w:t xml:space="preserve"> en apoyo al programa mundial de los CTD para otros dos años.</w:t>
            </w:r>
          </w:p>
          <w:p w14:paraId="0CFAF247" w14:textId="3A519672" w:rsidR="00F33FC8" w:rsidRPr="004A2CC5" w:rsidRDefault="00F33FC8" w:rsidP="001F3C66">
            <w:pPr>
              <w:pStyle w:val="Tabletext"/>
              <w:rPr>
                <w:rFonts w:ascii="Calibri" w:hAnsi="Calibri"/>
                <w:lang w:val="es-ES_tradnl"/>
              </w:rPr>
            </w:pPr>
            <w:r w:rsidRPr="004A2CC5">
              <w:rPr>
                <w:rFonts w:ascii="Calibri" w:hAnsi="Calibri"/>
                <w:lang w:val="es-ES_tradnl"/>
              </w:rPr>
              <w:t xml:space="preserve">La comunidad de los CTD se ha visto aún más reforzada con la asociación entre </w:t>
            </w:r>
            <w:proofErr w:type="spellStart"/>
            <w:r w:rsidRPr="004A2CC5">
              <w:rPr>
                <w:rFonts w:ascii="Calibri" w:hAnsi="Calibri"/>
                <w:b/>
                <w:bCs/>
                <w:lang w:val="es-ES_tradnl"/>
              </w:rPr>
              <w:t>Indosat</w:t>
            </w:r>
            <w:proofErr w:type="spellEnd"/>
            <w:r w:rsidRPr="004A2CC5">
              <w:rPr>
                <w:rFonts w:ascii="Calibri" w:hAnsi="Calibri"/>
                <w:b/>
                <w:bCs/>
                <w:lang w:val="es-ES_tradnl"/>
              </w:rPr>
              <w:t xml:space="preserve"> y </w:t>
            </w:r>
            <w:proofErr w:type="spellStart"/>
            <w:r w:rsidRPr="004A2CC5">
              <w:rPr>
                <w:rFonts w:ascii="Calibri" w:hAnsi="Calibri"/>
                <w:b/>
                <w:bCs/>
                <w:lang w:val="es-ES_tradnl"/>
              </w:rPr>
              <w:t>Airtel</w:t>
            </w:r>
            <w:proofErr w:type="spellEnd"/>
            <w:r w:rsidRPr="004A2CC5">
              <w:rPr>
                <w:rFonts w:ascii="Calibri" w:hAnsi="Calibri"/>
                <w:lang w:val="es-ES_tradnl"/>
              </w:rPr>
              <w:t xml:space="preserve">. Los socios de la UIT y de la ICTD ayudaron a seis CTD de la </w:t>
            </w:r>
            <w:r w:rsidRPr="004A2CC5">
              <w:rPr>
                <w:rFonts w:ascii="Calibri" w:hAnsi="Calibri"/>
                <w:b/>
                <w:bCs/>
                <w:lang w:val="es-ES_tradnl"/>
              </w:rPr>
              <w:t xml:space="preserve">República Dominicana, Ghana, Indonesia, </w:t>
            </w:r>
            <w:proofErr w:type="spellStart"/>
            <w:r w:rsidRPr="004A2CC5">
              <w:rPr>
                <w:rFonts w:ascii="Calibri" w:hAnsi="Calibri"/>
                <w:b/>
                <w:bCs/>
                <w:lang w:val="es-ES_tradnl"/>
              </w:rPr>
              <w:t>Côte</w:t>
            </w:r>
            <w:proofErr w:type="spellEnd"/>
            <w:r w:rsidRPr="004A2CC5">
              <w:rPr>
                <w:rFonts w:ascii="Calibri" w:hAnsi="Calibri"/>
                <w:b/>
                <w:bCs/>
                <w:lang w:val="es-ES_tradnl"/>
              </w:rPr>
              <w:t xml:space="preserve"> </w:t>
            </w:r>
            <w:proofErr w:type="spellStart"/>
            <w:r w:rsidRPr="004A2CC5">
              <w:rPr>
                <w:rFonts w:ascii="Calibri" w:hAnsi="Calibri"/>
                <w:b/>
                <w:bCs/>
                <w:lang w:val="es-ES_tradnl"/>
              </w:rPr>
              <w:t>d'Ivoire</w:t>
            </w:r>
            <w:proofErr w:type="spellEnd"/>
            <w:r w:rsidRPr="004A2CC5">
              <w:rPr>
                <w:rFonts w:ascii="Calibri" w:hAnsi="Calibri"/>
                <w:b/>
                <w:bCs/>
                <w:lang w:val="es-ES_tradnl"/>
              </w:rPr>
              <w:t xml:space="preserve">, </w:t>
            </w:r>
            <w:proofErr w:type="spellStart"/>
            <w:r w:rsidRPr="004A2CC5">
              <w:rPr>
                <w:rFonts w:ascii="Calibri" w:hAnsi="Calibri"/>
                <w:b/>
                <w:bCs/>
                <w:lang w:val="es-ES_tradnl"/>
              </w:rPr>
              <w:t>Papua</w:t>
            </w:r>
            <w:proofErr w:type="spellEnd"/>
            <w:r w:rsidRPr="004A2CC5">
              <w:rPr>
                <w:rFonts w:ascii="Calibri" w:hAnsi="Calibri"/>
                <w:b/>
                <w:bCs/>
                <w:lang w:val="es-ES_tradnl"/>
              </w:rPr>
              <w:t xml:space="preserve"> Nueva Guinea </w:t>
            </w:r>
            <w:r w:rsidRPr="004A2CC5">
              <w:rPr>
                <w:rFonts w:ascii="Calibri" w:hAnsi="Calibri"/>
                <w:lang w:val="es-ES_tradnl"/>
              </w:rPr>
              <w:t xml:space="preserve">y </w:t>
            </w:r>
            <w:r w:rsidRPr="004A2CC5">
              <w:rPr>
                <w:rFonts w:ascii="Calibri" w:hAnsi="Calibri"/>
                <w:b/>
                <w:bCs/>
                <w:lang w:val="es-ES_tradnl"/>
              </w:rPr>
              <w:t xml:space="preserve">Filipinas </w:t>
            </w:r>
            <w:r w:rsidRPr="004A2CC5">
              <w:rPr>
                <w:rFonts w:ascii="Calibri" w:hAnsi="Calibri"/>
                <w:lang w:val="es-ES_tradnl"/>
              </w:rPr>
              <w:t>a desarrollar sus capacidades institucionales a través de iniciativas de formación de formadores, de las que se beneficiaron 336 formadores (91 mujeres), y prestaron asistencia a un CTD de Zambia para organizar de dos talleres encaminados a fomentar la participación de las partes interesadas.</w:t>
            </w:r>
          </w:p>
          <w:p w14:paraId="6D9820F3" w14:textId="4FBC6687" w:rsidR="00F33FC8" w:rsidRPr="004A2CC5" w:rsidRDefault="00F33FC8" w:rsidP="001F3C66">
            <w:pPr>
              <w:pStyle w:val="Tabletext"/>
              <w:rPr>
                <w:lang w:val="es-ES_tradnl"/>
              </w:rPr>
            </w:pPr>
            <w:r w:rsidRPr="004A2CC5">
              <w:rPr>
                <w:lang w:val="es-ES_tradnl"/>
              </w:rPr>
              <w:t xml:space="preserve">La </w:t>
            </w:r>
            <w:r w:rsidR="003B766B">
              <w:rPr>
                <w:lang w:val="es-ES_tradnl"/>
              </w:rPr>
              <w:t>BDT</w:t>
            </w:r>
            <w:r w:rsidR="003B766B" w:rsidRPr="004A2CC5">
              <w:rPr>
                <w:lang w:val="es-ES_tradnl"/>
              </w:rPr>
              <w:t xml:space="preserve"> </w:t>
            </w:r>
            <w:r w:rsidRPr="004A2CC5">
              <w:rPr>
                <w:lang w:val="es-ES_tradnl"/>
              </w:rPr>
              <w:t xml:space="preserve">lidera la </w:t>
            </w:r>
            <w:hyperlink r:id="rId39">
              <w:r w:rsidRPr="004A2CC5">
                <w:rPr>
                  <w:color w:val="0563C1"/>
                  <w:u w:val="single"/>
                  <w:lang w:val="es-ES_tradnl"/>
                </w:rPr>
                <w:t>Campaña de Competencias Digitales</w:t>
              </w:r>
            </w:hyperlink>
            <w:r w:rsidRPr="004A2CC5">
              <w:rPr>
                <w:lang w:val="es-ES_tradnl"/>
              </w:rPr>
              <w:t xml:space="preserve"> desde 2016 en el marco </w:t>
            </w:r>
            <w:r w:rsidRPr="004A2CC5">
              <w:rPr>
                <w:b/>
                <w:bCs/>
                <w:lang w:val="es-ES_tradnl"/>
              </w:rPr>
              <w:t>de la Iniciativa Mundial de la OIT sobre Empleos Decentes para los Jóvenes</w:t>
            </w:r>
            <w:r w:rsidRPr="004A2CC5">
              <w:rPr>
                <w:lang w:val="es-ES_tradnl"/>
              </w:rPr>
              <w:t>. Desde su lanzamiento, se ha logrado llegar a casi 24 millones de jóvenes a través de esta iniciativa. En junio de 2023, la UIT y la OIT convocaron una reunión de los socios de la campaña y otros socios potenciales para identificar sinergias y reforzar así las actividades de capacitación dirigidas a los jóvenes.</w:t>
            </w:r>
          </w:p>
          <w:p w14:paraId="0DF4019A" w14:textId="527A339C" w:rsidR="00F33FC8" w:rsidRPr="004A2CC5" w:rsidRDefault="00F33FC8" w:rsidP="001F3C66">
            <w:pPr>
              <w:pStyle w:val="Tabletext"/>
              <w:rPr>
                <w:lang w:val="es-ES_tradnl"/>
              </w:rPr>
            </w:pPr>
            <w:r w:rsidRPr="004A2CC5">
              <w:rPr>
                <w:lang w:val="es-ES_tradnl"/>
              </w:rPr>
              <w:t xml:space="preserve">El nuevo ciclo cuatrienal del </w:t>
            </w:r>
            <w:hyperlink r:id="rId40">
              <w:r w:rsidRPr="004A2CC5">
                <w:rPr>
                  <w:color w:val="0563C1"/>
                  <w:u w:val="single"/>
                  <w:lang w:val="es-ES_tradnl"/>
                </w:rPr>
                <w:t>Grupo de Iniciativas de Creación de Capacidades</w:t>
              </w:r>
            </w:hyperlink>
            <w:r w:rsidRPr="004A2CC5">
              <w:rPr>
                <w:lang w:val="es-ES_tradnl"/>
              </w:rPr>
              <w:t xml:space="preserve"> (GICC) dio inicio en 2023. El GICC celebró una primera reunión en línea con los nuevos miembros, sometió a debate un programa de trabajo provisional y, en abril de 2024, celebró su primera reunión presencial.</w:t>
            </w:r>
          </w:p>
          <w:p w14:paraId="226A9B93" w14:textId="351AC08A" w:rsidR="00F33FC8" w:rsidRPr="004A2CC5" w:rsidRDefault="001F3C66" w:rsidP="001F3C66">
            <w:pPr>
              <w:pStyle w:val="Tabletext"/>
              <w:ind w:left="284" w:hanging="284"/>
              <w:rPr>
                <w:rFonts w:ascii="Calibri" w:hAnsi="Calibri" w:cs="Calibri"/>
                <w:lang w:val="es-ES_tradnl"/>
              </w:rPr>
            </w:pPr>
            <w:r w:rsidRPr="004A2CC5">
              <w:rPr>
                <w:b/>
                <w:bCs/>
                <w:lang w:val="es-ES_tradnl"/>
              </w:rPr>
              <w:t>•</w:t>
            </w:r>
            <w:r w:rsidRPr="004A2CC5">
              <w:rPr>
                <w:b/>
                <w:bCs/>
                <w:lang w:val="es-ES_tradnl"/>
              </w:rPr>
              <w:tab/>
            </w:r>
            <w:r w:rsidR="00F33FC8" w:rsidRPr="004A2CC5">
              <w:rPr>
                <w:b/>
                <w:bCs/>
                <w:lang w:val="es-ES_tradnl"/>
              </w:rPr>
              <w:t>En África</w:t>
            </w:r>
            <w:r w:rsidR="00F33FC8" w:rsidRPr="004A2CC5">
              <w:rPr>
                <w:lang w:val="es-ES_tradnl"/>
              </w:rPr>
              <w:t xml:space="preserve">: Los CTD de </w:t>
            </w:r>
            <w:r w:rsidR="00F33FC8" w:rsidRPr="004A2CC5">
              <w:rPr>
                <w:b/>
                <w:bCs/>
                <w:lang w:val="es-ES_tradnl"/>
              </w:rPr>
              <w:t xml:space="preserve">Ghana </w:t>
            </w:r>
            <w:r w:rsidR="00F33FC8" w:rsidRPr="004A2CC5">
              <w:rPr>
                <w:lang w:val="es-ES_tradnl"/>
              </w:rPr>
              <w:t xml:space="preserve">y </w:t>
            </w:r>
            <w:r w:rsidR="00F33FC8" w:rsidRPr="004A2CC5">
              <w:rPr>
                <w:b/>
                <w:bCs/>
                <w:lang w:val="es-ES_tradnl"/>
              </w:rPr>
              <w:t xml:space="preserve">Zambia </w:t>
            </w:r>
            <w:r w:rsidR="00F33FC8" w:rsidRPr="004A2CC5">
              <w:rPr>
                <w:lang w:val="es-ES_tradnl"/>
              </w:rPr>
              <w:t xml:space="preserve">han reforzado las </w:t>
            </w:r>
            <w:r w:rsidR="00F33FC8" w:rsidRPr="004A2CC5">
              <w:rPr>
                <w:rFonts w:ascii="Calibri" w:hAnsi="Calibri"/>
                <w:lang w:val="es-ES_tradnl"/>
              </w:rPr>
              <w:t xml:space="preserve">capacidades de sus docentes con ayuda de una serie de iniciativas de formación de formadores. </w:t>
            </w:r>
            <w:r w:rsidR="00F33FC8" w:rsidRPr="004A2CC5">
              <w:rPr>
                <w:rFonts w:ascii="Calibri" w:hAnsi="Calibri" w:cs="Calibri"/>
                <w:lang w:val="es-ES_tradnl"/>
              </w:rPr>
              <w:t xml:space="preserve">En </w:t>
            </w:r>
            <w:r w:rsidR="00F33FC8" w:rsidRPr="004A2CC5">
              <w:rPr>
                <w:rFonts w:ascii="Calibri" w:hAnsi="Calibri" w:cs="Calibri"/>
                <w:b/>
                <w:bCs/>
                <w:lang w:val="es-ES_tradnl"/>
              </w:rPr>
              <w:t xml:space="preserve">Malawi </w:t>
            </w:r>
            <w:r w:rsidR="00F33FC8" w:rsidRPr="004A2CC5">
              <w:rPr>
                <w:rFonts w:ascii="Calibri" w:hAnsi="Calibri" w:cs="Calibri"/>
                <w:lang w:val="es-ES_tradnl"/>
              </w:rPr>
              <w:t>se han impartido cursos de formación y capacitación sobre nuevas tecnologías digitales y derecho cibernético a la comunidad jurídica y judicial</w:t>
            </w:r>
            <w:r w:rsidR="00F33FC8" w:rsidRPr="004A2CC5">
              <w:rPr>
                <w:rFonts w:ascii="Calibri" w:hAnsi="Calibri"/>
                <w:lang w:val="es-ES_tradnl"/>
              </w:rPr>
              <w:t>.</w:t>
            </w:r>
          </w:p>
          <w:p w14:paraId="7E0F0875" w14:textId="3C357D45" w:rsidR="00F33FC8" w:rsidRPr="004A2CC5" w:rsidRDefault="001F3C66" w:rsidP="001F3C66">
            <w:pPr>
              <w:pStyle w:val="Tabletext"/>
              <w:ind w:left="284" w:hanging="284"/>
              <w:rPr>
                <w:rFonts w:ascii="Calibri" w:hAnsi="Calibri" w:cs="Calibri"/>
                <w:lang w:val="es-ES_tradnl"/>
              </w:rPr>
            </w:pPr>
            <w:r w:rsidRPr="004A2CC5">
              <w:rPr>
                <w:rFonts w:ascii="Calibri" w:hAnsi="Calibri" w:cs="Calibri"/>
                <w:lang w:val="es-ES_tradnl"/>
              </w:rPr>
              <w:tab/>
            </w:r>
            <w:r w:rsidR="00F33FC8" w:rsidRPr="004A2CC5">
              <w:rPr>
                <w:rFonts w:ascii="Calibri" w:hAnsi="Calibri" w:cs="Calibri"/>
                <w:lang w:val="es-ES_tradnl"/>
              </w:rPr>
              <w:t xml:space="preserve">A fin de crear capacidades y reforzar las existentes en materia de gestión del espectro y tecnologías incipientes, se han impartido 10 talleres de formación y se ha prestado asistencia técnica a 42 países en el marco del proyecto PRIDA </w:t>
            </w:r>
            <w:r w:rsidR="00F33FC8" w:rsidRPr="004A2CC5">
              <w:rPr>
                <w:rFonts w:ascii="Calibri" w:hAnsi="Calibri" w:cs="Calibri"/>
                <w:b/>
                <w:bCs/>
                <w:lang w:val="es-ES_tradnl"/>
              </w:rPr>
              <w:t xml:space="preserve">(Angola, Benín, </w:t>
            </w:r>
            <w:proofErr w:type="spellStart"/>
            <w:r w:rsidR="00F33FC8" w:rsidRPr="004A2CC5">
              <w:rPr>
                <w:rFonts w:ascii="Calibri" w:hAnsi="Calibri" w:cs="Calibri"/>
                <w:b/>
                <w:bCs/>
                <w:lang w:val="es-ES_tradnl"/>
              </w:rPr>
              <w:t>Botswana</w:t>
            </w:r>
            <w:proofErr w:type="spellEnd"/>
            <w:r w:rsidR="00F33FC8" w:rsidRPr="004A2CC5">
              <w:rPr>
                <w:rFonts w:ascii="Calibri" w:hAnsi="Calibri" w:cs="Calibri"/>
                <w:b/>
                <w:bCs/>
                <w:lang w:val="es-ES_tradnl"/>
              </w:rPr>
              <w:t xml:space="preserve">, Burkina Faso, Burundi, Cabo Verde, Camerún, República Centroafricana, Chad, Congo (Rep. del), </w:t>
            </w:r>
            <w:proofErr w:type="spellStart"/>
            <w:r w:rsidR="00F33FC8" w:rsidRPr="004A2CC5">
              <w:rPr>
                <w:rFonts w:ascii="Calibri" w:hAnsi="Calibri" w:cs="Calibri"/>
                <w:b/>
                <w:bCs/>
                <w:lang w:val="es-ES_tradnl"/>
              </w:rPr>
              <w:t>Côte</w:t>
            </w:r>
            <w:proofErr w:type="spellEnd"/>
            <w:r w:rsidR="00F33FC8" w:rsidRPr="004A2CC5">
              <w:rPr>
                <w:rFonts w:ascii="Calibri" w:hAnsi="Calibri" w:cs="Calibri"/>
                <w:b/>
                <w:bCs/>
                <w:lang w:val="es-ES_tradnl"/>
              </w:rPr>
              <w:t xml:space="preserve"> </w:t>
            </w:r>
            <w:proofErr w:type="spellStart"/>
            <w:r w:rsidR="00F33FC8" w:rsidRPr="004A2CC5">
              <w:rPr>
                <w:rFonts w:ascii="Calibri" w:hAnsi="Calibri" w:cs="Calibri"/>
                <w:b/>
                <w:bCs/>
                <w:lang w:val="es-ES_tradnl"/>
              </w:rPr>
              <w:t>d'Ivoire</w:t>
            </w:r>
            <w:proofErr w:type="spellEnd"/>
            <w:r w:rsidR="00F33FC8" w:rsidRPr="004A2CC5">
              <w:rPr>
                <w:rFonts w:ascii="Calibri" w:hAnsi="Calibri" w:cs="Calibri"/>
                <w:b/>
                <w:bCs/>
                <w:lang w:val="es-ES_tradnl"/>
              </w:rPr>
              <w:t xml:space="preserve">, Rep. </w:t>
            </w:r>
            <w:proofErr w:type="spellStart"/>
            <w:r w:rsidR="00F33FC8" w:rsidRPr="004A2CC5">
              <w:rPr>
                <w:rFonts w:ascii="Calibri" w:hAnsi="Calibri" w:cs="Calibri"/>
                <w:b/>
                <w:bCs/>
                <w:lang w:val="es-ES_tradnl"/>
              </w:rPr>
              <w:t>Dem</w:t>
            </w:r>
            <w:proofErr w:type="spellEnd"/>
            <w:r w:rsidR="00F33FC8" w:rsidRPr="004A2CC5">
              <w:rPr>
                <w:rFonts w:ascii="Calibri" w:hAnsi="Calibri" w:cs="Calibri"/>
                <w:b/>
                <w:bCs/>
                <w:lang w:val="es-ES_tradnl"/>
              </w:rPr>
              <w:t xml:space="preserve">. del Congo, Guinea Ecuatorial, </w:t>
            </w:r>
            <w:proofErr w:type="spellStart"/>
            <w:r w:rsidR="00F33FC8" w:rsidRPr="004A2CC5">
              <w:rPr>
                <w:rFonts w:ascii="Calibri" w:hAnsi="Calibri" w:cs="Calibri"/>
                <w:b/>
                <w:bCs/>
                <w:lang w:val="es-ES_tradnl"/>
              </w:rPr>
              <w:t>Eswatini</w:t>
            </w:r>
            <w:proofErr w:type="spellEnd"/>
            <w:r w:rsidR="00F33FC8" w:rsidRPr="004A2CC5">
              <w:rPr>
                <w:rFonts w:ascii="Calibri" w:hAnsi="Calibri" w:cs="Calibri"/>
                <w:b/>
                <w:bCs/>
                <w:lang w:val="es-ES_tradnl"/>
              </w:rPr>
              <w:t xml:space="preserve">, Etiopía, Gabón, Gambia, Ghana, Guinea, Guinea Bissau, </w:t>
            </w:r>
            <w:proofErr w:type="spellStart"/>
            <w:r w:rsidR="00F33FC8" w:rsidRPr="004A2CC5">
              <w:rPr>
                <w:rFonts w:ascii="Calibri" w:hAnsi="Calibri" w:cs="Calibri"/>
                <w:b/>
                <w:bCs/>
                <w:lang w:val="es-ES_tradnl"/>
              </w:rPr>
              <w:t>Kenya</w:t>
            </w:r>
            <w:proofErr w:type="spellEnd"/>
            <w:r w:rsidR="00F33FC8" w:rsidRPr="004A2CC5">
              <w:rPr>
                <w:rFonts w:ascii="Calibri" w:hAnsi="Calibri" w:cs="Calibri"/>
                <w:b/>
                <w:bCs/>
                <w:lang w:val="es-ES_tradnl"/>
              </w:rPr>
              <w:t xml:space="preserve">, </w:t>
            </w:r>
            <w:proofErr w:type="spellStart"/>
            <w:r w:rsidR="00F33FC8" w:rsidRPr="004A2CC5">
              <w:rPr>
                <w:rFonts w:ascii="Calibri" w:hAnsi="Calibri" w:cs="Calibri"/>
                <w:b/>
                <w:bCs/>
                <w:lang w:val="es-ES_tradnl"/>
              </w:rPr>
              <w:t>Lesotho</w:t>
            </w:r>
            <w:proofErr w:type="spellEnd"/>
            <w:r w:rsidR="00F33FC8" w:rsidRPr="004A2CC5">
              <w:rPr>
                <w:rFonts w:ascii="Calibri" w:hAnsi="Calibri" w:cs="Calibri"/>
                <w:b/>
                <w:bCs/>
                <w:lang w:val="es-ES_tradnl"/>
              </w:rPr>
              <w:t xml:space="preserve">, Liberia, Madagascar, Malawi, Malí, Mauricio, Mozambique, Namibia, Nigeria, Níger, </w:t>
            </w:r>
            <w:proofErr w:type="spellStart"/>
            <w:r w:rsidR="00F33FC8" w:rsidRPr="004A2CC5">
              <w:rPr>
                <w:rFonts w:ascii="Calibri" w:hAnsi="Calibri" w:cs="Calibri"/>
                <w:b/>
                <w:bCs/>
                <w:lang w:val="es-ES_tradnl"/>
              </w:rPr>
              <w:t>Rwanda</w:t>
            </w:r>
            <w:proofErr w:type="spellEnd"/>
            <w:r w:rsidR="00F33FC8" w:rsidRPr="004A2CC5">
              <w:rPr>
                <w:rFonts w:ascii="Calibri" w:hAnsi="Calibri" w:cs="Calibri"/>
                <w:b/>
                <w:bCs/>
                <w:lang w:val="es-ES_tradnl"/>
              </w:rPr>
              <w:t xml:space="preserve">, Santo Tomé y Príncipe, Senegal, Seychelles, Sudáfrica, Sudán del Sur, </w:t>
            </w:r>
            <w:proofErr w:type="spellStart"/>
            <w:r w:rsidR="00F33FC8" w:rsidRPr="004A2CC5">
              <w:rPr>
                <w:rFonts w:ascii="Calibri" w:hAnsi="Calibri" w:cs="Calibri"/>
                <w:b/>
                <w:bCs/>
                <w:lang w:val="es-ES_tradnl"/>
              </w:rPr>
              <w:t>Tanzanía</w:t>
            </w:r>
            <w:proofErr w:type="spellEnd"/>
            <w:r w:rsidR="00F33FC8" w:rsidRPr="004A2CC5">
              <w:rPr>
                <w:rFonts w:ascii="Calibri" w:hAnsi="Calibri" w:cs="Calibri"/>
                <w:b/>
                <w:bCs/>
                <w:lang w:val="es-ES_tradnl"/>
              </w:rPr>
              <w:t xml:space="preserve">, Togo, Uganda, Zambia y </w:t>
            </w:r>
            <w:proofErr w:type="spellStart"/>
            <w:r w:rsidR="00F33FC8" w:rsidRPr="004A2CC5">
              <w:rPr>
                <w:rFonts w:ascii="Calibri" w:hAnsi="Calibri" w:cs="Calibri"/>
                <w:b/>
                <w:bCs/>
                <w:lang w:val="es-ES_tradnl"/>
              </w:rPr>
              <w:t>Zimbabwe</w:t>
            </w:r>
            <w:proofErr w:type="spellEnd"/>
            <w:r w:rsidR="00F33FC8" w:rsidRPr="004A2CC5">
              <w:rPr>
                <w:rFonts w:ascii="Calibri" w:hAnsi="Calibri" w:cs="Calibri"/>
                <w:b/>
                <w:bCs/>
                <w:lang w:val="es-ES_tradnl"/>
              </w:rPr>
              <w:t>)</w:t>
            </w:r>
            <w:r w:rsidR="00F33FC8" w:rsidRPr="004A2CC5">
              <w:rPr>
                <w:rFonts w:ascii="Calibri" w:hAnsi="Calibri" w:cs="Calibri"/>
                <w:lang w:val="es-ES_tradnl"/>
              </w:rPr>
              <w:t>. En este contexto, se ha impartido formación sobre gestión del espectro para países en desarrollo, servicios de comunicaciones aeronáuticas y marítimas, banda ancha por satélite y normas relativas a las redes radioeléctricas de área local, planificación empresarial para el desarrollo de redes de banda ancha, aspectos del espectro relacionados con la Internet de las cosas y gestión del espectro para mujeres jóvenes.</w:t>
            </w:r>
          </w:p>
          <w:p w14:paraId="08699E67" w14:textId="325D3135" w:rsidR="00F33FC8" w:rsidRPr="004A2CC5" w:rsidRDefault="001F3C66" w:rsidP="001F3C66">
            <w:pPr>
              <w:pStyle w:val="Tabletext"/>
              <w:ind w:left="284" w:hanging="284"/>
              <w:rPr>
                <w:rFonts w:ascii="Calibri" w:hAnsi="Calibri" w:cs="Calibri"/>
                <w:lang w:val="es-ES_tradnl"/>
              </w:rPr>
            </w:pPr>
            <w:r w:rsidRPr="004A2CC5">
              <w:rPr>
                <w:rFonts w:ascii="Calibri" w:hAnsi="Calibri" w:cs="Calibri"/>
                <w:lang w:val="es-ES_tradnl"/>
              </w:rPr>
              <w:lastRenderedPageBreak/>
              <w:tab/>
            </w:r>
            <w:r w:rsidR="00F33FC8" w:rsidRPr="004A2CC5">
              <w:rPr>
                <w:rFonts w:ascii="Calibri" w:hAnsi="Calibri" w:cs="Calibri"/>
                <w:lang w:val="es-ES_tradnl"/>
              </w:rPr>
              <w:t>En el marco del proyecto conjunto de la UIT y el FCDO, se ha publicado una evaluación de las competencias digitales en Nigeria y se ha impartido formación presencial e híbrida en Sudáfrica sobre 5G y gestión del espectro.</w:t>
            </w:r>
          </w:p>
          <w:p w14:paraId="15ADC5E5" w14:textId="0D49DE14" w:rsidR="00F33FC8" w:rsidRPr="004A2CC5" w:rsidRDefault="001F3C66" w:rsidP="001F3C66">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En las Américas</w:t>
            </w:r>
            <w:r w:rsidR="00F33FC8" w:rsidRPr="004A2CC5">
              <w:rPr>
                <w:lang w:val="es-ES_tradnl"/>
              </w:rPr>
              <w:t xml:space="preserve">, se han reforzado las capacidades de los pequeños empresarios a través de una serie de talleres de transformación digital, de los que se han beneficiado 150 mujeres y jóvenes, en la </w:t>
            </w:r>
            <w:r w:rsidR="00F33FC8" w:rsidRPr="004A2CC5">
              <w:rPr>
                <w:b/>
                <w:bCs/>
                <w:lang w:val="es-ES_tradnl"/>
              </w:rPr>
              <w:t>República Dominicana, El Salvador, Guatemala y Panamá</w:t>
            </w:r>
            <w:r w:rsidR="00F33FC8" w:rsidRPr="004A2CC5">
              <w:rPr>
                <w:lang w:val="es-ES_tradnl"/>
              </w:rPr>
              <w:t xml:space="preserve">. Estas actividades forman parte de la iniciativa </w:t>
            </w:r>
            <w:hyperlink r:id="rId41">
              <w:r w:rsidR="00F33FC8" w:rsidRPr="004A2CC5">
                <w:rPr>
                  <w:color w:val="0563C1"/>
                  <w:u w:val="single"/>
                  <w:lang w:val="es-ES_tradnl"/>
                </w:rPr>
                <w:t>Kit de transformación digital</w:t>
              </w:r>
            </w:hyperlink>
            <w:r w:rsidR="00F33FC8" w:rsidRPr="004A2CC5">
              <w:rPr>
                <w:lang w:val="es-ES_tradnl"/>
              </w:rPr>
              <w:t xml:space="preserve">. Esta iniciativa se ejecuta actualmente en el marco del </w:t>
            </w:r>
            <w:r w:rsidR="00F33FC8" w:rsidRPr="004A2CC5">
              <w:rPr>
                <w:b/>
                <w:bCs/>
                <w:lang w:val="es-ES_tradnl"/>
              </w:rPr>
              <w:t xml:space="preserve">proyecto conjunto de la UIT y Huawei </w:t>
            </w:r>
            <w:r w:rsidR="00F33FC8" w:rsidRPr="004A2CC5">
              <w:rPr>
                <w:lang w:val="es-ES_tradnl"/>
              </w:rPr>
              <w:t>en apoyo a las Iniciativas Regionales para las Américas.</w:t>
            </w:r>
          </w:p>
          <w:p w14:paraId="433A55B2" w14:textId="4C3F5C4E" w:rsidR="00F33FC8" w:rsidRPr="004A2CC5" w:rsidRDefault="001F3C66" w:rsidP="001F3C66">
            <w:pPr>
              <w:pStyle w:val="Tabletext"/>
              <w:ind w:left="284" w:hanging="284"/>
              <w:rPr>
                <w:lang w:val="es-ES_tradnl"/>
              </w:rPr>
            </w:pPr>
            <w:r w:rsidRPr="004A2CC5">
              <w:rPr>
                <w:lang w:val="es-ES_tradnl"/>
              </w:rPr>
              <w:tab/>
            </w:r>
            <w:r w:rsidR="00F33FC8" w:rsidRPr="004A2CC5">
              <w:rPr>
                <w:lang w:val="es-ES_tradnl"/>
              </w:rPr>
              <w:t xml:space="preserve">La </w:t>
            </w:r>
            <w:r w:rsidR="003B766B">
              <w:rPr>
                <w:lang w:val="es-ES_tradnl"/>
              </w:rPr>
              <w:t>BDT</w:t>
            </w:r>
            <w:r w:rsidR="003B766B" w:rsidRPr="004A2CC5">
              <w:rPr>
                <w:lang w:val="es-ES_tradnl"/>
              </w:rPr>
              <w:t xml:space="preserve"> </w:t>
            </w:r>
            <w:r w:rsidR="00F33FC8" w:rsidRPr="004A2CC5">
              <w:rPr>
                <w:lang w:val="es-ES_tradnl"/>
              </w:rPr>
              <w:t xml:space="preserve">también ha mejorado </w:t>
            </w:r>
            <w:r w:rsidR="00F33FC8" w:rsidRPr="004A2CC5">
              <w:rPr>
                <w:b/>
                <w:bCs/>
                <w:lang w:val="es-ES_tradnl"/>
              </w:rPr>
              <w:t xml:space="preserve">las capacidades de gestión de proyectos de los pueblos indígenas y las comunidades rurales </w:t>
            </w:r>
            <w:r w:rsidR="00F33FC8" w:rsidRPr="004A2CC5">
              <w:rPr>
                <w:lang w:val="es-ES_tradnl"/>
              </w:rPr>
              <w:t xml:space="preserve">a través de una formación en línea de la Academia de la UIT articulada en torno </w:t>
            </w:r>
            <w:r w:rsidR="00BF6C06" w:rsidRPr="004A2CC5">
              <w:rPr>
                <w:lang w:val="es-ES_tradnl"/>
              </w:rPr>
              <w:t xml:space="preserve">a </w:t>
            </w:r>
            <w:r w:rsidR="00F33FC8" w:rsidRPr="004A2CC5">
              <w:rPr>
                <w:lang w:val="es-ES_tradnl"/>
              </w:rPr>
              <w:t xml:space="preserve">cinco módulos y </w:t>
            </w:r>
            <w:r w:rsidR="00F33FC8" w:rsidRPr="004A2CC5">
              <w:rPr>
                <w:b/>
                <w:bCs/>
                <w:lang w:val="es-ES_tradnl"/>
              </w:rPr>
              <w:t xml:space="preserve">ha ampliado los conocimientos relacionados con la accesibilidad de las TIC </w:t>
            </w:r>
            <w:r w:rsidR="00F33FC8" w:rsidRPr="004A2CC5">
              <w:rPr>
                <w:lang w:val="es-ES_tradnl"/>
              </w:rPr>
              <w:t>a través de una formación ejecutiva impartida con ocasión del 10º aniversario del evento América Accesible (Cuba, noviembre de 2023).</w:t>
            </w:r>
          </w:p>
          <w:p w14:paraId="2FF66089" w14:textId="2325F7E4" w:rsidR="00F33FC8" w:rsidRPr="004A2CC5" w:rsidRDefault="001F3C66" w:rsidP="001F3C66">
            <w:pPr>
              <w:pStyle w:val="Tabletext"/>
              <w:ind w:left="284" w:hanging="284"/>
              <w:rPr>
                <w:b/>
                <w:bCs/>
                <w:lang w:val="es-ES_tradnl"/>
              </w:rPr>
            </w:pPr>
            <w:r w:rsidRPr="004A2CC5">
              <w:rPr>
                <w:b/>
                <w:bCs/>
                <w:lang w:val="es-ES_tradnl"/>
              </w:rPr>
              <w:t>•</w:t>
            </w:r>
            <w:r w:rsidRPr="004A2CC5">
              <w:rPr>
                <w:b/>
                <w:bCs/>
                <w:lang w:val="es-ES_tradnl"/>
              </w:rPr>
              <w:tab/>
            </w:r>
            <w:r w:rsidR="00F33FC8" w:rsidRPr="004A2CC5">
              <w:rPr>
                <w:b/>
                <w:bCs/>
                <w:lang w:val="es-ES_tradnl"/>
              </w:rPr>
              <w:t>En los Estados Árabes</w:t>
            </w:r>
            <w:r w:rsidR="00F33FC8" w:rsidRPr="004A2CC5">
              <w:rPr>
                <w:lang w:val="es-ES_tradnl"/>
              </w:rPr>
              <w:t xml:space="preserve">, a fin de </w:t>
            </w:r>
            <w:r w:rsidR="00F33FC8" w:rsidRPr="004A2CC5">
              <w:rPr>
                <w:b/>
                <w:bCs/>
                <w:lang w:val="es-ES_tradnl"/>
              </w:rPr>
              <w:t xml:space="preserve">crear capacidades y reforzar las existentes en materia </w:t>
            </w:r>
            <w:r w:rsidR="00F33FC8" w:rsidRPr="004A2CC5">
              <w:rPr>
                <w:rFonts w:ascii="Calibri" w:hAnsi="Calibri" w:cs="Calibri"/>
                <w:b/>
                <w:bCs/>
                <w:lang w:val="es-ES_tradnl" w:eastAsia="en-GB"/>
              </w:rPr>
              <w:t>de gestión del espectro</w:t>
            </w:r>
            <w:r w:rsidR="00F33FC8" w:rsidRPr="004A2CC5">
              <w:rPr>
                <w:rFonts w:ascii="Calibri" w:hAnsi="Calibri" w:cs="Calibri"/>
                <w:lang w:val="es-ES_tradnl" w:eastAsia="en-GB"/>
              </w:rPr>
              <w:t xml:space="preserve">, se ha impartido un curso </w:t>
            </w:r>
            <w:r w:rsidR="00F33FC8" w:rsidRPr="004A2CC5">
              <w:rPr>
                <w:rFonts w:cstheme="minorBidi"/>
                <w:lang w:val="es-ES_tradnl" w:eastAsia="en-GB"/>
              </w:rPr>
              <w:t>mixto de f</w:t>
            </w:r>
            <w:r w:rsidR="00F33FC8" w:rsidRPr="004A2CC5">
              <w:rPr>
                <w:rFonts w:ascii="Calibri" w:hAnsi="Calibri" w:cs="Calibri"/>
                <w:lang w:val="es-ES_tradnl" w:eastAsia="en-GB"/>
              </w:rPr>
              <w:t>ormación de formadores de la UIT sobre los programas de formación en calidad de los servicios (</w:t>
            </w:r>
            <w:proofErr w:type="spellStart"/>
            <w:r w:rsidR="00F33FC8" w:rsidRPr="004A2CC5">
              <w:rPr>
                <w:rFonts w:ascii="Calibri" w:hAnsi="Calibri" w:cs="Calibri"/>
                <w:lang w:val="es-ES_tradnl" w:eastAsia="en-GB"/>
              </w:rPr>
              <w:t>QoSTP</w:t>
            </w:r>
            <w:proofErr w:type="spellEnd"/>
            <w:r w:rsidR="00F33FC8" w:rsidRPr="004A2CC5">
              <w:rPr>
                <w:rFonts w:ascii="Calibri" w:hAnsi="Calibri" w:cs="Calibri"/>
                <w:lang w:val="es-ES_tradnl" w:eastAsia="en-GB"/>
              </w:rPr>
              <w:t>) y en gestión del espectro (SMTP) , tanto en línea a través de la plataforma de la Academia de la UIT como en Ammán (Jordania). La Comisión de Reglamentación de las Telecomunicaciones de Jordania (TRC) ejerció las veces de anfitriona de esta iniciativa de colaboración. El objetivo de dicha formación ha sido dotar a los participantes de los conocimientos y competencias necesarios para formar eficazmente a otras personas.</w:t>
            </w:r>
          </w:p>
          <w:p w14:paraId="19E23D91" w14:textId="20C4DB6B" w:rsidR="00F33FC8" w:rsidRPr="004A2CC5" w:rsidRDefault="001F3C66" w:rsidP="001F3C66">
            <w:pPr>
              <w:pStyle w:val="Tabletext"/>
              <w:ind w:left="284" w:hanging="284"/>
              <w:rPr>
                <w:lang w:val="es-ES_tradnl"/>
              </w:rPr>
            </w:pPr>
            <w:r w:rsidRPr="004A2CC5">
              <w:rPr>
                <w:lang w:val="es-ES_tradnl"/>
              </w:rPr>
              <w:tab/>
            </w:r>
            <w:r w:rsidR="00F33FC8" w:rsidRPr="004A2CC5">
              <w:rPr>
                <w:lang w:val="es-ES_tradnl"/>
              </w:rPr>
              <w:t>Como parte de la labor de apoyo a los países en lo que respecta a la gestión del espectro, se ha prestado asistencia específica a las Comoras, con un énfasis especial en la valoración del espectro y el dividendo digital en el marco del proyecto PRIDA. A tal efecto, se llevó a cabo una misión preliminar para la organización de reuniones con las partes interesadas competentes y se elaboró un informe final, que ya ha sido entregado y validado.</w:t>
            </w:r>
          </w:p>
          <w:p w14:paraId="6F73E643" w14:textId="29721E84" w:rsidR="00F33FC8" w:rsidRPr="004A2CC5" w:rsidRDefault="001F3C66" w:rsidP="001F3C66">
            <w:pPr>
              <w:pStyle w:val="Tabletext"/>
              <w:ind w:left="284" w:hanging="284"/>
              <w:rPr>
                <w:lang w:val="es-ES_tradnl"/>
              </w:rPr>
            </w:pPr>
            <w:r w:rsidRPr="004A2CC5">
              <w:rPr>
                <w:b/>
                <w:bCs/>
                <w:lang w:val="es-ES_tradnl"/>
              </w:rPr>
              <w:t>•</w:t>
            </w:r>
            <w:r w:rsidRPr="004A2CC5">
              <w:rPr>
                <w:b/>
                <w:bCs/>
                <w:lang w:val="es-ES_tradnl"/>
              </w:rPr>
              <w:tab/>
            </w:r>
            <w:r w:rsidR="00F33FC8" w:rsidRPr="004A2CC5">
              <w:rPr>
                <w:b/>
                <w:bCs/>
                <w:lang w:val="es-ES_tradnl"/>
              </w:rPr>
              <w:t>En Asia y el Pacífico</w:t>
            </w:r>
            <w:r w:rsidR="00F33FC8" w:rsidRPr="004A2CC5">
              <w:rPr>
                <w:lang w:val="es-ES_tradnl"/>
              </w:rPr>
              <w:t xml:space="preserve">, la </w:t>
            </w:r>
            <w:r w:rsidR="003B766B">
              <w:rPr>
                <w:lang w:val="es-ES_tradnl"/>
              </w:rPr>
              <w:t>BDT</w:t>
            </w:r>
            <w:r w:rsidR="003B766B" w:rsidRPr="004A2CC5">
              <w:rPr>
                <w:lang w:val="es-ES_tradnl"/>
              </w:rPr>
              <w:t xml:space="preserve"> </w:t>
            </w:r>
            <w:r w:rsidR="00F33FC8" w:rsidRPr="004A2CC5">
              <w:rPr>
                <w:lang w:val="es-ES_tradnl"/>
              </w:rPr>
              <w:t xml:space="preserve">ha reforzado las capacidades de 158 formadores en Indonesia, </w:t>
            </w:r>
            <w:proofErr w:type="spellStart"/>
            <w:r w:rsidR="00F33FC8" w:rsidRPr="004A2CC5">
              <w:rPr>
                <w:lang w:val="es-ES_tradnl"/>
              </w:rPr>
              <w:t>Papua</w:t>
            </w:r>
            <w:proofErr w:type="spellEnd"/>
            <w:r w:rsidR="00F33FC8" w:rsidRPr="004A2CC5">
              <w:rPr>
                <w:lang w:val="es-ES_tradnl"/>
              </w:rPr>
              <w:t xml:space="preserve"> Nueva Guinea y Filipinas para impartir formación en alfabetización digital, utilizando los recursos de conocimiento disponibles en el marco de la iniciativa de los Centros de Transformación Digital de la UIT. La </w:t>
            </w:r>
            <w:r w:rsidR="003B766B">
              <w:rPr>
                <w:lang w:val="es-ES_tradnl"/>
              </w:rPr>
              <w:t>BDT</w:t>
            </w:r>
            <w:r w:rsidR="003B766B" w:rsidRPr="004A2CC5">
              <w:rPr>
                <w:lang w:val="es-ES_tradnl"/>
              </w:rPr>
              <w:t xml:space="preserve"> </w:t>
            </w:r>
            <w:r w:rsidR="00F33FC8" w:rsidRPr="004A2CC5">
              <w:rPr>
                <w:lang w:val="es-ES_tradnl"/>
              </w:rPr>
              <w:t xml:space="preserve">también ha afianzado la colaboración con la Organización Internacional para las Migraciones (OIM) y ha elaborado un informe de evaluación sobre las competencias digitales de los migrantes en Tailandia titulado </w:t>
            </w:r>
            <w:proofErr w:type="spellStart"/>
            <w:r w:rsidR="00F33FC8" w:rsidRPr="004A2CC5">
              <w:rPr>
                <w:b/>
                <w:bCs/>
                <w:i/>
                <w:iCs/>
                <w:lang w:val="es-ES_tradnl"/>
              </w:rPr>
              <w:t>Bridging</w:t>
            </w:r>
            <w:proofErr w:type="spellEnd"/>
            <w:r w:rsidR="00F33FC8" w:rsidRPr="004A2CC5">
              <w:rPr>
                <w:b/>
                <w:bCs/>
                <w:i/>
                <w:iCs/>
                <w:lang w:val="es-ES_tradnl"/>
              </w:rPr>
              <w:t xml:space="preserve"> </w:t>
            </w:r>
            <w:proofErr w:type="spellStart"/>
            <w:r w:rsidR="00F33FC8" w:rsidRPr="004A2CC5">
              <w:rPr>
                <w:b/>
                <w:bCs/>
                <w:i/>
                <w:iCs/>
                <w:lang w:val="es-ES_tradnl"/>
              </w:rPr>
              <w:t>the</w:t>
            </w:r>
            <w:proofErr w:type="spellEnd"/>
            <w:r w:rsidR="00F33FC8" w:rsidRPr="004A2CC5">
              <w:rPr>
                <w:b/>
                <w:bCs/>
                <w:i/>
                <w:iCs/>
                <w:lang w:val="es-ES_tradnl"/>
              </w:rPr>
              <w:t xml:space="preserve"> Digital Divide: </w:t>
            </w:r>
            <w:proofErr w:type="spellStart"/>
            <w:r w:rsidR="00F33FC8" w:rsidRPr="004A2CC5">
              <w:rPr>
                <w:b/>
                <w:bCs/>
                <w:i/>
                <w:iCs/>
                <w:lang w:val="es-ES_tradnl"/>
              </w:rPr>
              <w:t>Assessment</w:t>
            </w:r>
            <w:proofErr w:type="spellEnd"/>
            <w:r w:rsidR="00F33FC8" w:rsidRPr="004A2CC5">
              <w:rPr>
                <w:b/>
                <w:bCs/>
                <w:i/>
                <w:iCs/>
                <w:lang w:val="es-ES_tradnl"/>
              </w:rPr>
              <w:t xml:space="preserve"> </w:t>
            </w:r>
            <w:proofErr w:type="spellStart"/>
            <w:r w:rsidR="00F33FC8" w:rsidRPr="004A2CC5">
              <w:rPr>
                <w:b/>
                <w:bCs/>
                <w:i/>
                <w:iCs/>
                <w:lang w:val="es-ES_tradnl"/>
              </w:rPr>
              <w:t>of</w:t>
            </w:r>
            <w:proofErr w:type="spellEnd"/>
            <w:r w:rsidR="00F33FC8" w:rsidRPr="004A2CC5">
              <w:rPr>
                <w:b/>
                <w:bCs/>
                <w:i/>
                <w:iCs/>
                <w:lang w:val="es-ES_tradnl"/>
              </w:rPr>
              <w:t xml:space="preserve"> </w:t>
            </w:r>
            <w:proofErr w:type="spellStart"/>
            <w:r w:rsidR="00F33FC8" w:rsidRPr="004A2CC5">
              <w:rPr>
                <w:b/>
                <w:bCs/>
                <w:i/>
                <w:iCs/>
                <w:lang w:val="es-ES_tradnl"/>
              </w:rPr>
              <w:t>the</w:t>
            </w:r>
            <w:proofErr w:type="spellEnd"/>
            <w:r w:rsidR="00F33FC8" w:rsidRPr="004A2CC5">
              <w:rPr>
                <w:b/>
                <w:bCs/>
                <w:i/>
                <w:iCs/>
                <w:lang w:val="es-ES_tradnl"/>
              </w:rPr>
              <w:t xml:space="preserve"> Digital </w:t>
            </w:r>
            <w:proofErr w:type="spellStart"/>
            <w:r w:rsidR="00F33FC8" w:rsidRPr="004A2CC5">
              <w:rPr>
                <w:b/>
                <w:bCs/>
                <w:i/>
                <w:iCs/>
                <w:lang w:val="es-ES_tradnl"/>
              </w:rPr>
              <w:t>Skills</w:t>
            </w:r>
            <w:proofErr w:type="spellEnd"/>
            <w:r w:rsidR="00F33FC8" w:rsidRPr="004A2CC5">
              <w:rPr>
                <w:b/>
                <w:bCs/>
                <w:i/>
                <w:iCs/>
                <w:lang w:val="es-ES_tradnl"/>
              </w:rPr>
              <w:t xml:space="preserve"> </w:t>
            </w:r>
            <w:proofErr w:type="spellStart"/>
            <w:r w:rsidR="00F33FC8" w:rsidRPr="004A2CC5">
              <w:rPr>
                <w:b/>
                <w:bCs/>
                <w:i/>
                <w:iCs/>
                <w:lang w:val="es-ES_tradnl"/>
              </w:rPr>
              <w:t>of</w:t>
            </w:r>
            <w:proofErr w:type="spellEnd"/>
            <w:r w:rsidR="00F33FC8" w:rsidRPr="004A2CC5">
              <w:rPr>
                <w:b/>
                <w:bCs/>
                <w:i/>
                <w:iCs/>
                <w:lang w:val="es-ES_tradnl"/>
              </w:rPr>
              <w:t xml:space="preserve"> </w:t>
            </w:r>
            <w:proofErr w:type="spellStart"/>
            <w:r w:rsidR="00F33FC8" w:rsidRPr="004A2CC5">
              <w:rPr>
                <w:b/>
                <w:bCs/>
                <w:i/>
                <w:iCs/>
                <w:lang w:val="es-ES_tradnl"/>
              </w:rPr>
              <w:t>Migrant</w:t>
            </w:r>
            <w:proofErr w:type="spellEnd"/>
            <w:r w:rsidR="00F33FC8" w:rsidRPr="004A2CC5">
              <w:rPr>
                <w:b/>
                <w:bCs/>
                <w:i/>
                <w:iCs/>
                <w:lang w:val="es-ES_tradnl"/>
              </w:rPr>
              <w:t xml:space="preserve"> </w:t>
            </w:r>
            <w:proofErr w:type="spellStart"/>
            <w:r w:rsidR="00F33FC8" w:rsidRPr="004A2CC5">
              <w:rPr>
                <w:b/>
                <w:bCs/>
                <w:i/>
                <w:iCs/>
                <w:lang w:val="es-ES_tradnl"/>
              </w:rPr>
              <w:t>Workers</w:t>
            </w:r>
            <w:proofErr w:type="spellEnd"/>
            <w:r w:rsidR="00F33FC8" w:rsidRPr="004A2CC5">
              <w:rPr>
                <w:b/>
                <w:bCs/>
                <w:i/>
                <w:iCs/>
                <w:lang w:val="es-ES_tradnl"/>
              </w:rPr>
              <w:t xml:space="preserve"> and </w:t>
            </w:r>
            <w:proofErr w:type="spellStart"/>
            <w:r w:rsidR="00F33FC8" w:rsidRPr="004A2CC5">
              <w:rPr>
                <w:b/>
                <w:bCs/>
                <w:i/>
                <w:iCs/>
                <w:lang w:val="es-ES_tradnl"/>
              </w:rPr>
              <w:t>the</w:t>
            </w:r>
            <w:proofErr w:type="spellEnd"/>
            <w:r w:rsidR="00F33FC8" w:rsidRPr="004A2CC5">
              <w:rPr>
                <w:b/>
                <w:bCs/>
                <w:i/>
                <w:iCs/>
                <w:lang w:val="es-ES_tradnl"/>
              </w:rPr>
              <w:t xml:space="preserve"> </w:t>
            </w:r>
            <w:proofErr w:type="spellStart"/>
            <w:r w:rsidR="00F33FC8" w:rsidRPr="004A2CC5">
              <w:rPr>
                <w:b/>
                <w:bCs/>
                <w:i/>
                <w:iCs/>
                <w:lang w:val="es-ES_tradnl"/>
              </w:rPr>
              <w:t>Perspective</w:t>
            </w:r>
            <w:proofErr w:type="spellEnd"/>
            <w:r w:rsidR="00F33FC8" w:rsidRPr="004A2CC5">
              <w:rPr>
                <w:b/>
                <w:bCs/>
                <w:i/>
                <w:iCs/>
                <w:lang w:val="es-ES_tradnl"/>
              </w:rPr>
              <w:t xml:space="preserve"> </w:t>
            </w:r>
            <w:proofErr w:type="spellStart"/>
            <w:r w:rsidR="00F33FC8" w:rsidRPr="004A2CC5">
              <w:rPr>
                <w:b/>
                <w:bCs/>
                <w:i/>
                <w:iCs/>
                <w:lang w:val="es-ES_tradnl"/>
              </w:rPr>
              <w:t>of</w:t>
            </w:r>
            <w:proofErr w:type="spellEnd"/>
            <w:r w:rsidR="00F33FC8" w:rsidRPr="004A2CC5">
              <w:rPr>
                <w:b/>
                <w:bCs/>
                <w:i/>
                <w:iCs/>
                <w:lang w:val="es-ES_tradnl"/>
              </w:rPr>
              <w:t xml:space="preserve"> </w:t>
            </w:r>
            <w:proofErr w:type="spellStart"/>
            <w:r w:rsidR="00F33FC8" w:rsidRPr="004A2CC5">
              <w:rPr>
                <w:b/>
                <w:bCs/>
                <w:i/>
                <w:iCs/>
                <w:lang w:val="es-ES_tradnl"/>
              </w:rPr>
              <w:t>Employers</w:t>
            </w:r>
            <w:proofErr w:type="spellEnd"/>
            <w:r w:rsidR="00F33FC8" w:rsidRPr="004A2CC5">
              <w:rPr>
                <w:b/>
                <w:bCs/>
                <w:i/>
                <w:iCs/>
                <w:lang w:val="es-ES_tradnl"/>
              </w:rPr>
              <w:t xml:space="preserve"> in </w:t>
            </w:r>
            <w:proofErr w:type="spellStart"/>
            <w:r w:rsidR="00F33FC8" w:rsidRPr="004A2CC5">
              <w:rPr>
                <w:b/>
                <w:bCs/>
                <w:i/>
                <w:iCs/>
                <w:lang w:val="es-ES_tradnl"/>
              </w:rPr>
              <w:t>Thailand</w:t>
            </w:r>
            <w:proofErr w:type="spellEnd"/>
            <w:r w:rsidR="00F33FC8" w:rsidRPr="004A2CC5">
              <w:rPr>
                <w:lang w:val="es-ES_tradnl"/>
              </w:rPr>
              <w:t xml:space="preserve"> (Reducción de la brecha digital: Evaluación de las competencias digitales de los trabajadores migrantes y la perspectiva de los empleadores en Tailandia).</w:t>
            </w:r>
          </w:p>
          <w:p w14:paraId="06043549" w14:textId="180B7C5D" w:rsidR="00F33FC8" w:rsidRPr="004A2CC5" w:rsidRDefault="001F3C66" w:rsidP="001F3C66">
            <w:pPr>
              <w:pStyle w:val="Tabletext"/>
              <w:ind w:left="284" w:hanging="284"/>
              <w:rPr>
                <w:rFonts w:cs="Calibri"/>
                <w:lang w:val="es-ES_tradnl"/>
              </w:rPr>
            </w:pPr>
            <w:r w:rsidRPr="004A2CC5">
              <w:rPr>
                <w:lang w:val="es-ES_tradnl"/>
              </w:rPr>
              <w:tab/>
            </w:r>
            <w:r w:rsidR="00F33FC8" w:rsidRPr="004A2CC5">
              <w:rPr>
                <w:lang w:val="es-ES_tradnl"/>
              </w:rPr>
              <w:t xml:space="preserve">La colaboración entre la UIT, la Comisión Nacional de Radiodifusión y Telecomunicaciones (NBTC) de Tailandia y la </w:t>
            </w:r>
            <w:r w:rsidR="00F33FC8" w:rsidRPr="004A2CC5">
              <w:rPr>
                <w:rFonts w:cs="Calibri"/>
                <w:lang w:val="es-ES_tradnl"/>
              </w:rPr>
              <w:t xml:space="preserve">Autoridad para el Desarrollo de los Medios de Información y Comunicación (IMDA) de Singapur ha sido decisiva para promover el desarrollo de competencias digitales entre los miembros de los PEID, los PMA y los PDSL. En Tailandia, la formación conjunta UIT-NBTC, impartida del 2 al 5 de octubre de 2023, se centró en tecnologías emergentes como la cadena de bloques, la inteligencia artificial y la 5G, y aplicó un enfoque </w:t>
            </w:r>
            <w:proofErr w:type="spellStart"/>
            <w:r w:rsidR="00F33FC8" w:rsidRPr="004A2CC5">
              <w:rPr>
                <w:rFonts w:cs="Calibri"/>
                <w:lang w:val="es-ES_tradnl"/>
              </w:rPr>
              <w:t>pangubernamental</w:t>
            </w:r>
            <w:proofErr w:type="spellEnd"/>
            <w:r w:rsidR="00F33FC8" w:rsidRPr="004A2CC5">
              <w:rPr>
                <w:rFonts w:cs="Calibri"/>
                <w:lang w:val="es-ES_tradnl"/>
              </w:rPr>
              <w:t xml:space="preserve"> enmarcado en </w:t>
            </w:r>
            <w:proofErr w:type="spellStart"/>
            <w:r w:rsidR="00F33FC8" w:rsidRPr="004A2CC5">
              <w:rPr>
                <w:rFonts w:cs="Calibri"/>
                <w:lang w:val="es-ES_tradnl"/>
              </w:rPr>
              <w:t>GovStack</w:t>
            </w:r>
            <w:proofErr w:type="spellEnd"/>
            <w:r w:rsidR="00F33FC8" w:rsidRPr="004A2CC5">
              <w:rPr>
                <w:rFonts w:cs="Calibri"/>
                <w:lang w:val="es-ES_tradnl"/>
              </w:rPr>
              <w:t xml:space="preserve"> a fin de mejorar la transferencia de conocimientos dentro de la región.</w:t>
            </w:r>
          </w:p>
          <w:p w14:paraId="54727BEB" w14:textId="532B6CCD" w:rsidR="00F33FC8" w:rsidRPr="004A2CC5" w:rsidRDefault="001F3C66" w:rsidP="001F3C66">
            <w:pPr>
              <w:pStyle w:val="Tabletext"/>
              <w:ind w:left="284" w:hanging="284"/>
              <w:rPr>
                <w:rFonts w:ascii="Calibri" w:hAnsi="Calibri" w:cs="Calibri"/>
                <w:color w:val="000000" w:themeColor="text1"/>
                <w:lang w:val="es-ES_tradnl"/>
              </w:rPr>
            </w:pPr>
            <w:r w:rsidRPr="004A2CC5">
              <w:rPr>
                <w:rFonts w:ascii="Calibri" w:hAnsi="Calibri" w:cs="Calibri"/>
                <w:color w:val="000000" w:themeColor="text1"/>
                <w:lang w:val="es-ES_tradnl"/>
              </w:rPr>
              <w:lastRenderedPageBreak/>
              <w:tab/>
            </w:r>
            <w:r w:rsidR="00F33FC8" w:rsidRPr="004A2CC5">
              <w:rPr>
                <w:rFonts w:ascii="Calibri" w:hAnsi="Calibri" w:cs="Calibri"/>
                <w:color w:val="000000" w:themeColor="text1"/>
                <w:lang w:val="es-ES_tradnl"/>
              </w:rPr>
              <w:t xml:space="preserve">Se han mejorado las capacidades de responsables de la formulación de políticas y reguladores a través de la serie de seminarios web regionales sobre política y reglamentación encaminados al examen de la adopción de la 5G y el intercambio de experiencias en colaboración con las administraciones miembros (marzo de 2024). El Ministerio de Correos y Telecomunicaciones de Camboya (MPTC) y el Organismo Regulador de las Telecomunicaciones de Camboya (TRC) acogieron un evento sobre </w:t>
            </w:r>
            <w:r w:rsidR="00F33FC8" w:rsidRPr="004A2CC5">
              <w:rPr>
                <w:rFonts w:ascii="Calibri" w:hAnsi="Calibri" w:cs="Calibri"/>
                <w:b/>
                <w:i/>
                <w:color w:val="000000" w:themeColor="text1"/>
                <w:lang w:val="es-ES_tradnl"/>
              </w:rPr>
              <w:t>factores habilitadores clave para la adopción de la 5G entre los países de Asia y el Pacífico</w:t>
            </w:r>
            <w:r w:rsidR="00F33FC8" w:rsidRPr="004A2CC5">
              <w:rPr>
                <w:rFonts w:ascii="Calibri" w:hAnsi="Calibri" w:cs="Calibri"/>
                <w:color w:val="000000" w:themeColor="text1"/>
                <w:lang w:val="es-ES_tradnl"/>
              </w:rPr>
              <w:t xml:space="preserve">, en el que se presentó un estudio basado en un análisis econométrico y realizado por la Oficina Regional de la UIT para Asia y el Pacífico y se abordaron cuestiones relativas al despliegue de la 5G desde la perspectiva del MPTC. La segunda sesión sobre </w:t>
            </w:r>
            <w:r w:rsidR="00F33FC8" w:rsidRPr="004A2CC5">
              <w:rPr>
                <w:rFonts w:ascii="Calibri" w:hAnsi="Calibri" w:cs="Calibri"/>
                <w:b/>
                <w:bCs/>
                <w:i/>
                <w:iCs/>
                <w:color w:val="000000" w:themeColor="text1"/>
                <w:lang w:val="es-ES_tradnl"/>
              </w:rPr>
              <w:t xml:space="preserve">casos de uso de la 5G </w:t>
            </w:r>
            <w:r w:rsidR="00F33FC8" w:rsidRPr="004A2CC5">
              <w:rPr>
                <w:rFonts w:ascii="Calibri" w:hAnsi="Calibri" w:cs="Calibri"/>
                <w:color w:val="000000" w:themeColor="text1"/>
                <w:lang w:val="es-ES_tradnl"/>
              </w:rPr>
              <w:t>fue copatrocinada por la Academia de Tecnologías de la Información y las Comunicaciones de China (CAICT). En ella, miembros expertos presentaron diversos procesos inteligentes habilitados por la 5G en las fábricas, la industria eléctrica y los sectores de la sanidad, la cultura, el turismo y la educación, indicando las ganancias en términos de productividad y las repercusiones de la adopción de la 5G en los sectores verticales respectivos. También se abordaron las actividades y políticas emprendidas por los gobiernos en favor de la 5G. Al evento asistieron más de 80 participantes de 18 Estados Miembros y otras partes interesadas.</w:t>
            </w:r>
          </w:p>
          <w:p w14:paraId="3996DD31" w14:textId="5F7C917C" w:rsidR="00F33FC8" w:rsidRPr="004A2CC5" w:rsidRDefault="001F3C66" w:rsidP="001F3C66">
            <w:pPr>
              <w:pStyle w:val="Tabletext"/>
              <w:ind w:left="284" w:hanging="284"/>
              <w:rPr>
                <w:rFonts w:ascii="Calibri" w:hAnsi="Calibri" w:cs="Calibri"/>
                <w:lang w:val="es-ES_tradnl"/>
              </w:rPr>
            </w:pPr>
            <w:r w:rsidRPr="004A2CC5">
              <w:rPr>
                <w:rFonts w:ascii="Calibri" w:hAnsi="Calibri" w:cs="Calibri"/>
                <w:lang w:val="es-ES_tradnl"/>
              </w:rPr>
              <w:tab/>
            </w:r>
            <w:r w:rsidR="00F33FC8" w:rsidRPr="004A2CC5">
              <w:rPr>
                <w:rFonts w:ascii="Calibri" w:hAnsi="Calibri" w:cs="Calibri"/>
                <w:lang w:val="es-ES_tradnl"/>
              </w:rPr>
              <w:t>En el marco del proyecto conjunto UIT-FCDO, se ha impartido formación presencial al personal de Agencia de Telecomunicaciones y Accesibilidad de la Información (BAKTI) de Indonesia sobre el conjunto de herramientas disponible para garantizar la eficiencia de la financiación del servicio universal.</w:t>
            </w:r>
          </w:p>
          <w:p w14:paraId="68AC01CC" w14:textId="497AF245" w:rsidR="00F33FC8" w:rsidRPr="004A2CC5" w:rsidRDefault="001F3C66" w:rsidP="001F3C66">
            <w:pPr>
              <w:pStyle w:val="Tabletext"/>
              <w:ind w:left="284" w:hanging="284"/>
              <w:rPr>
                <w:rFonts w:ascii="Calibri" w:hAnsi="Calibri" w:cs="Calibri"/>
                <w:lang w:val="es-ES_tradnl"/>
              </w:rPr>
            </w:pPr>
            <w:r w:rsidRPr="004A2CC5">
              <w:rPr>
                <w:rFonts w:ascii="Calibri" w:hAnsi="Calibri" w:cs="Calibri"/>
                <w:lang w:val="es-ES_tradnl"/>
              </w:rPr>
              <w:tab/>
            </w:r>
            <w:r w:rsidR="00F33FC8" w:rsidRPr="004A2CC5">
              <w:rPr>
                <w:rFonts w:ascii="Calibri" w:hAnsi="Calibri" w:cs="Calibri"/>
                <w:lang w:val="es-ES_tradnl"/>
              </w:rPr>
              <w:t xml:space="preserve">La </w:t>
            </w:r>
            <w:r w:rsidR="003B766B">
              <w:rPr>
                <w:rFonts w:ascii="Calibri" w:hAnsi="Calibri" w:cs="Calibri"/>
                <w:lang w:val="es-ES_tradnl"/>
              </w:rPr>
              <w:t>BDT</w:t>
            </w:r>
            <w:r w:rsidR="00F33FC8" w:rsidRPr="004A2CC5">
              <w:rPr>
                <w:rFonts w:ascii="Calibri" w:hAnsi="Calibri" w:cs="Calibri"/>
                <w:lang w:val="es-ES_tradnl"/>
              </w:rPr>
              <w:t xml:space="preserve">, junto con sus socios y coorganizadores, organizó las celebraciones del Día de las Niñas en las TIC en </w:t>
            </w:r>
            <w:proofErr w:type="spellStart"/>
            <w:r w:rsidR="00F33FC8" w:rsidRPr="004A2CC5">
              <w:rPr>
                <w:rFonts w:ascii="Calibri" w:hAnsi="Calibri" w:cs="Calibri"/>
                <w:lang w:val="es-ES_tradnl"/>
              </w:rPr>
              <w:t>Fiji</w:t>
            </w:r>
            <w:proofErr w:type="spellEnd"/>
            <w:r w:rsidR="00F33FC8" w:rsidRPr="004A2CC5">
              <w:rPr>
                <w:rFonts w:ascii="Calibri" w:hAnsi="Calibri" w:cs="Calibri"/>
                <w:lang w:val="es-ES_tradnl"/>
              </w:rPr>
              <w:t>, Indonesia, Kiribati, Micronesia, Nauru, Pakistán, Filipinas, Tailandia, Timor-Leste, Tonga y los miembros de la ASEAN que ayudaron a impartir programas de formación en competencias digitales y llevar a cabo otras actividades conexas en beneficio de las niñas y las jóvenes de la región. Los encuentros atrajeron a más de 2</w:t>
            </w:r>
            <w:r w:rsidR="00F23CD7" w:rsidRPr="004A2CC5">
              <w:rPr>
                <w:rFonts w:ascii="Calibri" w:hAnsi="Calibri" w:cs="Calibri"/>
                <w:lang w:val="es-ES_tradnl"/>
              </w:rPr>
              <w:t> </w:t>
            </w:r>
            <w:r w:rsidR="00F33FC8" w:rsidRPr="004A2CC5">
              <w:rPr>
                <w:rFonts w:ascii="Calibri" w:hAnsi="Calibri" w:cs="Calibri"/>
                <w:lang w:val="es-ES_tradnl"/>
              </w:rPr>
              <w:t>200 participantes, entre ellos niñas, mujeres jóvenes y profesoras, que tomaron parte en 63 programas de formación en competencias digitales y otras actividades conexas en el marco del Día de las Niñas en las TIC entre el 27 de abril y el 17 de noviembre de 2023. Además, estas actividades contaron con la participación de coordinadores de género, así como con la colaboración de más de 100 socios de gobiernos, organismos de las Naciones Unidas, industrias, instituciones académicas y organizaciones de la sociedad civil.</w:t>
            </w:r>
          </w:p>
          <w:p w14:paraId="588B8DF6" w14:textId="1ECF3DB6" w:rsidR="00F33FC8" w:rsidRPr="004A2CC5" w:rsidRDefault="001F3C66" w:rsidP="001F3C66">
            <w:pPr>
              <w:pStyle w:val="Tabletext"/>
              <w:ind w:left="284" w:hanging="284"/>
              <w:rPr>
                <w:rFonts w:ascii="Calibri" w:hAnsi="Calibri" w:cs="Calibri"/>
                <w:lang w:val="es-ES_tradnl"/>
              </w:rPr>
            </w:pPr>
            <w:r w:rsidRPr="004A2CC5">
              <w:rPr>
                <w:b/>
                <w:bCs/>
                <w:lang w:val="es-ES_tradnl"/>
              </w:rPr>
              <w:t>•</w:t>
            </w:r>
            <w:r w:rsidRPr="004A2CC5">
              <w:rPr>
                <w:b/>
                <w:bCs/>
                <w:lang w:val="es-ES_tradnl"/>
              </w:rPr>
              <w:tab/>
            </w:r>
            <w:r w:rsidR="00F33FC8" w:rsidRPr="004A2CC5">
              <w:rPr>
                <w:b/>
                <w:lang w:val="es-ES_tradnl"/>
              </w:rPr>
              <w:t>En la CEI</w:t>
            </w:r>
            <w:r w:rsidR="00F33FC8" w:rsidRPr="004A2CC5">
              <w:rPr>
                <w:bCs/>
                <w:lang w:val="es-ES_tradnl"/>
              </w:rPr>
              <w:t xml:space="preserve">, </w:t>
            </w:r>
            <w:r w:rsidR="00F33FC8" w:rsidRPr="004A2CC5">
              <w:rPr>
                <w:rFonts w:ascii="Calibri" w:hAnsi="Calibri" w:cs="Calibri"/>
                <w:lang w:val="es-ES_tradnl"/>
              </w:rPr>
              <w:t xml:space="preserve">la </w:t>
            </w:r>
            <w:r w:rsidR="003B766B">
              <w:rPr>
                <w:rFonts w:ascii="Calibri" w:hAnsi="Calibri" w:cs="Calibri"/>
                <w:lang w:val="es-ES_tradnl"/>
              </w:rPr>
              <w:t>BDT</w:t>
            </w:r>
            <w:r w:rsidR="003B766B" w:rsidRPr="004A2CC5">
              <w:rPr>
                <w:rFonts w:ascii="Calibri" w:hAnsi="Calibri" w:cs="Calibri"/>
                <w:lang w:val="es-ES_tradnl"/>
              </w:rPr>
              <w:t xml:space="preserve"> </w:t>
            </w:r>
            <w:r w:rsidR="00F33FC8" w:rsidRPr="004A2CC5">
              <w:rPr>
                <w:rFonts w:ascii="Calibri" w:hAnsi="Calibri" w:cs="Calibri"/>
                <w:lang w:val="es-ES_tradnl"/>
              </w:rPr>
              <w:t>ha ayudado a Azerbaiyán a llevar a cabo una evaluación de la alfabetización digital en todo el país a través de una encuesta en hogares, que ha abarcado diversas categorías definidas (estudiantes universitarios y personal académico, sector privado, sector público). En esta encuesta han participado casi 35</w:t>
            </w:r>
            <w:r w:rsidR="00F23CD7" w:rsidRPr="004A2CC5">
              <w:rPr>
                <w:rFonts w:ascii="Calibri" w:hAnsi="Calibri" w:cs="Calibri"/>
                <w:lang w:val="es-ES_tradnl"/>
              </w:rPr>
              <w:t> </w:t>
            </w:r>
            <w:r w:rsidR="00F33FC8" w:rsidRPr="004A2CC5">
              <w:rPr>
                <w:rFonts w:ascii="Calibri" w:hAnsi="Calibri" w:cs="Calibri"/>
                <w:lang w:val="es-ES_tradnl"/>
              </w:rPr>
              <w:t>000 personas, conforme a una muestra aleatoria de hogares de 13 regiones económicas de Azerbaiyán. También se han realizado encuestas en línea independientes y dirigidas a ciertos grupos específicos, como pueden ser los trabajadores de empresas privadas (1</w:t>
            </w:r>
            <w:r w:rsidR="00F23CD7" w:rsidRPr="004A2CC5">
              <w:rPr>
                <w:rFonts w:ascii="Calibri" w:hAnsi="Calibri" w:cs="Calibri"/>
                <w:lang w:val="es-ES_tradnl"/>
              </w:rPr>
              <w:t> </w:t>
            </w:r>
            <w:r w:rsidR="00F33FC8" w:rsidRPr="004A2CC5">
              <w:rPr>
                <w:rFonts w:ascii="Calibri" w:hAnsi="Calibri" w:cs="Calibri"/>
                <w:lang w:val="es-ES_tradnl"/>
              </w:rPr>
              <w:t>116) y organismos públicos (679), y los estudiantes (6</w:t>
            </w:r>
            <w:r w:rsidR="00F23CD7" w:rsidRPr="004A2CC5">
              <w:rPr>
                <w:rFonts w:ascii="Calibri" w:hAnsi="Calibri" w:cs="Calibri"/>
                <w:lang w:val="es-ES_tradnl"/>
              </w:rPr>
              <w:t> </w:t>
            </w:r>
            <w:r w:rsidR="00F33FC8" w:rsidRPr="004A2CC5">
              <w:rPr>
                <w:rFonts w:ascii="Calibri" w:hAnsi="Calibri" w:cs="Calibri"/>
                <w:lang w:val="es-ES_tradnl"/>
              </w:rPr>
              <w:t xml:space="preserve">372) y el personal docente (886) de centros de enseñanza superior. El objetivo de la evaluación es sentar las bases para unas intervenciones basadas en datos y orientadas a mejorar la alfabetización digital en función de las necesidades de los gobiernos. La encuesta también podría servir de modelo para una evaluación más periódica del nivel de alfabetización digital de los ciudadanos de Azerbaiyán y reproducirse en el futuro. El gobierno de Azerbaiyán se basará en las recomendaciones derivadas de la </w:t>
            </w:r>
            <w:r w:rsidR="00F33FC8" w:rsidRPr="004A2CC5">
              <w:rPr>
                <w:b/>
                <w:bCs/>
                <w:lang w:val="es-ES_tradnl"/>
              </w:rPr>
              <w:t xml:space="preserve">encuesta </w:t>
            </w:r>
            <w:r w:rsidR="00F33FC8" w:rsidRPr="004A2CC5">
              <w:rPr>
                <w:rFonts w:ascii="Calibri" w:hAnsi="Calibri" w:cs="Calibri"/>
                <w:lang w:val="es-ES_tradnl"/>
              </w:rPr>
              <w:t xml:space="preserve">para diseñar y planificar futuras intervenciones, políticas o estrategias pertinentes a escala nacional o regional, incluidas actividades específicas del sector y campañas de sensibilización y promoción. Con la </w:t>
            </w:r>
            <w:r w:rsidR="00F33FC8" w:rsidRPr="004A2CC5">
              <w:rPr>
                <w:rFonts w:ascii="Calibri" w:hAnsi="Calibri" w:cs="Calibri"/>
                <w:lang w:val="es-ES_tradnl"/>
              </w:rPr>
              <w:lastRenderedPageBreak/>
              <w:t>finalización del informe de evaluación, a principios de mayo de 2024, Azerbaiyán se convertirá en el primer país de la región en adoptar la nueva metodología de la UIT sobre competencias digitales.</w:t>
            </w:r>
          </w:p>
          <w:p w14:paraId="212642D2" w14:textId="3E498F0D" w:rsidR="00F33FC8" w:rsidRPr="004A2CC5" w:rsidRDefault="001F3C66" w:rsidP="001F3C66">
            <w:pPr>
              <w:pStyle w:val="Tabletext"/>
              <w:ind w:left="284" w:hanging="284"/>
              <w:rPr>
                <w:rFonts w:ascii="Calibri" w:hAnsi="Calibri" w:cs="Calibri"/>
                <w:lang w:val="es-ES_tradnl"/>
              </w:rPr>
            </w:pPr>
            <w:r w:rsidRPr="004A2CC5">
              <w:rPr>
                <w:b/>
                <w:bCs/>
                <w:lang w:val="es-ES_tradnl"/>
              </w:rPr>
              <w:t>•</w:t>
            </w:r>
            <w:r w:rsidRPr="004A2CC5">
              <w:rPr>
                <w:b/>
                <w:bCs/>
                <w:lang w:val="es-ES_tradnl"/>
              </w:rPr>
              <w:tab/>
            </w:r>
            <w:r w:rsidR="00F33FC8" w:rsidRPr="004A2CC5">
              <w:rPr>
                <w:rFonts w:ascii="Calibri" w:hAnsi="Calibri" w:cs="Calibri"/>
                <w:b/>
                <w:bCs/>
                <w:lang w:val="es-ES_tradnl"/>
              </w:rPr>
              <w:t>En Europa</w:t>
            </w:r>
            <w:r w:rsidR="00F33FC8" w:rsidRPr="004A2CC5">
              <w:rPr>
                <w:rFonts w:ascii="Calibri" w:hAnsi="Calibri" w:cs="Calibri"/>
                <w:lang w:val="es-ES_tradnl"/>
              </w:rPr>
              <w:t>, y más concretamente en Albania, una evaluación de las competencias digitales centrada en las personas de edad ha proporcionado información valiosa sobre los niveles de competencia de estas últimas y los retos a los que se enfrentan, y ha facilitado la identificación de la formación necesaria. Esta iniciativa ha contado con 467 participantes y ha sentado las bases necesarias para la adopción de decisiones políticas y estrategias de intervención destinadas a reducir la brecha digital, especialmente en relación con los factores atinentes a la edad. Además, ha reforzado el compromiso gubernamental con la inclusión, haciendo hincapié en la prestación de apoyo a todos los segmentos de la sociedad.</w:t>
            </w:r>
          </w:p>
          <w:p w14:paraId="16C48605" w14:textId="60E09696" w:rsidR="00F33FC8" w:rsidRPr="004A2CC5" w:rsidRDefault="001F3C66" w:rsidP="001F3C66">
            <w:pPr>
              <w:pStyle w:val="Tabletext"/>
              <w:ind w:left="284" w:hanging="284"/>
              <w:rPr>
                <w:lang w:val="es-ES_tradnl"/>
              </w:rPr>
            </w:pPr>
            <w:r w:rsidRPr="004A2CC5">
              <w:rPr>
                <w:lang w:val="es-ES_tradnl"/>
              </w:rPr>
              <w:tab/>
            </w:r>
            <w:r w:rsidR="00F33FC8" w:rsidRPr="004A2CC5">
              <w:rPr>
                <w:lang w:val="es-ES_tradnl"/>
              </w:rPr>
              <w:t xml:space="preserve">Se ha creado un compendio de habilidades, formación y competencias digitales para Europa y Asia Central con el apoyo y las aportaciones del Grupo de las Naciones Unidas para la Transformación Digital de Europa y Asia Central, en cooperación con la </w:t>
            </w:r>
            <w:r w:rsidR="00C14AF1">
              <w:rPr>
                <w:lang w:val="es-ES_tradnl"/>
              </w:rPr>
              <w:t xml:space="preserve">BDT a través de la </w:t>
            </w:r>
            <w:r w:rsidR="00F33FC8" w:rsidRPr="004A2CC5">
              <w:rPr>
                <w:lang w:val="es-ES_tradnl"/>
              </w:rPr>
              <w:t xml:space="preserve">Oficina de la UIT para Europa, en el marco de la Iniciativa Regional de la UIT para Europa sobre </w:t>
            </w:r>
            <w:r w:rsidR="001B1471" w:rsidRPr="004A2CC5">
              <w:rPr>
                <w:lang w:val="es-ES_tradnl"/>
              </w:rPr>
              <w:t>"</w:t>
            </w:r>
            <w:r w:rsidR="00F33FC8" w:rsidRPr="004A2CC5">
              <w:rPr>
                <w:lang w:val="es-ES_tradnl"/>
              </w:rPr>
              <w:t>Accesibilidad, asequibilidad y desarrollo de calificaciones para todos a fin de asegurar la inclusión digital y el desarrollo sostenible</w:t>
            </w:r>
            <w:r w:rsidR="001B1471" w:rsidRPr="004A2CC5">
              <w:rPr>
                <w:lang w:val="es-ES_tradnl"/>
              </w:rPr>
              <w:t>"</w:t>
            </w:r>
            <w:r w:rsidR="00F33FC8" w:rsidRPr="004A2CC5">
              <w:rPr>
                <w:lang w:val="es-ES_tradnl"/>
              </w:rPr>
              <w:t>.</w:t>
            </w:r>
          </w:p>
        </w:tc>
        <w:tc>
          <w:tcPr>
            <w:tcW w:w="2970" w:type="dxa"/>
          </w:tcPr>
          <w:p w14:paraId="0C561BAD" w14:textId="77777777" w:rsidR="00F33FC8" w:rsidRPr="004A2CC5" w:rsidRDefault="00F33FC8" w:rsidP="007D5F35">
            <w:pPr>
              <w:pStyle w:val="Tabletext"/>
              <w:rPr>
                <w:b/>
                <w:bCs/>
                <w:lang w:val="es-ES_tradnl"/>
              </w:rPr>
            </w:pPr>
            <w:r w:rsidRPr="004A2CC5">
              <w:rPr>
                <w:b/>
                <w:bCs/>
                <w:lang w:val="es-ES_tradnl"/>
              </w:rPr>
              <w:lastRenderedPageBreak/>
              <w:t>Capacitación:</w:t>
            </w:r>
          </w:p>
        </w:tc>
      </w:tr>
      <w:tr w:rsidR="00F33FC8" w:rsidRPr="00B6045A" w14:paraId="2C109E78" w14:textId="77777777" w:rsidTr="004E72A0">
        <w:tc>
          <w:tcPr>
            <w:tcW w:w="11880" w:type="dxa"/>
            <w:gridSpan w:val="2"/>
            <w:vMerge/>
          </w:tcPr>
          <w:p w14:paraId="1B5D09F7" w14:textId="77777777" w:rsidR="00F33FC8" w:rsidRPr="004A2CC5" w:rsidRDefault="00F33FC8" w:rsidP="00853197">
            <w:pPr>
              <w:numPr>
                <w:ilvl w:val="0"/>
                <w:numId w:val="9"/>
              </w:numPr>
              <w:tabs>
                <w:tab w:val="clear" w:pos="794"/>
                <w:tab w:val="clear" w:pos="1191"/>
                <w:tab w:val="clear" w:pos="1588"/>
                <w:tab w:val="clear" w:pos="1985"/>
                <w:tab w:val="left" w:pos="1134"/>
                <w:tab w:val="left" w:pos="1871"/>
                <w:tab w:val="left" w:pos="2268"/>
              </w:tabs>
              <w:overflowPunct/>
              <w:autoSpaceDE/>
              <w:autoSpaceDN/>
              <w:adjustRightInd/>
              <w:spacing w:before="0"/>
              <w:contextualSpacing/>
              <w:jc w:val="both"/>
              <w:textAlignment w:val="auto"/>
              <w:rPr>
                <w:rFonts w:cs="Calibri"/>
                <w:sz w:val="22"/>
                <w:lang w:val="es-ES_tradnl"/>
              </w:rPr>
            </w:pPr>
          </w:p>
        </w:tc>
        <w:tc>
          <w:tcPr>
            <w:tcW w:w="2970" w:type="dxa"/>
            <w:shd w:val="clear" w:color="auto" w:fill="auto"/>
          </w:tcPr>
          <w:p w14:paraId="3FCB9141" w14:textId="77777777" w:rsidR="00F33FC8" w:rsidRPr="004A2CC5" w:rsidRDefault="00F33FC8" w:rsidP="007D5F35">
            <w:pPr>
              <w:pStyle w:val="Tabletext"/>
              <w:rPr>
                <w:b/>
                <w:bCs/>
                <w:lang w:val="es-ES_tradnl"/>
              </w:rPr>
            </w:pPr>
            <w:r w:rsidRPr="004A2CC5">
              <w:rPr>
                <w:b/>
                <w:bCs/>
                <w:lang w:val="es-ES_tradnl"/>
              </w:rPr>
              <w:t>Academia de la UIT:</w:t>
            </w:r>
          </w:p>
          <w:p w14:paraId="5C2BECFC" w14:textId="0A56F4E7" w:rsidR="00F33FC8" w:rsidRPr="004A2CC5" w:rsidRDefault="007D5F35" w:rsidP="007D5F35">
            <w:pPr>
              <w:pStyle w:val="Tabletext"/>
              <w:rPr>
                <w:lang w:val="es-ES_tradnl"/>
              </w:rPr>
            </w:pPr>
            <w:r w:rsidRPr="004A2CC5">
              <w:rPr>
                <w:lang w:val="es-ES_tradnl"/>
              </w:rPr>
              <w:t>•</w:t>
            </w:r>
            <w:r w:rsidRPr="004A2CC5">
              <w:rPr>
                <w:lang w:val="es-ES_tradnl"/>
              </w:rPr>
              <w:tab/>
            </w:r>
            <w:r w:rsidR="00F33FC8" w:rsidRPr="004A2CC5">
              <w:rPr>
                <w:lang w:val="es-ES_tradnl"/>
              </w:rPr>
              <w:t>+ 7</w:t>
            </w:r>
            <w:r w:rsidR="000170C6" w:rsidRPr="004A2CC5">
              <w:rPr>
                <w:lang w:val="es-ES_tradnl"/>
              </w:rPr>
              <w:t> </w:t>
            </w:r>
            <w:r w:rsidR="00F33FC8" w:rsidRPr="004A2CC5">
              <w:rPr>
                <w:lang w:val="es-ES_tradnl"/>
              </w:rPr>
              <w:t>800 nuevos usuarios.</w:t>
            </w:r>
          </w:p>
          <w:p w14:paraId="1C2F647A" w14:textId="1ED57608" w:rsidR="00F33FC8" w:rsidRPr="004A2CC5" w:rsidRDefault="007D5F35" w:rsidP="007D5F35">
            <w:pPr>
              <w:pStyle w:val="Tabletext"/>
              <w:rPr>
                <w:lang w:val="es-ES_tradnl"/>
              </w:rPr>
            </w:pPr>
            <w:r w:rsidRPr="004A2CC5">
              <w:rPr>
                <w:lang w:val="es-ES_tradnl"/>
              </w:rPr>
              <w:t>•</w:t>
            </w:r>
            <w:r w:rsidRPr="004A2CC5">
              <w:rPr>
                <w:lang w:val="es-ES_tradnl"/>
              </w:rPr>
              <w:tab/>
            </w:r>
            <w:r w:rsidR="00F33FC8" w:rsidRPr="004A2CC5">
              <w:rPr>
                <w:lang w:val="es-ES_tradnl"/>
              </w:rPr>
              <w:t>+ 130 cursos impartidos.</w:t>
            </w:r>
          </w:p>
          <w:p w14:paraId="612E697F" w14:textId="7E1DCC05" w:rsidR="00F33FC8" w:rsidRPr="004A2CC5" w:rsidRDefault="007D5F35" w:rsidP="007D5F35">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13 CFA imparten cursos de alta calidad en todas las regiones.</w:t>
            </w:r>
          </w:p>
          <w:p w14:paraId="4C920A6C" w14:textId="06415991" w:rsidR="00F33FC8" w:rsidRPr="004A2CC5" w:rsidRDefault="007D5F35" w:rsidP="007D5F35">
            <w:pPr>
              <w:pStyle w:val="Tabletext"/>
              <w:ind w:left="284" w:hanging="284"/>
              <w:rPr>
                <w:lang w:val="es-ES_tradnl"/>
              </w:rPr>
            </w:pPr>
            <w:r w:rsidRPr="004A2CC5">
              <w:rPr>
                <w:lang w:val="es-ES_tradnl"/>
              </w:rPr>
              <w:t>•</w:t>
            </w:r>
            <w:r w:rsidRPr="004A2CC5">
              <w:rPr>
                <w:lang w:val="es-ES_tradnl"/>
              </w:rPr>
              <w:tab/>
              <w:t>T</w:t>
            </w:r>
            <w:r w:rsidR="00F33FC8" w:rsidRPr="004A2CC5">
              <w:rPr>
                <w:lang w:val="es-ES_tradnl"/>
              </w:rPr>
              <w:t>odos los Estados Miembros de la UIT se beneficiaron de los cursos de formación.</w:t>
            </w:r>
          </w:p>
          <w:p w14:paraId="19A6B08C" w14:textId="345C48AB" w:rsidR="00F33FC8" w:rsidRPr="004A2CC5" w:rsidRDefault="007D5F35" w:rsidP="007D5F35">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Alto grado de satisfacción entre los participantes.</w:t>
            </w:r>
          </w:p>
          <w:p w14:paraId="7A3F17CF" w14:textId="44FDE9B4" w:rsidR="00F33FC8" w:rsidRPr="004A2CC5" w:rsidRDefault="00F33FC8" w:rsidP="007D5F35">
            <w:pPr>
              <w:pStyle w:val="Tabletext"/>
              <w:rPr>
                <w:b/>
                <w:bCs/>
                <w:lang w:val="es-ES_tradnl"/>
              </w:rPr>
            </w:pPr>
            <w:r w:rsidRPr="004A2CC5">
              <w:rPr>
                <w:b/>
                <w:bCs/>
                <w:lang w:val="es-ES_tradnl"/>
              </w:rPr>
              <w:t>CFA:</w:t>
            </w:r>
          </w:p>
          <w:p w14:paraId="37F80839" w14:textId="21FAE058" w:rsidR="00F33FC8" w:rsidRPr="004A2CC5" w:rsidRDefault="007D5F35" w:rsidP="007D5F35">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13 entidades de todas las regiones.</w:t>
            </w:r>
          </w:p>
          <w:p w14:paraId="41603DA3" w14:textId="5BD8433B" w:rsidR="00F33FC8" w:rsidRPr="004A2CC5" w:rsidRDefault="007D5F35" w:rsidP="007D5F35">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45 formaciones, incluidos 2</w:t>
            </w:r>
            <w:r w:rsidR="000170C6" w:rsidRPr="004A2CC5">
              <w:rPr>
                <w:lang w:val="es-ES_tradnl"/>
              </w:rPr>
              <w:t> </w:t>
            </w:r>
            <w:r w:rsidR="00F33FC8" w:rsidRPr="004A2CC5">
              <w:rPr>
                <w:lang w:val="es-ES_tradnl"/>
              </w:rPr>
              <w:t>900 participantes, en materia de:</w:t>
            </w:r>
          </w:p>
          <w:p w14:paraId="24296245" w14:textId="2D3A6D9A" w:rsidR="00F33FC8" w:rsidRPr="004A2CC5" w:rsidRDefault="007D5F35" w:rsidP="000170C6">
            <w:pPr>
              <w:pStyle w:val="Tabletext"/>
              <w:tabs>
                <w:tab w:val="clear" w:pos="284"/>
                <w:tab w:val="clear" w:pos="567"/>
              </w:tabs>
              <w:ind w:left="624" w:hanging="283"/>
              <w:rPr>
                <w:lang w:val="es-ES_tradnl"/>
              </w:rPr>
            </w:pPr>
            <w:r w:rsidRPr="004A2CC5">
              <w:rPr>
                <w:lang w:val="es-ES_tradnl"/>
              </w:rPr>
              <w:lastRenderedPageBreak/>
              <w:t>–</w:t>
            </w:r>
            <w:r w:rsidRPr="004A2CC5">
              <w:rPr>
                <w:lang w:val="es-ES_tradnl"/>
              </w:rPr>
              <w:tab/>
            </w:r>
            <w:r w:rsidR="00F33FC8" w:rsidRPr="004A2CC5">
              <w:rPr>
                <w:lang w:val="es-ES_tradnl"/>
              </w:rPr>
              <w:t>mejora de las competencias digitales en los ámbitos político y normativo;</w:t>
            </w:r>
          </w:p>
          <w:p w14:paraId="62ABB28D" w14:textId="448AE105" w:rsidR="00F33FC8" w:rsidRPr="004A2CC5" w:rsidRDefault="007D5F35" w:rsidP="000170C6">
            <w:pPr>
              <w:pStyle w:val="Tabletext"/>
              <w:tabs>
                <w:tab w:val="clear" w:pos="284"/>
                <w:tab w:val="clear" w:pos="567"/>
              </w:tabs>
              <w:ind w:left="624" w:hanging="283"/>
              <w:rPr>
                <w:lang w:val="es-ES_tradnl"/>
              </w:rPr>
            </w:pPr>
            <w:r w:rsidRPr="004A2CC5">
              <w:rPr>
                <w:lang w:val="es-ES_tradnl"/>
              </w:rPr>
              <w:t>–</w:t>
            </w:r>
            <w:r w:rsidRPr="004A2CC5">
              <w:rPr>
                <w:lang w:val="es-ES_tradnl"/>
              </w:rPr>
              <w:tab/>
            </w:r>
            <w:r w:rsidR="00F33FC8" w:rsidRPr="004A2CC5">
              <w:rPr>
                <w:lang w:val="es-ES_tradnl"/>
              </w:rPr>
              <w:t>redes e infraestructuras;</w:t>
            </w:r>
          </w:p>
          <w:p w14:paraId="6FEDC1FB" w14:textId="2B8141E1" w:rsidR="00F33FC8" w:rsidRPr="004A2CC5" w:rsidRDefault="007D5F35" w:rsidP="000170C6">
            <w:pPr>
              <w:pStyle w:val="Tabletext"/>
              <w:tabs>
                <w:tab w:val="clear" w:pos="284"/>
                <w:tab w:val="clear" w:pos="567"/>
              </w:tabs>
              <w:ind w:left="624" w:hanging="283"/>
              <w:rPr>
                <w:lang w:val="es-ES_tradnl"/>
              </w:rPr>
            </w:pPr>
            <w:r w:rsidRPr="004A2CC5">
              <w:rPr>
                <w:lang w:val="es-ES_tradnl"/>
              </w:rPr>
              <w:t>–</w:t>
            </w:r>
            <w:r w:rsidRPr="004A2CC5">
              <w:rPr>
                <w:lang w:val="es-ES_tradnl"/>
              </w:rPr>
              <w:tab/>
            </w:r>
            <w:r w:rsidR="00F33FC8" w:rsidRPr="004A2CC5">
              <w:rPr>
                <w:lang w:val="es-ES_tradnl"/>
              </w:rPr>
              <w:t>gestión del espectro;</w:t>
            </w:r>
          </w:p>
          <w:p w14:paraId="0F37B691" w14:textId="74F0A4C5" w:rsidR="00F33FC8" w:rsidRPr="004A2CC5" w:rsidRDefault="007D5F35" w:rsidP="000170C6">
            <w:pPr>
              <w:pStyle w:val="Tabletext"/>
              <w:tabs>
                <w:tab w:val="clear" w:pos="284"/>
                <w:tab w:val="clear" w:pos="567"/>
              </w:tabs>
              <w:ind w:left="624" w:hanging="283"/>
              <w:rPr>
                <w:lang w:val="es-ES_tradnl"/>
              </w:rPr>
            </w:pPr>
            <w:r w:rsidRPr="004A2CC5">
              <w:rPr>
                <w:lang w:val="es-ES_tradnl"/>
              </w:rPr>
              <w:t>–</w:t>
            </w:r>
            <w:r w:rsidRPr="004A2CC5">
              <w:rPr>
                <w:lang w:val="es-ES_tradnl"/>
              </w:rPr>
              <w:tab/>
            </w:r>
            <w:r w:rsidR="00F33FC8" w:rsidRPr="004A2CC5">
              <w:rPr>
                <w:lang w:val="es-ES_tradnl"/>
              </w:rPr>
              <w:t>ciberseguridad;</w:t>
            </w:r>
          </w:p>
          <w:p w14:paraId="6763A03B" w14:textId="1B601A5B" w:rsidR="00F33FC8" w:rsidRPr="004A2CC5" w:rsidRDefault="007D5F35" w:rsidP="000170C6">
            <w:pPr>
              <w:pStyle w:val="Tabletext"/>
              <w:tabs>
                <w:tab w:val="clear" w:pos="284"/>
                <w:tab w:val="clear" w:pos="567"/>
              </w:tabs>
              <w:ind w:left="624" w:hanging="283"/>
              <w:rPr>
                <w:lang w:val="es-ES_tradnl"/>
              </w:rPr>
            </w:pPr>
            <w:r w:rsidRPr="004A2CC5">
              <w:rPr>
                <w:lang w:val="es-ES_tradnl"/>
              </w:rPr>
              <w:t>–</w:t>
            </w:r>
            <w:r w:rsidRPr="004A2CC5">
              <w:rPr>
                <w:lang w:val="es-ES_tradnl"/>
              </w:rPr>
              <w:tab/>
            </w:r>
            <w:r w:rsidR="00F33FC8" w:rsidRPr="004A2CC5">
              <w:rPr>
                <w:lang w:val="es-ES_tradnl"/>
              </w:rPr>
              <w:t>inclusión digital; y</w:t>
            </w:r>
          </w:p>
          <w:p w14:paraId="7406E32D" w14:textId="367B8628" w:rsidR="00F33FC8" w:rsidRPr="004A2CC5" w:rsidRDefault="007D5F35" w:rsidP="000170C6">
            <w:pPr>
              <w:pStyle w:val="Tabletext"/>
              <w:tabs>
                <w:tab w:val="clear" w:pos="284"/>
                <w:tab w:val="clear" w:pos="567"/>
              </w:tabs>
              <w:ind w:left="624" w:hanging="283"/>
              <w:rPr>
                <w:lang w:val="es-ES_tradnl"/>
              </w:rPr>
            </w:pPr>
            <w:r w:rsidRPr="004A2CC5">
              <w:rPr>
                <w:lang w:val="es-ES_tradnl"/>
              </w:rPr>
              <w:t>–</w:t>
            </w:r>
            <w:r w:rsidRPr="004A2CC5">
              <w:rPr>
                <w:lang w:val="es-ES_tradnl"/>
              </w:rPr>
              <w:tab/>
            </w:r>
            <w:r w:rsidR="00F33FC8" w:rsidRPr="004A2CC5">
              <w:rPr>
                <w:lang w:val="es-ES_tradnl"/>
              </w:rPr>
              <w:t>servicios digitales.</w:t>
            </w:r>
          </w:p>
          <w:p w14:paraId="6CA666C7" w14:textId="77777777" w:rsidR="00F33FC8" w:rsidRPr="004A2CC5" w:rsidRDefault="00F33FC8" w:rsidP="007D5F35">
            <w:pPr>
              <w:pStyle w:val="Tabletext"/>
              <w:rPr>
                <w:b/>
                <w:bCs/>
                <w:lang w:val="es-ES_tradnl"/>
              </w:rPr>
            </w:pPr>
            <w:r w:rsidRPr="004A2CC5">
              <w:rPr>
                <w:b/>
                <w:bCs/>
                <w:lang w:val="es-ES_tradnl"/>
              </w:rPr>
              <w:t>CTD:</w:t>
            </w:r>
          </w:p>
          <w:p w14:paraId="1247CDEE" w14:textId="2C084910" w:rsidR="00F33FC8" w:rsidRPr="004A2CC5" w:rsidRDefault="007D5F35" w:rsidP="007D5F35">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+ 120 cursos impartidos en 14 CTD de todas las regiones.</w:t>
            </w:r>
          </w:p>
          <w:p w14:paraId="67B3E1A6" w14:textId="09573A8B" w:rsidR="00F33FC8" w:rsidRPr="004A2CC5" w:rsidRDefault="007D5F35" w:rsidP="007D5F35">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68</w:t>
            </w:r>
            <w:r w:rsidR="000170C6" w:rsidRPr="004A2CC5">
              <w:rPr>
                <w:lang w:val="es-ES_tradnl"/>
              </w:rPr>
              <w:t> </w:t>
            </w:r>
            <w:r w:rsidR="00F33FC8" w:rsidRPr="004A2CC5">
              <w:rPr>
                <w:lang w:val="es-ES_tradnl"/>
              </w:rPr>
              <w:t>836 participantes de todos los Estados Miembros, incluidos alumnos de comunidades rurales y remotas.</w:t>
            </w:r>
          </w:p>
          <w:p w14:paraId="1C0CBB49" w14:textId="77777777" w:rsidR="00F33FC8" w:rsidRPr="004A2CC5" w:rsidRDefault="00F33FC8" w:rsidP="007D5F35">
            <w:pPr>
              <w:pStyle w:val="Tabletext"/>
              <w:rPr>
                <w:b/>
                <w:bCs/>
                <w:lang w:val="es-ES_tradnl"/>
              </w:rPr>
            </w:pPr>
            <w:r w:rsidRPr="004A2CC5">
              <w:rPr>
                <w:b/>
                <w:bCs/>
                <w:lang w:val="es-ES_tradnl"/>
              </w:rPr>
              <w:t>Capacitación digital de:</w:t>
            </w:r>
          </w:p>
          <w:p w14:paraId="2F79A667" w14:textId="56345D18" w:rsidR="00F33FC8" w:rsidRPr="004A2CC5" w:rsidRDefault="007D5F35" w:rsidP="007D5F35">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Profesionales de las TIC.</w:t>
            </w:r>
          </w:p>
          <w:p w14:paraId="68F190D0" w14:textId="31E44E37" w:rsidR="00F33FC8" w:rsidRPr="004A2CC5" w:rsidRDefault="007D5F35" w:rsidP="007D5F35">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Pueblos indígenas y comunidades remotas.</w:t>
            </w:r>
          </w:p>
          <w:p w14:paraId="164D5BC6" w14:textId="1E996E6C" w:rsidR="00F33FC8" w:rsidRPr="004A2CC5" w:rsidRDefault="007D5F35" w:rsidP="007D5F35">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Mujeres y niñas.</w:t>
            </w:r>
          </w:p>
          <w:p w14:paraId="30C67719" w14:textId="7F2DE1EC" w:rsidR="00F33FC8" w:rsidRPr="004A2CC5" w:rsidRDefault="007D5F35" w:rsidP="007D5F35">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Jóvenes.</w:t>
            </w:r>
          </w:p>
          <w:p w14:paraId="7F2AE7EE" w14:textId="4370F266" w:rsidR="00F33FC8" w:rsidRPr="004A2CC5" w:rsidRDefault="007D5F35" w:rsidP="007D5F35">
            <w:pPr>
              <w:pStyle w:val="Tabletext"/>
              <w:rPr>
                <w:lang w:val="es-ES_tradnl"/>
              </w:rPr>
            </w:pPr>
            <w:r w:rsidRPr="004A2CC5">
              <w:rPr>
                <w:lang w:val="es-ES_tradnl"/>
              </w:rPr>
              <w:t>•</w:t>
            </w:r>
            <w:r w:rsidRPr="004A2CC5">
              <w:rPr>
                <w:lang w:val="es-ES_tradnl"/>
              </w:rPr>
              <w:tab/>
            </w:r>
            <w:r w:rsidR="00F33FC8" w:rsidRPr="004A2CC5">
              <w:rPr>
                <w:lang w:val="es-ES_tradnl"/>
              </w:rPr>
              <w:t>Personas con discapacidad.</w:t>
            </w:r>
          </w:p>
        </w:tc>
      </w:tr>
      <w:tr w:rsidR="00F33FC8" w:rsidRPr="00B6045A" w14:paraId="46847B4F" w14:textId="77777777" w:rsidTr="004E72A0">
        <w:tc>
          <w:tcPr>
            <w:tcW w:w="14850" w:type="dxa"/>
            <w:gridSpan w:val="3"/>
            <w:shd w:val="clear" w:color="auto" w:fill="E5DFEC" w:themeFill="accent4" w:themeFillTint="33"/>
          </w:tcPr>
          <w:p w14:paraId="149C2D59" w14:textId="77777777" w:rsidR="00F33FC8" w:rsidRPr="004A2CC5" w:rsidRDefault="00F33FC8" w:rsidP="007D5F35">
            <w:pPr>
              <w:pStyle w:val="Tabletext"/>
              <w:rPr>
                <w:rFonts w:cstheme="minorHAnsi"/>
                <w:b/>
                <w:bCs/>
                <w:i/>
                <w:iCs/>
                <w:color w:val="000000"/>
                <w:lang w:val="es-ES_tradnl"/>
              </w:rPr>
            </w:pPr>
            <w:r w:rsidRPr="004A2CC5">
              <w:rPr>
                <w:b/>
                <w:bCs/>
                <w:i/>
                <w:iCs/>
                <w:lang w:val="es-ES_tradnl"/>
              </w:rPr>
              <w:lastRenderedPageBreak/>
              <w:t>Realización</w:t>
            </w:r>
            <w:r w:rsidRPr="004A2CC5">
              <w:rPr>
                <w:i/>
                <w:iCs/>
                <w:lang w:val="es-ES_tradnl"/>
              </w:rPr>
              <w:t>: Refuerzo de la capacidad de los Estados Miembros para mejorar sus marcos políticos, jurídicos y reglamentarios en materia de telecomunicaciones/TIC, de tal manera que favorezcan el desarrollo sostenible y la transformación digital.</w:t>
            </w:r>
          </w:p>
        </w:tc>
      </w:tr>
      <w:tr w:rsidR="00F33FC8" w:rsidRPr="00B6045A" w14:paraId="21C96FD4" w14:textId="77777777" w:rsidTr="004E72A0">
        <w:tc>
          <w:tcPr>
            <w:tcW w:w="11880" w:type="dxa"/>
            <w:gridSpan w:val="2"/>
          </w:tcPr>
          <w:p w14:paraId="101B36A7" w14:textId="76E1123F" w:rsidR="00F33FC8" w:rsidRPr="004A2CC5" w:rsidRDefault="00F33FC8" w:rsidP="007D5F35">
            <w:pPr>
              <w:pStyle w:val="Tabletext"/>
              <w:rPr>
                <w:b/>
                <w:bCs/>
                <w:lang w:val="es-ES_tradnl"/>
              </w:rPr>
            </w:pPr>
            <w:r w:rsidRPr="004A2CC5">
              <w:rPr>
                <w:b/>
                <w:bCs/>
                <w:lang w:val="es-ES_tradnl"/>
              </w:rPr>
              <w:t>Política y normativa</w:t>
            </w:r>
          </w:p>
          <w:p w14:paraId="16FD5C5C" w14:textId="3932DC84" w:rsidR="00F33FC8" w:rsidRPr="004A2CC5" w:rsidRDefault="00F33FC8" w:rsidP="007D5F35">
            <w:pPr>
              <w:pStyle w:val="Tabletext"/>
              <w:rPr>
                <w:b/>
                <w:bCs/>
                <w:lang w:val="es-ES_tradnl"/>
              </w:rPr>
            </w:pPr>
            <w:r w:rsidRPr="004A2CC5">
              <w:rPr>
                <w:b/>
                <w:bCs/>
                <w:lang w:val="es-ES_tradnl"/>
              </w:rPr>
              <w:t>Refuerzo de la capacidad de los miembros de la UIT para mejorar sus marcos políticos, jurídicos y reglamentarios</w:t>
            </w:r>
          </w:p>
          <w:p w14:paraId="10CCE933" w14:textId="2689D924" w:rsidR="00F33FC8" w:rsidRPr="004A2CC5" w:rsidRDefault="00F33FC8" w:rsidP="007D5F35">
            <w:pPr>
              <w:pStyle w:val="Tabletext"/>
              <w:rPr>
                <w:rFonts w:cs="Calibri"/>
                <w:b/>
                <w:bCs/>
                <w:color w:val="000000"/>
                <w:lang w:val="es-ES_tradnl"/>
              </w:rPr>
            </w:pPr>
            <w:r w:rsidRPr="004A2CC5">
              <w:rPr>
                <w:rFonts w:cs="Calibri"/>
                <w:b/>
                <w:bCs/>
                <w:color w:val="000000" w:themeColor="text1"/>
                <w:lang w:val="es-ES_tradnl"/>
              </w:rPr>
              <w:t>En el marco de las actividades globales, en 2023 se pusieron a disposición los siguientes productos:</w:t>
            </w:r>
          </w:p>
          <w:p w14:paraId="201B10B6" w14:textId="3B38E8E8" w:rsidR="00F33FC8" w:rsidRPr="004A2CC5" w:rsidRDefault="007D5F35" w:rsidP="007D5F35">
            <w:pPr>
              <w:pStyle w:val="Tabletext"/>
              <w:ind w:left="284" w:hanging="284"/>
              <w:rPr>
                <w:rFonts w:cs="Calibri"/>
                <w:color w:val="000000"/>
                <w:lang w:val="es-ES_tradnl"/>
              </w:rPr>
            </w:pPr>
            <w:r w:rsidRPr="004A2CC5">
              <w:rPr>
                <w:lang w:val="es-ES_tradnl"/>
              </w:rPr>
              <w:t>•</w:t>
            </w:r>
            <w:r w:rsidRPr="004A2CC5">
              <w:rPr>
                <w:lang w:val="es-ES_tradnl"/>
              </w:rPr>
              <w:tab/>
            </w:r>
            <w:r w:rsidR="00F33FC8" w:rsidRPr="004A2CC5">
              <w:rPr>
                <w:lang w:val="es-ES_tradnl"/>
              </w:rPr>
              <w:t xml:space="preserve">Durante este periodo se publicaron cinco nuevos estudios de la </w:t>
            </w:r>
            <w:hyperlink r:id="rId42">
              <w:r w:rsidR="00F33FC8" w:rsidRPr="004A2CC5">
                <w:rPr>
                  <w:color w:val="0563C1"/>
                  <w:u w:val="single"/>
                  <w:lang w:val="es-ES_tradnl"/>
                </w:rPr>
                <w:t>serie de estudios nacionales en materia de reglamentación digital colaborativa</w:t>
              </w:r>
            </w:hyperlink>
            <w:r w:rsidR="00F33FC8" w:rsidRPr="004A2CC5">
              <w:rPr>
                <w:lang w:val="es-ES_tradnl"/>
              </w:rPr>
              <w:t xml:space="preserve">, relativos a Brasil, Colombia y Egipto, así como a </w:t>
            </w:r>
            <w:proofErr w:type="spellStart"/>
            <w:r w:rsidR="00F33FC8" w:rsidRPr="004A2CC5">
              <w:rPr>
                <w:lang w:val="es-ES_tradnl"/>
              </w:rPr>
              <w:t>Kenya</w:t>
            </w:r>
            <w:proofErr w:type="spellEnd"/>
            <w:r w:rsidR="00F33FC8" w:rsidRPr="004A2CC5">
              <w:rPr>
                <w:lang w:val="es-ES_tradnl"/>
              </w:rPr>
              <w:t xml:space="preserve"> y Nigeria en el marco del proyecto UIT-FCDO. Todos los estudios nacionales siguen una metodología normalizada y presentan una serie de recomendaciones prácticas.</w:t>
            </w:r>
          </w:p>
          <w:p w14:paraId="495CDF06" w14:textId="57165EA0" w:rsidR="00F33FC8" w:rsidRPr="004A2CC5" w:rsidRDefault="007D5F35" w:rsidP="007D5F35">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Se adoptaron y compartieron las Directrices de Prácticas Óptimas del GSR-23 sobre </w:t>
            </w:r>
            <w:r w:rsidR="001B1471" w:rsidRPr="004A2CC5">
              <w:rPr>
                <w:lang w:val="es-ES_tradnl"/>
              </w:rPr>
              <w:t>"</w:t>
            </w:r>
            <w:r w:rsidR="00F33FC8" w:rsidRPr="004A2CC5">
              <w:rPr>
                <w:lang w:val="es-ES_tradnl"/>
              </w:rPr>
              <w:t>Incentivos reglamentarios y económicos para un futuro digital inclusivo y sostenible</w:t>
            </w:r>
            <w:r w:rsidR="001B1471" w:rsidRPr="004A2CC5">
              <w:rPr>
                <w:lang w:val="es-ES_tradnl"/>
              </w:rPr>
              <w:t>"</w:t>
            </w:r>
            <w:r w:rsidR="00F33FC8" w:rsidRPr="004A2CC5">
              <w:rPr>
                <w:lang w:val="es-ES_tradnl"/>
              </w:rPr>
              <w:t>.</w:t>
            </w:r>
          </w:p>
          <w:p w14:paraId="0AE4B8E8" w14:textId="113FA2DD" w:rsidR="00F33FC8" w:rsidRPr="004A2CC5" w:rsidRDefault="007D5F35" w:rsidP="007D5F35">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En la Plataforma de Reglamentación Digital se publicaron siete nuevos documentos y artículos destinados a mejorar las capacidades personales e institucionales de los miembros de la UIT.</w:t>
            </w:r>
          </w:p>
          <w:p w14:paraId="5157AE28" w14:textId="77777777" w:rsidR="000170C6" w:rsidRPr="004A2CC5" w:rsidRDefault="000170C6" w:rsidP="007D5F35">
            <w:pPr>
              <w:pStyle w:val="Tabletext"/>
              <w:ind w:left="284" w:hanging="284"/>
              <w:rPr>
                <w:lang w:val="es-ES_tradnl"/>
              </w:rPr>
            </w:pPr>
          </w:p>
          <w:p w14:paraId="039659F4" w14:textId="29A52F78" w:rsidR="00F33FC8" w:rsidRPr="004A2CC5" w:rsidRDefault="007D5F35" w:rsidP="007D5F35">
            <w:pPr>
              <w:pStyle w:val="Tabletext"/>
              <w:ind w:left="284" w:hanging="284"/>
              <w:rPr>
                <w:b/>
                <w:lang w:val="es-ES_tradnl"/>
              </w:rPr>
            </w:pPr>
            <w:r w:rsidRPr="004A2CC5">
              <w:rPr>
                <w:lang w:val="es-ES_tradnl"/>
              </w:rPr>
              <w:t>•</w:t>
            </w:r>
            <w:r w:rsidRPr="004A2CC5">
              <w:rPr>
                <w:lang w:val="es-ES_tradnl"/>
              </w:rPr>
              <w:tab/>
            </w:r>
            <w:r w:rsidR="00F33FC8" w:rsidRPr="004A2CC5">
              <w:rPr>
                <w:b/>
                <w:bCs/>
                <w:lang w:val="es-ES_tradnl"/>
              </w:rPr>
              <w:t>En África</w:t>
            </w:r>
            <w:r w:rsidR="00F33FC8" w:rsidRPr="004A2CC5">
              <w:rPr>
                <w:lang w:val="es-ES_tradnl"/>
              </w:rPr>
              <w:t xml:space="preserve">, 11 países se han beneficiado del proyecto encaminado a la realización de una evaluación comparativa de las TIC en África Central, ejecutado en colaboración con Unidad de Apoyo al Facilitador Nacional del Fondo Europeo de Desarrollo (COFED) y con financiación de la Comisión Europea (CE). En apoyo al proyecto, se ha llevado a cabo un amplio análisis de las políticas digitales y de TIC a fin de sentar las bases de las hojas de ruta para la reglamentación nacional, así como de una hoja de ruta para la armonización subregional, e impulsar así el desarrollo digital y las economías digitales en la región. En el marco del proyecto conjunto UIT-FCDO, se está prestando apoyo a la Autoridad de Comunicaciones de </w:t>
            </w:r>
            <w:proofErr w:type="spellStart"/>
            <w:r w:rsidR="00F33FC8" w:rsidRPr="004A2CC5">
              <w:rPr>
                <w:lang w:val="es-ES_tradnl"/>
              </w:rPr>
              <w:t>Kenya</w:t>
            </w:r>
            <w:proofErr w:type="spellEnd"/>
            <w:r w:rsidR="00F33FC8" w:rsidRPr="004A2CC5">
              <w:rPr>
                <w:lang w:val="es-ES_tradnl"/>
              </w:rPr>
              <w:t xml:space="preserve"> en relación con la eficiencia de la financiación del servicio universal, la conectividad sostenible y las redes de acceso complementarias. Además, </w:t>
            </w:r>
            <w:r w:rsidR="00F33FC8" w:rsidRPr="004A2CC5">
              <w:rPr>
                <w:lang w:val="es-ES_tradnl"/>
              </w:rPr>
              <w:lastRenderedPageBreak/>
              <w:t>en el Foro sobre la Gobernanza de Internet en África de 2023 se celebró una sesión sobre creación de capacidad en un entorno político y reglamentario propicio para empoderar a las comunidades a efectos del despliegue, en colaboración con la APC y el</w:t>
            </w:r>
            <w:r w:rsidR="000170C6" w:rsidRPr="004A2CC5">
              <w:rPr>
                <w:lang w:val="es-ES_tradnl"/>
              </w:rPr>
              <w:t> </w:t>
            </w:r>
            <w:r w:rsidR="00F33FC8" w:rsidRPr="004A2CC5">
              <w:rPr>
                <w:lang w:val="es-ES_tradnl"/>
              </w:rPr>
              <w:t>CITAD.</w:t>
            </w:r>
          </w:p>
          <w:p w14:paraId="00E1A754" w14:textId="16AA505E" w:rsidR="00F33FC8" w:rsidRPr="004A2CC5" w:rsidRDefault="007D5F35" w:rsidP="007D5F35">
            <w:pPr>
              <w:pStyle w:val="Tabletext"/>
              <w:ind w:left="284" w:hanging="284"/>
              <w:rPr>
                <w:b/>
                <w:bCs/>
                <w:lang w:val="es-ES_tradnl"/>
              </w:rPr>
            </w:pPr>
            <w:r w:rsidRPr="004A2CC5">
              <w:rPr>
                <w:lang w:val="es-ES_tradnl"/>
              </w:rPr>
              <w:t>•</w:t>
            </w:r>
            <w:r w:rsidRPr="004A2CC5">
              <w:rPr>
                <w:lang w:val="es-ES_tradnl"/>
              </w:rPr>
              <w:tab/>
            </w:r>
            <w:r w:rsidR="00F33FC8" w:rsidRPr="004A2CC5">
              <w:rPr>
                <w:b/>
                <w:bCs/>
                <w:lang w:val="es-ES_tradnl"/>
              </w:rPr>
              <w:t xml:space="preserve">En las Américas, </w:t>
            </w:r>
            <w:r w:rsidR="00F33FC8" w:rsidRPr="004A2CC5">
              <w:rPr>
                <w:lang w:val="es-ES_tradnl"/>
              </w:rPr>
              <w:t xml:space="preserve">la </w:t>
            </w:r>
            <w:r w:rsidR="00C14AF1">
              <w:rPr>
                <w:lang w:val="es-ES_tradnl"/>
              </w:rPr>
              <w:t>BDT</w:t>
            </w:r>
            <w:r w:rsidR="00C14AF1" w:rsidRPr="004A2CC5">
              <w:rPr>
                <w:lang w:val="es-ES_tradnl"/>
              </w:rPr>
              <w:t xml:space="preserve"> </w:t>
            </w:r>
            <w:r w:rsidR="00F33FC8" w:rsidRPr="004A2CC5">
              <w:rPr>
                <w:lang w:val="es-ES_tradnl"/>
              </w:rPr>
              <w:t xml:space="preserve">ha prestado apoyo a la República Dominicana a través de un proyecto de mejora de la reglamentación. En Brasil, se ha prestado apoyo institucional a </w:t>
            </w:r>
            <w:proofErr w:type="spellStart"/>
            <w:r w:rsidR="00F33FC8" w:rsidRPr="004A2CC5">
              <w:rPr>
                <w:lang w:val="es-ES_tradnl"/>
              </w:rPr>
              <w:t>Anatel</w:t>
            </w:r>
            <w:proofErr w:type="spellEnd"/>
            <w:r w:rsidR="00F33FC8" w:rsidRPr="004A2CC5">
              <w:rPr>
                <w:lang w:val="es-ES_tradnl"/>
              </w:rPr>
              <w:t xml:space="preserve">, entre otras cosas, a fin de preparar el Plan Táctico para 2023-2024. En el marco del proyecto conjunto UIT-FCDO, se ha proporcionado asistencia técnica al gobierno de Brasil con miras al diseño de un plan nacional de conectividad escolar, bajo el liderazgo del Gabinete de la Presidencia. Durante el segundo semestre de 2023, la Oficina Regional de la UIT para las Américas impartió formación a los Estados Miembros de la CITEL en el marco del Comité Consultivo Permanente I (CCP.I) de la CITEL, por conducto de un taller sobre modernización reglamentaria y mecanismos reglamentarios alternativos. La </w:t>
            </w:r>
            <w:r w:rsidR="00C14AF1">
              <w:rPr>
                <w:lang w:val="es-ES_tradnl"/>
              </w:rPr>
              <w:t>BDT</w:t>
            </w:r>
            <w:r w:rsidR="00C14AF1" w:rsidRPr="004A2CC5">
              <w:rPr>
                <w:lang w:val="es-ES_tradnl"/>
              </w:rPr>
              <w:t xml:space="preserve"> </w:t>
            </w:r>
            <w:r w:rsidR="00F33FC8" w:rsidRPr="004A2CC5">
              <w:rPr>
                <w:lang w:val="es-ES_tradnl"/>
              </w:rPr>
              <w:t xml:space="preserve">sigue brindando asistencia técnica a Panamá y a Honduras en aras de la modernización del marco jurídico que aplican a las telecomunicaciones. </w:t>
            </w:r>
            <w:r w:rsidR="00F33FC8" w:rsidRPr="004A2CC5">
              <w:rPr>
                <w:color w:val="000000" w:themeColor="text1"/>
                <w:lang w:val="es-ES_tradnl"/>
              </w:rPr>
              <w:t>La Oficina Regional para las Américas ha contribuido a la Alianza Digital UE-LAC mediante la realización de presentaciones técnicas sobre los diferentes informes y herramientas de la UIT, y la promoción de los programas, iniciativas y proyectos de</w:t>
            </w:r>
            <w:r w:rsidR="00C14AF1">
              <w:rPr>
                <w:color w:val="000000" w:themeColor="text1"/>
                <w:lang w:val="es-ES_tradnl"/>
              </w:rPr>
              <w:t>l</w:t>
            </w:r>
            <w:r w:rsidR="00F33FC8" w:rsidRPr="004A2CC5">
              <w:rPr>
                <w:color w:val="000000" w:themeColor="text1"/>
                <w:lang w:val="es-ES_tradnl"/>
              </w:rPr>
              <w:t xml:space="preserve"> UIT</w:t>
            </w:r>
            <w:r w:rsidR="00C14AF1">
              <w:rPr>
                <w:color w:val="000000" w:themeColor="text1"/>
                <w:lang w:val="es-ES_tradnl"/>
              </w:rPr>
              <w:t>-D</w:t>
            </w:r>
            <w:r w:rsidR="00F33FC8" w:rsidRPr="004A2CC5">
              <w:rPr>
                <w:color w:val="000000" w:themeColor="text1"/>
                <w:lang w:val="es-ES_tradnl"/>
              </w:rPr>
              <w:t xml:space="preserve">. Asimismo, en el contexto de la estrategia de movilización de recursos, se </w:t>
            </w:r>
            <w:r w:rsidR="00F33FC8" w:rsidRPr="004A2CC5">
              <w:rPr>
                <w:b/>
                <w:bCs/>
                <w:color w:val="000000" w:themeColor="text1"/>
                <w:lang w:val="es-ES_tradnl"/>
              </w:rPr>
              <w:t>ha aprobado un proyecto</w:t>
            </w:r>
            <w:r w:rsidR="00F33FC8" w:rsidRPr="004A2CC5">
              <w:rPr>
                <w:color w:val="000000" w:themeColor="text1"/>
                <w:lang w:val="es-ES_tradnl"/>
              </w:rPr>
              <w:t xml:space="preserve"> de asistencia técnica en materia de innovación reglamentaria para los países de Centroamérica </w:t>
            </w:r>
            <w:r w:rsidR="00F33FC8" w:rsidRPr="004A2CC5">
              <w:rPr>
                <w:b/>
                <w:bCs/>
                <w:color w:val="000000" w:themeColor="text1"/>
                <w:lang w:val="es-ES_tradnl"/>
              </w:rPr>
              <w:t>por valor de 3 millones de dólares para su firma en 2024</w:t>
            </w:r>
            <w:r w:rsidR="00F33FC8" w:rsidRPr="004A2CC5">
              <w:rPr>
                <w:lang w:val="es-ES_tradnl"/>
              </w:rPr>
              <w:t>.</w:t>
            </w:r>
          </w:p>
          <w:p w14:paraId="16D4E445" w14:textId="5D42A18D" w:rsidR="00F33FC8" w:rsidRPr="004A2CC5" w:rsidRDefault="007D5F35" w:rsidP="007D5F35">
            <w:pPr>
              <w:pStyle w:val="Tabletext"/>
              <w:ind w:left="284" w:hanging="284"/>
              <w:rPr>
                <w:lang w:val="es-ES_tradnl"/>
              </w:rPr>
            </w:pPr>
            <w:r w:rsidRPr="004A2CC5">
              <w:rPr>
                <w:lang w:val="es-ES_tradnl"/>
              </w:rPr>
              <w:tab/>
            </w:r>
            <w:r w:rsidR="00F33FC8" w:rsidRPr="004A2CC5">
              <w:rPr>
                <w:lang w:val="es-ES_tradnl"/>
              </w:rPr>
              <w:t>En el Caribe, el examen relativo a la viabilidad de una autoridad de reglamentación única, de la que podrían beneficiarse 12 países y más de 2 millones de abonados, tiene por objeto facilitar un marco de reglamentación armonizado a escala regional para la región del Caribe. Entre las repercusiones previstas a largo plazo figuran el desarrollo de marcos y el aumento de la capacidad para mejorar el panorama político y jurídico de las TIC en la región, la eliminación de las incoherencias y los obstáculos a la entrada en el mercado para incentivar a los inversores, y la puesta a disposición de nuevas medidas en favor de la innovación digital y la competencia leal.</w:t>
            </w:r>
          </w:p>
          <w:p w14:paraId="12DC1328" w14:textId="5AB49846" w:rsidR="00F33FC8" w:rsidRPr="004A2CC5" w:rsidRDefault="007D5F35" w:rsidP="007D5F35">
            <w:pPr>
              <w:pStyle w:val="Tabletext"/>
              <w:ind w:left="284" w:hanging="284"/>
              <w:rPr>
                <w:rFonts w:cstheme="minorHAnsi"/>
                <w:lang w:val="es-ES_tradnl"/>
              </w:rPr>
            </w:pPr>
            <w:r w:rsidRPr="004A2CC5">
              <w:rPr>
                <w:rFonts w:cstheme="minorHAnsi"/>
                <w:lang w:val="es-ES_tradnl"/>
              </w:rPr>
              <w:tab/>
            </w:r>
            <w:r w:rsidR="00F33FC8" w:rsidRPr="004A2CC5">
              <w:rPr>
                <w:rFonts w:cstheme="minorHAnsi"/>
                <w:lang w:val="es-ES_tradnl"/>
              </w:rPr>
              <w:t xml:space="preserve">En Trinidad y </w:t>
            </w:r>
            <w:proofErr w:type="spellStart"/>
            <w:r w:rsidR="00F33FC8" w:rsidRPr="004A2CC5">
              <w:rPr>
                <w:rFonts w:cstheme="minorHAnsi"/>
                <w:lang w:val="es-ES_tradnl"/>
              </w:rPr>
              <w:t>Tabago</w:t>
            </w:r>
            <w:proofErr w:type="spellEnd"/>
            <w:r w:rsidR="00F33FC8" w:rsidRPr="004A2CC5">
              <w:rPr>
                <w:rFonts w:cstheme="minorHAnsi"/>
                <w:lang w:val="es-ES_tradnl"/>
              </w:rPr>
              <w:t>, el desarrollo de un marco legislativo y una política de identificación electrónica ha redundado en favor de las capacidades de elaboración políticas y reglamentos, la mejora del acceso de las personas a la aplicación en línea y los servicios digitales, y el aumento de la confianza en la utilización de estos últimos. En Santa Lucía, el examen de la política nacional de tecnologías de la información y la comunicación se ha basado en el refuerzo y la ampliación de la concienciación pública y la comunicación de la política para acelerar su integración y aceptación por parte del público.</w:t>
            </w:r>
          </w:p>
          <w:p w14:paraId="2BDF4FBC" w14:textId="5885B6CF" w:rsidR="00F33FC8" w:rsidRPr="004A2CC5" w:rsidRDefault="008E165B" w:rsidP="008E165B">
            <w:pPr>
              <w:pStyle w:val="Tabletext"/>
              <w:ind w:left="284" w:hanging="284"/>
              <w:rPr>
                <w:lang w:val="es-ES_tradnl"/>
              </w:rPr>
            </w:pPr>
            <w:r w:rsidRPr="004A2CC5">
              <w:rPr>
                <w:rFonts w:cs="Calibri"/>
                <w:b/>
                <w:bCs/>
                <w:color w:val="000000" w:themeColor="text1"/>
                <w:lang w:val="es-ES_tradnl"/>
              </w:rPr>
              <w:t>•</w:t>
            </w:r>
            <w:r w:rsidRPr="004A2CC5">
              <w:rPr>
                <w:rFonts w:cs="Calibri"/>
                <w:b/>
                <w:bCs/>
                <w:color w:val="000000" w:themeColor="text1"/>
                <w:lang w:val="es-ES_tradnl"/>
              </w:rPr>
              <w:tab/>
            </w:r>
            <w:r w:rsidR="00F33FC8" w:rsidRPr="004A2CC5">
              <w:rPr>
                <w:rFonts w:cs="Calibri"/>
                <w:b/>
                <w:bCs/>
                <w:color w:val="000000" w:themeColor="text1"/>
                <w:lang w:val="es-ES_tradnl"/>
              </w:rPr>
              <w:t>En los Estados Árabes</w:t>
            </w:r>
            <w:r w:rsidR="00F33FC8" w:rsidRPr="004A2CC5">
              <w:rPr>
                <w:rFonts w:cs="Calibri"/>
                <w:color w:val="000000" w:themeColor="text1"/>
                <w:lang w:val="es-ES_tradnl"/>
              </w:rPr>
              <w:t xml:space="preserve">, </w:t>
            </w:r>
            <w:r w:rsidR="00F33FC8" w:rsidRPr="004A2CC5">
              <w:rPr>
                <w:lang w:val="es-ES_tradnl"/>
              </w:rPr>
              <w:t>durante los meses de junio y julio de 2023, se emprendieron actividades en el marco de las iniciativas especiales de la UIT en el Estado de Palestina y, en colaboración con el Ministerio de Tecnologías de la Información y la Comunicación, los esfuerzos se dirigieron hacia la formulación de un marco de planificación de la numeración nacional y un reglamento conexo. Por otro lado, en Siria, se han llevado a cabo actividades encaminadas a la elaboración de un informe exhaustivo de revisión y análisis del mercado de las TIC en colaboración con el Ministerio de Comunicaciones y la Autoridad de Reglamentación de las Telecomunicaciones y los Servicios Postales</w:t>
            </w:r>
            <w:r w:rsidR="00F33FC8" w:rsidRPr="004A2CC5">
              <w:rPr>
                <w:rFonts w:cs="Calibri"/>
                <w:color w:val="000000" w:themeColor="text1"/>
                <w:lang w:val="es-ES_tradnl"/>
              </w:rPr>
              <w:t>.</w:t>
            </w:r>
          </w:p>
          <w:p w14:paraId="4E9F7B3E" w14:textId="09A22F7B" w:rsidR="00F33FC8" w:rsidRPr="004A2CC5" w:rsidRDefault="008E165B" w:rsidP="008E165B">
            <w:pPr>
              <w:pStyle w:val="Tabletext"/>
              <w:ind w:left="284" w:hanging="284"/>
              <w:rPr>
                <w:b/>
                <w:bCs/>
                <w:lang w:val="es-ES_tradnl"/>
              </w:rPr>
            </w:pPr>
            <w:r w:rsidRPr="004A2CC5">
              <w:rPr>
                <w:lang w:val="es-ES_tradnl"/>
              </w:rPr>
              <w:t>•</w:t>
            </w:r>
            <w:r w:rsidRPr="004A2CC5">
              <w:rPr>
                <w:lang w:val="es-ES_tradnl"/>
              </w:rPr>
              <w:tab/>
            </w:r>
            <w:r w:rsidR="00F33FC8" w:rsidRPr="004A2CC5">
              <w:rPr>
                <w:b/>
                <w:bCs/>
                <w:lang w:val="es-ES_tradnl"/>
              </w:rPr>
              <w:t>En Asia y el Pacífico</w:t>
            </w:r>
            <w:r w:rsidR="00F33FC8" w:rsidRPr="004A2CC5">
              <w:rPr>
                <w:lang w:val="es-ES_tradnl"/>
              </w:rPr>
              <w:t xml:space="preserve">, la </w:t>
            </w:r>
            <w:r w:rsidR="00C14AF1">
              <w:rPr>
                <w:lang w:val="es-ES_tradnl"/>
              </w:rPr>
              <w:t>BDT</w:t>
            </w:r>
            <w:r w:rsidR="00C14AF1" w:rsidRPr="004A2CC5">
              <w:rPr>
                <w:lang w:val="es-ES_tradnl"/>
              </w:rPr>
              <w:t xml:space="preserve"> </w:t>
            </w:r>
            <w:r w:rsidR="00F33FC8" w:rsidRPr="004A2CC5">
              <w:rPr>
                <w:lang w:val="es-ES_tradnl"/>
              </w:rPr>
              <w:t xml:space="preserve">ha elaborado productos de conocimiento para </w:t>
            </w:r>
            <w:r w:rsidR="00F33FC8" w:rsidRPr="004A2CC5">
              <w:rPr>
                <w:b/>
                <w:bCs/>
                <w:lang w:val="es-ES_tradnl"/>
              </w:rPr>
              <w:t>crear conciencia sobre las lagunas políticas y reglamentarias existentes entre los miembros de la ASEAN</w:t>
            </w:r>
            <w:r w:rsidR="00F33FC8" w:rsidRPr="004A2CC5">
              <w:rPr>
                <w:lang w:val="es-ES_tradnl"/>
              </w:rPr>
              <w:t xml:space="preserve">. En colaboración con la Comisión de Comunicaciones y Multimedios de Malasia (MCMC), la UIT ha llevado a cabo un </w:t>
            </w:r>
            <w:hyperlink r:id="rId43">
              <w:r w:rsidR="00F33FC8" w:rsidRPr="004A2CC5">
                <w:rPr>
                  <w:lang w:val="es-ES_tradnl"/>
                </w:rPr>
                <w:t>estudio sobre las esferas de intervención de la política digital</w:t>
              </w:r>
            </w:hyperlink>
            <w:r w:rsidR="00F33FC8" w:rsidRPr="004A2CC5">
              <w:rPr>
                <w:lang w:val="es-ES_tradnl"/>
              </w:rPr>
              <w:t xml:space="preserve"> para </w:t>
            </w:r>
            <w:r w:rsidR="00F33FC8" w:rsidRPr="004A2CC5">
              <w:rPr>
                <w:lang w:val="es-ES_tradnl"/>
              </w:rPr>
              <w:lastRenderedPageBreak/>
              <w:t xml:space="preserve">una ASEAN conectada. En este informe se evalúa el nivel de preparación de los marcos políticos, jurídicos y de gobernanza digitales para la transformación digital de los países miembros de la ASEAN y se proponen esferas de intervención a fin de mejorar ese nivel de preparación para la transformación digital. La colaboración con la ASEAN ha seguido reforzándose a través del marco relativo a las esferas de cooperación prioritarias, por ejemplo, mediante el desarrollo de un marco de referencia para la colaboración con los miembros de la ASEAN, que abarca productos y servicios clave de la </w:t>
            </w:r>
            <w:r w:rsidR="00C14AF1">
              <w:rPr>
                <w:lang w:val="es-ES_tradnl"/>
              </w:rPr>
              <w:t>BDT</w:t>
            </w:r>
            <w:r w:rsidR="00F33FC8" w:rsidRPr="004A2CC5">
              <w:rPr>
                <w:lang w:val="es-ES_tradnl"/>
              </w:rPr>
              <w:t xml:space="preserve">. La </w:t>
            </w:r>
            <w:r w:rsidR="00C14AF1">
              <w:rPr>
                <w:lang w:val="es-ES_tradnl"/>
              </w:rPr>
              <w:t>BDT</w:t>
            </w:r>
            <w:r w:rsidR="00C14AF1" w:rsidRPr="004A2CC5">
              <w:rPr>
                <w:lang w:val="es-ES_tradnl"/>
              </w:rPr>
              <w:t xml:space="preserve"> </w:t>
            </w:r>
            <w:r w:rsidR="00F33FC8" w:rsidRPr="004A2CC5">
              <w:rPr>
                <w:lang w:val="es-ES_tradnl"/>
              </w:rPr>
              <w:t xml:space="preserve">también ha proporcionado </w:t>
            </w:r>
            <w:r w:rsidR="00F33FC8" w:rsidRPr="004A2CC5">
              <w:rPr>
                <w:b/>
                <w:bCs/>
                <w:lang w:val="es-ES_tradnl"/>
              </w:rPr>
              <w:t>asistencia técnica para la formulación de una política de servicio universal y una política de uso compartido de infraestructuras</w:t>
            </w:r>
            <w:r w:rsidR="00F33FC8" w:rsidRPr="004A2CC5">
              <w:rPr>
                <w:lang w:val="es-ES_tradnl"/>
              </w:rPr>
              <w:t>, incluidas actividades destinadas a mejorar la conectividad en zonas rurales y remotas en Tonga y Vanuatu. Para seguir apoyando a los Estados Miembros, se está desarrollando un repositorio de políticas y reglamentos en la región de Asia y el Pacífico, que permitirá a los Estados Miembros consultar fácilmente las prácticas políticas de los países de la región.</w:t>
            </w:r>
          </w:p>
          <w:p w14:paraId="7A563F03" w14:textId="5A939982" w:rsidR="00F33FC8" w:rsidRPr="004A2CC5" w:rsidRDefault="008E165B" w:rsidP="008E165B">
            <w:pPr>
              <w:pStyle w:val="Tabletext"/>
              <w:ind w:left="284" w:hanging="284"/>
              <w:rPr>
                <w:rFonts w:ascii="Calibri" w:hAnsi="Calibri"/>
                <w:color w:val="000000" w:themeColor="text1"/>
                <w:lang w:val="es-ES_tradnl"/>
              </w:rPr>
            </w:pPr>
            <w:r w:rsidRPr="004A2CC5">
              <w:rPr>
                <w:lang w:val="es-ES_tradnl"/>
              </w:rPr>
              <w:t>•</w:t>
            </w:r>
            <w:r w:rsidRPr="004A2CC5">
              <w:rPr>
                <w:lang w:val="es-ES_tradnl"/>
              </w:rPr>
              <w:tab/>
            </w:r>
            <w:r w:rsidR="00F33FC8" w:rsidRPr="004A2CC5">
              <w:rPr>
                <w:rFonts w:ascii="Calibri" w:hAnsi="Calibri"/>
                <w:b/>
                <w:bCs/>
                <w:color w:val="000000" w:themeColor="text1"/>
                <w:lang w:val="es-ES_tradnl"/>
              </w:rPr>
              <w:t>En la CEI</w:t>
            </w:r>
            <w:r w:rsidR="00F33FC8" w:rsidRPr="004A2CC5">
              <w:rPr>
                <w:rFonts w:ascii="Calibri" w:hAnsi="Calibri"/>
                <w:color w:val="000000" w:themeColor="text1"/>
                <w:lang w:val="es-ES_tradnl"/>
              </w:rPr>
              <w:t xml:space="preserve">, la BDT ha colaborado estrechamente con Uzbekistán en la mejora de los datos reglamentarios, lo que se ha traducido en una elevación de la posición del país en el marco del Rastreador de Reglamentación de la UIT, así como en la mejora del entorno reglamentario y de inversión. </w:t>
            </w:r>
            <w:r w:rsidR="00F33FC8" w:rsidRPr="004A2CC5">
              <w:rPr>
                <w:lang w:val="es-ES_tradnl" w:eastAsia="en-GB"/>
              </w:rPr>
              <w:t xml:space="preserve">En el marco de la C2R, se ha evaluado la resiliencia de Kirguistán a fin de reforzar las infraestructuras de telecomunicaciones/TIC, el entorno político y reglamentario y los datos estadísticos. En Kirguistán, se celebró un </w:t>
            </w:r>
            <w:r w:rsidR="00F33FC8" w:rsidRPr="004A2CC5">
              <w:rPr>
                <w:b/>
                <w:bCs/>
                <w:lang w:val="es-ES_tradnl" w:eastAsia="en-GB"/>
              </w:rPr>
              <w:t>Foro Regional sobre Transformación Digital</w:t>
            </w:r>
            <w:r w:rsidR="00F33FC8" w:rsidRPr="004A2CC5">
              <w:rPr>
                <w:lang w:val="es-ES_tradnl" w:eastAsia="en-GB"/>
              </w:rPr>
              <w:t xml:space="preserve">, que reunió a los Estados Miembros de la región para ampliar </w:t>
            </w:r>
            <w:r w:rsidR="00F33FC8" w:rsidRPr="004A2CC5">
              <w:rPr>
                <w:rFonts w:ascii="Calibri" w:hAnsi="Calibri"/>
                <w:color w:val="000000" w:themeColor="text1"/>
                <w:lang w:val="es-ES_tradnl"/>
              </w:rPr>
              <w:t xml:space="preserve">sus conocimientos sobre las herramientas políticas y reglamentarias que ofrece la </w:t>
            </w:r>
            <w:r w:rsidR="00C14AF1">
              <w:rPr>
                <w:rFonts w:ascii="Calibri" w:hAnsi="Calibri"/>
                <w:color w:val="000000" w:themeColor="text1"/>
                <w:lang w:val="es-ES_tradnl"/>
              </w:rPr>
              <w:t>BDT</w:t>
            </w:r>
            <w:r w:rsidR="00C14AF1" w:rsidRPr="004A2CC5">
              <w:rPr>
                <w:rFonts w:ascii="Calibri" w:hAnsi="Calibri"/>
                <w:color w:val="000000" w:themeColor="text1"/>
                <w:lang w:val="es-ES_tradnl"/>
              </w:rPr>
              <w:t xml:space="preserve"> </w:t>
            </w:r>
            <w:r w:rsidR="00F33FC8" w:rsidRPr="004A2CC5">
              <w:rPr>
                <w:rFonts w:ascii="Calibri" w:hAnsi="Calibri"/>
                <w:color w:val="000000" w:themeColor="text1"/>
                <w:lang w:val="es-ES_tradnl"/>
              </w:rPr>
              <w:t>para impulsar el desarrollo digital. En Kirguistán, también se llevó a cabo una evaluación de la resiliencia en el marco de la C2R con miras a reforzar las infraestructuras de telecomunicaciones/TIC, el entorno político y reglamentario y los datos estadísticos.</w:t>
            </w:r>
          </w:p>
          <w:p w14:paraId="2A1EE35F" w14:textId="563EA149" w:rsidR="00F33FC8" w:rsidRPr="004A2CC5" w:rsidRDefault="008E165B" w:rsidP="008E165B">
            <w:pPr>
              <w:pStyle w:val="Tabletext"/>
              <w:ind w:left="284" w:hanging="284"/>
              <w:rPr>
                <w:rFonts w:ascii="Calibri" w:hAnsi="Calibri"/>
                <w:color w:val="000000" w:themeColor="text1"/>
                <w:lang w:val="es-ES_tradnl"/>
              </w:rPr>
            </w:pPr>
            <w:r w:rsidRPr="004A2CC5">
              <w:rPr>
                <w:lang w:val="es-ES_tradnl"/>
              </w:rPr>
              <w:t>•</w:t>
            </w:r>
            <w:r w:rsidRPr="004A2CC5">
              <w:rPr>
                <w:lang w:val="es-ES_tradnl"/>
              </w:rPr>
              <w:tab/>
            </w:r>
            <w:r w:rsidR="00F33FC8" w:rsidRPr="004A2CC5">
              <w:rPr>
                <w:rFonts w:ascii="Calibri" w:hAnsi="Calibri"/>
                <w:b/>
                <w:bCs/>
                <w:color w:val="000000" w:themeColor="text1"/>
                <w:lang w:val="es-ES_tradnl"/>
              </w:rPr>
              <w:t>En Europa</w:t>
            </w:r>
            <w:r w:rsidR="00F33FC8" w:rsidRPr="004A2CC5">
              <w:rPr>
                <w:rFonts w:ascii="Calibri" w:hAnsi="Calibri"/>
                <w:color w:val="000000" w:themeColor="text1"/>
                <w:lang w:val="es-ES_tradnl"/>
              </w:rPr>
              <w:t xml:space="preserve">, </w:t>
            </w:r>
            <w:r w:rsidR="00F33FC8" w:rsidRPr="004A2CC5">
              <w:rPr>
                <w:color w:val="000000" w:themeColor="text1"/>
                <w:lang w:val="es-ES_tradnl"/>
              </w:rPr>
              <w:t>se han definido los perfiles de desarrollo digital de tres países de la región, a saber, Bosnia y Herzegovina, Montenegro y Serbia, que se suman al conjunto de perfiles nacionales existentes (Albania, Georgia, Moldova, Macedonia del Norte y Türkiye). Estos perfiles sirven de base para realizar un análisis comparativo y abordan el nivel de desarrollo digital de los países aplicando un marco modular que examina la transformación digital desde diversas perspectivas, lo que permite comprender cómo interactúan las distintas dimensiones del desarrollo digital entre sí a escala nacional. También ofrecen una amplia visión panorámica de las actividades y los proyectos que se están llevando a cabo a nivel nacional y en la región en general. Los perfiles de los países dependen de la colaboración de los miembros de los equipos de las Naciones Unidas en los países y de otras organizaciones de las Naciones Unidas para ofrecer una imagen holística de la situación. Su objetivo es crear un marco de referencia para los debates nacionales sobre desarrollo digital, servir de guía para futuros diálogos con las partes interesadas del país y allanar el camino para una mayor interacción con el sistema de las Naciones Unidas en el país.</w:t>
            </w:r>
          </w:p>
          <w:p w14:paraId="7E05724C" w14:textId="77777777" w:rsidR="00F33FC8" w:rsidRPr="004A2CC5" w:rsidRDefault="00F33FC8" w:rsidP="008E165B">
            <w:pPr>
              <w:pStyle w:val="Tabletext"/>
              <w:rPr>
                <w:b/>
                <w:bCs/>
                <w:lang w:val="es-ES_tradnl"/>
              </w:rPr>
            </w:pPr>
            <w:r w:rsidRPr="004A2CC5">
              <w:rPr>
                <w:b/>
                <w:bCs/>
                <w:lang w:val="es-ES_tradnl"/>
              </w:rPr>
              <w:t>Estas iniciativas han permitido ampliar los conocimientos y el acceso a herramientas para ayudar a los miembros a entender el vertiginoso panorama del ecosistema digital y abordar los nuevos retos conexos, incentivar la inversión y permitir un mayor crecimiento del mercado.</w:t>
            </w:r>
          </w:p>
          <w:p w14:paraId="1866A816" w14:textId="77777777" w:rsidR="00F33FC8" w:rsidRPr="004A2CC5" w:rsidRDefault="00F33FC8" w:rsidP="008E165B">
            <w:pPr>
              <w:pStyle w:val="Tabletext"/>
              <w:rPr>
                <w:b/>
                <w:bCs/>
                <w:lang w:val="es-ES_tradnl"/>
              </w:rPr>
            </w:pPr>
            <w:r w:rsidRPr="004A2CC5">
              <w:rPr>
                <w:b/>
                <w:bCs/>
                <w:lang w:val="es-ES_tradnl"/>
              </w:rPr>
              <w:t>Mejora de la provisión de datos y estadísticas reglamentarios y económicos:</w:t>
            </w:r>
          </w:p>
          <w:p w14:paraId="354B1508" w14:textId="3A97F08F" w:rsidR="00F33FC8" w:rsidRPr="004A2CC5" w:rsidRDefault="008E165B" w:rsidP="008E165B">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La </w:t>
            </w:r>
            <w:hyperlink r:id="rId44">
              <w:r w:rsidR="00F33FC8" w:rsidRPr="004A2CC5">
                <w:rPr>
                  <w:color w:val="0000FF" w:themeColor="hyperlink"/>
                  <w:u w:val="single"/>
                  <w:lang w:val="es-ES_tradnl"/>
                </w:rPr>
                <w:t>edición 2023 del marco de referencia G5</w:t>
              </w:r>
            </w:hyperlink>
            <w:r w:rsidR="00F33FC8" w:rsidRPr="004A2CC5">
              <w:rPr>
                <w:lang w:val="es-ES_tradnl"/>
              </w:rPr>
              <w:t xml:space="preserve"> refleja una evaluación del nivel de preparación de los marcos políticos, jurídicos y de gobernanza nacionales para la transformación digital. Las nuevas herramientas de visualización de la </w:t>
            </w:r>
            <w:hyperlink r:id="rId45">
              <w:r w:rsidR="00F33FC8" w:rsidRPr="004A2CC5">
                <w:rPr>
                  <w:color w:val="0563C1"/>
                  <w:u w:val="single"/>
                  <w:lang w:val="es-ES_tradnl"/>
                </w:rPr>
                <w:t xml:space="preserve">plataforma del </w:t>
              </w:r>
              <w:r w:rsidR="00F33FC8" w:rsidRPr="004A2CC5">
                <w:rPr>
                  <w:color w:val="0563C1"/>
                  <w:u w:val="single"/>
                  <w:lang w:val="es-ES_tradnl"/>
                </w:rPr>
                <w:lastRenderedPageBreak/>
                <w:t>acelerador G5</w:t>
              </w:r>
            </w:hyperlink>
            <w:r w:rsidR="00F33FC8" w:rsidRPr="004A2CC5">
              <w:rPr>
                <w:lang w:val="es-ES_tradnl"/>
              </w:rPr>
              <w:t xml:space="preserve"> permiten realizar un análisis personalizado y profundizar en los datos vinculados a 54 indicadores por región o país.</w:t>
            </w:r>
          </w:p>
          <w:p w14:paraId="1C72A0DC" w14:textId="1931110A" w:rsidR="00F33FC8" w:rsidRPr="004A2CC5" w:rsidRDefault="008E165B" w:rsidP="008E165B">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En el documento técnico titulado </w:t>
            </w:r>
            <w:proofErr w:type="spellStart"/>
            <w:r w:rsidR="00F33FC8" w:rsidRPr="004A2CC5">
              <w:rPr>
                <w:i/>
                <w:iCs/>
                <w:lang w:val="es-ES_tradnl"/>
              </w:rPr>
              <w:t>Benchmark</w:t>
            </w:r>
            <w:proofErr w:type="spellEnd"/>
            <w:r w:rsidR="00F33FC8" w:rsidRPr="004A2CC5">
              <w:rPr>
                <w:i/>
                <w:iCs/>
                <w:lang w:val="es-ES_tradnl"/>
              </w:rPr>
              <w:t xml:space="preserve"> </w:t>
            </w:r>
            <w:proofErr w:type="spellStart"/>
            <w:r w:rsidR="00F33FC8" w:rsidRPr="004A2CC5">
              <w:rPr>
                <w:i/>
                <w:iCs/>
                <w:lang w:val="es-ES_tradnl"/>
              </w:rPr>
              <w:t>for</w:t>
            </w:r>
            <w:proofErr w:type="spellEnd"/>
            <w:r w:rsidR="00F33FC8" w:rsidRPr="004A2CC5">
              <w:rPr>
                <w:i/>
                <w:iCs/>
                <w:lang w:val="es-ES_tradnl"/>
              </w:rPr>
              <w:t xml:space="preserve"> </w:t>
            </w:r>
            <w:proofErr w:type="spellStart"/>
            <w:r w:rsidR="00F33FC8" w:rsidRPr="004A2CC5">
              <w:rPr>
                <w:i/>
                <w:iCs/>
                <w:lang w:val="es-ES_tradnl"/>
              </w:rPr>
              <w:t>fifth</w:t>
            </w:r>
            <w:proofErr w:type="spellEnd"/>
            <w:r w:rsidR="00F33FC8" w:rsidRPr="004A2CC5">
              <w:rPr>
                <w:i/>
                <w:iCs/>
                <w:lang w:val="es-ES_tradnl"/>
              </w:rPr>
              <w:t xml:space="preserve"> </w:t>
            </w:r>
            <w:proofErr w:type="spellStart"/>
            <w:r w:rsidR="00F33FC8" w:rsidRPr="004A2CC5">
              <w:rPr>
                <w:i/>
                <w:iCs/>
                <w:lang w:val="es-ES_tradnl"/>
              </w:rPr>
              <w:t>generation</w:t>
            </w:r>
            <w:proofErr w:type="spellEnd"/>
            <w:r w:rsidR="00F33FC8" w:rsidRPr="004A2CC5">
              <w:rPr>
                <w:i/>
                <w:iCs/>
                <w:lang w:val="es-ES_tradnl"/>
              </w:rPr>
              <w:t xml:space="preserve"> </w:t>
            </w:r>
            <w:proofErr w:type="spellStart"/>
            <w:r w:rsidR="00F33FC8" w:rsidRPr="004A2CC5">
              <w:rPr>
                <w:i/>
                <w:iCs/>
                <w:lang w:val="es-ES_tradnl"/>
              </w:rPr>
              <w:t>collaborative</w:t>
            </w:r>
            <w:proofErr w:type="spellEnd"/>
            <w:r w:rsidR="00F33FC8" w:rsidRPr="004A2CC5">
              <w:rPr>
                <w:i/>
                <w:iCs/>
                <w:lang w:val="es-ES_tradnl"/>
              </w:rPr>
              <w:t xml:space="preserve"> digital </w:t>
            </w:r>
            <w:proofErr w:type="spellStart"/>
            <w:r w:rsidR="00F33FC8" w:rsidRPr="004A2CC5">
              <w:rPr>
                <w:i/>
                <w:iCs/>
                <w:lang w:val="es-ES_tradnl"/>
              </w:rPr>
              <w:t>regulation</w:t>
            </w:r>
            <w:proofErr w:type="spellEnd"/>
            <w:r w:rsidR="00F33FC8" w:rsidRPr="004A2CC5">
              <w:rPr>
                <w:i/>
                <w:iCs/>
                <w:lang w:val="es-ES_tradnl"/>
              </w:rPr>
              <w:t xml:space="preserve"> 2023: global and regional </w:t>
            </w:r>
            <w:proofErr w:type="spellStart"/>
            <w:r w:rsidR="00F33FC8" w:rsidRPr="004A2CC5">
              <w:rPr>
                <w:i/>
                <w:iCs/>
                <w:lang w:val="es-ES_tradnl"/>
              </w:rPr>
              <w:t>trends</w:t>
            </w:r>
            <w:proofErr w:type="spellEnd"/>
            <w:r w:rsidR="00F33FC8" w:rsidRPr="004A2CC5">
              <w:rPr>
                <w:lang w:val="es-ES_tradnl"/>
              </w:rPr>
              <w:t xml:space="preserve"> (Marco de referencia para la reglamentación digital colaborativa de la quinta generación de 2023: tendencias mundiales y regionales), complemento analítico del conjunto de datos del marco de referencia G5 de 2023, se destacan las tendencias relacionadas con la evolución de los marcos jurídicos, políticos y de gobernanza nacionales para la transformación digital en todas las regiones y en los distintos grupos de países vulnerables (PMA, PDSL y PEID).</w:t>
            </w:r>
          </w:p>
          <w:p w14:paraId="7491E04D" w14:textId="7DCAA80F" w:rsidR="00F33FC8" w:rsidRPr="004A2CC5" w:rsidRDefault="008E165B" w:rsidP="008E165B">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Entre los trabajos de investigación y análisis econométricos figuran estudios y recomendaciones sobre la asequibilidad en relación con la adopción de las TIC a escala mundial.</w:t>
            </w:r>
          </w:p>
          <w:p w14:paraId="6D4EF587" w14:textId="3F8C0739" w:rsidR="00F33FC8" w:rsidRPr="004A2CC5" w:rsidRDefault="00F33FC8" w:rsidP="008E165B">
            <w:pPr>
              <w:pStyle w:val="Tabletext"/>
              <w:rPr>
                <w:b/>
                <w:bCs/>
                <w:lang w:val="es-ES_tradnl"/>
              </w:rPr>
            </w:pPr>
            <w:r w:rsidRPr="004A2CC5">
              <w:rPr>
                <w:b/>
                <w:bCs/>
                <w:lang w:val="es-ES_tradnl"/>
              </w:rPr>
              <w:t>Todo ello se ha traducido en una ampliación de los conocimientos y el acceso a los datos y análisis normativos y económicos, en favor de los procesos de toma de decisiones con base empírica.</w:t>
            </w:r>
          </w:p>
          <w:p w14:paraId="092E2D0A" w14:textId="0A6767E8" w:rsidR="00F33FC8" w:rsidRPr="004A2CC5" w:rsidRDefault="00F33FC8" w:rsidP="008E165B">
            <w:pPr>
              <w:pStyle w:val="Tabletext"/>
              <w:rPr>
                <w:b/>
                <w:bCs/>
                <w:lang w:val="es-ES_tradnl"/>
              </w:rPr>
            </w:pPr>
            <w:r w:rsidRPr="004A2CC5">
              <w:rPr>
                <w:b/>
                <w:bCs/>
                <w:lang w:val="es-ES_tradnl"/>
              </w:rPr>
              <w:t>Refuerzo de las capacidades personales e institucionales:</w:t>
            </w:r>
          </w:p>
          <w:p w14:paraId="69C76588" w14:textId="3C09D665" w:rsidR="00F33FC8" w:rsidRPr="004A2CC5" w:rsidRDefault="008E165B" w:rsidP="008E165B">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A nivel mundial</w:t>
            </w:r>
            <w:r w:rsidR="00F33FC8" w:rsidRPr="004A2CC5">
              <w:rPr>
                <w:lang w:val="es-ES_tradnl"/>
              </w:rPr>
              <w:t xml:space="preserve">, se impartieron dos </w:t>
            </w:r>
            <w:r w:rsidR="00F33FC8" w:rsidRPr="004A2CC5">
              <w:rPr>
                <w:b/>
                <w:bCs/>
                <w:lang w:val="es-ES_tradnl"/>
              </w:rPr>
              <w:t xml:space="preserve">cursos de formación sobre reglamentación digital global de la UIT </w:t>
            </w:r>
            <w:r w:rsidR="00F33FC8" w:rsidRPr="004A2CC5">
              <w:rPr>
                <w:lang w:val="es-ES_tradnl"/>
              </w:rPr>
              <w:t>(con el apoyo financiero de la CST de Arabia Saudita) centrados en una serie de marcos políticos, jurídicos y normativos eficaces para 910 participantes de 134 países, de los cuales 310 recibieron un certificado.</w:t>
            </w:r>
          </w:p>
          <w:p w14:paraId="07260F3B" w14:textId="3ED81E38" w:rsidR="00F33FC8" w:rsidRPr="004A2CC5" w:rsidRDefault="008E165B" w:rsidP="008E165B">
            <w:pPr>
              <w:pStyle w:val="Tabletext"/>
              <w:ind w:left="284" w:hanging="284"/>
              <w:rPr>
                <w:lang w:val="es-ES_tradnl"/>
              </w:rPr>
            </w:pPr>
            <w:r w:rsidRPr="004A2CC5">
              <w:rPr>
                <w:lang w:val="es-ES_tradnl"/>
              </w:rPr>
              <w:tab/>
            </w:r>
            <w:r w:rsidR="00F33FC8" w:rsidRPr="004A2CC5">
              <w:rPr>
                <w:lang w:val="es-ES_tradnl"/>
              </w:rPr>
              <w:t xml:space="preserve">La formación ejecutiva de la IMDA, que se impartió en Singapur del 19 al 25 de septiembre de 2023, puso de relieve el compromiso para con la transformación digital de los pequeños Estados, en consonancia con la iniciativa de la </w:t>
            </w:r>
            <w:r w:rsidR="00F33FC8" w:rsidRPr="004A2CC5">
              <w:rPr>
                <w:b/>
                <w:bCs/>
                <w:lang w:val="es-ES_tradnl"/>
              </w:rPr>
              <w:t xml:space="preserve">Coalición Digital de Partner2Connect (P2C) </w:t>
            </w:r>
            <w:r w:rsidR="00F33FC8" w:rsidRPr="004A2CC5">
              <w:rPr>
                <w:lang w:val="es-ES_tradnl"/>
              </w:rPr>
              <w:t>y en beneficio de miembros de todo el mundo. La formación permitió reforzar las capacidades en materia de reglamentación digital de responsables de la elaboración de políticas y reguladores de varios Estados pequeños y contó con 19 participantes.</w:t>
            </w:r>
          </w:p>
          <w:p w14:paraId="5A22F152" w14:textId="7AB41279" w:rsidR="00F33FC8" w:rsidRPr="004A2CC5" w:rsidRDefault="008E165B" w:rsidP="008E165B">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En las Américas</w:t>
            </w:r>
            <w:r w:rsidR="00F33FC8" w:rsidRPr="004A2CC5">
              <w:rPr>
                <w:lang w:val="es-ES_tradnl"/>
              </w:rPr>
              <w:t xml:space="preserve">, la </w:t>
            </w:r>
            <w:r w:rsidR="00C14AF1">
              <w:rPr>
                <w:lang w:val="es-ES_tradnl"/>
              </w:rPr>
              <w:t>BDT</w:t>
            </w:r>
            <w:r w:rsidR="00C14AF1" w:rsidRPr="004A2CC5">
              <w:rPr>
                <w:lang w:val="es-ES_tradnl"/>
              </w:rPr>
              <w:t xml:space="preserve"> </w:t>
            </w:r>
            <w:r w:rsidR="00F33FC8" w:rsidRPr="004A2CC5">
              <w:rPr>
                <w:lang w:val="es-ES_tradnl"/>
              </w:rPr>
              <w:t xml:space="preserve">ha impartido formación a los Estados Miembros de la CITEL en el marco del CCP.I, por conducto de un </w:t>
            </w:r>
            <w:r w:rsidR="00F33FC8" w:rsidRPr="004A2CC5">
              <w:rPr>
                <w:b/>
                <w:bCs/>
                <w:lang w:val="es-ES_tradnl"/>
              </w:rPr>
              <w:t>taller sobre modernización reglamentaria</w:t>
            </w:r>
            <w:r w:rsidR="00F33FC8" w:rsidRPr="004A2CC5">
              <w:rPr>
                <w:lang w:val="es-ES_tradnl"/>
              </w:rPr>
              <w:t xml:space="preserve"> y mecanismos reglamentarios alternativos. En Haití, una </w:t>
            </w:r>
            <w:r w:rsidR="00F33FC8" w:rsidRPr="004A2CC5">
              <w:rPr>
                <w:b/>
                <w:bCs/>
                <w:lang w:val="es-ES_tradnl"/>
              </w:rPr>
              <w:t>evaluación de la resiliencia de la red</w:t>
            </w:r>
            <w:r w:rsidR="00F33FC8" w:rsidRPr="004A2CC5">
              <w:rPr>
                <w:lang w:val="es-ES_tradnl"/>
              </w:rPr>
              <w:t>, apoyada por la C2R, permitió reforzar las competencias de los participantes formados para elaborar nuevas políticas y normativas y tomar mejores decisiones en lo que respecta a la gestión del riesgo de catástrofes y el aprovechamiento de los servicios digitales.</w:t>
            </w:r>
          </w:p>
          <w:p w14:paraId="10647030" w14:textId="11740543" w:rsidR="00F33FC8" w:rsidRPr="004A2CC5" w:rsidRDefault="008E165B" w:rsidP="008E165B">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 xml:space="preserve">En los Estados Árabes, </w:t>
            </w:r>
            <w:r w:rsidR="00F33FC8" w:rsidRPr="004A2CC5">
              <w:rPr>
                <w:lang w:val="es-ES_tradnl"/>
              </w:rPr>
              <w:t xml:space="preserve">en 2023, con el amable apoyo de la CST de Arabia Saudita, se llevaron a cabo con éxito una </w:t>
            </w:r>
            <w:r w:rsidR="00F33FC8" w:rsidRPr="004A2CC5">
              <w:rPr>
                <w:b/>
                <w:bCs/>
                <w:lang w:val="es-ES_tradnl"/>
              </w:rPr>
              <w:t>serie de sesiones de formación sobre reglamentación digital</w:t>
            </w:r>
            <w:r w:rsidR="00F33FC8" w:rsidRPr="004A2CC5">
              <w:rPr>
                <w:lang w:val="es-ES_tradnl"/>
              </w:rPr>
              <w:t>, incluido un taller regional de formación sobre reglamentación digital para los Estados Árabes y tres eventos nacionales de formación sobre reglamentación digital específicamente concebidos para Arabia Saudita. Las sesiones de formación contaron con una amplia participación y atrajeron a más de 300 asistentes procedentes de diversos Estados Miembros de la UIT. En 2024, la UIT, en colaboración con la Autoridad de Reglamentación de las Telecomunicaciones (TRA) de Omán, ha organizado un taller nacional sobre reglamentación digital colaborativa con miras a dotar al personal de las competencias necesarias para utilizar herramientas de reglamentación colaborativa.</w:t>
            </w:r>
          </w:p>
          <w:p w14:paraId="7B2102ED" w14:textId="374F4BAB" w:rsidR="00F33FC8" w:rsidRPr="004A2CC5" w:rsidRDefault="008E165B" w:rsidP="008E165B">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En la CEI</w:t>
            </w:r>
            <w:r w:rsidR="00F33FC8" w:rsidRPr="004A2CC5">
              <w:rPr>
                <w:lang w:val="es-ES_tradnl"/>
              </w:rPr>
              <w:t xml:space="preserve">, con el objetivo de contribuir a la creación de capacidades en las administraciones de telecomunicaciones y los centros nacionales de estadísticas en favor de una reglamentación digital bien fundamentada (basada en datos), la Oficina Regional de </w:t>
            </w:r>
            <w:r w:rsidR="00F33FC8" w:rsidRPr="004A2CC5">
              <w:rPr>
                <w:lang w:val="es-ES_tradnl"/>
              </w:rPr>
              <w:lastRenderedPageBreak/>
              <w:t xml:space="preserve">la UIT para los países de la CEI organizó un </w:t>
            </w:r>
            <w:r w:rsidR="00F33FC8" w:rsidRPr="004A2CC5">
              <w:rPr>
                <w:b/>
                <w:bCs/>
                <w:lang w:val="es-ES_tradnl"/>
              </w:rPr>
              <w:t>foro regional sobre transformación digital</w:t>
            </w:r>
            <w:r w:rsidR="00F33FC8" w:rsidRPr="004A2CC5">
              <w:rPr>
                <w:lang w:val="es-ES_tradnl"/>
              </w:rPr>
              <w:t xml:space="preserve">. 150 participantes, entre ellos 51 mujeres, procedentes de Armenia, Azerbaiyán, </w:t>
            </w:r>
            <w:proofErr w:type="spellStart"/>
            <w:r w:rsidR="00F33FC8" w:rsidRPr="004A2CC5">
              <w:rPr>
                <w:lang w:val="es-ES_tradnl"/>
              </w:rPr>
              <w:t>Belarús</w:t>
            </w:r>
            <w:proofErr w:type="spellEnd"/>
            <w:r w:rsidR="00F33FC8" w:rsidRPr="004A2CC5">
              <w:rPr>
                <w:lang w:val="es-ES_tradnl"/>
              </w:rPr>
              <w:t>, Kazajstán, Kirguistán, Rusia y Uzbekistán, junto con representantes del Comité Interestatal de Estadística de la CEI y de la Comunidad Regional de Comunicaciones (CRC), participaron en este foro tanto de forma presencial como en línea. Los participantes en el Foro ampliaron sus conocimientos sobre las mejores prácticas a efectos de la elaboración de estrategias nacionales de transformación digital, las herramientas y los parámetros utilizados por la UIT para evaluar el nivel de madurez reglamentaria y los cuestionarios pertinentes de la UIT. En beneficio de los responsables de la recopilación de indicadores estadísticos de las TIC que participaron en el foro, expertos de la sede de la UIT y de la región de la CEI impartieron formación acerca del uso de estadísticas nacionales para crear clasificaciones internacionales, así como del empleo del portal del Centro de Datos de la UIT para la elaboración de informes y la planificación nacional. El foro contribuyó a la creación de conciencia en la región sobre la importancia de los datos estadísticos recopilados y la información en materia de política reglamentaria, y sobre el modo en que se utilizan, analizan y difunden.</w:t>
            </w:r>
          </w:p>
          <w:p w14:paraId="37FCE9FF" w14:textId="658F8992" w:rsidR="00F33FC8" w:rsidRPr="004A2CC5" w:rsidRDefault="008E165B" w:rsidP="008E165B">
            <w:pPr>
              <w:pStyle w:val="Tabletext"/>
              <w:ind w:left="284" w:hanging="284"/>
              <w:rPr>
                <w:lang w:val="es-ES_tradnl"/>
              </w:rPr>
            </w:pPr>
            <w:r w:rsidRPr="004A2CC5">
              <w:rPr>
                <w:lang w:val="es-ES_tradnl"/>
              </w:rPr>
              <w:t>•</w:t>
            </w:r>
            <w:r w:rsidRPr="004A2CC5">
              <w:rPr>
                <w:lang w:val="es-ES_tradnl"/>
              </w:rPr>
              <w:tab/>
            </w:r>
            <w:r w:rsidR="00F33FC8" w:rsidRPr="004A2CC5">
              <w:rPr>
                <w:b/>
                <w:bCs/>
                <w:lang w:val="es-ES_tradnl"/>
              </w:rPr>
              <w:t>En Europa</w:t>
            </w:r>
            <w:r w:rsidR="00F33FC8" w:rsidRPr="004A2CC5">
              <w:rPr>
                <w:lang w:val="es-ES_tradnl"/>
              </w:rPr>
              <w:t xml:space="preserve">, en aras del objetivo de reducir la brecha de reglamentación digital, la </w:t>
            </w:r>
            <w:r w:rsidR="00F33FC8" w:rsidRPr="004A2CC5">
              <w:rPr>
                <w:b/>
                <w:bCs/>
                <w:lang w:val="es-ES_tradnl"/>
              </w:rPr>
              <w:t>formación conjunta UIT-EMERG-EAPEREG en reglamentación de la transformación digital</w:t>
            </w:r>
            <w:r w:rsidR="00F33FC8" w:rsidRPr="004A2CC5">
              <w:rPr>
                <w:lang w:val="es-ES_tradnl"/>
              </w:rPr>
              <w:t>, impartida entre el 10 de abril y el 30 de mayo de 2024, ha permitido ampliar los conocimiento de más de 100 profesionales en el campo de las estrategias de reglamentación digital, la toma de decisiones con base empírica y las últimas novedades de la esfera reglamentaria. En el curso en línea han podido participar interesados de Europa y de todo el mundo.</w:t>
            </w:r>
          </w:p>
          <w:p w14:paraId="7CA9B732" w14:textId="77777777" w:rsidR="00F33FC8" w:rsidRPr="004A2CC5" w:rsidRDefault="00F33FC8" w:rsidP="008E165B">
            <w:pPr>
              <w:pStyle w:val="Tabletext"/>
              <w:rPr>
                <w:b/>
                <w:bCs/>
                <w:lang w:val="es-ES_tradnl"/>
              </w:rPr>
            </w:pPr>
            <w:r w:rsidRPr="004A2CC5">
              <w:rPr>
                <w:b/>
                <w:bCs/>
                <w:lang w:val="es-ES_tradnl"/>
              </w:rPr>
              <w:t>Estas iniciativas han permitido reforzar el intercambio de conocimientos y las capacidades necesarias para hacer frente a los retos y las oportunidades inherentes a la transformación digital.</w:t>
            </w:r>
          </w:p>
          <w:p w14:paraId="32689F39" w14:textId="6AB1F18E" w:rsidR="00F33FC8" w:rsidRPr="004A2CC5" w:rsidRDefault="00F33FC8" w:rsidP="008E165B">
            <w:pPr>
              <w:pStyle w:val="Tabletext"/>
              <w:rPr>
                <w:b/>
                <w:bCs/>
                <w:lang w:val="es-ES_tradnl"/>
              </w:rPr>
            </w:pPr>
            <w:r w:rsidRPr="004A2CC5">
              <w:rPr>
                <w:b/>
                <w:bCs/>
                <w:lang w:val="es-ES_tradnl"/>
              </w:rPr>
              <w:t>Prestación de asistencia técnica:</w:t>
            </w:r>
          </w:p>
          <w:p w14:paraId="72B12B84" w14:textId="04BD4E2D" w:rsidR="00F33FC8" w:rsidRPr="004A2CC5" w:rsidRDefault="008E165B" w:rsidP="008E165B">
            <w:pPr>
              <w:pStyle w:val="Tabletext"/>
              <w:ind w:left="284" w:hanging="284"/>
              <w:rPr>
                <w:lang w:val="es-ES_tradnl"/>
              </w:rPr>
            </w:pPr>
            <w:r w:rsidRPr="004A2CC5">
              <w:rPr>
                <w:lang w:val="es-ES_tradnl"/>
              </w:rPr>
              <w:t>•</w:t>
            </w:r>
            <w:r w:rsidRPr="004A2CC5">
              <w:rPr>
                <w:lang w:val="es-ES_tradnl"/>
              </w:rPr>
              <w:tab/>
            </w:r>
            <w:r w:rsidR="00F33FC8" w:rsidRPr="004A2CC5">
              <w:rPr>
                <w:b/>
                <w:bCs/>
                <w:color w:val="000000" w:themeColor="text1"/>
                <w:lang w:val="es-ES_tradnl"/>
              </w:rPr>
              <w:t>En África</w:t>
            </w:r>
            <w:r w:rsidR="00F33FC8" w:rsidRPr="004A2CC5">
              <w:rPr>
                <w:color w:val="000000" w:themeColor="text1"/>
                <w:lang w:val="es-ES_tradnl"/>
              </w:rPr>
              <w:t xml:space="preserve">, se ha </w:t>
            </w:r>
            <w:r w:rsidR="00F33FC8" w:rsidRPr="004A2CC5">
              <w:rPr>
                <w:lang w:val="es-ES_tradnl"/>
              </w:rPr>
              <w:t xml:space="preserve">llevado a cabo una evaluación comercial sobre la asequibilidad de las TIC, a fin de garantizar un acceso y un uso más amplios y asequibles mediante tarifas transparentes, basadas en los costes y no discriminatorias en Zambia. Se ha prestado asistencia técnica para la elaboración de orientaciones políticas en materia de conectividad de último kilómetro y aplicación y uso de macrodatos en favor de la creación de un entorno reglamentario propicio para la banda ancha y la 5G en Uganda, en el marco del proyecto de transformación digital que están llevando a cabo conjuntamente el Gobierno de Uganda y la UIT, con el apoyo financiero del Fondo de Asistencia para la Cooperación Sur-Sur (SSCAF) de China. También se ha prestado asistencia técnica a Namibia con miras a la elaboración de una política nacional de TIC y a </w:t>
            </w:r>
            <w:proofErr w:type="spellStart"/>
            <w:r w:rsidR="00F33FC8" w:rsidRPr="004A2CC5">
              <w:rPr>
                <w:lang w:val="es-ES_tradnl"/>
              </w:rPr>
              <w:t>Lesotho</w:t>
            </w:r>
            <w:proofErr w:type="spellEnd"/>
            <w:r w:rsidR="00F33FC8" w:rsidRPr="004A2CC5">
              <w:rPr>
                <w:lang w:val="es-ES_tradnl"/>
              </w:rPr>
              <w:t xml:space="preserve"> en favor de la elaboración de una estrategia de transformación digital (en curso). Actualmente se está prestando asistencia técnica a CRASA para la actualización de su conjunto de herramientas de servicio universal (en el marco del proyecto UIT-FCDO).</w:t>
            </w:r>
          </w:p>
          <w:p w14:paraId="3F26E213" w14:textId="2696EB06" w:rsidR="00F33FC8" w:rsidRPr="004A2CC5" w:rsidRDefault="008E165B" w:rsidP="008E165B">
            <w:pPr>
              <w:pStyle w:val="Tabletext"/>
              <w:ind w:left="284" w:hanging="284"/>
              <w:rPr>
                <w:color w:val="000000" w:themeColor="text1"/>
                <w:lang w:val="es-ES_tradnl"/>
              </w:rPr>
            </w:pPr>
            <w:r w:rsidRPr="004A2CC5">
              <w:rPr>
                <w:lang w:val="es-ES_tradnl"/>
              </w:rPr>
              <w:t>•</w:t>
            </w:r>
            <w:r w:rsidRPr="004A2CC5">
              <w:rPr>
                <w:lang w:val="es-ES_tradnl"/>
              </w:rPr>
              <w:tab/>
            </w:r>
            <w:r w:rsidR="00F33FC8" w:rsidRPr="004A2CC5">
              <w:rPr>
                <w:b/>
                <w:bCs/>
                <w:color w:val="000000" w:themeColor="text1"/>
                <w:lang w:val="es-ES_tradnl"/>
              </w:rPr>
              <w:t>En las Américas</w:t>
            </w:r>
            <w:r w:rsidR="00F33FC8" w:rsidRPr="004A2CC5">
              <w:rPr>
                <w:color w:val="000000" w:themeColor="text1"/>
                <w:lang w:val="es-ES_tradnl"/>
              </w:rPr>
              <w:t xml:space="preserve">, en Haití y Granada, en el marco de la C2R, la </w:t>
            </w:r>
            <w:r w:rsidR="00F33FC8" w:rsidRPr="004A2CC5">
              <w:rPr>
                <w:b/>
                <w:bCs/>
                <w:color w:val="000000" w:themeColor="text1"/>
                <w:lang w:val="es-ES_tradnl"/>
              </w:rPr>
              <w:t xml:space="preserve">evaluación de la resiliencia de las redes </w:t>
            </w:r>
            <w:r w:rsidR="00F33FC8" w:rsidRPr="004A2CC5">
              <w:rPr>
                <w:color w:val="000000" w:themeColor="text1"/>
                <w:lang w:val="es-ES_tradnl"/>
              </w:rPr>
              <w:t xml:space="preserve">ha obrado en favor de la ampliación del despliegue y la </w:t>
            </w:r>
            <w:r w:rsidR="00F33FC8" w:rsidRPr="004A2CC5">
              <w:rPr>
                <w:lang w:val="es-ES_tradnl"/>
              </w:rPr>
              <w:t>cobertura</w:t>
            </w:r>
            <w:r w:rsidR="00F33FC8" w:rsidRPr="004A2CC5">
              <w:rPr>
                <w:color w:val="000000" w:themeColor="text1"/>
                <w:lang w:val="es-ES_tradnl"/>
              </w:rPr>
              <w:t xml:space="preserve"> de las redes de comunicaciones electrónicas para satisfacer la creciente demanda de datos y otros servicios, y ha contribuido a la creación de redes más seguras en caso de catástrofe para facilitar la continuidad de las actividades y ayudar a salvar más vidas.</w:t>
            </w:r>
          </w:p>
          <w:p w14:paraId="2EF1EC72" w14:textId="7E675361" w:rsidR="00F33FC8" w:rsidRPr="004A2CC5" w:rsidRDefault="008E165B" w:rsidP="008E165B">
            <w:pPr>
              <w:pStyle w:val="Tabletext"/>
              <w:ind w:left="284" w:hanging="284"/>
              <w:rPr>
                <w:b/>
                <w:bCs/>
                <w:lang w:val="es-ES_tradnl"/>
              </w:rPr>
            </w:pPr>
            <w:r w:rsidRPr="004A2CC5">
              <w:rPr>
                <w:lang w:val="es-ES_tradnl"/>
              </w:rPr>
              <w:t>•</w:t>
            </w:r>
            <w:r w:rsidRPr="004A2CC5">
              <w:rPr>
                <w:lang w:val="es-ES_tradnl"/>
              </w:rPr>
              <w:tab/>
            </w:r>
            <w:r w:rsidR="00F33FC8" w:rsidRPr="004A2CC5">
              <w:rPr>
                <w:b/>
                <w:bCs/>
                <w:color w:val="000000" w:themeColor="text1"/>
                <w:lang w:val="es-ES_tradnl"/>
              </w:rPr>
              <w:t>En Europa</w:t>
            </w:r>
            <w:r w:rsidR="00F33FC8" w:rsidRPr="004A2CC5">
              <w:rPr>
                <w:color w:val="000000" w:themeColor="text1"/>
                <w:lang w:val="es-ES_tradnl"/>
              </w:rPr>
              <w:t>, el personal de la Autoridad de Reglamentación nacional de Bosnia y Herzegovina ha recibido formación sobre las últimas tendencias en el ámbito de la reglamentación, incluida la reglamentación de quinta generación.</w:t>
            </w:r>
          </w:p>
          <w:p w14:paraId="12088BDC" w14:textId="77777777" w:rsidR="00F33FC8" w:rsidRPr="004A2CC5" w:rsidRDefault="00F33FC8" w:rsidP="008E165B">
            <w:pPr>
              <w:pStyle w:val="Tabletext"/>
              <w:rPr>
                <w:b/>
                <w:bCs/>
                <w:lang w:val="es-ES_tradnl"/>
              </w:rPr>
            </w:pPr>
            <w:r w:rsidRPr="004A2CC5">
              <w:rPr>
                <w:b/>
                <w:bCs/>
                <w:lang w:val="es-ES_tradnl"/>
              </w:rPr>
              <w:lastRenderedPageBreak/>
              <w:t>Creación de plataformas</w:t>
            </w:r>
          </w:p>
          <w:p w14:paraId="6CEA4478" w14:textId="5CF6A5A6" w:rsidR="00F33FC8" w:rsidRPr="004A2CC5" w:rsidRDefault="008E165B" w:rsidP="008E165B">
            <w:pPr>
              <w:pStyle w:val="Tabletext"/>
              <w:ind w:left="284" w:hanging="284"/>
              <w:rPr>
                <w:rFonts w:ascii="Calibri" w:hAnsi="Calibri" w:cs="Calibri"/>
                <w:color w:val="000000" w:themeColor="text1"/>
                <w:lang w:val="es-ES_tradnl"/>
              </w:rPr>
            </w:pPr>
            <w:r w:rsidRPr="004A2CC5">
              <w:rPr>
                <w:lang w:val="es-ES_tradnl"/>
              </w:rPr>
              <w:t>•</w:t>
            </w:r>
            <w:r w:rsidRPr="004A2CC5">
              <w:rPr>
                <w:lang w:val="es-ES_tradnl"/>
              </w:rPr>
              <w:tab/>
            </w:r>
            <w:r w:rsidR="00F33FC8" w:rsidRPr="004A2CC5">
              <w:rPr>
                <w:rFonts w:ascii="Calibri" w:hAnsi="Calibri" w:cs="Calibri"/>
                <w:b/>
                <w:bCs/>
                <w:color w:val="000000" w:themeColor="text1"/>
                <w:lang w:val="es-ES_tradnl"/>
              </w:rPr>
              <w:t>A escala mundial</w:t>
            </w:r>
            <w:r w:rsidR="00F33FC8" w:rsidRPr="004A2CC5">
              <w:rPr>
                <w:rFonts w:ascii="Calibri" w:hAnsi="Calibri" w:cs="Calibri"/>
                <w:color w:val="000000" w:themeColor="text1"/>
                <w:lang w:val="es-ES_tradnl"/>
              </w:rPr>
              <w:t>, el Simposio Mundial para Organismos Reguladores de 2023 (GSR-23) atrajo a más de 750 participantes de más de 100 países, entre ellos ministros de gobierno, jefes de organismos reguladores y directores ejecutivos de la industria. La Red de Reglamentación Digital, una nueva iniciativa de la BDT lanzada en el GSR-23, determina enfoques comunes para una política, una reglamentación y una gobernanza digitales colaborativas en todos los sectores económicos y a escala internacional.</w:t>
            </w:r>
          </w:p>
          <w:p w14:paraId="42CF1710" w14:textId="7E4B798D" w:rsidR="00F33FC8" w:rsidRPr="004A2CC5" w:rsidRDefault="008E165B" w:rsidP="008E165B">
            <w:pPr>
              <w:pStyle w:val="Tabletext"/>
              <w:ind w:left="284" w:hanging="284"/>
              <w:rPr>
                <w:rFonts w:ascii="Calibri" w:hAnsi="Calibri" w:cs="Calibri"/>
                <w:color w:val="000000" w:themeColor="text1"/>
                <w:lang w:val="es-ES_tradnl"/>
              </w:rPr>
            </w:pPr>
            <w:r w:rsidRPr="004A2CC5">
              <w:rPr>
                <w:lang w:val="es-ES_tradnl"/>
              </w:rPr>
              <w:t>•</w:t>
            </w:r>
            <w:r w:rsidRPr="004A2CC5">
              <w:rPr>
                <w:lang w:val="es-ES_tradnl"/>
              </w:rPr>
              <w:tab/>
            </w:r>
            <w:r w:rsidR="00F33FC8" w:rsidRPr="004A2CC5">
              <w:rPr>
                <w:rFonts w:ascii="Calibri" w:hAnsi="Calibri" w:cs="Calibri"/>
                <w:b/>
                <w:bCs/>
                <w:color w:val="000000" w:themeColor="text1"/>
                <w:lang w:val="es-ES_tradnl"/>
              </w:rPr>
              <w:t>En las Américas</w:t>
            </w:r>
            <w:r w:rsidR="00F33FC8" w:rsidRPr="004A2CC5">
              <w:rPr>
                <w:rFonts w:ascii="Calibri" w:hAnsi="Calibri" w:cs="Calibri"/>
                <w:color w:val="000000" w:themeColor="text1"/>
                <w:lang w:val="es-ES_tradnl"/>
              </w:rPr>
              <w:t>, el Coloquio de Política y Economía de la UIT (IPEC-23) atrajo a más de 192 delegados de 16 países de la región e incluyó un Diálogo Económico Regional (RED-AMS), en el que se abordaron las oportunidades y los retos de la transformación digital en la región de las Américas, así como una formación en planificación empresarial para el desarrollo de infraestructuras, a fin de permitir una evaluación económica precisa de los planes de instalación y despliegue de infraestructuras de banda ancha en zonas urbanas y rurales utilizando tecnologías de red hasta la 5G.</w:t>
            </w:r>
          </w:p>
          <w:p w14:paraId="31846E09" w14:textId="2AFA96D6" w:rsidR="00F33FC8" w:rsidRPr="004A2CC5" w:rsidRDefault="008E165B" w:rsidP="008E165B">
            <w:pPr>
              <w:pStyle w:val="Tabletext"/>
              <w:ind w:left="284" w:hanging="284"/>
              <w:rPr>
                <w:rFonts w:ascii="Calibri" w:hAnsi="Calibri" w:cs="Calibri"/>
                <w:color w:val="000000" w:themeColor="text1"/>
                <w:lang w:val="es-ES_tradnl"/>
              </w:rPr>
            </w:pPr>
            <w:r w:rsidRPr="004A2CC5">
              <w:rPr>
                <w:lang w:val="es-ES_tradnl"/>
              </w:rPr>
              <w:t>•</w:t>
            </w:r>
            <w:r w:rsidRPr="004A2CC5">
              <w:rPr>
                <w:lang w:val="es-ES_tradnl"/>
              </w:rPr>
              <w:tab/>
            </w:r>
            <w:r w:rsidR="00F33FC8" w:rsidRPr="004A2CC5">
              <w:rPr>
                <w:rFonts w:ascii="Calibri" w:hAnsi="Calibri" w:cs="Calibri"/>
                <w:b/>
                <w:bCs/>
                <w:color w:val="000000" w:themeColor="text1"/>
                <w:lang w:val="es-ES_tradnl"/>
              </w:rPr>
              <w:t>En Europa</w:t>
            </w:r>
            <w:r w:rsidR="00F33FC8" w:rsidRPr="004A2CC5">
              <w:rPr>
                <w:rFonts w:ascii="Calibri" w:hAnsi="Calibri" w:cs="Calibri"/>
                <w:color w:val="000000" w:themeColor="text1"/>
                <w:lang w:val="es-ES_tradnl"/>
              </w:rPr>
              <w:t xml:space="preserve"> se celebró el Foro Regional UIT-EKIP sobre Reglamentación, que brindó a más de 150 interesados de más de 40 países un espacio para descubrir las últimas tendencias mundiales y regionales e intercambiar experiencias nacionales.</w:t>
            </w:r>
          </w:p>
          <w:p w14:paraId="407E1B2C" w14:textId="77777777" w:rsidR="00F33FC8" w:rsidRPr="004A2CC5" w:rsidRDefault="00F33FC8" w:rsidP="008E165B">
            <w:pPr>
              <w:pStyle w:val="Tabletext"/>
              <w:rPr>
                <w:b/>
                <w:bCs/>
                <w:lang w:val="es-ES_tradnl"/>
              </w:rPr>
            </w:pPr>
            <w:r w:rsidRPr="004A2CC5">
              <w:rPr>
                <w:b/>
                <w:bCs/>
                <w:lang w:val="es-ES_tradnl"/>
              </w:rPr>
              <w:t>Estas iniciativas han permitido afianzar las asociaciones, el compromiso y la colaboración de los reguladores, las asociaciones de reglamentación, el sector privado y los responsables de la elaboración de políticas de diferentes sectores, enriqueciendo las conversaciones y mostrando la colaboración entre sectores para acelerar la transformación digital.</w:t>
            </w:r>
          </w:p>
        </w:tc>
        <w:tc>
          <w:tcPr>
            <w:tcW w:w="2970" w:type="dxa"/>
            <w:shd w:val="clear" w:color="auto" w:fill="auto"/>
          </w:tcPr>
          <w:p w14:paraId="40E540E6" w14:textId="77777777" w:rsidR="00F33FC8" w:rsidRPr="004A2CC5" w:rsidRDefault="00F33FC8" w:rsidP="00BF6C06">
            <w:pPr>
              <w:pStyle w:val="Tabletext"/>
              <w:rPr>
                <w:b/>
                <w:bCs/>
                <w:lang w:val="es-ES_tradnl"/>
              </w:rPr>
            </w:pPr>
            <w:r w:rsidRPr="004A2CC5">
              <w:rPr>
                <w:b/>
                <w:bCs/>
                <w:lang w:val="es-ES_tradnl"/>
              </w:rPr>
              <w:lastRenderedPageBreak/>
              <w:t>Mejorar las políticas y la normativa nacionales:</w:t>
            </w:r>
          </w:p>
          <w:p w14:paraId="7563A36E" w14:textId="6551B7B1" w:rsidR="00F33FC8" w:rsidRPr="004A2CC5" w:rsidRDefault="00F33FC8" w:rsidP="00BF6C06">
            <w:pPr>
              <w:pStyle w:val="Tabletext"/>
              <w:rPr>
                <w:b/>
                <w:bCs/>
                <w:lang w:val="es-ES_tradnl"/>
              </w:rPr>
            </w:pPr>
            <w:r w:rsidRPr="004A2CC5">
              <w:rPr>
                <w:b/>
                <w:bCs/>
                <w:lang w:val="es-ES_tradnl"/>
              </w:rPr>
              <w:t>A escala mundial:</w:t>
            </w:r>
          </w:p>
          <w:p w14:paraId="0A81A7ED" w14:textId="016240F4" w:rsidR="00F33FC8" w:rsidRPr="004A2CC5" w:rsidRDefault="00BF6C06" w:rsidP="00BF6C06">
            <w:pPr>
              <w:pStyle w:val="Tabletext"/>
              <w:ind w:left="284" w:hanging="284"/>
              <w:rPr>
                <w:lang w:val="es-ES_tradnl"/>
              </w:rPr>
            </w:pPr>
            <w:r w:rsidRPr="004A2CC5">
              <w:rPr>
                <w:lang w:val="es-ES_tradnl"/>
              </w:rPr>
              <w:t>•</w:t>
            </w:r>
            <w:r w:rsidRPr="004A2CC5">
              <w:rPr>
                <w:lang w:val="es-ES_tradnl"/>
              </w:rPr>
              <w:tab/>
            </w:r>
            <w:hyperlink r:id="rId46">
              <w:r w:rsidR="00F33FC8" w:rsidRPr="004A2CC5">
                <w:rPr>
                  <w:lang w:val="es-ES_tradnl"/>
                </w:rPr>
                <w:t>Serie de estudios nacionales en materia de reglamentación digital colaborativa</w:t>
              </w:r>
            </w:hyperlink>
            <w:r w:rsidR="00F33FC8" w:rsidRPr="004A2CC5">
              <w:rPr>
                <w:lang w:val="es-ES_tradnl"/>
              </w:rPr>
              <w:t xml:space="preserve"> (Brasil, Colombia, Egipto, Nigeria y </w:t>
            </w:r>
            <w:proofErr w:type="spellStart"/>
            <w:r w:rsidR="00F33FC8" w:rsidRPr="004A2CC5">
              <w:rPr>
                <w:lang w:val="es-ES_tradnl"/>
              </w:rPr>
              <w:t>Kenya</w:t>
            </w:r>
            <w:proofErr w:type="spellEnd"/>
            <w:r w:rsidR="00F33FC8" w:rsidRPr="004A2CC5">
              <w:rPr>
                <w:lang w:val="es-ES_tradnl"/>
              </w:rPr>
              <w:t>).</w:t>
            </w:r>
          </w:p>
          <w:p w14:paraId="2B13F768" w14:textId="4C2BF349" w:rsidR="00F33FC8" w:rsidRPr="004A2CC5" w:rsidRDefault="00BF6C06" w:rsidP="00BF6C06">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Directrices de prácticas óptimas del GSR.</w:t>
            </w:r>
          </w:p>
          <w:p w14:paraId="38070F1F" w14:textId="562F184A" w:rsidR="00F33FC8" w:rsidRPr="004A2CC5" w:rsidRDefault="00BF6C06" w:rsidP="00BF6C06">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Artículos publicados en la Plataforma de Reglamentación Digital sobre temas de actualidad.</w:t>
            </w:r>
          </w:p>
          <w:p w14:paraId="01DBF6E6" w14:textId="5FCD3433" w:rsidR="00F33FC8" w:rsidRPr="004A2CC5" w:rsidRDefault="00BF6C06" w:rsidP="00BF6C06">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Formaciones mundiales y regionales sobre reglamentación digital.</w:t>
            </w:r>
          </w:p>
          <w:p w14:paraId="62434E4A" w14:textId="5E588056" w:rsidR="00F33FC8" w:rsidRPr="004A2CC5" w:rsidRDefault="00F33FC8" w:rsidP="00BF6C06">
            <w:pPr>
              <w:pStyle w:val="Tabletext"/>
              <w:rPr>
                <w:rFonts w:ascii="Calibri" w:hAnsi="Calibri"/>
                <w:b/>
                <w:bCs/>
                <w:lang w:val="es-ES_tradnl"/>
              </w:rPr>
            </w:pPr>
            <w:r w:rsidRPr="004A2CC5">
              <w:rPr>
                <w:rFonts w:ascii="Calibri" w:hAnsi="Calibri"/>
                <w:b/>
                <w:bCs/>
                <w:lang w:val="es-ES_tradnl"/>
              </w:rPr>
              <w:lastRenderedPageBreak/>
              <w:t>En África:</w:t>
            </w:r>
          </w:p>
          <w:p w14:paraId="4B1F6A16" w14:textId="7C77E08A" w:rsidR="00F33FC8" w:rsidRPr="004A2CC5" w:rsidRDefault="00BF6C06" w:rsidP="00BF6C06">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Proyecto de evaluación comparativa de las TIC en África Central. Angola, Burundi, Camerún, Congo (Rep. del), Gabón, República Centroafricana, Guinea Ecuatorial, Rep. </w:t>
            </w:r>
            <w:proofErr w:type="spellStart"/>
            <w:r w:rsidR="00F33FC8" w:rsidRPr="004A2CC5">
              <w:rPr>
                <w:lang w:val="es-ES_tradnl"/>
              </w:rPr>
              <w:t>Dem</w:t>
            </w:r>
            <w:proofErr w:type="spellEnd"/>
            <w:r w:rsidR="00F33FC8" w:rsidRPr="004A2CC5">
              <w:rPr>
                <w:lang w:val="es-ES_tradnl"/>
              </w:rPr>
              <w:t xml:space="preserve">. del Congo, </w:t>
            </w:r>
            <w:proofErr w:type="spellStart"/>
            <w:r w:rsidR="00F33FC8" w:rsidRPr="004A2CC5">
              <w:rPr>
                <w:lang w:val="es-ES_tradnl"/>
              </w:rPr>
              <w:t>Rwanda</w:t>
            </w:r>
            <w:proofErr w:type="spellEnd"/>
            <w:r w:rsidR="00F33FC8" w:rsidRPr="004A2CC5">
              <w:rPr>
                <w:lang w:val="es-ES_tradnl"/>
              </w:rPr>
              <w:t>, Chad, Santo Tomé y Príncipe.</w:t>
            </w:r>
          </w:p>
          <w:p w14:paraId="1B73E586" w14:textId="1DEE14A2" w:rsidR="00F33FC8" w:rsidRPr="004A2CC5" w:rsidRDefault="00F33FC8" w:rsidP="00BF6C06">
            <w:pPr>
              <w:pStyle w:val="Tabletext"/>
              <w:rPr>
                <w:b/>
                <w:bCs/>
                <w:lang w:val="es-ES_tradnl"/>
              </w:rPr>
            </w:pPr>
            <w:r w:rsidRPr="004A2CC5">
              <w:rPr>
                <w:b/>
                <w:bCs/>
                <w:lang w:val="es-ES_tradnl"/>
              </w:rPr>
              <w:t>En las Américas:</w:t>
            </w:r>
          </w:p>
          <w:p w14:paraId="483904EB" w14:textId="39835D44" w:rsidR="00F33FC8" w:rsidRPr="004A2CC5" w:rsidRDefault="00BF6C06" w:rsidP="00BF6C06">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Apoyo a la mejora de la reglamentación en la República Dominicana, Panamá y Honduras. El Caribe también recibió ayuda, en concreto, Granada, Haití, Santa Lucía y Trinidad y </w:t>
            </w:r>
            <w:proofErr w:type="spellStart"/>
            <w:r w:rsidR="00F33FC8" w:rsidRPr="004A2CC5">
              <w:rPr>
                <w:lang w:val="es-ES_tradnl"/>
              </w:rPr>
              <w:t>Tabago</w:t>
            </w:r>
            <w:proofErr w:type="spellEnd"/>
            <w:r w:rsidR="00F33FC8" w:rsidRPr="004A2CC5">
              <w:rPr>
                <w:lang w:val="es-ES_tradnl"/>
              </w:rPr>
              <w:t>.</w:t>
            </w:r>
          </w:p>
          <w:p w14:paraId="4E7E90E6" w14:textId="2D2122EF" w:rsidR="00F33FC8" w:rsidRPr="004A2CC5" w:rsidRDefault="00BF6C06" w:rsidP="00BF6C06">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Aprobado un proyecto por valor de 3 millones USD en favor de la innovación reglamentarias en países de América Central.</w:t>
            </w:r>
          </w:p>
          <w:p w14:paraId="03B68938" w14:textId="6B45ECD5" w:rsidR="00F33FC8" w:rsidRPr="004A2CC5" w:rsidRDefault="00F33FC8" w:rsidP="00BF6C06">
            <w:pPr>
              <w:pStyle w:val="Tabletext"/>
              <w:rPr>
                <w:lang w:val="es-ES_tradnl"/>
              </w:rPr>
            </w:pPr>
            <w:r w:rsidRPr="004A2CC5">
              <w:rPr>
                <w:b/>
                <w:bCs/>
                <w:lang w:val="es-ES_tradnl"/>
              </w:rPr>
              <w:t>En los Estados Árabes:</w:t>
            </w:r>
          </w:p>
          <w:p w14:paraId="0CBAE54A" w14:textId="21673C4C" w:rsidR="00F33FC8" w:rsidRPr="004A2CC5" w:rsidRDefault="00BF6C06" w:rsidP="00BF6C06">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Los países recibieron apoyo a través de iniciativas especiales de la BDT (C2R).</w:t>
            </w:r>
          </w:p>
          <w:p w14:paraId="5155B567" w14:textId="108106C1" w:rsidR="00F33FC8" w:rsidRPr="004A2CC5" w:rsidRDefault="00F33FC8" w:rsidP="00BF6C06">
            <w:pPr>
              <w:pStyle w:val="Tabletext"/>
              <w:rPr>
                <w:rFonts w:ascii="Calibri" w:hAnsi="Calibri"/>
                <w:b/>
                <w:bCs/>
                <w:lang w:val="es-ES_tradnl"/>
              </w:rPr>
            </w:pPr>
            <w:r w:rsidRPr="004A2CC5">
              <w:rPr>
                <w:rFonts w:ascii="Calibri" w:hAnsi="Calibri"/>
                <w:b/>
                <w:bCs/>
                <w:lang w:val="es-ES_tradnl"/>
              </w:rPr>
              <w:t>En Asia y el Pacífico:</w:t>
            </w:r>
          </w:p>
          <w:p w14:paraId="601D02C3" w14:textId="78156D06" w:rsidR="00F33FC8" w:rsidRPr="004A2CC5" w:rsidRDefault="00BF6C06" w:rsidP="00BF6C06">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Estudio sobre las esferas de intervención de la política digital en Asia Sudoriental.</w:t>
            </w:r>
          </w:p>
          <w:p w14:paraId="1AF0F7A1" w14:textId="690478B6" w:rsidR="00F33FC8" w:rsidRPr="004A2CC5" w:rsidRDefault="00F33FC8" w:rsidP="00BF6C06">
            <w:pPr>
              <w:pStyle w:val="Tabletext"/>
              <w:rPr>
                <w:b/>
                <w:bCs/>
                <w:lang w:val="es-ES_tradnl"/>
              </w:rPr>
            </w:pPr>
            <w:r w:rsidRPr="004A2CC5">
              <w:rPr>
                <w:b/>
                <w:bCs/>
                <w:lang w:val="es-ES_tradnl"/>
              </w:rPr>
              <w:t>En la CEI:</w:t>
            </w:r>
          </w:p>
          <w:p w14:paraId="2958AA9D" w14:textId="1B0B8CB6" w:rsidR="00F33FC8" w:rsidRPr="004A2CC5" w:rsidRDefault="00BF6C06" w:rsidP="00BF6C06">
            <w:pPr>
              <w:pStyle w:val="Tabletext"/>
              <w:rPr>
                <w:lang w:val="es-ES_tradnl"/>
              </w:rPr>
            </w:pPr>
            <w:r w:rsidRPr="004A2CC5">
              <w:rPr>
                <w:lang w:val="es-ES_tradnl"/>
              </w:rPr>
              <w:lastRenderedPageBreak/>
              <w:t>•</w:t>
            </w:r>
            <w:r w:rsidRPr="004A2CC5">
              <w:rPr>
                <w:lang w:val="es-ES_tradnl"/>
              </w:rPr>
              <w:tab/>
            </w:r>
            <w:r w:rsidR="00F33FC8" w:rsidRPr="004A2CC5">
              <w:rPr>
                <w:lang w:val="es-ES_tradnl"/>
              </w:rPr>
              <w:t>Armenia</w:t>
            </w:r>
          </w:p>
          <w:p w14:paraId="49961BAE" w14:textId="0BDAB4BC"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Azerbaiyán</w:t>
            </w:r>
          </w:p>
          <w:p w14:paraId="1EB0C977" w14:textId="25217F43" w:rsidR="00F33FC8" w:rsidRPr="004A2CC5" w:rsidRDefault="00BF6C06" w:rsidP="00BF6C06">
            <w:pPr>
              <w:pStyle w:val="Tabletext"/>
              <w:rPr>
                <w:lang w:val="es-ES_tradnl"/>
              </w:rPr>
            </w:pPr>
            <w:r w:rsidRPr="004A2CC5">
              <w:rPr>
                <w:lang w:val="es-ES_tradnl"/>
              </w:rPr>
              <w:t>•</w:t>
            </w:r>
            <w:r w:rsidRPr="004A2CC5">
              <w:rPr>
                <w:lang w:val="es-ES_tradnl"/>
              </w:rPr>
              <w:tab/>
            </w:r>
            <w:proofErr w:type="spellStart"/>
            <w:r w:rsidR="00F33FC8" w:rsidRPr="004A2CC5">
              <w:rPr>
                <w:lang w:val="es-ES_tradnl"/>
              </w:rPr>
              <w:t>Belarús</w:t>
            </w:r>
            <w:proofErr w:type="spellEnd"/>
          </w:p>
          <w:p w14:paraId="7F2D993E" w14:textId="52CFC502"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Kazajstán</w:t>
            </w:r>
          </w:p>
          <w:p w14:paraId="135CD683" w14:textId="4482E3ED"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Kirguistán</w:t>
            </w:r>
          </w:p>
          <w:p w14:paraId="6B9E2426" w14:textId="5CB703D7"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Rusia</w:t>
            </w:r>
          </w:p>
          <w:p w14:paraId="2CDDA75D" w14:textId="26395C05"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Uzbekistán</w:t>
            </w:r>
          </w:p>
          <w:p w14:paraId="622910E7" w14:textId="018BFCAB" w:rsidR="00F33FC8" w:rsidRPr="004A2CC5" w:rsidRDefault="00F33FC8" w:rsidP="00BF6C06">
            <w:pPr>
              <w:pStyle w:val="Tabletext"/>
              <w:rPr>
                <w:b/>
                <w:bCs/>
                <w:lang w:val="es-ES_tradnl"/>
              </w:rPr>
            </w:pPr>
            <w:r w:rsidRPr="004A2CC5">
              <w:rPr>
                <w:b/>
                <w:bCs/>
                <w:lang w:val="es-ES_tradnl"/>
              </w:rPr>
              <w:t>En Europa:</w:t>
            </w:r>
          </w:p>
          <w:p w14:paraId="5C7A5A7D" w14:textId="35FAF368"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Albania</w:t>
            </w:r>
          </w:p>
          <w:p w14:paraId="5CEE4ED1" w14:textId="190FC0AA"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Bosnia y Herzegovina</w:t>
            </w:r>
          </w:p>
          <w:p w14:paraId="3D5286DC" w14:textId="778153A1"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Georgia</w:t>
            </w:r>
          </w:p>
          <w:p w14:paraId="220C8515" w14:textId="0FD5B303"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Moldova</w:t>
            </w:r>
          </w:p>
          <w:p w14:paraId="555A4454" w14:textId="07D85D9C"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Montenegro</w:t>
            </w:r>
          </w:p>
          <w:p w14:paraId="02FC3238" w14:textId="0E2F89AD"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Macedonia del Norte</w:t>
            </w:r>
          </w:p>
          <w:p w14:paraId="201F50CF" w14:textId="7F4E4E85"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Serbia</w:t>
            </w:r>
          </w:p>
          <w:p w14:paraId="2CADC774" w14:textId="4189676A" w:rsidR="00F33FC8" w:rsidRPr="004A2CC5" w:rsidRDefault="00BF6C06" w:rsidP="00BF6C06">
            <w:pPr>
              <w:pStyle w:val="Tabletext"/>
              <w:rPr>
                <w:lang w:val="es-ES_tradnl"/>
              </w:rPr>
            </w:pPr>
            <w:r w:rsidRPr="004A2CC5">
              <w:rPr>
                <w:lang w:val="es-ES_tradnl"/>
              </w:rPr>
              <w:t>•</w:t>
            </w:r>
            <w:r w:rsidRPr="004A2CC5">
              <w:rPr>
                <w:lang w:val="es-ES_tradnl"/>
              </w:rPr>
              <w:tab/>
            </w:r>
            <w:r w:rsidR="00F33FC8" w:rsidRPr="004A2CC5">
              <w:rPr>
                <w:lang w:val="es-ES_tradnl"/>
              </w:rPr>
              <w:t>Ucrania</w:t>
            </w:r>
          </w:p>
        </w:tc>
      </w:tr>
      <w:tr w:rsidR="00F33FC8" w:rsidRPr="00B6045A" w14:paraId="26FE06BC" w14:textId="77777777" w:rsidTr="004E72A0">
        <w:tc>
          <w:tcPr>
            <w:tcW w:w="14850" w:type="dxa"/>
            <w:gridSpan w:val="3"/>
            <w:shd w:val="clear" w:color="auto" w:fill="E5DFEC" w:themeFill="accent4" w:themeFillTint="33"/>
          </w:tcPr>
          <w:p w14:paraId="47D3E4D1" w14:textId="77777777" w:rsidR="00F33FC8" w:rsidRPr="004A2CC5" w:rsidRDefault="00F33FC8" w:rsidP="008E165B">
            <w:pPr>
              <w:pStyle w:val="Tabletext"/>
              <w:rPr>
                <w:b/>
                <w:bCs/>
                <w:i/>
                <w:iCs/>
                <w:lang w:val="es-ES_tradnl"/>
              </w:rPr>
            </w:pPr>
            <w:r w:rsidRPr="004A2CC5">
              <w:rPr>
                <w:b/>
                <w:bCs/>
                <w:i/>
                <w:iCs/>
                <w:lang w:val="es-ES_tradnl"/>
              </w:rPr>
              <w:lastRenderedPageBreak/>
              <w:t xml:space="preserve">Realización: </w:t>
            </w:r>
            <w:r w:rsidRPr="004A2CC5">
              <w:rPr>
                <w:i/>
                <w:iCs/>
                <w:lang w:val="es-ES_tradnl"/>
              </w:rPr>
              <w:t>Fortalecimiento de las capacidades de los Estados Miembros para producir y recopilar estadísticas de alta calidad y comparables a escala internacional, que reflejen la evolución y las tendencias de las telecomunicaciones/TIC, impulsadas por las tecnologías y los servicios nuevos y emergentes, partiendo de unas normas y unas metodologías acordadas.</w:t>
            </w:r>
          </w:p>
        </w:tc>
      </w:tr>
      <w:tr w:rsidR="00F33FC8" w:rsidRPr="00B6045A" w14:paraId="6002C236" w14:textId="77777777" w:rsidTr="004E72A0">
        <w:tc>
          <w:tcPr>
            <w:tcW w:w="11880" w:type="dxa"/>
            <w:gridSpan w:val="2"/>
          </w:tcPr>
          <w:p w14:paraId="7A5527D8" w14:textId="09FB4045" w:rsidR="00F33FC8" w:rsidRPr="004A2CC5" w:rsidRDefault="00F33FC8" w:rsidP="00D176D1">
            <w:pPr>
              <w:pStyle w:val="Tabletext"/>
              <w:rPr>
                <w:b/>
                <w:bCs/>
                <w:lang w:val="es-ES_tradnl"/>
              </w:rPr>
            </w:pPr>
            <w:r w:rsidRPr="004A2CC5">
              <w:rPr>
                <w:b/>
                <w:bCs/>
                <w:lang w:val="es-ES_tradnl"/>
              </w:rPr>
              <w:t>Estadísticas</w:t>
            </w:r>
          </w:p>
          <w:p w14:paraId="3A397D70" w14:textId="77777777" w:rsidR="00F33FC8" w:rsidRPr="004A2CC5" w:rsidRDefault="00F33FC8" w:rsidP="00D176D1">
            <w:pPr>
              <w:pStyle w:val="Tabletext"/>
              <w:rPr>
                <w:lang w:val="es-ES_tradnl"/>
              </w:rPr>
            </w:pPr>
            <w:r w:rsidRPr="004A2CC5">
              <w:rPr>
                <w:lang w:val="es-ES_tradnl"/>
              </w:rPr>
              <w:t xml:space="preserve">Las </w:t>
            </w:r>
            <w:hyperlink r:id="rId47">
              <w:r w:rsidRPr="004A2CC5">
                <w:rPr>
                  <w:color w:val="0563C1"/>
                  <w:u w:val="single"/>
                  <w:lang w:val="es-ES_tradnl"/>
                </w:rPr>
                <w:t>estadísticas</w:t>
              </w:r>
            </w:hyperlink>
            <w:r w:rsidRPr="004A2CC5">
              <w:rPr>
                <w:lang w:val="es-ES_tradnl"/>
              </w:rPr>
              <w:t xml:space="preserve"> de la UIT lideran el programa mundial de estadísticas de las TIC. La Unión recopila y difunde información vital y lleva a cabo investigaciones de primer orden para respaldar una toma de decisiones con base empírica en </w:t>
            </w:r>
            <w:proofErr w:type="spellStart"/>
            <w:r w:rsidRPr="004A2CC5">
              <w:rPr>
                <w:lang w:val="es-ES_tradnl"/>
              </w:rPr>
              <w:t>pos</w:t>
            </w:r>
            <w:proofErr w:type="spellEnd"/>
            <w:r w:rsidRPr="004A2CC5">
              <w:rPr>
                <w:lang w:val="es-ES_tradnl"/>
              </w:rPr>
              <w:t xml:space="preserve"> de una conectividad universal y efectiva y una transformación digital sostenida. En 2023, las actividades que abarcaron el ciclo de vida de los datos en su conjunto, incluidos eventos y nuevos productos y herramientas, redundaron en favor de este objetivo.</w:t>
            </w:r>
          </w:p>
          <w:p w14:paraId="4340CF8A" w14:textId="77777777" w:rsidR="00F33FC8" w:rsidRPr="004A2CC5" w:rsidRDefault="00F33FC8" w:rsidP="00D176D1">
            <w:pPr>
              <w:pStyle w:val="Tabletext"/>
              <w:rPr>
                <w:b/>
                <w:lang w:val="es-ES_tradnl"/>
              </w:rPr>
            </w:pPr>
            <w:r w:rsidRPr="004A2CC5">
              <w:rPr>
                <w:b/>
                <w:lang w:val="es-ES_tradnl"/>
              </w:rPr>
              <w:t>Elaboración de marcos políticos y productos de conocimiento:</w:t>
            </w:r>
          </w:p>
          <w:p w14:paraId="06A72513" w14:textId="77777777" w:rsidR="00F33FC8" w:rsidRPr="004A2CC5" w:rsidRDefault="00F33FC8" w:rsidP="00D176D1">
            <w:pPr>
              <w:pStyle w:val="Tabletext"/>
              <w:rPr>
                <w:lang w:val="es-ES_tradnl"/>
              </w:rPr>
            </w:pPr>
            <w:r w:rsidRPr="004A2CC5">
              <w:rPr>
                <w:lang w:val="es-ES_tradnl"/>
              </w:rPr>
              <w:t>Mayor concienciación de los Estados Miembros y/o los responsables de la toma de decisiones acerca de la necesidad de hacer de la conectividad universal y efectiva un imperativo político. Aumento de la capacidad de los responsables de la elaboración de políticas tanto para evaluar el nivel de conectividad y los avances hacia una conectividad universal y efectiva, como para formular políticas con base empírica.</w:t>
            </w:r>
          </w:p>
          <w:p w14:paraId="5545FFB3" w14:textId="0B00E6E8"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El informe </w:t>
            </w:r>
            <w:hyperlink r:id="rId48">
              <w:r w:rsidR="00F33FC8" w:rsidRPr="004A2CC5">
                <w:rPr>
                  <w:color w:val="0563C1"/>
                  <w:u w:val="single"/>
                  <w:lang w:val="es-ES_tradnl"/>
                </w:rPr>
                <w:t>Hechos y cifras de 2023</w:t>
              </w:r>
            </w:hyperlink>
            <w:r w:rsidR="00F33FC8" w:rsidRPr="004A2CC5">
              <w:rPr>
                <w:lang w:val="es-ES_tradnl"/>
              </w:rPr>
              <w:t xml:space="preserve"> y la edición especial de </w:t>
            </w:r>
            <w:hyperlink r:id="rId49">
              <w:r w:rsidR="00F33FC8" w:rsidRPr="004A2CC5">
                <w:rPr>
                  <w:color w:val="0563C1"/>
                  <w:u w:val="single"/>
                  <w:lang w:val="es-ES_tradnl"/>
                </w:rPr>
                <w:t>Hechos y cifras para los países menos adelantados</w:t>
              </w:r>
            </w:hyperlink>
            <w:r w:rsidR="00F33FC8" w:rsidRPr="004A2CC5">
              <w:rPr>
                <w:lang w:val="es-ES_tradnl"/>
              </w:rPr>
              <w:t xml:space="preserve"> (PMA), publicada con motivo de la 5ª Conferencia de Naciones Unidas sobre los países menos adelantados, facilitaron una evaluación oportuna del estado de la conectividad a escala mundial, en regiones clave y para grupos especiales.</w:t>
            </w:r>
          </w:p>
          <w:p w14:paraId="796F5FE6" w14:textId="20221A50" w:rsidR="00F33FC8" w:rsidRPr="004A2CC5" w:rsidRDefault="00D176D1" w:rsidP="00D176D1">
            <w:pPr>
              <w:pStyle w:val="Tabletext"/>
              <w:ind w:left="284" w:hanging="284"/>
              <w:rPr>
                <w:lang w:val="es-ES_tradnl"/>
              </w:rPr>
            </w:pPr>
            <w:r w:rsidRPr="004A2CC5">
              <w:rPr>
                <w:lang w:val="es-ES_tradnl"/>
              </w:rPr>
              <w:lastRenderedPageBreak/>
              <w:t>•</w:t>
            </w:r>
            <w:r w:rsidRPr="004A2CC5">
              <w:rPr>
                <w:lang w:val="es-ES_tradnl"/>
              </w:rPr>
              <w:tab/>
            </w:r>
            <w:r w:rsidR="00F33FC8" w:rsidRPr="004A2CC5">
              <w:rPr>
                <w:lang w:val="es-ES_tradnl"/>
              </w:rPr>
              <w:t xml:space="preserve">El </w:t>
            </w:r>
            <w:hyperlink r:id="rId50">
              <w:r w:rsidR="00F33FC8" w:rsidRPr="004A2CC5">
                <w:rPr>
                  <w:color w:val="0563C1"/>
                  <w:u w:val="single"/>
                  <w:lang w:val="es-ES_tradnl"/>
                </w:rPr>
                <w:t>informe de políticas sobre la asequibilidad de los servicios de TIC en 2022</w:t>
              </w:r>
            </w:hyperlink>
            <w:r w:rsidR="00F33FC8" w:rsidRPr="004A2CC5">
              <w:rPr>
                <w:lang w:val="es-ES_tradnl"/>
              </w:rPr>
              <w:t xml:space="preserve"> desgranó las ideas fundamentales del </w:t>
            </w:r>
            <w:hyperlink r:id="rId51">
              <w:r w:rsidR="00F33FC8" w:rsidRPr="004A2CC5">
                <w:rPr>
                  <w:color w:val="0563C1"/>
                  <w:u w:val="single"/>
                  <w:lang w:val="es-ES_tradnl"/>
                </w:rPr>
                <w:t>conjunto de datos relativos a los precios de las TIC de 2022</w:t>
              </w:r>
            </w:hyperlink>
            <w:r w:rsidR="00F33FC8" w:rsidRPr="004A2CC5">
              <w:rPr>
                <w:lang w:val="es-ES_tradnl"/>
              </w:rPr>
              <w:t>.</w:t>
            </w:r>
          </w:p>
          <w:p w14:paraId="40BEEDA5" w14:textId="1B0F4BA5"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En julio de 2023 se puso en marcha el </w:t>
            </w:r>
            <w:hyperlink r:id="rId52">
              <w:r w:rsidR="00F33FC8" w:rsidRPr="004A2CC5">
                <w:rPr>
                  <w:color w:val="0563C1"/>
                  <w:u w:val="single"/>
                  <w:lang w:val="es-ES_tradnl"/>
                </w:rPr>
                <w:t>tablero de la conectividad universal y efectiva</w:t>
              </w:r>
            </w:hyperlink>
            <w:r w:rsidR="00F33FC8" w:rsidRPr="004A2CC5">
              <w:rPr>
                <w:lang w:val="es-ES_tradnl"/>
              </w:rPr>
              <w:t xml:space="preserve"> para mostrar los avances en </w:t>
            </w:r>
            <w:proofErr w:type="spellStart"/>
            <w:r w:rsidR="00F33FC8" w:rsidRPr="004A2CC5">
              <w:rPr>
                <w:lang w:val="es-ES_tradnl"/>
              </w:rPr>
              <w:t>pos</w:t>
            </w:r>
            <w:proofErr w:type="spellEnd"/>
            <w:r w:rsidR="00F33FC8" w:rsidRPr="004A2CC5">
              <w:rPr>
                <w:lang w:val="es-ES_tradnl"/>
              </w:rPr>
              <w:t xml:space="preserve"> de esta última.</w:t>
            </w:r>
          </w:p>
          <w:p w14:paraId="77AFACC7" w14:textId="3CA71172"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Tras un paréntesis de seis años, se reanudó la publicación del </w:t>
            </w:r>
            <w:hyperlink r:id="rId53">
              <w:r w:rsidR="00F33FC8" w:rsidRPr="004A2CC5">
                <w:rPr>
                  <w:color w:val="0563C1"/>
                  <w:u w:val="single"/>
                  <w:lang w:val="es-ES_tradnl"/>
                </w:rPr>
                <w:t>Índice de Desarrollo de las TIC</w:t>
              </w:r>
            </w:hyperlink>
            <w:r w:rsidR="00F33FC8" w:rsidRPr="004A2CC5">
              <w:rPr>
                <w:lang w:val="es-ES_tradnl"/>
              </w:rPr>
              <w:t xml:space="preserve">, que ahora se basa en una nueva metodología </w:t>
            </w:r>
            <w:hyperlink r:id="rId54">
              <w:r w:rsidR="00F33FC8" w:rsidRPr="004A2CC5">
                <w:rPr>
                  <w:color w:val="0563C1"/>
                  <w:u w:val="single"/>
                  <w:lang w:val="es-ES_tradnl"/>
                </w:rPr>
                <w:t>desarrollada</w:t>
              </w:r>
            </w:hyperlink>
            <w:r w:rsidR="00F33FC8" w:rsidRPr="004A2CC5">
              <w:rPr>
                <w:lang w:val="es-ES_tradnl"/>
              </w:rPr>
              <w:t xml:space="preserve"> en el marco del GEIT y el GEH y articulada en torno a la conectividad universal y efectiva.</w:t>
            </w:r>
          </w:p>
          <w:p w14:paraId="528ADE0E" w14:textId="77777777" w:rsidR="00F33FC8" w:rsidRPr="004A2CC5" w:rsidRDefault="00F33FC8" w:rsidP="002F3B9B">
            <w:pPr>
              <w:pStyle w:val="Tabletext"/>
              <w:keepNext/>
              <w:keepLines/>
              <w:rPr>
                <w:b/>
                <w:bCs/>
                <w:lang w:val="es-ES_tradnl"/>
              </w:rPr>
            </w:pPr>
            <w:r w:rsidRPr="004A2CC5">
              <w:rPr>
                <w:b/>
                <w:bCs/>
                <w:lang w:val="es-ES_tradnl"/>
              </w:rPr>
              <w:t>Ampliación del acceso de los Estados Miembros y otras partes interesadas a datos críticos e información reglamentaria:</w:t>
            </w:r>
          </w:p>
          <w:p w14:paraId="34759B40" w14:textId="5E5FC5C6" w:rsidR="00F33FC8" w:rsidRPr="004A2CC5" w:rsidRDefault="00D176D1" w:rsidP="002F3B9B">
            <w:pPr>
              <w:pStyle w:val="Tabletext"/>
              <w:keepNext/>
              <w:keepLines/>
              <w:ind w:left="284" w:hanging="284"/>
              <w:rPr>
                <w:lang w:val="es-ES_tradnl"/>
              </w:rPr>
            </w:pPr>
            <w:r w:rsidRPr="004A2CC5">
              <w:rPr>
                <w:lang w:val="es-ES_tradnl"/>
              </w:rPr>
              <w:t>•</w:t>
            </w:r>
            <w:r w:rsidRPr="004A2CC5">
              <w:rPr>
                <w:lang w:val="es-ES_tradnl"/>
              </w:rPr>
              <w:tab/>
            </w:r>
            <w:r w:rsidR="00F33FC8" w:rsidRPr="004A2CC5">
              <w:rPr>
                <w:lang w:val="es-ES_tradnl"/>
              </w:rPr>
              <w:t xml:space="preserve">Se añadieron nuevas funcionalidades al </w:t>
            </w:r>
            <w:hyperlink r:id="rId55">
              <w:r w:rsidR="00F33FC8" w:rsidRPr="004A2CC5">
                <w:rPr>
                  <w:color w:val="0563C1"/>
                  <w:u w:val="single"/>
                  <w:lang w:val="es-ES_tradnl"/>
                </w:rPr>
                <w:t>Centro de Datos de la UIT</w:t>
              </w:r>
            </w:hyperlink>
            <w:r w:rsidR="00F33FC8" w:rsidRPr="004A2CC5">
              <w:rPr>
                <w:lang w:val="es-ES_tradnl"/>
              </w:rPr>
              <w:t>, una plataforma que alberga más de 200 indicadores y más de 200 perfiles económicos, tableros temáticos y opciones de consulta y descarga de datos. El tráfico del Centro de Datos de la UIT ha aumentado un 500% interanual (véase el mes de octubre de 2024 frente al mes de octubre de 2023).</w:t>
            </w:r>
          </w:p>
          <w:p w14:paraId="6C6A6A90" w14:textId="77777777" w:rsidR="00F33FC8" w:rsidRPr="004A2CC5" w:rsidRDefault="00F33FC8" w:rsidP="00D176D1">
            <w:pPr>
              <w:pStyle w:val="Tabletext"/>
              <w:rPr>
                <w:b/>
                <w:bCs/>
                <w:lang w:val="es-ES_tradnl"/>
              </w:rPr>
            </w:pPr>
            <w:r w:rsidRPr="004A2CC5">
              <w:rPr>
                <w:b/>
                <w:bCs/>
                <w:lang w:val="es-ES_tradnl"/>
              </w:rPr>
              <w:t>Refuerzo de la capacidad de los Estados Miembros para presentar datos de calidad gracias a una nueva plataforma de encuestas, como demuestra el aumento de los índices de respuesta y la calidad de los datos:</w:t>
            </w:r>
          </w:p>
          <w:p w14:paraId="49871684" w14:textId="6E905D6B"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En una encuesta realizada por los coordinadores en materia de estadísticas de la UIT de los Estados Miembros, el 78% de los encuestados se declararon muy satisfechos o satisfechos con la nueva plataforma.</w:t>
            </w:r>
          </w:p>
          <w:p w14:paraId="5E7797B3" w14:textId="781F479B"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Se ha facilitado asistencia técnica a Kirguistán a fin de mejorar las capacidades de las autoridades nacionales para detectar las deficiencias de la metodología y la recopilación de datos.</w:t>
            </w:r>
          </w:p>
          <w:p w14:paraId="7C7A3611" w14:textId="77777777" w:rsidR="00F33FC8" w:rsidRPr="004A2CC5" w:rsidRDefault="00F33FC8" w:rsidP="00D176D1">
            <w:pPr>
              <w:pStyle w:val="Tabletext"/>
              <w:rPr>
                <w:b/>
                <w:bCs/>
                <w:lang w:val="es-ES_tradnl"/>
              </w:rPr>
            </w:pPr>
            <w:r w:rsidRPr="004A2CC5">
              <w:rPr>
                <w:b/>
                <w:bCs/>
                <w:lang w:val="es-ES_tradnl"/>
              </w:rPr>
              <w:t>Recopilación de datos y elaboración de estadísticas:</w:t>
            </w:r>
          </w:p>
          <w:p w14:paraId="77791CAA" w14:textId="4AEBD138"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Mayor compromiso de los Estados Miembros con la recopilación de datos: En 2023, los 193 Estados Miembros presentaron datos a la UIT a través de cuestionarios estadísticos.</w:t>
            </w:r>
          </w:p>
          <w:p w14:paraId="7C4D9493" w14:textId="628BB1A9"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Mayor concienciación sobre la importancia de la ciencia de datos y la utilización de macrodatos para las estadísticas de la sociedad de la información. Gracias a las iniciativas de promoción y la asistencia técnica de la UIT, la Comisión de Comunicaciones y Multimedios de Malasia (MCMC) ha puesto en marcha un proyecto piloto sobre macrodatos de telefonía móvil para medir mejor la conectividad con la ayuda de la UIT.</w:t>
            </w:r>
          </w:p>
          <w:p w14:paraId="4749BE1E" w14:textId="242B8819"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Mejora de la infraestructura nacional para la recopilación de datos y mejora de la calidad de los mismos. Gracias al apoyo de la UIT, el INACOM de Angola ha inaugurado un nuevo observatorio y ha mejorado las estadísticas relacionadas con la oferta.</w:t>
            </w:r>
          </w:p>
          <w:p w14:paraId="730F6255" w14:textId="04B59511"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Mayor uso de las estadísticas de TIC para la toma de decisiones: El Ministerio de Economía y Transformación Digital de Togo ha lanzado una convocatoria con miras a la creación de un observatorio digital nacional.</w:t>
            </w:r>
          </w:p>
          <w:p w14:paraId="130E532C" w14:textId="77777777" w:rsidR="00F33FC8" w:rsidRPr="004A2CC5" w:rsidRDefault="00F33FC8" w:rsidP="00D176D1">
            <w:pPr>
              <w:pStyle w:val="Tabletext"/>
              <w:rPr>
                <w:b/>
                <w:bCs/>
                <w:lang w:val="es-ES_tradnl"/>
              </w:rPr>
            </w:pPr>
            <w:r w:rsidRPr="004A2CC5">
              <w:rPr>
                <w:b/>
                <w:bCs/>
                <w:lang w:val="es-ES_tradnl"/>
              </w:rPr>
              <w:t>Capacitación y normas estadísticas</w:t>
            </w:r>
          </w:p>
          <w:p w14:paraId="47D3E77E" w14:textId="77777777" w:rsidR="00F33FC8" w:rsidRPr="004A2CC5" w:rsidRDefault="00F33FC8" w:rsidP="00D176D1">
            <w:pPr>
              <w:pStyle w:val="Tabletext"/>
              <w:rPr>
                <w:b/>
                <w:lang w:val="es-ES_tradnl"/>
              </w:rPr>
            </w:pPr>
            <w:r w:rsidRPr="004A2CC5">
              <w:rPr>
                <w:b/>
                <w:lang w:val="es-ES_tradnl"/>
              </w:rPr>
              <w:t>Refuerzo de las capacidades de los Estados Miembros para elaborar y recopilar estadísticas de alta calidad:</w:t>
            </w:r>
          </w:p>
          <w:p w14:paraId="2764A1E5" w14:textId="5A89ED64"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Las reuniones anuales de 2023 de los Grupos de Expertos en indicadores de TIC (</w:t>
            </w:r>
            <w:hyperlink r:id="rId56">
              <w:r w:rsidR="00F33FC8" w:rsidRPr="004A2CC5">
                <w:rPr>
                  <w:color w:val="0563C1"/>
                  <w:u w:val="single"/>
                  <w:lang w:val="es-ES_tradnl"/>
                </w:rPr>
                <w:t>GEIT/GEH</w:t>
              </w:r>
            </w:hyperlink>
            <w:r w:rsidR="00F33FC8" w:rsidRPr="004A2CC5">
              <w:rPr>
                <w:lang w:val="es-ES_tradnl"/>
              </w:rPr>
              <w:t>) congregaron a 347 participantes de 105 países, de los cuales casi la mitad (160) fueron mujeres, con el objetivo de debatir, definir y adoptar nuevos indicadores.</w:t>
            </w:r>
          </w:p>
          <w:p w14:paraId="5AA38EDA" w14:textId="49BCBBF5"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Más personas inscritas en los tres cursos de la Academia de la UIT:</w:t>
            </w:r>
          </w:p>
          <w:p w14:paraId="4FAC3808" w14:textId="1BD8D019" w:rsidR="00F33FC8" w:rsidRPr="004A2CC5" w:rsidRDefault="00D176D1" w:rsidP="00D176D1">
            <w:pPr>
              <w:pStyle w:val="Tabletext"/>
              <w:ind w:firstLine="180"/>
              <w:rPr>
                <w:lang w:val="es-ES_tradnl"/>
              </w:rPr>
            </w:pPr>
            <w:r w:rsidRPr="004A2CC5">
              <w:rPr>
                <w:lang w:val="es-ES_tradnl"/>
              </w:rPr>
              <w:t>–</w:t>
            </w:r>
            <w:r w:rsidRPr="004A2CC5">
              <w:rPr>
                <w:lang w:val="es-ES_tradnl"/>
              </w:rPr>
              <w:tab/>
            </w:r>
            <w:hyperlink r:id="rId57" w:history="1">
              <w:r w:rsidR="00F33FC8" w:rsidRPr="004A2CC5">
                <w:rPr>
                  <w:color w:val="0563C1"/>
                  <w:u w:val="single"/>
                  <w:lang w:val="es-ES_tradnl"/>
                </w:rPr>
                <w:t>Indicadores de telecomunicaciones/TIC</w:t>
              </w:r>
            </w:hyperlink>
            <w:r w:rsidR="00F33FC8" w:rsidRPr="004A2CC5">
              <w:rPr>
                <w:lang w:val="es-ES_tradnl"/>
              </w:rPr>
              <w:t>: Certificados: 26; inscritos: 311 (100 países)</w:t>
            </w:r>
          </w:p>
          <w:p w14:paraId="1CEE67E5" w14:textId="267342B8" w:rsidR="00F33FC8" w:rsidRPr="004A2CC5" w:rsidRDefault="00D176D1" w:rsidP="00D176D1">
            <w:pPr>
              <w:pStyle w:val="Tabletext"/>
              <w:ind w:firstLine="180"/>
              <w:rPr>
                <w:lang w:val="es-ES_tradnl"/>
              </w:rPr>
            </w:pPr>
            <w:r w:rsidRPr="004A2CC5">
              <w:rPr>
                <w:lang w:val="es-ES_tradnl"/>
              </w:rPr>
              <w:lastRenderedPageBreak/>
              <w:t>–</w:t>
            </w:r>
            <w:r w:rsidRPr="004A2CC5">
              <w:rPr>
                <w:lang w:val="es-ES_tradnl"/>
              </w:rPr>
              <w:tab/>
            </w:r>
            <w:hyperlink r:id="rId58" w:history="1">
              <w:r w:rsidR="00F33FC8" w:rsidRPr="004A2CC5">
                <w:rPr>
                  <w:color w:val="0563C1"/>
                  <w:u w:val="single"/>
                  <w:lang w:val="es-ES_tradnl"/>
                </w:rPr>
                <w:t>Acceso a las TIC y utilización de las mismas en los hogares</w:t>
              </w:r>
            </w:hyperlink>
            <w:r w:rsidR="00F33FC8" w:rsidRPr="004A2CC5">
              <w:rPr>
                <w:lang w:val="es-ES_tradnl"/>
              </w:rPr>
              <w:t>: Certificados: 43; inscritos: 322 (67 países)</w:t>
            </w:r>
          </w:p>
          <w:p w14:paraId="01147FA2" w14:textId="2ED34E2F" w:rsidR="00F33FC8" w:rsidRPr="004A2CC5" w:rsidRDefault="00D176D1" w:rsidP="00D176D1">
            <w:pPr>
              <w:pStyle w:val="Tabletext"/>
              <w:ind w:firstLine="180"/>
              <w:rPr>
                <w:lang w:val="es-ES_tradnl"/>
              </w:rPr>
            </w:pPr>
            <w:r w:rsidRPr="004A2CC5">
              <w:rPr>
                <w:lang w:val="es-ES_tradnl"/>
              </w:rPr>
              <w:t>–</w:t>
            </w:r>
            <w:r w:rsidRPr="004A2CC5">
              <w:rPr>
                <w:lang w:val="es-ES_tradnl"/>
              </w:rPr>
              <w:tab/>
            </w:r>
            <w:hyperlink r:id="rId59" w:history="1">
              <w:r w:rsidR="00F33FC8" w:rsidRPr="004A2CC5">
                <w:rPr>
                  <w:color w:val="0563C1"/>
                  <w:u w:val="single"/>
                  <w:lang w:val="es-ES_tradnl"/>
                </w:rPr>
                <w:t xml:space="preserve">Datos de telefonía móvil </w:t>
              </w:r>
            </w:hyperlink>
            <w:r w:rsidR="00F33FC8" w:rsidRPr="004A2CC5">
              <w:rPr>
                <w:lang w:val="es-ES_tradnl"/>
              </w:rPr>
              <w:t>(lanzado en 2023): Certificados: 41; inscritos: 189 (72 países)</w:t>
            </w:r>
          </w:p>
          <w:p w14:paraId="2D7C93D9" w14:textId="5509804D" w:rsidR="00F33FC8" w:rsidRPr="004A2CC5" w:rsidRDefault="00F33FC8" w:rsidP="00D176D1">
            <w:pPr>
              <w:pStyle w:val="Tabletext"/>
              <w:rPr>
                <w:b/>
                <w:bCs/>
                <w:lang w:val="es-ES_tradnl"/>
              </w:rPr>
            </w:pPr>
            <w:r w:rsidRPr="004A2CC5">
              <w:rPr>
                <w:b/>
                <w:bCs/>
                <w:lang w:val="es-ES_tradnl"/>
              </w:rPr>
              <w:t>Creación de plataformas:</w:t>
            </w:r>
          </w:p>
          <w:p w14:paraId="1F40C8A2" w14:textId="77777777" w:rsidR="00F33FC8" w:rsidRPr="004A2CC5" w:rsidRDefault="00F33FC8" w:rsidP="00D176D1">
            <w:pPr>
              <w:pStyle w:val="Tabletext"/>
              <w:rPr>
                <w:lang w:val="es-ES_tradnl"/>
              </w:rPr>
            </w:pPr>
            <w:r w:rsidRPr="004A2CC5">
              <w:rPr>
                <w:lang w:val="es-ES_tradnl"/>
              </w:rPr>
              <w:t>Divulgación entre los Estados Miembros de las últimas tendencias y avances en el ámbito de las estadísticas de TIC y refuerzo de las asociaciones.</w:t>
            </w:r>
          </w:p>
          <w:p w14:paraId="135DB40D" w14:textId="3348DB96"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La edición de 2023 del </w:t>
            </w:r>
            <w:hyperlink r:id="rId60" w:history="1">
              <w:r w:rsidR="00F33FC8" w:rsidRPr="004A2CC5">
                <w:rPr>
                  <w:color w:val="0000FF" w:themeColor="hyperlink"/>
                  <w:u w:val="single"/>
                  <w:lang w:val="es-ES_tradnl"/>
                </w:rPr>
                <w:t>Simposio Mundial sobre Indicadores de Telecomunicaciones</w:t>
              </w:r>
            </w:hyperlink>
            <w:r w:rsidR="00F33FC8" w:rsidRPr="004A2CC5">
              <w:rPr>
                <w:lang w:val="es-ES_tradnl"/>
              </w:rPr>
              <w:t xml:space="preserve"> reunió a unos 300 participantes en torno al tema de la "Ejecución de la agenda de medición para lograr la conectividad universal y efectiva".</w:t>
            </w:r>
          </w:p>
          <w:p w14:paraId="0CD1139B" w14:textId="0D1CC8CF"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En mayo se puso en marcha un </w:t>
            </w:r>
            <w:hyperlink r:id="rId61" w:history="1">
              <w:r w:rsidR="00F33FC8" w:rsidRPr="004A2CC5">
                <w:rPr>
                  <w:color w:val="0563C1"/>
                  <w:u w:val="single"/>
                  <w:lang w:val="es-ES_tradnl"/>
                </w:rPr>
                <w:t>proyecto</w:t>
              </w:r>
            </w:hyperlink>
            <w:r w:rsidR="00F33FC8" w:rsidRPr="004A2CC5">
              <w:rPr>
                <w:lang w:val="es-ES_tradnl"/>
              </w:rPr>
              <w:t xml:space="preserve"> trienal cuyo objetivo es promover y medir la conectividad universal y efectiva, con un presupuesto de 3 millones de euros y financiación de la Unión Europea.</w:t>
            </w:r>
          </w:p>
          <w:p w14:paraId="650F1F31" w14:textId="3D655E51" w:rsidR="00F33FC8" w:rsidRPr="004A2CC5" w:rsidRDefault="00D176D1" w:rsidP="00D176D1">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En julio, la UIT y el Banco Mundial iniciaron una </w:t>
            </w:r>
            <w:hyperlink r:id="rId62" w:history="1">
              <w:r w:rsidR="00F33FC8" w:rsidRPr="004A2CC5">
                <w:rPr>
                  <w:color w:val="0563C1"/>
                  <w:u w:val="single"/>
                  <w:lang w:val="es-ES_tradnl"/>
                </w:rPr>
                <w:t>nueva colaboración</w:t>
              </w:r>
            </w:hyperlink>
            <w:r w:rsidR="00F33FC8" w:rsidRPr="004A2CC5">
              <w:rPr>
                <w:lang w:val="es-ES_tradnl"/>
              </w:rPr>
              <w:t xml:space="preserve"> para poner los macrodatos en materia de telefonía móvil al servicio de la política.</w:t>
            </w:r>
          </w:p>
        </w:tc>
        <w:tc>
          <w:tcPr>
            <w:tcW w:w="2970" w:type="dxa"/>
            <w:shd w:val="clear" w:color="auto" w:fill="auto"/>
          </w:tcPr>
          <w:p w14:paraId="19D32C15" w14:textId="013FE68E" w:rsidR="00F33FC8" w:rsidRPr="004A2CC5" w:rsidRDefault="003C0AC2" w:rsidP="003C0AC2">
            <w:pPr>
              <w:pStyle w:val="Tabletext"/>
              <w:ind w:left="284" w:hanging="284"/>
              <w:rPr>
                <w:lang w:val="es-ES_tradnl"/>
              </w:rPr>
            </w:pPr>
            <w:r w:rsidRPr="004A2CC5">
              <w:rPr>
                <w:lang w:val="es-ES_tradnl"/>
              </w:rPr>
              <w:lastRenderedPageBreak/>
              <w:t>•</w:t>
            </w:r>
            <w:r w:rsidRPr="004A2CC5">
              <w:rPr>
                <w:lang w:val="es-ES_tradnl"/>
              </w:rPr>
              <w:tab/>
            </w:r>
            <w:r w:rsidR="00F33FC8" w:rsidRPr="004A2CC5">
              <w:rPr>
                <w:lang w:val="es-ES_tradnl"/>
              </w:rPr>
              <w:t xml:space="preserve">Publicación del informe </w:t>
            </w:r>
            <w:r w:rsidR="00F33FC8" w:rsidRPr="004A2CC5">
              <w:rPr>
                <w:b/>
                <w:lang w:val="es-ES_tradnl"/>
              </w:rPr>
              <w:t>Hechos y cifras de 2023</w:t>
            </w:r>
            <w:r w:rsidR="00F33FC8" w:rsidRPr="004A2CC5">
              <w:rPr>
                <w:bCs/>
                <w:lang w:val="es-ES_tradnl"/>
              </w:rPr>
              <w:t xml:space="preserve"> </w:t>
            </w:r>
            <w:r w:rsidR="00F33FC8" w:rsidRPr="004A2CC5">
              <w:rPr>
                <w:lang w:val="es-ES_tradnl"/>
              </w:rPr>
              <w:t xml:space="preserve">y de una edición especial de </w:t>
            </w:r>
            <w:r w:rsidR="00F33FC8" w:rsidRPr="004A2CC5">
              <w:rPr>
                <w:b/>
                <w:lang w:val="es-ES_tradnl"/>
              </w:rPr>
              <w:t>Hechos y cifras para los países menos adelantados</w:t>
            </w:r>
            <w:r w:rsidR="00F33FC8" w:rsidRPr="004A2CC5">
              <w:rPr>
                <w:lang w:val="es-ES_tradnl"/>
              </w:rPr>
              <w:t xml:space="preserve"> (PMA)</w:t>
            </w:r>
            <w:r w:rsidRPr="004A2CC5">
              <w:rPr>
                <w:lang w:val="es-ES_tradnl"/>
              </w:rPr>
              <w:t>.</w:t>
            </w:r>
          </w:p>
          <w:p w14:paraId="554EDBEC" w14:textId="0B7C8D90" w:rsidR="00F33FC8" w:rsidRPr="004A2CC5" w:rsidRDefault="003C0AC2" w:rsidP="003C0AC2">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Informe de políticas sobre la </w:t>
            </w:r>
            <w:r w:rsidR="00F33FC8" w:rsidRPr="004A2CC5">
              <w:rPr>
                <w:b/>
                <w:lang w:val="es-ES_tradnl"/>
              </w:rPr>
              <w:t>asequibilidad de los servicios TIC en 2022</w:t>
            </w:r>
            <w:r w:rsidRPr="004A2CC5">
              <w:rPr>
                <w:b/>
                <w:lang w:val="es-ES_tradnl"/>
              </w:rPr>
              <w:t>.</w:t>
            </w:r>
          </w:p>
          <w:p w14:paraId="4D57D2B6" w14:textId="7F267413" w:rsidR="00F33FC8" w:rsidRPr="004A2CC5" w:rsidRDefault="003C0AC2" w:rsidP="003C0AC2">
            <w:pPr>
              <w:pStyle w:val="Tabletext"/>
              <w:ind w:left="284" w:hanging="284"/>
              <w:rPr>
                <w:b/>
                <w:lang w:val="es-ES_tradnl"/>
              </w:rPr>
            </w:pPr>
            <w:r w:rsidRPr="004A2CC5">
              <w:rPr>
                <w:lang w:val="es-ES_tradnl"/>
              </w:rPr>
              <w:t>•</w:t>
            </w:r>
            <w:r w:rsidRPr="004A2CC5">
              <w:rPr>
                <w:lang w:val="es-ES_tradnl"/>
              </w:rPr>
              <w:tab/>
            </w:r>
            <w:r w:rsidR="00F33FC8" w:rsidRPr="004A2CC5">
              <w:rPr>
                <w:lang w:val="es-ES_tradnl"/>
              </w:rPr>
              <w:t xml:space="preserve">Presentación del </w:t>
            </w:r>
            <w:r w:rsidR="00F33FC8" w:rsidRPr="004A2CC5">
              <w:rPr>
                <w:b/>
                <w:lang w:val="es-ES_tradnl"/>
              </w:rPr>
              <w:t>tablero de la conectividad universal y efectiva</w:t>
            </w:r>
            <w:r w:rsidRPr="004A2CC5">
              <w:rPr>
                <w:bCs/>
                <w:lang w:val="es-ES_tradnl"/>
              </w:rPr>
              <w:t>.</w:t>
            </w:r>
          </w:p>
          <w:p w14:paraId="3D3B7220" w14:textId="10390B6D" w:rsidR="00F33FC8" w:rsidRPr="004A2CC5" w:rsidRDefault="003C0AC2" w:rsidP="003C0AC2">
            <w:pPr>
              <w:pStyle w:val="Tabletext"/>
              <w:ind w:left="284" w:hanging="284"/>
              <w:rPr>
                <w:lang w:val="es-ES_tradnl"/>
              </w:rPr>
            </w:pPr>
            <w:r w:rsidRPr="004A2CC5">
              <w:rPr>
                <w:lang w:val="es-ES_tradnl"/>
              </w:rPr>
              <w:lastRenderedPageBreak/>
              <w:t>•</w:t>
            </w:r>
            <w:r w:rsidRPr="004A2CC5">
              <w:rPr>
                <w:lang w:val="es-ES_tradnl"/>
              </w:rPr>
              <w:tab/>
            </w:r>
            <w:r w:rsidR="00F33FC8" w:rsidRPr="004A2CC5">
              <w:rPr>
                <w:lang w:val="es-ES_tradnl"/>
              </w:rPr>
              <w:t xml:space="preserve">Se ha reanudado la publicación del </w:t>
            </w:r>
            <w:r w:rsidR="00F33FC8" w:rsidRPr="004A2CC5">
              <w:rPr>
                <w:b/>
                <w:lang w:val="es-ES_tradnl"/>
              </w:rPr>
              <w:t>Índice de Desarrollo de las TIC</w:t>
            </w:r>
            <w:r w:rsidR="00F33FC8" w:rsidRPr="004A2CC5">
              <w:rPr>
                <w:lang w:val="es-ES_tradnl"/>
              </w:rPr>
              <w:t>.</w:t>
            </w:r>
          </w:p>
          <w:p w14:paraId="2C95FF95" w14:textId="459D14D2" w:rsidR="00F33FC8" w:rsidRPr="004A2CC5" w:rsidRDefault="003C0AC2" w:rsidP="003C0AC2">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 xml:space="preserve">Se han añadido funcionalidades al </w:t>
            </w:r>
            <w:r w:rsidR="00F33FC8" w:rsidRPr="004A2CC5">
              <w:rPr>
                <w:b/>
                <w:lang w:val="es-ES_tradnl"/>
              </w:rPr>
              <w:t>Centro de Datos de la UIT: más de 200 indicadores y más de 200 perfiles económicos</w:t>
            </w:r>
            <w:r w:rsidR="00F33FC8" w:rsidRPr="004A2CC5">
              <w:rPr>
                <w:lang w:val="es-ES_tradnl"/>
              </w:rPr>
              <w:t xml:space="preserve">, tableros temáticos y opciones de consulta y descarga de datos </w:t>
            </w:r>
          </w:p>
          <w:p w14:paraId="117AB553" w14:textId="4A49CAD7" w:rsidR="00F33FC8" w:rsidRPr="004A2CC5" w:rsidRDefault="003C0AC2" w:rsidP="003C0AC2">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El tráfico del Centro de Datos de la UIT ha aumentado un 500% con respecto a 2023.</w:t>
            </w:r>
          </w:p>
          <w:p w14:paraId="091315F1" w14:textId="77777777" w:rsidR="00F33FC8" w:rsidRPr="004A2CC5" w:rsidRDefault="00F33FC8" w:rsidP="003C0AC2">
            <w:pPr>
              <w:pStyle w:val="Tabletext"/>
              <w:rPr>
                <w:b/>
                <w:color w:val="000000" w:themeColor="text1"/>
                <w:lang w:val="es-ES_tradnl"/>
              </w:rPr>
            </w:pPr>
            <w:r w:rsidRPr="004A2CC5">
              <w:rPr>
                <w:b/>
                <w:color w:val="000000" w:themeColor="text1"/>
                <w:lang w:val="es-ES_tradnl"/>
              </w:rPr>
              <w:t>Refuerzo de las capacidades de los Estados Miembros para elaborar y recopilar estadísticas de alta calidad:</w:t>
            </w:r>
          </w:p>
          <w:p w14:paraId="3C3D75A0" w14:textId="2EBB345D" w:rsidR="00F33FC8" w:rsidRPr="004A2CC5" w:rsidRDefault="003C0AC2" w:rsidP="003C0AC2">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Los Grupos de Expertos en indicadores de TIC (GEIT/GEH) congregaron a 347 participantes, de los cuales un 46% fueron mujeres, procedentes de 105 países para debatir, definir y adoptar nuevos indicadores.</w:t>
            </w:r>
          </w:p>
          <w:p w14:paraId="62AF1A1F" w14:textId="627B0074" w:rsidR="00F33FC8" w:rsidRPr="004A2CC5" w:rsidRDefault="00F33FC8" w:rsidP="003C0AC2">
            <w:pPr>
              <w:pStyle w:val="Tabletext"/>
              <w:rPr>
                <w:b/>
                <w:color w:val="000000" w:themeColor="text1"/>
                <w:lang w:val="es-ES_tradnl"/>
              </w:rPr>
            </w:pPr>
            <w:r w:rsidRPr="004A2CC5">
              <w:rPr>
                <w:b/>
                <w:color w:val="000000" w:themeColor="text1"/>
                <w:lang w:val="es-ES_tradnl"/>
              </w:rPr>
              <w:t>Creación de capacidades (Academia de la UIT):</w:t>
            </w:r>
          </w:p>
          <w:p w14:paraId="7289F778" w14:textId="23CD57B5" w:rsidR="00F33FC8" w:rsidRPr="004A2CC5" w:rsidRDefault="003C0AC2" w:rsidP="003C0AC2">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Indicadores de telecomunicaciones/TIC: Certificados: 26; inscritos: 311 (100 países)</w:t>
            </w:r>
          </w:p>
          <w:p w14:paraId="31E79920" w14:textId="17AA6E02" w:rsidR="00F33FC8" w:rsidRPr="004A2CC5" w:rsidRDefault="003C0AC2" w:rsidP="003C0AC2">
            <w:pPr>
              <w:pStyle w:val="Tabletext"/>
              <w:ind w:left="284" w:hanging="284"/>
              <w:rPr>
                <w:lang w:val="es-ES_tradnl"/>
              </w:rPr>
            </w:pPr>
            <w:r w:rsidRPr="004A2CC5">
              <w:rPr>
                <w:lang w:val="es-ES_tradnl"/>
              </w:rPr>
              <w:lastRenderedPageBreak/>
              <w:t>•</w:t>
            </w:r>
            <w:r w:rsidRPr="004A2CC5">
              <w:rPr>
                <w:lang w:val="es-ES_tradnl"/>
              </w:rPr>
              <w:tab/>
            </w:r>
            <w:r w:rsidR="00F33FC8" w:rsidRPr="004A2CC5">
              <w:rPr>
                <w:lang w:val="es-ES_tradnl"/>
              </w:rPr>
              <w:t>Acceso a las TIC y utilización de las mismas en los hogares: Certificados: 43; inscritos: 322 (67 países)</w:t>
            </w:r>
          </w:p>
          <w:p w14:paraId="1CEA3512" w14:textId="004AFF7F" w:rsidR="00F33FC8" w:rsidRPr="004A2CC5" w:rsidRDefault="003C0AC2" w:rsidP="003C0AC2">
            <w:pPr>
              <w:pStyle w:val="Tabletext"/>
              <w:ind w:left="284" w:hanging="284"/>
              <w:rPr>
                <w:lang w:val="es-ES_tradnl"/>
              </w:rPr>
            </w:pPr>
            <w:r w:rsidRPr="004A2CC5">
              <w:rPr>
                <w:lang w:val="es-ES_tradnl"/>
              </w:rPr>
              <w:t>•</w:t>
            </w:r>
            <w:r w:rsidRPr="004A2CC5">
              <w:rPr>
                <w:lang w:val="es-ES_tradnl"/>
              </w:rPr>
              <w:tab/>
            </w:r>
            <w:r w:rsidR="00F33FC8" w:rsidRPr="004A2CC5">
              <w:rPr>
                <w:lang w:val="es-ES_tradnl"/>
              </w:rPr>
              <w:t>Macrodatos de telefonía móvil (lanzado en 2023): Certificados: 41; inscritos: 189 (72 países)</w:t>
            </w:r>
          </w:p>
        </w:tc>
      </w:tr>
      <w:tr w:rsidR="00F33FC8" w:rsidRPr="004A2CC5" w14:paraId="4E375848" w14:textId="77777777" w:rsidTr="004E72A0">
        <w:tc>
          <w:tcPr>
            <w:tcW w:w="2880" w:type="dxa"/>
          </w:tcPr>
          <w:p w14:paraId="64E1872E" w14:textId="77777777" w:rsidR="00F33FC8" w:rsidRPr="004A2CC5" w:rsidRDefault="00F33FC8" w:rsidP="003C0AC2">
            <w:pPr>
              <w:pStyle w:val="Tabletext"/>
              <w:rPr>
                <w:rFonts w:ascii="Avenir Next LT Pro" w:hAnsi="Avenir Next LT Pro" w:cs="Calibri"/>
                <w:b/>
                <w:bCs/>
                <w:i/>
                <w:iCs/>
                <w:color w:val="000000"/>
                <w:lang w:val="es-ES_tradnl"/>
              </w:rPr>
            </w:pPr>
            <w:r w:rsidRPr="004A2CC5">
              <w:rPr>
                <w:b/>
                <w:bCs/>
                <w:lang w:val="es-ES_tradnl"/>
              </w:rPr>
              <w:lastRenderedPageBreak/>
              <w:t>Contribución a las metas de los ODS</w:t>
            </w:r>
          </w:p>
        </w:tc>
        <w:tc>
          <w:tcPr>
            <w:tcW w:w="11970" w:type="dxa"/>
            <w:gridSpan w:val="2"/>
          </w:tcPr>
          <w:p w14:paraId="3B0BC953" w14:textId="77777777" w:rsidR="00F33FC8" w:rsidRPr="004A2CC5" w:rsidRDefault="00F33FC8" w:rsidP="003C0AC2">
            <w:pPr>
              <w:pStyle w:val="Tabletext"/>
              <w:rPr>
                <w:lang w:val="es-ES_tradnl"/>
              </w:rPr>
            </w:pPr>
            <w:r w:rsidRPr="004A2CC5">
              <w:rPr>
                <w:lang w:val="es-ES_tradnl"/>
              </w:rPr>
              <w:t>ODS 1, 3, 4, 5, 8, 9, 10, 11, 16, 17</w:t>
            </w:r>
          </w:p>
        </w:tc>
      </w:tr>
      <w:tr w:rsidR="00F33FC8" w:rsidRPr="004A2CC5" w14:paraId="2F490FB5" w14:textId="77777777" w:rsidTr="004E72A0">
        <w:tc>
          <w:tcPr>
            <w:tcW w:w="2880" w:type="dxa"/>
          </w:tcPr>
          <w:p w14:paraId="3C42A7E9" w14:textId="77777777" w:rsidR="00F33FC8" w:rsidRPr="004A2CC5" w:rsidRDefault="00F33FC8" w:rsidP="003C0AC2">
            <w:pPr>
              <w:pStyle w:val="Tabletext"/>
              <w:rPr>
                <w:b/>
                <w:bCs/>
                <w:lang w:val="es-ES_tradnl"/>
              </w:rPr>
            </w:pPr>
            <w:r w:rsidRPr="004A2CC5">
              <w:rPr>
                <w:b/>
                <w:bCs/>
                <w:lang w:val="es-ES_tradnl"/>
              </w:rPr>
              <w:t>Líneas de Acción de la CMSI</w:t>
            </w:r>
          </w:p>
        </w:tc>
        <w:tc>
          <w:tcPr>
            <w:tcW w:w="11970" w:type="dxa"/>
            <w:gridSpan w:val="2"/>
          </w:tcPr>
          <w:p w14:paraId="643062BE" w14:textId="77777777" w:rsidR="00F33FC8" w:rsidRPr="004A2CC5" w:rsidRDefault="00F33FC8" w:rsidP="003C0AC2">
            <w:pPr>
              <w:pStyle w:val="Tabletext"/>
              <w:rPr>
                <w:lang w:val="es-ES_tradnl"/>
              </w:rPr>
            </w:pPr>
            <w:r w:rsidRPr="004A2CC5">
              <w:rPr>
                <w:lang w:val="es-ES_tradnl"/>
              </w:rPr>
              <w:t>C1, C2, C3, C4, C5, C6, C7, C11</w:t>
            </w:r>
          </w:p>
        </w:tc>
      </w:tr>
      <w:tr w:rsidR="00F33FC8" w:rsidRPr="00B6045A" w14:paraId="4F6B3234" w14:textId="77777777" w:rsidTr="004E72A0">
        <w:tc>
          <w:tcPr>
            <w:tcW w:w="2880" w:type="dxa"/>
          </w:tcPr>
          <w:p w14:paraId="20EC4FD3" w14:textId="77777777" w:rsidR="00F33FC8" w:rsidRPr="004A2CC5" w:rsidRDefault="00F33FC8" w:rsidP="003C0AC2">
            <w:pPr>
              <w:pStyle w:val="Tabletext"/>
              <w:rPr>
                <w:b/>
                <w:bCs/>
                <w:lang w:val="es-ES_tradnl"/>
              </w:rPr>
            </w:pPr>
            <w:r w:rsidRPr="004A2CC5">
              <w:rPr>
                <w:b/>
                <w:bCs/>
                <w:lang w:val="es-ES_tradnl"/>
              </w:rPr>
              <w:t>Resoluciones</w:t>
            </w:r>
          </w:p>
        </w:tc>
        <w:tc>
          <w:tcPr>
            <w:tcW w:w="11970" w:type="dxa"/>
            <w:gridSpan w:val="2"/>
          </w:tcPr>
          <w:p w14:paraId="24BF068E" w14:textId="77777777" w:rsidR="00F33FC8" w:rsidRPr="004A2CC5" w:rsidRDefault="00F33FC8" w:rsidP="003C0AC2">
            <w:pPr>
              <w:pStyle w:val="Tabletext"/>
              <w:rPr>
                <w:lang w:val="es-ES_tradnl"/>
              </w:rPr>
            </w:pPr>
            <w:r w:rsidRPr="004A2CC5">
              <w:rPr>
                <w:lang w:val="es-ES_tradnl"/>
              </w:rPr>
              <w:t>2, 8, 10, 18, 21, 22, 135, 138, 139, 174, 191, 195, 196 y 201 de la PP; 16, 17, 22, 23, 25, 30, 37, 48, 64, 71, 77, 78, 79, 80, 84 y 85 de la CMDT; Cuestiones 6/1, 7/1, 5/2, 6/2, 7/2</w:t>
            </w:r>
          </w:p>
        </w:tc>
      </w:tr>
    </w:tbl>
    <w:p w14:paraId="181B6622" w14:textId="77777777" w:rsidR="00224990" w:rsidRPr="00DF5B4D" w:rsidRDefault="00224990" w:rsidP="003847BE">
      <w:pPr>
        <w:rPr>
          <w:lang w:val="es-ES_tradnl"/>
        </w:rPr>
      </w:pPr>
    </w:p>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2785"/>
        <w:gridCol w:w="9090"/>
        <w:gridCol w:w="2970"/>
      </w:tblGrid>
      <w:tr w:rsidR="00224990" w:rsidRPr="00B6045A" w14:paraId="010F411D" w14:textId="77777777" w:rsidTr="00056B55">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6E29E032" w14:textId="77777777" w:rsidR="00224990" w:rsidRPr="00DF5B4D" w:rsidRDefault="00224990" w:rsidP="00703915">
            <w:pPr>
              <w:pStyle w:val="Tablehead"/>
              <w:rPr>
                <w:lang w:val="es-ES_tradnl"/>
              </w:rPr>
            </w:pPr>
            <w:r w:rsidRPr="00DF5B4D">
              <w:rPr>
                <w:lang w:val="es-ES_tradnl"/>
              </w:rPr>
              <w:t>Prioridad 4 del UIT-D: Telecomunicaciones/TIC inclusivas y seguras para el desarrollo sostenible</w:t>
            </w:r>
          </w:p>
          <w:p w14:paraId="578AC0B2" w14:textId="77777777" w:rsidR="00224990" w:rsidRPr="00DF5B4D" w:rsidRDefault="00224990" w:rsidP="00703915">
            <w:pPr>
              <w:pStyle w:val="Tablehead"/>
              <w:rPr>
                <w:i/>
                <w:iCs/>
                <w:lang w:val="es-ES_tradnl"/>
              </w:rPr>
            </w:pPr>
            <w:r w:rsidRPr="00DF5B4D">
              <w:rPr>
                <w:i/>
                <w:iCs/>
                <w:lang w:val="es-ES_tradnl"/>
              </w:rPr>
              <w:t>Fomento de estrategias nacionales de ciberseguridad y refuerzo de las competencias digitales</w:t>
            </w:r>
          </w:p>
        </w:tc>
      </w:tr>
      <w:tr w:rsidR="00224990" w:rsidRPr="00B6045A" w14:paraId="0D515D09" w14:textId="77777777" w:rsidTr="00056B55">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41419DD9" w14:textId="77777777" w:rsidR="00224990" w:rsidRPr="00DF5B4D" w:rsidRDefault="00224990" w:rsidP="00703915">
            <w:pPr>
              <w:pStyle w:val="Tabletext"/>
              <w:rPr>
                <w:b/>
                <w:bCs/>
                <w:i/>
                <w:iCs/>
                <w:lang w:val="es-ES_tradnl"/>
              </w:rPr>
            </w:pPr>
            <w:r w:rsidRPr="00DF5B4D">
              <w:rPr>
                <w:b/>
                <w:bCs/>
                <w:i/>
                <w:iCs/>
                <w:lang w:val="es-ES_tradnl"/>
              </w:rPr>
              <w:t>Realización:</w:t>
            </w:r>
            <w:r w:rsidRPr="00DF5B4D">
              <w:rPr>
                <w:i/>
                <w:iCs/>
                <w:lang w:val="es-ES_tradnl"/>
              </w:rPr>
              <w:t xml:space="preserve"> Apoyo a los Estados Miembros en la elaboración de estrategias nacionales de ciberseguridad y EIII. Aumento de los servicios seguros en línea, incluida la protección de la infancia en línea, y movilización de recursos para los grupos marginados y las personas con necesidades especiales.</w:t>
            </w:r>
          </w:p>
        </w:tc>
      </w:tr>
      <w:tr w:rsidR="00224990" w:rsidRPr="00DF5B4D" w14:paraId="48476E70" w14:textId="77777777" w:rsidTr="00056B55">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056AE0FD" w14:textId="77777777" w:rsidR="00224990" w:rsidRPr="00DF5B4D" w:rsidRDefault="00224990" w:rsidP="00703915">
            <w:pPr>
              <w:pStyle w:val="Tablehead"/>
              <w:rPr>
                <w:lang w:val="es-ES_tradnl"/>
              </w:rPr>
            </w:pPr>
            <w:r w:rsidRPr="00DF5B4D">
              <w:rPr>
                <w:lang w:val="es-ES_tradnl"/>
              </w:rPr>
              <w:t>Productos</w:t>
            </w:r>
          </w:p>
        </w:tc>
        <w:tc>
          <w:tcPr>
            <w:tcW w:w="2970" w:type="dxa"/>
            <w:tcBorders>
              <w:top w:val="dotted" w:sz="4" w:space="0" w:color="0070C0"/>
              <w:left w:val="dotted" w:sz="4" w:space="0" w:color="0070C0"/>
              <w:bottom w:val="dotted" w:sz="4" w:space="0" w:color="0070C0"/>
              <w:right w:val="dotted" w:sz="4" w:space="0" w:color="0070C0"/>
            </w:tcBorders>
          </w:tcPr>
          <w:p w14:paraId="7045FEA8" w14:textId="77777777" w:rsidR="00224990" w:rsidRPr="00DF5B4D" w:rsidRDefault="00224990" w:rsidP="00703915">
            <w:pPr>
              <w:pStyle w:val="Tablehead"/>
              <w:rPr>
                <w:lang w:val="es-ES_tradnl"/>
              </w:rPr>
            </w:pPr>
            <w:r w:rsidRPr="00DF5B4D">
              <w:rPr>
                <w:lang w:val="es-ES_tradnl"/>
              </w:rPr>
              <w:t>Datos destacados</w:t>
            </w:r>
          </w:p>
        </w:tc>
      </w:tr>
      <w:tr w:rsidR="00224990" w:rsidRPr="00B6045A" w14:paraId="634336A6" w14:textId="77777777" w:rsidTr="00056B55">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77649ED1" w14:textId="77777777" w:rsidR="00224990" w:rsidRPr="00DF5B4D" w:rsidRDefault="00224990" w:rsidP="00703915">
            <w:pPr>
              <w:pStyle w:val="Tabletext"/>
              <w:rPr>
                <w:b/>
                <w:bCs/>
                <w:lang w:val="es-ES_tradnl"/>
              </w:rPr>
            </w:pPr>
            <w:r w:rsidRPr="00DF5B4D">
              <w:rPr>
                <w:b/>
                <w:bCs/>
                <w:lang w:val="es-ES_tradnl"/>
              </w:rPr>
              <w:t>Ciberseguridad</w:t>
            </w:r>
          </w:p>
          <w:p w14:paraId="6A2DB9D9" w14:textId="77777777" w:rsidR="00224990" w:rsidRPr="00DF5B4D" w:rsidRDefault="00224990" w:rsidP="00A66D32">
            <w:pPr>
              <w:pStyle w:val="Tabletext"/>
              <w:rPr>
                <w:lang w:val="es-ES_tradnl"/>
              </w:rPr>
            </w:pPr>
            <w:r w:rsidRPr="00DF5B4D">
              <w:rPr>
                <w:lang w:val="es-ES_tradnl"/>
              </w:rPr>
              <w:t xml:space="preserve">El </w:t>
            </w:r>
            <w:hyperlink r:id="rId63" w:history="1">
              <w:r w:rsidRPr="00DF5B4D">
                <w:rPr>
                  <w:rStyle w:val="Hyperlink"/>
                  <w:rFonts w:eastAsiaTheme="minorEastAsia"/>
                  <w:lang w:val="es-ES_tradnl"/>
                </w:rPr>
                <w:t>Índice de Ciberseguridad Global</w:t>
              </w:r>
            </w:hyperlink>
            <w:r w:rsidRPr="00DF5B4D">
              <w:rPr>
                <w:lang w:val="es-ES_tradnl"/>
              </w:rPr>
              <w:t xml:space="preserve"> mide el compromiso de los países con la ciberseguridad. Para la quinta edición del Índice (2023), la UIT ha estado recopilando, verificando y validando datos con 173 coordinadores designados por los Estados Miembros.</w:t>
            </w:r>
          </w:p>
          <w:p w14:paraId="773FB8D5" w14:textId="77777777" w:rsidR="00224990" w:rsidRPr="00DF5B4D" w:rsidRDefault="00224990" w:rsidP="00A66D32">
            <w:pPr>
              <w:pStyle w:val="Tabletext"/>
              <w:rPr>
                <w:b/>
                <w:bCs/>
                <w:lang w:val="es-ES_tradnl"/>
              </w:rPr>
            </w:pPr>
            <w:r w:rsidRPr="00DF5B4D">
              <w:rPr>
                <w:b/>
                <w:bCs/>
                <w:lang w:val="es-ES_tradnl"/>
              </w:rPr>
              <w:t>Desarrollo de capacidades:</w:t>
            </w:r>
          </w:p>
          <w:p w14:paraId="62A2BF02" w14:textId="65785C87" w:rsidR="00224990" w:rsidRPr="00DF5B4D" w:rsidRDefault="00224990" w:rsidP="00A66D32">
            <w:pPr>
              <w:pStyle w:val="Tabletext"/>
              <w:ind w:left="284" w:hanging="284"/>
              <w:rPr>
                <w:lang w:val="es-ES_tradnl"/>
              </w:rPr>
            </w:pPr>
            <w:r w:rsidRPr="00DF5B4D">
              <w:rPr>
                <w:b/>
                <w:bCs/>
                <w:lang w:val="es-ES_tradnl"/>
              </w:rPr>
              <w:t>•</w:t>
            </w:r>
            <w:r w:rsidRPr="00DF5B4D">
              <w:rPr>
                <w:b/>
                <w:bCs/>
                <w:lang w:val="es-ES_tradnl"/>
              </w:rPr>
              <w:tab/>
              <w:t xml:space="preserve">Mundial: </w:t>
            </w:r>
            <w:r w:rsidRPr="00DF5B4D">
              <w:rPr>
                <w:lang w:val="es-ES_tradnl"/>
              </w:rPr>
              <w:t xml:space="preserve">La </w:t>
            </w:r>
            <w:r w:rsidR="00C14AF1">
              <w:rPr>
                <w:lang w:val="es-ES_tradnl"/>
              </w:rPr>
              <w:t>BDT</w:t>
            </w:r>
            <w:r w:rsidRPr="00DF5B4D">
              <w:rPr>
                <w:lang w:val="es-ES_tradnl"/>
              </w:rPr>
              <w:t xml:space="preserve">, a través de su trabajo sobre </w:t>
            </w:r>
            <w:r w:rsidRPr="00C14AF1">
              <w:rPr>
                <w:b/>
                <w:bCs/>
                <w:lang w:val="es-ES_tradnl"/>
              </w:rPr>
              <w:t>estrategias nacionales de ciberseguridad</w:t>
            </w:r>
            <w:r w:rsidRPr="00DF5B4D">
              <w:rPr>
                <w:lang w:val="es-ES_tradnl"/>
              </w:rPr>
              <w:t xml:space="preserve">, mejoró los conocimientos de las partes interesadas sobre el desarrollo y la aplicación de estrategias nacionales de ciberseguridad. Esto se logró mediante ejercicios prácticos sobre desarrollo de estrategias con las partes interesadas nacionales, talleres de evaluación de necesidades y una participación continua en asesorías y debates a través de reuniones en línea. En un programa de formación en línea </w:t>
            </w:r>
            <w:r w:rsidRPr="00DF5B4D">
              <w:rPr>
                <w:lang w:val="es-ES_tradnl"/>
              </w:rPr>
              <w:lastRenderedPageBreak/>
              <w:t xml:space="preserve">autodidáctico sobre los ciclos de vida de las estrategias nacionales de ciberseguridad, 730 participantes de 131 países mejoraron su comprensión y conocimientos. El Programa de </w:t>
            </w:r>
            <w:proofErr w:type="spellStart"/>
            <w:r w:rsidRPr="00DF5B4D">
              <w:rPr>
                <w:lang w:val="es-ES_tradnl"/>
              </w:rPr>
              <w:t>cibersimulacros</w:t>
            </w:r>
            <w:proofErr w:type="spellEnd"/>
            <w:r w:rsidRPr="00DF5B4D">
              <w:rPr>
                <w:lang w:val="es-ES_tradnl"/>
              </w:rPr>
              <w:t xml:space="preserve"> ha logrado una gran repercusión mundial con la participación de 140 países que participaron en ejercicios y formación cibernéticos. Esto fomentó la cooperación interregional y condujo a una mayor competencia en la respuesta a incidentes y al intercambio de información. La </w:t>
            </w:r>
            <w:r w:rsidR="00C14AF1">
              <w:rPr>
                <w:lang w:val="es-ES_tradnl"/>
              </w:rPr>
              <w:t>BDT</w:t>
            </w:r>
            <w:r w:rsidR="00C14AF1" w:rsidRPr="00DF5B4D">
              <w:rPr>
                <w:lang w:val="es-ES_tradnl"/>
              </w:rPr>
              <w:t xml:space="preserve"> </w:t>
            </w:r>
            <w:r w:rsidRPr="00DF5B4D">
              <w:rPr>
                <w:lang w:val="es-ES_tradnl"/>
              </w:rPr>
              <w:t>complementó estos esfuerzos organizando cursos de formación específicos sobre competencia técnica en respuesta a incidentes para las partes interesadas nacionales de tres Estados Miembros de la UIT (</w:t>
            </w:r>
            <w:proofErr w:type="spellStart"/>
            <w:r w:rsidRPr="00DF5B4D">
              <w:rPr>
                <w:lang w:val="es-ES_tradnl"/>
              </w:rPr>
              <w:t>Bahrein</w:t>
            </w:r>
            <w:proofErr w:type="spellEnd"/>
            <w:r w:rsidRPr="00DF5B4D">
              <w:rPr>
                <w:lang w:val="es-ES_tradnl"/>
              </w:rPr>
              <w:t>, Maldivas y Emiratos Árabes Unidos).</w:t>
            </w:r>
          </w:p>
          <w:p w14:paraId="1886A4D8" w14:textId="77777777" w:rsidR="00224990" w:rsidRPr="00DF5B4D" w:rsidRDefault="00224990" w:rsidP="00A66D32">
            <w:pPr>
              <w:pStyle w:val="Tabletext"/>
              <w:ind w:left="284" w:hanging="284"/>
              <w:rPr>
                <w:lang w:val="es-ES_tradnl"/>
              </w:rPr>
            </w:pPr>
            <w:r w:rsidRPr="00DF5B4D">
              <w:rPr>
                <w:b/>
                <w:lang w:val="es-ES_tradnl"/>
              </w:rPr>
              <w:t>•</w:t>
            </w:r>
            <w:r w:rsidRPr="00DF5B4D">
              <w:rPr>
                <w:b/>
                <w:lang w:val="es-ES_tradnl"/>
              </w:rPr>
              <w:tab/>
              <w:t xml:space="preserve">En la Región de África, </w:t>
            </w:r>
            <w:r w:rsidRPr="00DF5B4D">
              <w:rPr>
                <w:lang w:val="es-ES_tradnl"/>
              </w:rPr>
              <w:t xml:space="preserve">el Programa de Mujeres en Ciberseguridad dirigido específicamente a mujeres interesadas en carreras profesionales en este ámbito. A través de asesorías, capacitación, y talleres inspiradores, el programa dotó a 153 mujeres con las habilidades necesarias para entrar al campo laboral. Además, el evento de </w:t>
            </w:r>
            <w:proofErr w:type="spellStart"/>
            <w:r w:rsidRPr="00DF5B4D">
              <w:rPr>
                <w:b/>
                <w:lang w:val="es-ES_tradnl"/>
              </w:rPr>
              <w:t>cibersimulacro</w:t>
            </w:r>
            <w:proofErr w:type="spellEnd"/>
            <w:r w:rsidRPr="00DF5B4D">
              <w:rPr>
                <w:b/>
                <w:lang w:val="es-ES_tradnl"/>
              </w:rPr>
              <w:t xml:space="preserve"> en Malawi </w:t>
            </w:r>
            <w:r w:rsidRPr="00DF5B4D">
              <w:rPr>
                <w:lang w:val="es-ES_tradnl"/>
              </w:rPr>
              <w:t>reunió a más de 350 participantes en talleres técnicos, que mejoraron la capacidad de respuesta ante incidentes de más de 20 Estados Miembros de la región.</w:t>
            </w:r>
          </w:p>
          <w:p w14:paraId="006EA247" w14:textId="77777777" w:rsidR="00224990" w:rsidRPr="00DF5B4D" w:rsidRDefault="00224990" w:rsidP="00A66D32">
            <w:pPr>
              <w:pStyle w:val="Tabletext"/>
              <w:ind w:left="284" w:hanging="284"/>
              <w:rPr>
                <w:lang w:val="es-ES_tradnl"/>
              </w:rPr>
            </w:pPr>
            <w:r w:rsidRPr="00DF5B4D">
              <w:rPr>
                <w:lang w:val="es-ES_tradnl"/>
              </w:rPr>
              <w:tab/>
              <w:t>El Programa de Mujeres en Ciberseguridad otorgó numerosos talleres para mejorar las habilidades de ciberseguridad y empoderar a las mujeres en el ámbito. La iniciativa "</w:t>
            </w:r>
            <w:proofErr w:type="spellStart"/>
            <w:r w:rsidRPr="00DF5B4D">
              <w:rPr>
                <w:lang w:val="es-ES_tradnl"/>
              </w:rPr>
              <w:t>Her</w:t>
            </w:r>
            <w:proofErr w:type="spellEnd"/>
            <w:r w:rsidRPr="00DF5B4D">
              <w:rPr>
                <w:lang w:val="es-ES_tradnl"/>
              </w:rPr>
              <w:t xml:space="preserve"> </w:t>
            </w:r>
            <w:proofErr w:type="spellStart"/>
            <w:r w:rsidRPr="00DF5B4D">
              <w:rPr>
                <w:lang w:val="es-ES_tradnl"/>
              </w:rPr>
              <w:t>CyberTracks</w:t>
            </w:r>
            <w:proofErr w:type="spellEnd"/>
            <w:r w:rsidRPr="00DF5B4D">
              <w:rPr>
                <w:lang w:val="es-ES_tradnl"/>
              </w:rPr>
              <w:t xml:space="preserve">" se enfoca en expandir el conocimiento en </w:t>
            </w:r>
            <w:proofErr w:type="spellStart"/>
            <w:r w:rsidRPr="00DF5B4D">
              <w:rPr>
                <w:lang w:val="es-ES_tradnl"/>
              </w:rPr>
              <w:t>ciberdiplomacia</w:t>
            </w:r>
            <w:proofErr w:type="spellEnd"/>
            <w:r w:rsidRPr="00DF5B4D">
              <w:rPr>
                <w:lang w:val="es-ES_tradnl"/>
              </w:rPr>
              <w:t xml:space="preserve">, dirigido principalmente a participantes de </w:t>
            </w:r>
            <w:r w:rsidRPr="003918D7">
              <w:rPr>
                <w:b/>
                <w:bCs/>
                <w:lang w:val="es-ES_tradnl"/>
              </w:rPr>
              <w:t>África y Europa</w:t>
            </w:r>
            <w:r w:rsidRPr="00DF5B4D">
              <w:rPr>
                <w:lang w:val="es-ES_tradnl"/>
              </w:rPr>
              <w:t>. Ha formado a 101 participantes de 22 países en estas Regiones.</w:t>
            </w:r>
          </w:p>
          <w:p w14:paraId="2F542CED" w14:textId="0C8EC7F0" w:rsidR="00224990" w:rsidRPr="00DF5B4D" w:rsidRDefault="00224990" w:rsidP="005548A9">
            <w:pPr>
              <w:pStyle w:val="Tabletext"/>
              <w:ind w:left="284" w:hanging="284"/>
              <w:rPr>
                <w:lang w:val="es-ES_tradnl"/>
              </w:rPr>
            </w:pPr>
            <w:r w:rsidRPr="00DF5B4D">
              <w:rPr>
                <w:b/>
                <w:lang w:val="es-ES_tradnl"/>
              </w:rPr>
              <w:t>•</w:t>
            </w:r>
            <w:r w:rsidRPr="00DF5B4D">
              <w:rPr>
                <w:b/>
                <w:lang w:val="es-ES_tradnl"/>
              </w:rPr>
              <w:tab/>
              <w:t xml:space="preserve">En la Región de las Américas, </w:t>
            </w:r>
            <w:r w:rsidRPr="00DF5B4D">
              <w:rPr>
                <w:bCs/>
                <w:lang w:val="es-ES_tradnl"/>
              </w:rPr>
              <w:t>l</w:t>
            </w:r>
            <w:r w:rsidRPr="00DF5B4D">
              <w:rPr>
                <w:lang w:val="es-ES_tradnl"/>
              </w:rPr>
              <w:t xml:space="preserve">a </w:t>
            </w:r>
            <w:r w:rsidR="00C14AF1">
              <w:rPr>
                <w:lang w:val="es-ES_tradnl"/>
              </w:rPr>
              <w:t>BDT</w:t>
            </w:r>
            <w:r w:rsidR="00C14AF1" w:rsidRPr="00DF5B4D">
              <w:rPr>
                <w:lang w:val="es-ES_tradnl"/>
              </w:rPr>
              <w:t xml:space="preserve"> </w:t>
            </w:r>
            <w:r w:rsidRPr="00DF5B4D">
              <w:rPr>
                <w:lang w:val="es-ES_tradnl"/>
              </w:rPr>
              <w:t xml:space="preserve">mejoró el conocimiento y la colaboración entre los miembros de los EIII en la región a través de </w:t>
            </w:r>
            <w:proofErr w:type="spellStart"/>
            <w:r w:rsidRPr="00DF5B4D">
              <w:rPr>
                <w:lang w:val="es-ES_tradnl"/>
              </w:rPr>
              <w:t>cibersimulacros</w:t>
            </w:r>
            <w:proofErr w:type="spellEnd"/>
            <w:r w:rsidRPr="00DF5B4D">
              <w:rPr>
                <w:lang w:val="es-ES_tradnl"/>
              </w:rPr>
              <w:t xml:space="preserve"> regionales. En el </w:t>
            </w:r>
            <w:proofErr w:type="spellStart"/>
            <w:r w:rsidRPr="00DF5B4D">
              <w:rPr>
                <w:lang w:val="es-ES_tradnl"/>
              </w:rPr>
              <w:t>cibersimulacro</w:t>
            </w:r>
            <w:proofErr w:type="spellEnd"/>
            <w:r w:rsidRPr="00DF5B4D">
              <w:rPr>
                <w:lang w:val="es-ES_tradnl"/>
              </w:rPr>
              <w:t xml:space="preserve"> de República Dominicana, más de 168 participantes de más de 17 países de la región de las Américas participaron en talleres técnicos y colaboraron con más de 8 organizaciones regionales e internacionales. Además, en el </w:t>
            </w:r>
            <w:proofErr w:type="spellStart"/>
            <w:r w:rsidRPr="00DF5B4D">
              <w:rPr>
                <w:lang w:val="es-ES_tradnl"/>
              </w:rPr>
              <w:t>cibersimulacro</w:t>
            </w:r>
            <w:proofErr w:type="spellEnd"/>
            <w:r w:rsidRPr="00DF5B4D">
              <w:rPr>
                <w:lang w:val="es-ES_tradnl"/>
              </w:rPr>
              <w:t xml:space="preserve"> de Chile, 120 participantes de 11 países de la región de las Américas participaron en talleres técnicos, con 25 ponentes de socios y del sector privado. Las mujeres de la región también participaron en tutorías, formaciones y talleres inspiradores, mejorando su capacidad para participar en la fuerza laboral de la ciberseguridad dentro del </w:t>
            </w:r>
            <w:r w:rsidRPr="00DF5B4D">
              <w:rPr>
                <w:b/>
                <w:bCs/>
                <w:lang w:val="es-ES_tradnl"/>
              </w:rPr>
              <w:t>Programa de Mujeres en Ciberseguridad</w:t>
            </w:r>
            <w:r w:rsidRPr="00DF5B4D">
              <w:rPr>
                <w:lang w:val="es-ES_tradnl"/>
              </w:rPr>
              <w:t>.</w:t>
            </w:r>
          </w:p>
          <w:p w14:paraId="4B4C3D3D" w14:textId="20C961D2" w:rsidR="00224990" w:rsidRPr="00DF5B4D" w:rsidRDefault="00224990" w:rsidP="005548A9">
            <w:pPr>
              <w:pStyle w:val="Tabletext"/>
              <w:ind w:left="284" w:hanging="284"/>
              <w:rPr>
                <w:lang w:val="es-ES_tradnl"/>
              </w:rPr>
            </w:pPr>
            <w:r w:rsidRPr="00DF5B4D">
              <w:rPr>
                <w:b/>
                <w:bCs/>
                <w:lang w:val="es-ES_tradnl"/>
              </w:rPr>
              <w:t>•</w:t>
            </w:r>
            <w:r w:rsidRPr="00DF5B4D">
              <w:rPr>
                <w:b/>
                <w:bCs/>
                <w:lang w:val="es-ES_tradnl"/>
              </w:rPr>
              <w:tab/>
              <w:t xml:space="preserve">En la Región de los Estados Árabes, </w:t>
            </w:r>
            <w:r w:rsidRPr="00DF5B4D">
              <w:rPr>
                <w:lang w:val="es-ES_tradnl"/>
              </w:rPr>
              <w:t xml:space="preserve">la sensibilización y la comprensión por parte de los países del Índice de Ciberseguridad Global como herramienta para mejorar los compromisos en materia de ciberseguridad y la coordinación interna aumentaron gracias a un taller celebrado en el país. </w:t>
            </w:r>
            <w:r w:rsidR="00FF541D">
              <w:rPr>
                <w:lang w:val="es-ES_tradnl"/>
              </w:rPr>
              <w:t xml:space="preserve">Esta formación permitió a </w:t>
            </w:r>
            <w:r w:rsidRPr="00DF5B4D">
              <w:rPr>
                <w:lang w:val="es-ES_tradnl"/>
              </w:rPr>
              <w:t>los participantes</w:t>
            </w:r>
            <w:r w:rsidR="00FF541D">
              <w:rPr>
                <w:lang w:val="es-ES_tradnl"/>
              </w:rPr>
              <w:t xml:space="preserve"> mejorar sus competencias técnicas</w:t>
            </w:r>
            <w:r w:rsidRPr="00DF5B4D">
              <w:rPr>
                <w:lang w:val="es-ES_tradnl"/>
              </w:rPr>
              <w:t xml:space="preserve"> a través de talleres prácticos en los que adquirieron conocimientos y </w:t>
            </w:r>
            <w:r w:rsidR="00C1796F">
              <w:rPr>
                <w:lang w:val="es-ES_tradnl"/>
              </w:rPr>
              <w:t>disfrutaron de</w:t>
            </w:r>
            <w:r w:rsidRPr="00DF5B4D">
              <w:rPr>
                <w:lang w:val="es-ES_tradnl"/>
              </w:rPr>
              <w:t xml:space="preserve"> oportunidades </w:t>
            </w:r>
            <w:r w:rsidR="00C1796F">
              <w:rPr>
                <w:lang w:val="es-ES_tradnl"/>
              </w:rPr>
              <w:t>para la</w:t>
            </w:r>
            <w:r w:rsidRPr="00DF5B4D">
              <w:rPr>
                <w:lang w:val="es-ES_tradnl"/>
              </w:rPr>
              <w:t xml:space="preserve"> creación de redes en dos eventos diferentes (un </w:t>
            </w:r>
            <w:proofErr w:type="spellStart"/>
            <w:r w:rsidRPr="00DF5B4D">
              <w:rPr>
                <w:b/>
                <w:bCs/>
                <w:lang w:val="es-ES_tradnl"/>
              </w:rPr>
              <w:t>cibersimulacro</w:t>
            </w:r>
            <w:proofErr w:type="spellEnd"/>
            <w:r w:rsidRPr="00DF5B4D">
              <w:rPr>
                <w:lang w:val="es-ES_tradnl"/>
              </w:rPr>
              <w:t xml:space="preserve"> interregional para los Estados Árabes y la Región de la CEI, la Cumbre Regional sobre Ciberseguridad 2023, un taller regional sobre gestión de la ciberseguridad y un taller sobre el Índice de Ciberseguridad Global para </w:t>
            </w:r>
            <w:proofErr w:type="spellStart"/>
            <w:r w:rsidRPr="00DF5B4D">
              <w:rPr>
                <w:lang w:val="es-ES_tradnl"/>
              </w:rPr>
              <w:t>Bahrein</w:t>
            </w:r>
            <w:proofErr w:type="spellEnd"/>
            <w:r w:rsidRPr="00DF5B4D">
              <w:rPr>
                <w:lang w:val="es-ES_tradnl"/>
              </w:rPr>
              <w:t xml:space="preserve">). A través del Programa de </w:t>
            </w:r>
            <w:r w:rsidRPr="00DF5B4D">
              <w:rPr>
                <w:b/>
                <w:bCs/>
                <w:lang w:val="es-ES_tradnl"/>
              </w:rPr>
              <w:t>Mujeres en Ciberseguridad</w:t>
            </w:r>
            <w:r w:rsidRPr="00DF5B4D">
              <w:rPr>
                <w:lang w:val="es-ES_tradnl"/>
              </w:rPr>
              <w:t xml:space="preserve">, 106 mujeres en la Región de los </w:t>
            </w:r>
            <w:r w:rsidRPr="003918D7">
              <w:rPr>
                <w:b/>
                <w:bCs/>
                <w:lang w:val="es-ES_tradnl"/>
              </w:rPr>
              <w:t>Estados</w:t>
            </w:r>
            <w:r w:rsidRPr="00DF5B4D">
              <w:rPr>
                <w:lang w:val="es-ES_tradnl"/>
              </w:rPr>
              <w:t xml:space="preserve"> Árabes participaron en las tutorías, formaciones y los talleres inspiradores mejorando su capacidad para formar parte del campo laboral en materia de ciberseguridad.</w:t>
            </w:r>
          </w:p>
          <w:p w14:paraId="46D63AE4" w14:textId="5689BEA1" w:rsidR="00224990" w:rsidRPr="00DF5B4D" w:rsidRDefault="00224990" w:rsidP="005548A9">
            <w:pPr>
              <w:pStyle w:val="Tabletext"/>
              <w:ind w:left="284" w:hanging="284"/>
              <w:rPr>
                <w:lang w:val="es-ES_tradnl"/>
              </w:rPr>
            </w:pPr>
            <w:r w:rsidRPr="00DF5B4D">
              <w:rPr>
                <w:b/>
                <w:bCs/>
                <w:lang w:val="es-ES_tradnl"/>
              </w:rPr>
              <w:t>•</w:t>
            </w:r>
            <w:r w:rsidRPr="00DF5B4D">
              <w:rPr>
                <w:b/>
                <w:bCs/>
                <w:lang w:val="es-ES_tradnl"/>
              </w:rPr>
              <w:tab/>
              <w:t xml:space="preserve">En Asia y el Pacífico, </w:t>
            </w:r>
            <w:r w:rsidRPr="00DF5B4D">
              <w:rPr>
                <w:lang w:val="es-ES_tradnl"/>
              </w:rPr>
              <w:t>en el marco del Proyecto "</w:t>
            </w:r>
            <w:proofErr w:type="spellStart"/>
            <w:r w:rsidRPr="00DF5B4D">
              <w:rPr>
                <w:b/>
                <w:bCs/>
                <w:lang w:val="es-ES_tradnl"/>
              </w:rPr>
              <w:t>Cyber</w:t>
            </w:r>
            <w:proofErr w:type="spellEnd"/>
            <w:r w:rsidRPr="00DF5B4D">
              <w:rPr>
                <w:b/>
                <w:bCs/>
                <w:lang w:val="es-ES_tradnl"/>
              </w:rPr>
              <w:t xml:space="preserve"> </w:t>
            </w:r>
            <w:proofErr w:type="spellStart"/>
            <w:r w:rsidRPr="00DF5B4D">
              <w:rPr>
                <w:b/>
                <w:bCs/>
                <w:lang w:val="es-ES_tradnl"/>
              </w:rPr>
              <w:t>for</w:t>
            </w:r>
            <w:proofErr w:type="spellEnd"/>
            <w:r w:rsidRPr="00DF5B4D">
              <w:rPr>
                <w:b/>
                <w:bCs/>
                <w:lang w:val="es-ES_tradnl"/>
              </w:rPr>
              <w:t xml:space="preserve"> Good", </w:t>
            </w:r>
            <w:r w:rsidRPr="00DF5B4D">
              <w:rPr>
                <w:lang w:val="es-ES_tradnl"/>
              </w:rPr>
              <w:t xml:space="preserve">la BDT trabajó con países menos desarrollados para mejorar su capacidad de ciberseguridad. Los asociados (Miembros de Sector del UIT-D) otorgaron sesiones de formación en materia de ciberseguridad para Timor-Leste y otorgaron soporte técnico para </w:t>
            </w:r>
            <w:proofErr w:type="spellStart"/>
            <w:r w:rsidRPr="00DF5B4D">
              <w:rPr>
                <w:lang w:val="es-ES_tradnl"/>
              </w:rPr>
              <w:t>Bhután</w:t>
            </w:r>
            <w:proofErr w:type="spellEnd"/>
            <w:r w:rsidRPr="00DF5B4D">
              <w:rPr>
                <w:lang w:val="es-ES_tradnl"/>
              </w:rPr>
              <w:t xml:space="preserve"> y Timor-Leste. A través de su Programa de respuesta a incidentes, la </w:t>
            </w:r>
            <w:r w:rsidR="00FF541D">
              <w:rPr>
                <w:lang w:val="es-ES_tradnl"/>
              </w:rPr>
              <w:t>BDT</w:t>
            </w:r>
            <w:r w:rsidR="00FF541D" w:rsidRPr="00DF5B4D">
              <w:rPr>
                <w:lang w:val="es-ES_tradnl"/>
              </w:rPr>
              <w:t xml:space="preserve"> </w:t>
            </w:r>
            <w:r w:rsidRPr="00DF5B4D">
              <w:rPr>
                <w:lang w:val="es-ES_tradnl"/>
              </w:rPr>
              <w:t xml:space="preserve">proporcionó asistencia técnica a Maldivas a través de cursos de formación y un informe sobre las </w:t>
            </w:r>
            <w:r w:rsidRPr="00DF5B4D">
              <w:rPr>
                <w:lang w:val="es-ES_tradnl"/>
              </w:rPr>
              <w:lastRenderedPageBreak/>
              <w:t xml:space="preserve">deficiencias en la evaluación de las capacidades. Esta iniciativa también ha facilitado las asociaciones y avanzó el debate sobre la colaboración para mejorar las capacidades de respuesta a incidentes. A través del programa </w:t>
            </w:r>
            <w:r w:rsidRPr="00DF5B4D">
              <w:rPr>
                <w:b/>
                <w:bCs/>
                <w:lang w:val="es-ES_tradnl"/>
              </w:rPr>
              <w:t>Mujeres en Ciberseguridad</w:t>
            </w:r>
            <w:r w:rsidRPr="00DF5B4D">
              <w:rPr>
                <w:lang w:val="es-ES_tradnl"/>
              </w:rPr>
              <w:t>, 44 mujeres en la Región de Asia y el Pacífico aumentaron su capacidad en tutorías, capacitaciones y talleres inspiradores mejorando sus habilidades para formar parte del campo laboral en materia de ciberseguridad.</w:t>
            </w:r>
          </w:p>
          <w:p w14:paraId="239E2A60" w14:textId="77777777" w:rsidR="00224990" w:rsidRPr="00DF5B4D" w:rsidRDefault="00224990" w:rsidP="005548A9">
            <w:pPr>
              <w:pStyle w:val="Tabletext"/>
              <w:ind w:left="284" w:hanging="284"/>
              <w:rPr>
                <w:lang w:val="es-ES_tradnl"/>
              </w:rPr>
            </w:pPr>
            <w:r w:rsidRPr="00DF5B4D">
              <w:rPr>
                <w:lang w:val="es-ES_tradnl"/>
              </w:rPr>
              <w:tab/>
              <w:t xml:space="preserve">Además, con el apoyo del Ministerio del Interior y Comunicaciones (MIC) de Japón, la UIT inició el Proyecto de </w:t>
            </w:r>
            <w:r w:rsidRPr="00DF5B4D">
              <w:rPr>
                <w:b/>
                <w:bCs/>
                <w:lang w:val="es-ES_tradnl"/>
              </w:rPr>
              <w:t>Caminos hacia la ciberseguridad en el</w:t>
            </w:r>
            <w:r w:rsidRPr="00DF5B4D">
              <w:rPr>
                <w:lang w:val="es-ES_tradnl"/>
              </w:rPr>
              <w:t xml:space="preserve"> </w:t>
            </w:r>
            <w:r w:rsidRPr="00DF5B4D">
              <w:rPr>
                <w:b/>
                <w:bCs/>
                <w:lang w:val="es-ES_tradnl"/>
              </w:rPr>
              <w:t>Pacífico</w:t>
            </w:r>
            <w:r w:rsidRPr="00DF5B4D">
              <w:rPr>
                <w:lang w:val="es-ES_tradnl"/>
              </w:rPr>
              <w:t xml:space="preserve"> con el objetivo de crear y mejorar las capacidades de ciberseguridad mediante el desarrollo de un programa certificado de capacitación en ciberseguridad para profesionales de nivel básico. El programa se centra en la creación de capacidades de ciberseguridad en los Estados Miembros insulares del Pacífico.</w:t>
            </w:r>
          </w:p>
          <w:p w14:paraId="05CC6DC9" w14:textId="77777777" w:rsidR="00224990" w:rsidRPr="00DF5B4D" w:rsidRDefault="00224990" w:rsidP="005548A9">
            <w:pPr>
              <w:pStyle w:val="Tabletext"/>
              <w:ind w:left="284" w:hanging="284"/>
              <w:rPr>
                <w:lang w:val="es-ES_tradnl"/>
              </w:rPr>
            </w:pPr>
            <w:r w:rsidRPr="00DF5B4D">
              <w:rPr>
                <w:b/>
                <w:bCs/>
                <w:lang w:val="es-ES_tradnl"/>
              </w:rPr>
              <w:t>•</w:t>
            </w:r>
            <w:r w:rsidRPr="00DF5B4D">
              <w:rPr>
                <w:b/>
                <w:bCs/>
                <w:lang w:val="es-ES_tradnl"/>
              </w:rPr>
              <w:tab/>
              <w:t>En la Región de la CEI,</w:t>
            </w:r>
            <w:r w:rsidRPr="00DF5B4D">
              <w:rPr>
                <w:lang w:val="es-ES_tradnl"/>
              </w:rPr>
              <w:t xml:space="preserve"> durante todo el año, se prestó apoyo continuo y se participó en eventos especiales en la Región, con el objetivo de mejorar la comunicación y el intercambio de conocimientos y mejores prácticas entre los países de la CEI. La sesión </w:t>
            </w:r>
            <w:proofErr w:type="spellStart"/>
            <w:r w:rsidRPr="00DF5B4D">
              <w:rPr>
                <w:lang w:val="es-ES_tradnl"/>
              </w:rPr>
              <w:t>PosiHackDays</w:t>
            </w:r>
            <w:proofErr w:type="spellEnd"/>
            <w:r w:rsidRPr="00DF5B4D">
              <w:rPr>
                <w:lang w:val="es-ES_tradnl"/>
              </w:rPr>
              <w:t xml:space="preserve"> aprovechó la experiencia de la UIT con los EIII nacionales para aumentar la resistencia cibernética de los países y proteger las infraestructuras de información críticas. En la sesión también se examinó el papel que desempeñan las estrategias y políticas nacionales en materia de ciberseguridad, creación de capacidades, planificación de la respuesta a incidentes y cooperación internacional en la mejora de la </w:t>
            </w:r>
            <w:proofErr w:type="spellStart"/>
            <w:r w:rsidRPr="00DF5B4D">
              <w:rPr>
                <w:lang w:val="es-ES_tradnl"/>
              </w:rPr>
              <w:t>ciberresiliencia</w:t>
            </w:r>
            <w:proofErr w:type="spellEnd"/>
            <w:r w:rsidRPr="00DF5B4D">
              <w:rPr>
                <w:lang w:val="es-ES_tradnl"/>
              </w:rPr>
              <w:t>.</w:t>
            </w:r>
          </w:p>
          <w:p w14:paraId="0E9C6162" w14:textId="77777777" w:rsidR="00224990" w:rsidRPr="00DF5B4D" w:rsidRDefault="00224990" w:rsidP="005548A9">
            <w:pPr>
              <w:pStyle w:val="Tabletext"/>
              <w:ind w:left="284" w:hanging="284"/>
              <w:rPr>
                <w:lang w:val="es-ES_tradnl"/>
              </w:rPr>
            </w:pPr>
            <w:r>
              <w:rPr>
                <w:lang w:val="es-ES_tradnl"/>
              </w:rPr>
              <w:tab/>
            </w:r>
            <w:r w:rsidRPr="00DF5B4D">
              <w:rPr>
                <w:lang w:val="es-ES_tradnl"/>
              </w:rPr>
              <w:t>En el marco del Foro Internacional Digital Almaty, celebrado en Kazajstán los días 2 y 3 de febrero de 2023, tuvo lugar una sesión interactiva sobre seguridad de la información internacional, en la que se debatió sobre la estrategia del sector, la regulación, las tecnologías de inteligencia artificial y la labor de las organizaciones regionales en la prevención de conflictos en el ámbito cibernético a través de la diplomacia multilateral.</w:t>
            </w:r>
          </w:p>
          <w:p w14:paraId="2050AA45" w14:textId="45FA5817" w:rsidR="00224990" w:rsidRPr="00DF5B4D" w:rsidRDefault="00224990" w:rsidP="005548A9">
            <w:pPr>
              <w:pStyle w:val="Tabletext"/>
              <w:ind w:left="284" w:hanging="284"/>
              <w:rPr>
                <w:lang w:val="es-ES_tradnl"/>
              </w:rPr>
            </w:pPr>
            <w:r w:rsidRPr="00DF5B4D">
              <w:rPr>
                <w:lang w:val="es-ES_tradnl"/>
              </w:rPr>
              <w:tab/>
              <w:t xml:space="preserve">El 17 de mayo de 2023, la </w:t>
            </w:r>
            <w:r w:rsidR="00FF541D">
              <w:rPr>
                <w:lang w:val="es-ES_tradnl"/>
              </w:rPr>
              <w:t>BDT</w:t>
            </w:r>
            <w:r w:rsidR="00FF541D" w:rsidRPr="00DF5B4D" w:rsidDel="00FF541D">
              <w:rPr>
                <w:lang w:val="es-ES_tradnl"/>
              </w:rPr>
              <w:t xml:space="preserve"> </w:t>
            </w:r>
            <w:r w:rsidRPr="00DF5B4D">
              <w:rPr>
                <w:lang w:val="es-ES_tradnl"/>
              </w:rPr>
              <w:t>contribuyó a una cumbre sobre ciberseguridad que tuvo lugar en el marco del evento GSMA M360 Eurasia.</w:t>
            </w:r>
          </w:p>
          <w:p w14:paraId="51A0DF59" w14:textId="77777777" w:rsidR="00224990" w:rsidRPr="00DF5B4D" w:rsidRDefault="00224990" w:rsidP="005548A9">
            <w:pPr>
              <w:pStyle w:val="Tabletext"/>
              <w:ind w:left="284" w:hanging="284"/>
              <w:rPr>
                <w:lang w:val="es-ES_tradnl"/>
              </w:rPr>
            </w:pPr>
            <w:r w:rsidRPr="00DF5B4D">
              <w:rPr>
                <w:lang w:val="es-ES_tradnl"/>
              </w:rPr>
              <w:tab/>
              <w:t xml:space="preserve">Más de 20 representantes de la Región de la CEI participaron en el </w:t>
            </w:r>
            <w:proofErr w:type="spellStart"/>
            <w:r w:rsidRPr="00DF5B4D">
              <w:rPr>
                <w:lang w:val="es-ES_tradnl"/>
              </w:rPr>
              <w:t>cibersimulacro</w:t>
            </w:r>
            <w:proofErr w:type="spellEnd"/>
            <w:r w:rsidRPr="00DF5B4D">
              <w:rPr>
                <w:lang w:val="es-ES_tradnl"/>
              </w:rPr>
              <w:t xml:space="preserve"> interregional para los Estados Árabes y la Región de la CEI (Abu </w:t>
            </w:r>
            <w:proofErr w:type="spellStart"/>
            <w:r w:rsidRPr="00DF5B4D">
              <w:rPr>
                <w:lang w:val="es-ES_tradnl"/>
              </w:rPr>
              <w:t>D</w:t>
            </w:r>
            <w:r>
              <w:rPr>
                <w:lang w:val="es-ES_tradnl"/>
              </w:rPr>
              <w:t>h</w:t>
            </w:r>
            <w:r w:rsidRPr="00DF5B4D">
              <w:rPr>
                <w:lang w:val="es-ES_tradnl"/>
              </w:rPr>
              <w:t>abi</w:t>
            </w:r>
            <w:proofErr w:type="spellEnd"/>
            <w:r w:rsidRPr="00DF5B4D">
              <w:rPr>
                <w:lang w:val="es-ES_tradnl"/>
              </w:rPr>
              <w:t xml:space="preserve">, EAU, 9-10 de octubre de 2023). Los representantes de los EIII nacionales respondieron a ciberataques simulados basados en seis escenarios realistas y participaron en la formación impartida por destacados expertos del Centro de las Naciones Unidas de lucha contra el Terrorismo y la empresa Positive Technologies (especializada en el suministro de soluciones personalizadas de seguridad de la información). Entre los participantes en el </w:t>
            </w:r>
            <w:proofErr w:type="spellStart"/>
            <w:r w:rsidRPr="00DF5B4D">
              <w:rPr>
                <w:lang w:val="es-ES_tradnl"/>
              </w:rPr>
              <w:t>cibersimulacro</w:t>
            </w:r>
            <w:proofErr w:type="spellEnd"/>
            <w:r w:rsidRPr="00DF5B4D">
              <w:rPr>
                <w:lang w:val="es-ES_tradnl"/>
              </w:rPr>
              <w:t xml:space="preserve"> de los países de la Región de la CEI había representantes de Azerbaiyán, Armenia, </w:t>
            </w:r>
            <w:proofErr w:type="spellStart"/>
            <w:r w:rsidRPr="00DF5B4D">
              <w:rPr>
                <w:lang w:val="es-ES_tradnl"/>
              </w:rPr>
              <w:t>Belarús</w:t>
            </w:r>
            <w:proofErr w:type="spellEnd"/>
            <w:r w:rsidRPr="00DF5B4D">
              <w:rPr>
                <w:lang w:val="es-ES_tradnl"/>
              </w:rPr>
              <w:t>, Kazajstán, Kirguistán, Rusia, Tayikistán, Turkmenistán y Uzbekistán.</w:t>
            </w:r>
          </w:p>
          <w:p w14:paraId="23A541B6" w14:textId="662ACDF0" w:rsidR="00224990" w:rsidRPr="00DF5B4D" w:rsidRDefault="00224990" w:rsidP="005548A9">
            <w:pPr>
              <w:pStyle w:val="Tabletext"/>
              <w:ind w:left="284" w:hanging="284"/>
              <w:rPr>
                <w:lang w:val="es-ES_tradnl"/>
              </w:rPr>
            </w:pPr>
            <w:r w:rsidRPr="00DF5B4D">
              <w:rPr>
                <w:rFonts w:eastAsiaTheme="minorEastAsia"/>
                <w:b/>
                <w:bCs/>
                <w:lang w:val="es-ES_tradnl"/>
              </w:rPr>
              <w:t>•</w:t>
            </w:r>
            <w:r w:rsidRPr="00DF5B4D">
              <w:rPr>
                <w:rFonts w:eastAsiaTheme="minorEastAsia"/>
                <w:b/>
                <w:bCs/>
                <w:lang w:val="es-ES_tradnl"/>
              </w:rPr>
              <w:tab/>
              <w:t xml:space="preserve">En la Región de Europa, </w:t>
            </w:r>
            <w:r w:rsidRPr="00DF5B4D">
              <w:rPr>
                <w:lang w:val="es-ES_tradnl"/>
              </w:rPr>
              <w:t xml:space="preserve">la </w:t>
            </w:r>
            <w:r w:rsidR="00FF541D">
              <w:rPr>
                <w:lang w:val="es-ES_tradnl"/>
              </w:rPr>
              <w:t>BDT</w:t>
            </w:r>
            <w:r w:rsidR="00FF541D" w:rsidRPr="00DF5B4D" w:rsidDel="00FF541D">
              <w:rPr>
                <w:lang w:val="es-ES_tradnl"/>
              </w:rPr>
              <w:t xml:space="preserve"> </w:t>
            </w:r>
            <w:r w:rsidRPr="00DF5B4D">
              <w:rPr>
                <w:lang w:val="es-ES_tradnl"/>
              </w:rPr>
              <w:t xml:space="preserve">en cooperación con la Fundación para el Bienestar de la Sociedad de Malta, llevó a cabo actividades de capacitación en Malta. Como resultado del programa, 80 profesionales se han convertido en formadores certificados por la UIT en materia de protección de la infancia en línea, que pueden ampliar sus conocimientos y competencias a escala nacional. Además, la UIT firmó una declaración conjunta con la Fundación para el Bienestar de la Sociedad de Malta para seguir colaborando en cuestiones de protección de la infancia en línea. La </w:t>
            </w:r>
            <w:r w:rsidR="00FF541D">
              <w:rPr>
                <w:lang w:val="es-ES_tradnl"/>
              </w:rPr>
              <w:t>BDT</w:t>
            </w:r>
            <w:r w:rsidR="00FF541D" w:rsidRPr="00DF5B4D" w:rsidDel="00FF541D">
              <w:rPr>
                <w:lang w:val="es-ES_tradnl"/>
              </w:rPr>
              <w:t xml:space="preserve"> </w:t>
            </w:r>
            <w:r w:rsidRPr="00DF5B4D">
              <w:rPr>
                <w:lang w:val="es-ES_tradnl"/>
              </w:rPr>
              <w:t xml:space="preserve">también apoyó la traducción y difusión en Serbia de las Directrices de la UIT sobre protección de la infancia en línea, en cooperación con el Ministerio de Información y Telecomunicaciones. En Albania, la </w:t>
            </w:r>
            <w:r w:rsidR="00FF541D">
              <w:rPr>
                <w:lang w:val="es-ES_tradnl"/>
              </w:rPr>
              <w:t>BDT</w:t>
            </w:r>
            <w:r w:rsidR="00FF541D" w:rsidRPr="00DF5B4D" w:rsidDel="00FF541D">
              <w:rPr>
                <w:lang w:val="es-ES_tradnl"/>
              </w:rPr>
              <w:t xml:space="preserve"> </w:t>
            </w:r>
            <w:r w:rsidRPr="00DF5B4D">
              <w:rPr>
                <w:lang w:val="es-ES_tradnl"/>
              </w:rPr>
              <w:t xml:space="preserve">apoyó la finalización de la puesta en marcha del Proyecto Mundial sobre protección de </w:t>
            </w:r>
            <w:r w:rsidRPr="00DF5B4D">
              <w:rPr>
                <w:lang w:val="es-ES_tradnl"/>
              </w:rPr>
              <w:lastRenderedPageBreak/>
              <w:t xml:space="preserve">la infancia en línea con el evento final de las partes interesadas que tendrá lugar en diciembre de 2023. Las Directrices también se tradujeron a otras lenguas como: albanés, </w:t>
            </w:r>
            <w:proofErr w:type="spellStart"/>
            <w:r w:rsidRPr="00DF5B4D">
              <w:rPr>
                <w:lang w:val="es-ES_tradnl"/>
              </w:rPr>
              <w:t>amazige</w:t>
            </w:r>
            <w:proofErr w:type="spellEnd"/>
            <w:r w:rsidRPr="00DF5B4D">
              <w:rPr>
                <w:lang w:val="es-ES_tradnl"/>
              </w:rPr>
              <w:t xml:space="preserve">, amárico, armenio, aimara, bosnio, búlgaro, croata, neerlandés, húngaro, indonesio bahasa, kirguís, lituano, maltés, mongol (incluido el lenguaje de signos), pidgin nigeriano, quechua, portugués (Brasil), rumano, serbio, swahili, tailandés, turco, ucraniano y uzbeko. Más de 200 partes interesadas de 40 países de Europa y Asia-Pacífico se beneficiaron del </w:t>
            </w:r>
            <w:proofErr w:type="spellStart"/>
            <w:r w:rsidRPr="00DF5B4D">
              <w:rPr>
                <w:lang w:val="es-ES_tradnl"/>
              </w:rPr>
              <w:t>cibersimulacro</w:t>
            </w:r>
            <w:proofErr w:type="spellEnd"/>
            <w:r w:rsidRPr="00DF5B4D">
              <w:rPr>
                <w:lang w:val="es-ES_tradnl"/>
              </w:rPr>
              <w:t xml:space="preserve"> de la UIT celebrado del 28 de noviembre al 1 de diciembre de 2023 en Chipre y organizado por la Autoridad de Seguridad Digital de Chipre en el marco de la iniciativa regional </w:t>
            </w:r>
            <w:r w:rsidR="00FF541D">
              <w:rPr>
                <w:lang w:val="es-ES_tradnl"/>
              </w:rPr>
              <w:t>del</w:t>
            </w:r>
            <w:r w:rsidRPr="00DF5B4D">
              <w:rPr>
                <w:lang w:val="es-ES_tradnl"/>
              </w:rPr>
              <w:t xml:space="preserve"> UIT</w:t>
            </w:r>
            <w:r w:rsidR="00FF541D">
              <w:rPr>
                <w:lang w:val="es-ES_tradnl"/>
              </w:rPr>
              <w:t>-D</w:t>
            </w:r>
            <w:r w:rsidRPr="00DF5B4D">
              <w:rPr>
                <w:lang w:val="es-ES_tradnl"/>
              </w:rPr>
              <w:t xml:space="preserve"> para Europa sobre fiabilidad y seguridad en el uso de las telecomunicaciones/TIC. También sirvió para reconfirmar la disposición de Chipre a contribuir a la mejora del panorama de la ciberseguridad en la región, reforzada por la carta de acuerdo firmada con la UIT, y sentó las bases para futuras actividades de colaboración.</w:t>
            </w:r>
          </w:p>
          <w:p w14:paraId="15D69792" w14:textId="77777777" w:rsidR="00224990" w:rsidRPr="00DF5B4D" w:rsidRDefault="00224990" w:rsidP="00A24919">
            <w:pPr>
              <w:pStyle w:val="Tabletext"/>
              <w:spacing w:before="120"/>
              <w:rPr>
                <w:b/>
                <w:bCs/>
                <w:lang w:val="es-ES_tradnl"/>
              </w:rPr>
            </w:pPr>
            <w:r w:rsidRPr="00DF5B4D">
              <w:rPr>
                <w:b/>
                <w:bCs/>
                <w:lang w:val="es-ES_tradnl"/>
              </w:rPr>
              <w:t>Prestación de asistencia técnica:</w:t>
            </w:r>
          </w:p>
          <w:p w14:paraId="64817535" w14:textId="7B3FE185" w:rsidR="00224990" w:rsidRPr="00DF5B4D" w:rsidRDefault="00224990" w:rsidP="005548A9">
            <w:pPr>
              <w:pStyle w:val="Tabletext"/>
              <w:ind w:left="284" w:hanging="284"/>
              <w:rPr>
                <w:lang w:val="es-ES_tradnl"/>
              </w:rPr>
            </w:pPr>
            <w:r w:rsidRPr="00DF5B4D">
              <w:rPr>
                <w:b/>
                <w:bCs/>
                <w:lang w:val="es-ES_tradnl"/>
              </w:rPr>
              <w:t>•</w:t>
            </w:r>
            <w:r w:rsidRPr="00DF5B4D">
              <w:rPr>
                <w:b/>
                <w:bCs/>
                <w:lang w:val="es-ES_tradnl"/>
              </w:rPr>
              <w:tab/>
              <w:t xml:space="preserve">Mundial: </w:t>
            </w:r>
            <w:r w:rsidRPr="00DF5B4D">
              <w:rPr>
                <w:lang w:val="es-ES_tradnl"/>
              </w:rPr>
              <w:t xml:space="preserve">La </w:t>
            </w:r>
            <w:r w:rsidR="008F6188" w:rsidRPr="008F6188">
              <w:rPr>
                <w:lang w:val="es-ES_tradnl"/>
              </w:rPr>
              <w:t>BDT</w:t>
            </w:r>
            <w:r w:rsidR="008F6188" w:rsidRPr="008F6188" w:rsidDel="008F6188">
              <w:rPr>
                <w:lang w:val="es-ES_tradnl"/>
              </w:rPr>
              <w:t xml:space="preserve"> </w:t>
            </w:r>
            <w:r w:rsidRPr="00DF5B4D">
              <w:rPr>
                <w:lang w:val="es-ES_tradnl"/>
              </w:rPr>
              <w:t xml:space="preserve">asistió a siete países a elaborar sus estrategias y planes de acción nacionales en materia de ciberseguridad. En dos talleres, la </w:t>
            </w:r>
            <w:r w:rsidR="008F6188">
              <w:rPr>
                <w:lang w:val="es-ES_tradnl"/>
              </w:rPr>
              <w:t>BDT</w:t>
            </w:r>
            <w:r w:rsidR="008F6188" w:rsidRPr="00DF5B4D" w:rsidDel="008F6188">
              <w:rPr>
                <w:lang w:val="es-ES_tradnl"/>
              </w:rPr>
              <w:t xml:space="preserve"> </w:t>
            </w:r>
            <w:r w:rsidRPr="00DF5B4D">
              <w:rPr>
                <w:lang w:val="es-ES_tradnl"/>
              </w:rPr>
              <w:t xml:space="preserve">aportó sus conocimientos técnicos para ayudar a definir los objetivos de ciberseguridad de las nuevas estrategias, y 65 participantes de dos Estados Miembros recibieron formación sobre la elaboración y aplicación de Estrategias Nacionales de Ciberseguridad (ENC). Además, la </w:t>
            </w:r>
            <w:r w:rsidR="008F6188">
              <w:rPr>
                <w:lang w:val="es-ES_tradnl"/>
              </w:rPr>
              <w:t>BDT</w:t>
            </w:r>
            <w:r w:rsidR="008F6188" w:rsidRPr="00DF5B4D" w:rsidDel="008F6188">
              <w:rPr>
                <w:lang w:val="es-ES_tradnl"/>
              </w:rPr>
              <w:t xml:space="preserve"> </w:t>
            </w:r>
            <w:r w:rsidRPr="00DF5B4D">
              <w:rPr>
                <w:lang w:val="es-ES_tradnl"/>
              </w:rPr>
              <w:t xml:space="preserve">ayudó a evaluar los progresos y esfuerzos en materia de ciberseguridad en Mauritania, Tanzania, </w:t>
            </w:r>
            <w:proofErr w:type="spellStart"/>
            <w:r w:rsidRPr="00DF5B4D">
              <w:rPr>
                <w:lang w:val="es-ES_tradnl"/>
              </w:rPr>
              <w:t>Djibouti</w:t>
            </w:r>
            <w:proofErr w:type="spellEnd"/>
            <w:r w:rsidRPr="00DF5B4D">
              <w:rPr>
                <w:lang w:val="es-ES_tradnl"/>
              </w:rPr>
              <w:t xml:space="preserve"> y Burkina Faso, analizando sus planes de acción nacionales en materia de ciberseguridad. El </w:t>
            </w:r>
            <w:hyperlink r:id="rId64" w:history="1">
              <w:r w:rsidRPr="00DF5B4D">
                <w:rPr>
                  <w:rStyle w:val="Hyperlink"/>
                  <w:rFonts w:eastAsiaTheme="minorEastAsia"/>
                  <w:b/>
                  <w:bCs/>
                  <w:lang w:val="es-ES_tradnl"/>
                </w:rPr>
                <w:t>proyecto "</w:t>
              </w:r>
              <w:proofErr w:type="spellStart"/>
              <w:r w:rsidRPr="00DF5B4D">
                <w:rPr>
                  <w:rStyle w:val="Hyperlink"/>
                  <w:rFonts w:eastAsiaTheme="minorEastAsia"/>
                  <w:b/>
                  <w:bCs/>
                  <w:lang w:val="es-ES_tradnl"/>
                </w:rPr>
                <w:t>Cyber</w:t>
              </w:r>
              <w:proofErr w:type="spellEnd"/>
              <w:r w:rsidRPr="00DF5B4D">
                <w:rPr>
                  <w:rStyle w:val="Hyperlink"/>
                  <w:rFonts w:eastAsiaTheme="minorEastAsia"/>
                  <w:b/>
                  <w:bCs/>
                  <w:lang w:val="es-ES_tradnl"/>
                </w:rPr>
                <w:t xml:space="preserve"> </w:t>
              </w:r>
              <w:proofErr w:type="spellStart"/>
              <w:r w:rsidRPr="00DF5B4D">
                <w:rPr>
                  <w:rStyle w:val="Hyperlink"/>
                  <w:rFonts w:eastAsiaTheme="minorEastAsia"/>
                  <w:b/>
                  <w:bCs/>
                  <w:lang w:val="es-ES_tradnl"/>
                </w:rPr>
                <w:t>for</w:t>
              </w:r>
              <w:proofErr w:type="spellEnd"/>
              <w:r w:rsidRPr="00DF5B4D">
                <w:rPr>
                  <w:rStyle w:val="Hyperlink"/>
                  <w:rFonts w:eastAsiaTheme="minorEastAsia"/>
                  <w:b/>
                  <w:bCs/>
                  <w:lang w:val="es-ES_tradnl"/>
                </w:rPr>
                <w:t xml:space="preserve"> Good"</w:t>
              </w:r>
            </w:hyperlink>
            <w:r w:rsidRPr="00DF5B4D">
              <w:rPr>
                <w:lang w:val="es-ES_tradnl"/>
              </w:rPr>
              <w:t xml:space="preserve"> ofreció productos impactantes, esta ayuda incluyó evaluaciones de la postura de ciberseguridad, formación y acceso a herramientas para 23 países menos adelantados (PMA). Las evaluaciones ofrecieron orientaciones claras para estos países, mejorando sus estrategias de ciberseguridad, concretamente en lo que respecta a la aplicación de la estrategia de ciberseguridad y la gestión de la vulnerabilidad. En general, con su trabajo la BDT mejoró la capacidad de los Estados Miembros para hacer frente a los ciberataques. Esto se consiguió mediante formación y </w:t>
            </w:r>
            <w:proofErr w:type="spellStart"/>
            <w:r w:rsidRPr="00DF5B4D">
              <w:rPr>
                <w:lang w:val="es-ES_tradnl"/>
              </w:rPr>
              <w:t>ciberejercicios</w:t>
            </w:r>
            <w:proofErr w:type="spellEnd"/>
            <w:r w:rsidRPr="00DF5B4D">
              <w:rPr>
                <w:lang w:val="es-ES_tradnl"/>
              </w:rPr>
              <w:t xml:space="preserve"> que mejoraron las competencias en ciberseguridad de participantes de más de 140 países, llegando a más de 2 500 profesionales. Además, el programa fomentó la cooperación interregional, lo que se tradujo en una mayor competencia en la respuesta a incidentes y el intercambio de información entre los países participantes.</w:t>
            </w:r>
          </w:p>
          <w:p w14:paraId="557A62CC" w14:textId="40DA7EC8" w:rsidR="00224990" w:rsidRPr="00DF5B4D" w:rsidRDefault="00224990" w:rsidP="005548A9">
            <w:pPr>
              <w:pStyle w:val="Tabletext"/>
              <w:ind w:left="284" w:hanging="284"/>
              <w:rPr>
                <w:lang w:val="es-ES_tradnl"/>
              </w:rPr>
            </w:pPr>
            <w:r w:rsidRPr="00DF5B4D">
              <w:rPr>
                <w:b/>
                <w:bCs/>
                <w:lang w:val="es-ES_tradnl"/>
              </w:rPr>
              <w:t>•</w:t>
            </w:r>
            <w:r w:rsidRPr="00DF5B4D">
              <w:rPr>
                <w:b/>
                <w:bCs/>
                <w:lang w:val="es-ES_tradnl"/>
              </w:rPr>
              <w:tab/>
              <w:t>En la Región de África,</w:t>
            </w:r>
            <w:r w:rsidRPr="00DF5B4D">
              <w:rPr>
                <w:lang w:val="es-ES_tradnl"/>
              </w:rPr>
              <w:t xml:space="preserve"> el Proyecto "</w:t>
            </w:r>
            <w:proofErr w:type="spellStart"/>
            <w:r w:rsidRPr="00DF5B4D">
              <w:rPr>
                <w:lang w:val="es-ES_tradnl"/>
              </w:rPr>
              <w:t>Cyber</w:t>
            </w:r>
            <w:proofErr w:type="spellEnd"/>
            <w:r w:rsidRPr="00DF5B4D">
              <w:rPr>
                <w:lang w:val="es-ES_tradnl"/>
              </w:rPr>
              <w:t xml:space="preserve"> </w:t>
            </w:r>
            <w:proofErr w:type="spellStart"/>
            <w:r w:rsidRPr="00DF5B4D">
              <w:rPr>
                <w:lang w:val="es-ES_tradnl"/>
              </w:rPr>
              <w:t>for</w:t>
            </w:r>
            <w:proofErr w:type="spellEnd"/>
            <w:r w:rsidRPr="00DF5B4D">
              <w:rPr>
                <w:lang w:val="es-ES_tradnl"/>
              </w:rPr>
              <w:t xml:space="preserve"> Good" mejoró de manera significativa las capacidades de ciberseguridad a lo largo de 17 países menos adelantados (PMA). </w:t>
            </w:r>
            <w:r w:rsidRPr="00DF5B4D">
              <w:rPr>
                <w:b/>
                <w:bCs/>
                <w:lang w:val="es-ES_tradnl"/>
              </w:rPr>
              <w:t xml:space="preserve">Gambia, </w:t>
            </w:r>
            <w:proofErr w:type="spellStart"/>
            <w:r w:rsidRPr="00DF5B4D">
              <w:rPr>
                <w:b/>
                <w:bCs/>
                <w:lang w:val="es-ES_tradnl"/>
              </w:rPr>
              <w:t>Lesotho</w:t>
            </w:r>
            <w:proofErr w:type="spellEnd"/>
            <w:r w:rsidRPr="00DF5B4D">
              <w:rPr>
                <w:b/>
                <w:bCs/>
                <w:lang w:val="es-ES_tradnl"/>
              </w:rPr>
              <w:t xml:space="preserve">, Mozambique y Sierra Leona </w:t>
            </w:r>
            <w:r w:rsidRPr="00DF5B4D">
              <w:rPr>
                <w:lang w:val="es-ES_tradnl"/>
              </w:rPr>
              <w:t xml:space="preserve">se beneficiaron de la capacitación a través de la asistencia técnica proporcionada por la </w:t>
            </w:r>
            <w:r w:rsidR="008F6188">
              <w:rPr>
                <w:lang w:val="es-ES_tradnl"/>
              </w:rPr>
              <w:t>BDT</w:t>
            </w:r>
            <w:r w:rsidRPr="00DF5B4D">
              <w:rPr>
                <w:lang w:val="es-ES_tradnl"/>
              </w:rPr>
              <w:t xml:space="preserve">. Además, a través del Proyecto </w:t>
            </w:r>
            <w:r>
              <w:rPr>
                <w:lang w:val="es-ES_tradnl"/>
              </w:rPr>
              <w:t>"</w:t>
            </w:r>
            <w:proofErr w:type="spellStart"/>
            <w:r w:rsidRPr="00DF5B4D">
              <w:rPr>
                <w:lang w:val="es-ES_tradnl"/>
              </w:rPr>
              <w:t>Cyber</w:t>
            </w:r>
            <w:proofErr w:type="spellEnd"/>
            <w:r w:rsidRPr="00DF5B4D">
              <w:rPr>
                <w:lang w:val="es-ES_tradnl"/>
              </w:rPr>
              <w:t xml:space="preserve"> </w:t>
            </w:r>
            <w:proofErr w:type="spellStart"/>
            <w:r w:rsidRPr="00DF5B4D">
              <w:rPr>
                <w:lang w:val="es-ES_tradnl"/>
              </w:rPr>
              <w:t>for</w:t>
            </w:r>
            <w:proofErr w:type="spellEnd"/>
            <w:r w:rsidRPr="00DF5B4D">
              <w:rPr>
                <w:lang w:val="es-ES_tradnl"/>
              </w:rPr>
              <w:t xml:space="preserve"> Good</w:t>
            </w:r>
            <w:r>
              <w:rPr>
                <w:lang w:val="es-ES_tradnl"/>
              </w:rPr>
              <w:t>"</w:t>
            </w:r>
            <w:r w:rsidRPr="00DF5B4D">
              <w:rPr>
                <w:lang w:val="es-ES_tradnl"/>
              </w:rPr>
              <w:t xml:space="preserve">, se proporcionó formación a 280 participantes sobre diferentes temas de ciberseguridad (como estrategias nacionales de ciberseguridad, protección y privacidad de datos, protección infantil en línea, manejo y respuesta ante incidentes, y gestión y organización de operación de los EIII, entre otros). Tres PMA en África se beneficiaron de evaluaciones en profundidad de sus estrategias nacionales de ciberseguridad facilitadas por el proyecto </w:t>
            </w:r>
            <w:r>
              <w:rPr>
                <w:lang w:val="es-ES_tradnl"/>
              </w:rPr>
              <w:t>"</w:t>
            </w:r>
            <w:proofErr w:type="spellStart"/>
            <w:r w:rsidRPr="00DF5B4D">
              <w:rPr>
                <w:lang w:val="es-ES_tradnl"/>
              </w:rPr>
              <w:t>Cyber</w:t>
            </w:r>
            <w:proofErr w:type="spellEnd"/>
            <w:r w:rsidRPr="00DF5B4D">
              <w:rPr>
                <w:lang w:val="es-ES_tradnl"/>
              </w:rPr>
              <w:t xml:space="preserve"> </w:t>
            </w:r>
            <w:proofErr w:type="spellStart"/>
            <w:r w:rsidRPr="00DF5B4D">
              <w:rPr>
                <w:lang w:val="es-ES_tradnl"/>
              </w:rPr>
              <w:t>for</w:t>
            </w:r>
            <w:proofErr w:type="spellEnd"/>
            <w:r w:rsidRPr="00DF5B4D">
              <w:rPr>
                <w:lang w:val="es-ES_tradnl"/>
              </w:rPr>
              <w:t xml:space="preserve"> Good</w:t>
            </w:r>
            <w:r>
              <w:rPr>
                <w:lang w:val="es-ES_tradnl"/>
              </w:rPr>
              <w:t>"</w:t>
            </w:r>
            <w:r w:rsidRPr="00DF5B4D">
              <w:rPr>
                <w:lang w:val="es-ES_tradnl"/>
              </w:rPr>
              <w:t xml:space="preserve">. Además, la </w:t>
            </w:r>
            <w:r w:rsidR="008F6188">
              <w:rPr>
                <w:lang w:val="es-ES_tradnl"/>
              </w:rPr>
              <w:t>BDT</w:t>
            </w:r>
            <w:r w:rsidR="008F6188" w:rsidRPr="00DF5B4D" w:rsidDel="008F6188">
              <w:rPr>
                <w:lang w:val="es-ES_tradnl"/>
              </w:rPr>
              <w:t xml:space="preserve"> </w:t>
            </w:r>
            <w:r w:rsidRPr="00DF5B4D">
              <w:rPr>
                <w:lang w:val="es-ES_tradnl"/>
              </w:rPr>
              <w:t xml:space="preserve">realizó un análisis de deficiencias y elaboró informes de evaluación a su medida: un informe de preparación para los EIII para </w:t>
            </w:r>
            <w:proofErr w:type="spellStart"/>
            <w:r w:rsidRPr="00DF5B4D">
              <w:rPr>
                <w:lang w:val="es-ES_tradnl"/>
              </w:rPr>
              <w:t>Lesotho</w:t>
            </w:r>
            <w:proofErr w:type="spellEnd"/>
            <w:r w:rsidRPr="00DF5B4D">
              <w:rPr>
                <w:lang w:val="es-ES_tradnl"/>
              </w:rPr>
              <w:t xml:space="preserve"> y un informe de desarrollo para </w:t>
            </w:r>
            <w:proofErr w:type="spellStart"/>
            <w:r w:rsidRPr="00DF5B4D">
              <w:rPr>
                <w:b/>
                <w:bCs/>
                <w:lang w:val="es-ES_tradnl"/>
              </w:rPr>
              <w:t>Zimbabwe</w:t>
            </w:r>
            <w:proofErr w:type="spellEnd"/>
            <w:r w:rsidRPr="00DF5B4D">
              <w:rPr>
                <w:lang w:val="es-ES_tradnl"/>
              </w:rPr>
              <w:t xml:space="preserve">. Estos informes incluían planes de acción claros para orientar los esfuerzos de mejora. Al abordar estas deficiencias identificadas, ambos países pueden reforzar sus capacidades de respuesta a incidentes, lo que en última instancia conducirá a un entorno más seguro para el desarrollo digital. Además, la BDT </w:t>
            </w:r>
            <w:r w:rsidR="008F6188">
              <w:rPr>
                <w:lang w:val="es-ES_tradnl"/>
              </w:rPr>
              <w:t xml:space="preserve">ha </w:t>
            </w:r>
            <w:r w:rsidRPr="00DF5B4D">
              <w:rPr>
                <w:lang w:val="es-ES_tradnl"/>
              </w:rPr>
              <w:t xml:space="preserve">completado la implementación de los </w:t>
            </w:r>
            <w:r w:rsidRPr="00DF5B4D">
              <w:rPr>
                <w:b/>
                <w:bCs/>
                <w:lang w:val="es-ES_tradnl"/>
              </w:rPr>
              <w:t>Proyectos de los EIII en Burundi (</w:t>
            </w:r>
            <w:proofErr w:type="spellStart"/>
            <w:r w:rsidRPr="00DF5B4D">
              <w:rPr>
                <w:b/>
                <w:bCs/>
                <w:lang w:val="es-ES_tradnl"/>
              </w:rPr>
              <w:t>Kenya</w:t>
            </w:r>
            <w:proofErr w:type="spellEnd"/>
            <w:r w:rsidRPr="00DF5B4D">
              <w:rPr>
                <w:b/>
                <w:bCs/>
                <w:lang w:val="es-ES_tradnl"/>
              </w:rPr>
              <w:t>) y Malawi</w:t>
            </w:r>
            <w:r w:rsidRPr="00DF5B4D">
              <w:rPr>
                <w:lang w:val="es-ES_tradnl"/>
              </w:rPr>
              <w:t xml:space="preserve">. Al prestar asistencia técnica a </w:t>
            </w:r>
            <w:proofErr w:type="spellStart"/>
            <w:r w:rsidRPr="00DF5B4D">
              <w:rPr>
                <w:lang w:val="es-ES_tradnl"/>
              </w:rPr>
              <w:t>Rwanda</w:t>
            </w:r>
            <w:proofErr w:type="spellEnd"/>
            <w:r w:rsidRPr="00DF5B4D">
              <w:rPr>
                <w:lang w:val="es-ES_tradnl"/>
              </w:rPr>
              <w:t xml:space="preserve"> para elaborar una estrategia y un </w:t>
            </w:r>
            <w:r w:rsidRPr="00DF5B4D">
              <w:rPr>
                <w:lang w:val="es-ES_tradnl"/>
              </w:rPr>
              <w:lastRenderedPageBreak/>
              <w:t xml:space="preserve">plan de acción nacionales globales en materia de ciberseguridad, la </w:t>
            </w:r>
            <w:r w:rsidR="008F6188">
              <w:rPr>
                <w:lang w:val="es-ES_tradnl"/>
              </w:rPr>
              <w:t>BDT</w:t>
            </w:r>
            <w:r w:rsidR="008F6188" w:rsidRPr="00DF5B4D" w:rsidDel="008F6188">
              <w:rPr>
                <w:lang w:val="es-ES_tradnl"/>
              </w:rPr>
              <w:t xml:space="preserve"> </w:t>
            </w:r>
            <w:r w:rsidRPr="00DF5B4D">
              <w:rPr>
                <w:lang w:val="es-ES_tradnl"/>
              </w:rPr>
              <w:t>ayudó al país a reforzar su postura en este ámbito y a tomas decisiones estratégicas sobre la asignación de recursos para futuras iniciativas de seguridad.</w:t>
            </w:r>
          </w:p>
          <w:p w14:paraId="532CFF34" w14:textId="77777777" w:rsidR="00224990" w:rsidRPr="00DF5B4D" w:rsidRDefault="00224990" w:rsidP="005548A9">
            <w:pPr>
              <w:pStyle w:val="Tabletext"/>
              <w:ind w:left="284" w:hanging="284"/>
              <w:rPr>
                <w:lang w:val="es-ES_tradnl"/>
              </w:rPr>
            </w:pPr>
            <w:r w:rsidRPr="00DF5B4D">
              <w:rPr>
                <w:b/>
                <w:bCs/>
                <w:lang w:val="es-ES_tradnl"/>
              </w:rPr>
              <w:tab/>
              <w:t>Los siguientes países reciben ayuda en distintos ámbitos de ciberseguridad</w:t>
            </w:r>
            <w:r w:rsidRPr="00DF5B4D">
              <w:rPr>
                <w:lang w:val="es-ES_tradnl"/>
              </w:rPr>
              <w:t xml:space="preserve">: Burkina Faso, Chad, Guinea, Guinea-Bissau, </w:t>
            </w:r>
            <w:proofErr w:type="spellStart"/>
            <w:r w:rsidRPr="00DF5B4D">
              <w:rPr>
                <w:lang w:val="es-ES_tradnl"/>
              </w:rPr>
              <w:t>Lesotho</w:t>
            </w:r>
            <w:proofErr w:type="spellEnd"/>
            <w:r w:rsidRPr="00DF5B4D">
              <w:rPr>
                <w:lang w:val="es-ES_tradnl"/>
              </w:rPr>
              <w:t xml:space="preserve">, Liberia, Mali, Senegal, Tanzania, Togo, Zambia, Gambia, Malawi, </w:t>
            </w:r>
            <w:proofErr w:type="spellStart"/>
            <w:r w:rsidRPr="00DF5B4D">
              <w:rPr>
                <w:lang w:val="es-ES_tradnl"/>
              </w:rPr>
              <w:t>Rwanda</w:t>
            </w:r>
            <w:proofErr w:type="spellEnd"/>
            <w:r w:rsidRPr="00DF5B4D">
              <w:rPr>
                <w:lang w:val="es-ES_tradnl"/>
              </w:rPr>
              <w:t>, Mozambique, Sierra Leona y Uganda.</w:t>
            </w:r>
          </w:p>
          <w:p w14:paraId="00475898" w14:textId="77B02384" w:rsidR="00224990" w:rsidRPr="00DF5B4D" w:rsidRDefault="00224990" w:rsidP="005548A9">
            <w:pPr>
              <w:pStyle w:val="Tabletext"/>
              <w:ind w:left="284" w:hanging="284"/>
              <w:rPr>
                <w:lang w:val="es-ES_tradnl"/>
              </w:rPr>
            </w:pPr>
            <w:r w:rsidRPr="00DF5B4D">
              <w:rPr>
                <w:b/>
                <w:lang w:val="es-ES_tradnl"/>
              </w:rPr>
              <w:t>•</w:t>
            </w:r>
            <w:r w:rsidRPr="00DF5B4D">
              <w:rPr>
                <w:b/>
                <w:lang w:val="es-ES_tradnl"/>
              </w:rPr>
              <w:tab/>
              <w:t xml:space="preserve">En la Región de las Américas, </w:t>
            </w:r>
            <w:r w:rsidRPr="00DF5B4D">
              <w:rPr>
                <w:lang w:val="es-ES_tradnl"/>
              </w:rPr>
              <w:t xml:space="preserve">la </w:t>
            </w:r>
            <w:r w:rsidR="008F6188">
              <w:rPr>
                <w:lang w:val="es-ES_tradnl"/>
              </w:rPr>
              <w:t>BDT</w:t>
            </w:r>
            <w:r w:rsidR="008F6188" w:rsidRPr="00DF5B4D" w:rsidDel="008F6188">
              <w:rPr>
                <w:lang w:val="es-ES_tradnl"/>
              </w:rPr>
              <w:t xml:space="preserve"> </w:t>
            </w:r>
            <w:r w:rsidRPr="00DF5B4D">
              <w:rPr>
                <w:lang w:val="es-ES_tradnl"/>
              </w:rPr>
              <w:t xml:space="preserve">participó y apoyó proyectos críticos EIII en toda la región, concretamente en Bahamas y Barbados, y el Desarrollo de propuestas de proyectos EIII para Bermudas, Haití, Honduras y </w:t>
            </w:r>
            <w:proofErr w:type="spellStart"/>
            <w:r w:rsidRPr="00DF5B4D">
              <w:rPr>
                <w:lang w:val="es-ES_tradnl"/>
              </w:rPr>
              <w:t>Suriname</w:t>
            </w:r>
            <w:proofErr w:type="spellEnd"/>
            <w:r w:rsidRPr="00DF5B4D">
              <w:rPr>
                <w:lang w:val="es-ES_tradnl"/>
              </w:rPr>
              <w:t>, con el fin de reforzar la infraestructura de ciberseguridad y las capacidades de respuesta.</w:t>
            </w:r>
          </w:p>
          <w:p w14:paraId="4C1E6582" w14:textId="15538D00" w:rsidR="00224990" w:rsidRPr="00DF5B4D" w:rsidRDefault="00224990" w:rsidP="006B3383">
            <w:pPr>
              <w:pStyle w:val="Tabletext"/>
              <w:ind w:left="284" w:hanging="284"/>
              <w:rPr>
                <w:lang w:val="es-ES_tradnl"/>
              </w:rPr>
            </w:pPr>
            <w:r w:rsidRPr="00DF5B4D">
              <w:rPr>
                <w:b/>
                <w:lang w:val="es-ES_tradnl"/>
              </w:rPr>
              <w:t>•</w:t>
            </w:r>
            <w:r w:rsidRPr="00DF5B4D">
              <w:rPr>
                <w:b/>
                <w:lang w:val="es-ES_tradnl"/>
              </w:rPr>
              <w:tab/>
              <w:t xml:space="preserve">En la Región de los Estados Árabes, </w:t>
            </w:r>
            <w:r w:rsidRPr="00DF5B4D">
              <w:rPr>
                <w:lang w:val="es-ES_tradnl"/>
              </w:rPr>
              <w:t xml:space="preserve">la </w:t>
            </w:r>
            <w:r w:rsidR="008F6188">
              <w:rPr>
                <w:lang w:val="es-ES_tradnl"/>
              </w:rPr>
              <w:t>BDT</w:t>
            </w:r>
            <w:r w:rsidR="008F6188" w:rsidRPr="00DF5B4D" w:rsidDel="008F6188">
              <w:rPr>
                <w:lang w:val="es-ES_tradnl"/>
              </w:rPr>
              <w:t xml:space="preserve"> </w:t>
            </w:r>
            <w:r w:rsidRPr="00DF5B4D">
              <w:rPr>
                <w:lang w:val="es-ES_tradnl"/>
              </w:rPr>
              <w:t xml:space="preserve">reforzó la </w:t>
            </w:r>
            <w:proofErr w:type="spellStart"/>
            <w:r w:rsidRPr="00DF5B4D">
              <w:rPr>
                <w:lang w:val="es-ES_tradnl"/>
              </w:rPr>
              <w:t>ciberresiliencia</w:t>
            </w:r>
            <w:proofErr w:type="spellEnd"/>
            <w:r w:rsidRPr="00DF5B4D">
              <w:rPr>
                <w:lang w:val="es-ES_tradnl"/>
              </w:rPr>
              <w:t xml:space="preserve"> nacional y la inversión inteligente en ciberseguridad en Marruecos mediante el apoyo a la elaboración de un proyecto final de </w:t>
            </w:r>
            <w:r w:rsidRPr="00DF5B4D">
              <w:rPr>
                <w:b/>
                <w:bCs/>
                <w:lang w:val="es-ES_tradnl"/>
              </w:rPr>
              <w:t>estrategia y plan de acción nacionales en materia de ciberseguridad</w:t>
            </w:r>
            <w:r w:rsidRPr="00DF5B4D">
              <w:rPr>
                <w:lang w:val="es-ES_tradnl"/>
              </w:rPr>
              <w:t xml:space="preserve">. El </w:t>
            </w:r>
            <w:proofErr w:type="spellStart"/>
            <w:r w:rsidRPr="00DF5B4D">
              <w:rPr>
                <w:lang w:val="es-ES_tradnl"/>
              </w:rPr>
              <w:t>cibersimulacro</w:t>
            </w:r>
            <w:proofErr w:type="spellEnd"/>
            <w:r w:rsidRPr="00DF5B4D">
              <w:rPr>
                <w:lang w:val="es-ES_tradnl"/>
              </w:rPr>
              <w:t xml:space="preserve"> interregional de la UIT celebrado en los EAU fomentó la cooperación, lo que condujo a una mayor competencia en la respuesta a incidentes y el intercambio de información entre los países participantes de la Región de la CEI, donde más de 500 participantes de más de 60 países asistieron a talleres técnicos. Dos países menos adelantados (PMA), </w:t>
            </w:r>
            <w:proofErr w:type="spellStart"/>
            <w:r w:rsidRPr="00DF5B4D">
              <w:rPr>
                <w:lang w:val="es-ES_tradnl"/>
              </w:rPr>
              <w:t>Djibouti</w:t>
            </w:r>
            <w:proofErr w:type="spellEnd"/>
            <w:r w:rsidRPr="00DF5B4D">
              <w:rPr>
                <w:lang w:val="es-ES_tradnl"/>
              </w:rPr>
              <w:t xml:space="preserve"> y Mauritania, se beneficiaron de evaluaciones en profundidad de sus estrategias nacionales de ciberseguridad facilitadas por el proyecto </w:t>
            </w:r>
            <w:r>
              <w:rPr>
                <w:lang w:val="es-ES_tradnl"/>
              </w:rPr>
              <w:t>"</w:t>
            </w:r>
            <w:proofErr w:type="spellStart"/>
            <w:r w:rsidRPr="00DF5B4D">
              <w:rPr>
                <w:lang w:val="es-ES_tradnl"/>
              </w:rPr>
              <w:t>Cyber</w:t>
            </w:r>
            <w:proofErr w:type="spellEnd"/>
            <w:r w:rsidRPr="00DF5B4D">
              <w:rPr>
                <w:lang w:val="es-ES_tradnl"/>
              </w:rPr>
              <w:t xml:space="preserve"> </w:t>
            </w:r>
            <w:proofErr w:type="spellStart"/>
            <w:r w:rsidRPr="00DF5B4D">
              <w:rPr>
                <w:lang w:val="es-ES_tradnl"/>
              </w:rPr>
              <w:t>for</w:t>
            </w:r>
            <w:proofErr w:type="spellEnd"/>
            <w:r w:rsidRPr="00DF5B4D">
              <w:rPr>
                <w:lang w:val="es-ES_tradnl"/>
              </w:rPr>
              <w:t xml:space="preserve"> Good</w:t>
            </w:r>
            <w:r>
              <w:rPr>
                <w:lang w:val="es-ES_tradnl"/>
              </w:rPr>
              <w:t>"</w:t>
            </w:r>
            <w:r w:rsidRPr="00DF5B4D">
              <w:rPr>
                <w:lang w:val="es-ES_tradnl"/>
              </w:rPr>
              <w:t xml:space="preserve">. La </w:t>
            </w:r>
            <w:r w:rsidR="008F6188">
              <w:rPr>
                <w:lang w:val="es-ES_tradnl"/>
              </w:rPr>
              <w:t>BDT</w:t>
            </w:r>
            <w:r w:rsidR="008F6188" w:rsidRPr="00DF5B4D" w:rsidDel="008F6188">
              <w:rPr>
                <w:lang w:val="es-ES_tradnl"/>
              </w:rPr>
              <w:t xml:space="preserve"> </w:t>
            </w:r>
            <w:r w:rsidRPr="00DF5B4D">
              <w:rPr>
                <w:lang w:val="es-ES_tradnl"/>
              </w:rPr>
              <w:t>también apoyó la traducción y difusión de las Directrices para la protección de la infancia en línea en Marruecos, en cooperación con la Agencia de Desarrollo Digital (ADD). Talleres de formación y sensibilización sobre aspectos relacionados con la protección de la infancia en línea organizados por la ADD en colaboración con la UIT</w:t>
            </w:r>
            <w:r w:rsidR="008F6188">
              <w:rPr>
                <w:lang w:val="es-ES_tradnl"/>
              </w:rPr>
              <w:t>/BDT</w:t>
            </w:r>
            <w:r w:rsidRPr="00DF5B4D">
              <w:rPr>
                <w:lang w:val="es-ES_tradnl"/>
              </w:rPr>
              <w:t xml:space="preserve"> del 18 al 20 de diciembre de 2023 en Rabat.</w:t>
            </w:r>
          </w:p>
          <w:p w14:paraId="4528FF19" w14:textId="77777777" w:rsidR="00224990" w:rsidRPr="00DF5B4D" w:rsidRDefault="00224990" w:rsidP="006B3383">
            <w:pPr>
              <w:pStyle w:val="Tabletext"/>
              <w:ind w:left="284" w:hanging="284"/>
              <w:rPr>
                <w:lang w:val="es-ES_tradnl"/>
              </w:rPr>
            </w:pPr>
            <w:r w:rsidRPr="00DF5B4D">
              <w:rPr>
                <w:b/>
                <w:bCs/>
                <w:lang w:val="es-ES_tradnl"/>
              </w:rPr>
              <w:t>•</w:t>
            </w:r>
            <w:r w:rsidRPr="00DF5B4D">
              <w:rPr>
                <w:b/>
                <w:bCs/>
                <w:lang w:val="es-ES_tradnl"/>
              </w:rPr>
              <w:tab/>
              <w:t xml:space="preserve">En la Región de Asia y el Pacífico, </w:t>
            </w:r>
            <w:r w:rsidRPr="00DF5B4D">
              <w:rPr>
                <w:lang w:val="es-ES_tradnl"/>
              </w:rPr>
              <w:t xml:space="preserve">se ofreció asistencia técnica y se desarrollaron capacidades mediante evaluaciones de desarrollo de los EIII en </w:t>
            </w:r>
            <w:proofErr w:type="spellStart"/>
            <w:r w:rsidRPr="00DF5B4D">
              <w:rPr>
                <w:lang w:val="es-ES_tradnl"/>
              </w:rPr>
              <w:t>Bhután</w:t>
            </w:r>
            <w:proofErr w:type="spellEnd"/>
            <w:r w:rsidRPr="00DF5B4D">
              <w:rPr>
                <w:lang w:val="es-ES_tradnl"/>
              </w:rPr>
              <w:t xml:space="preserve"> y Timor-Leste. En </w:t>
            </w:r>
            <w:proofErr w:type="spellStart"/>
            <w:r w:rsidRPr="00DF5B4D">
              <w:rPr>
                <w:lang w:val="es-ES_tradnl"/>
              </w:rPr>
              <w:t>Bhután</w:t>
            </w:r>
            <w:proofErr w:type="spellEnd"/>
            <w:r w:rsidRPr="00DF5B4D">
              <w:rPr>
                <w:lang w:val="es-ES_tradnl"/>
              </w:rPr>
              <w:t xml:space="preserve">, la evaluación mejoró los conocimientos del equipo de intervención en caso de incidente de seguridad informática de </w:t>
            </w:r>
            <w:proofErr w:type="spellStart"/>
            <w:r w:rsidRPr="00DF5B4D">
              <w:rPr>
                <w:lang w:val="es-ES_tradnl"/>
              </w:rPr>
              <w:t>Bhután</w:t>
            </w:r>
            <w:proofErr w:type="spellEnd"/>
            <w:r w:rsidRPr="00DF5B4D">
              <w:rPr>
                <w:lang w:val="es-ES_tradnl"/>
              </w:rPr>
              <w:t xml:space="preserve"> (</w:t>
            </w:r>
            <w:proofErr w:type="spellStart"/>
            <w:r w:rsidRPr="00DF5B4D">
              <w:rPr>
                <w:lang w:val="es-ES_tradnl"/>
              </w:rPr>
              <w:t>BtEIII</w:t>
            </w:r>
            <w:proofErr w:type="spellEnd"/>
            <w:r w:rsidRPr="00DF5B4D">
              <w:rPr>
                <w:lang w:val="es-ES_tradnl"/>
              </w:rPr>
              <w:t xml:space="preserve">) sobre cómo mejorar su nivel de desarrollo en materia de ciberseguridad. Esto se basó en la evaluación inicial del EIII de la UIT de 2013 que condujo a la creación del </w:t>
            </w:r>
            <w:proofErr w:type="spellStart"/>
            <w:r w:rsidRPr="00DF5B4D">
              <w:rPr>
                <w:lang w:val="es-ES_tradnl"/>
              </w:rPr>
              <w:t>BtEI</w:t>
            </w:r>
            <w:r>
              <w:rPr>
                <w:lang w:val="es-ES_tradnl"/>
              </w:rPr>
              <w:t>I</w:t>
            </w:r>
            <w:r w:rsidRPr="00DF5B4D">
              <w:rPr>
                <w:lang w:val="es-ES_tradnl"/>
              </w:rPr>
              <w:t>I</w:t>
            </w:r>
            <w:proofErr w:type="spellEnd"/>
            <w:r w:rsidRPr="00DF5B4D">
              <w:rPr>
                <w:lang w:val="es-ES_tradnl"/>
              </w:rPr>
              <w:t xml:space="preserve">. En Timor-Leste, la evaluación se llevó a cabo para el equipo de intervención en caso de incidente de seguridad informática de Timor-Leste (EIIISITL) en colaboración con la </w:t>
            </w:r>
            <w:proofErr w:type="spellStart"/>
            <w:r w:rsidRPr="00DF5B4D">
              <w:rPr>
                <w:lang w:val="es-ES_tradnl"/>
              </w:rPr>
              <w:t>Autoridade</w:t>
            </w:r>
            <w:proofErr w:type="spellEnd"/>
            <w:r w:rsidRPr="00DF5B4D">
              <w:rPr>
                <w:lang w:val="es-ES_tradnl"/>
              </w:rPr>
              <w:t xml:space="preserve"> Nacional de </w:t>
            </w:r>
            <w:proofErr w:type="spellStart"/>
            <w:r w:rsidRPr="00DF5B4D">
              <w:rPr>
                <w:lang w:val="es-ES_tradnl"/>
              </w:rPr>
              <w:t>Comunicações</w:t>
            </w:r>
            <w:proofErr w:type="spellEnd"/>
            <w:r w:rsidRPr="00DF5B4D">
              <w:rPr>
                <w:lang w:val="es-ES_tradnl"/>
              </w:rPr>
              <w:t xml:space="preserve"> (ANC) y proporcionará recomendaciones para garantizar que el EIIISITL pueda mejorar su nivel de desarrollo en materia de ciberseguridad.</w:t>
            </w:r>
          </w:p>
          <w:p w14:paraId="50CF4643" w14:textId="77777777" w:rsidR="00224990" w:rsidRPr="00DF5B4D" w:rsidRDefault="00224990" w:rsidP="006B3383">
            <w:pPr>
              <w:pStyle w:val="Tabletext"/>
              <w:ind w:left="284" w:hanging="284"/>
              <w:rPr>
                <w:lang w:val="es-ES_tradnl"/>
              </w:rPr>
            </w:pPr>
            <w:r w:rsidRPr="00DF5B4D">
              <w:rPr>
                <w:lang w:val="es-ES_tradnl"/>
              </w:rPr>
              <w:tab/>
              <w:t xml:space="preserve">A través de los </w:t>
            </w:r>
            <w:proofErr w:type="spellStart"/>
            <w:r w:rsidRPr="00DF5B4D">
              <w:rPr>
                <w:lang w:val="es-ES_tradnl"/>
              </w:rPr>
              <w:t>cibersimulacros</w:t>
            </w:r>
            <w:proofErr w:type="spellEnd"/>
            <w:r w:rsidRPr="00DF5B4D">
              <w:rPr>
                <w:lang w:val="es-ES_tradnl"/>
              </w:rPr>
              <w:t xml:space="preserve"> de la UIT, se reforzó la capacidad de respuesta técnica y de gestión de las partes interesadas gubernamentales en materia de ciberseguridad en los 14 países de Asia-Pacífico que participaron en el </w:t>
            </w:r>
            <w:proofErr w:type="spellStart"/>
            <w:r w:rsidRPr="00DF5B4D">
              <w:rPr>
                <w:lang w:val="es-ES_tradnl"/>
              </w:rPr>
              <w:t>cibersimulacro</w:t>
            </w:r>
            <w:proofErr w:type="spellEnd"/>
            <w:r w:rsidRPr="00DF5B4D">
              <w:rPr>
                <w:lang w:val="es-ES_tradnl"/>
              </w:rPr>
              <w:t xml:space="preserve"> interregional para Europa y Asia-Pacífico, celebrado en Chipre.</w:t>
            </w:r>
          </w:p>
          <w:p w14:paraId="3AC74C8F" w14:textId="77777777" w:rsidR="00224990" w:rsidRPr="00DF5B4D" w:rsidRDefault="00224990" w:rsidP="006B3383">
            <w:pPr>
              <w:pStyle w:val="Tabletext"/>
              <w:ind w:left="284" w:hanging="284"/>
              <w:rPr>
                <w:rFonts w:eastAsia="Calibri" w:cs="Calibri"/>
                <w:lang w:val="es-ES_tradnl"/>
              </w:rPr>
            </w:pPr>
            <w:r w:rsidRPr="00DF5B4D">
              <w:rPr>
                <w:lang w:val="es-ES_tradnl"/>
              </w:rPr>
              <w:tab/>
              <w:t xml:space="preserve">El intercambio de conocimientos en materia de ciberseguridad entre Europa y Asia-Pacífico se vio reforzado gracias al </w:t>
            </w:r>
            <w:proofErr w:type="spellStart"/>
            <w:r w:rsidRPr="00DF5B4D">
              <w:rPr>
                <w:b/>
                <w:bCs/>
                <w:lang w:val="es-ES_tradnl"/>
              </w:rPr>
              <w:t>cibersimulacro</w:t>
            </w:r>
            <w:proofErr w:type="spellEnd"/>
            <w:r w:rsidRPr="00DF5B4D">
              <w:rPr>
                <w:b/>
                <w:bCs/>
                <w:lang w:val="es-ES_tradnl"/>
              </w:rPr>
              <w:t xml:space="preserve"> interregional 2023 para Europa y Asia-Pacífico, celebrado en Chipre</w:t>
            </w:r>
            <w:r w:rsidRPr="00DF5B4D">
              <w:rPr>
                <w:lang w:val="es-ES_tradnl"/>
              </w:rPr>
              <w:t>. Este evento reunió a más de 200 participantes de 40 países, 20 de ellos europeos, para entablar un diálogo, recibir información y realizar ejercicios de simulación sobre ciberseguridad.</w:t>
            </w:r>
          </w:p>
          <w:p w14:paraId="0AD0EA16" w14:textId="399CB755" w:rsidR="00224990" w:rsidRPr="00DF5B4D" w:rsidRDefault="00224990" w:rsidP="006B3383">
            <w:pPr>
              <w:pStyle w:val="Tabletext"/>
              <w:ind w:left="284" w:hanging="284"/>
              <w:rPr>
                <w:lang w:val="es-ES_tradnl"/>
              </w:rPr>
            </w:pPr>
            <w:r w:rsidRPr="00DF5B4D">
              <w:rPr>
                <w:b/>
                <w:bCs/>
                <w:lang w:val="es-ES_tradnl"/>
              </w:rPr>
              <w:t>•</w:t>
            </w:r>
            <w:r w:rsidRPr="00DF5B4D">
              <w:rPr>
                <w:b/>
                <w:bCs/>
                <w:lang w:val="es-ES_tradnl"/>
              </w:rPr>
              <w:tab/>
              <w:t xml:space="preserve">En la Región de la CEI, </w:t>
            </w:r>
            <w:r w:rsidRPr="00DF5B4D">
              <w:rPr>
                <w:lang w:val="es-ES_tradnl"/>
              </w:rPr>
              <w:t xml:space="preserve">la </w:t>
            </w:r>
            <w:r w:rsidR="008F6188">
              <w:rPr>
                <w:lang w:val="es-ES_tradnl"/>
              </w:rPr>
              <w:t>BDT</w:t>
            </w:r>
            <w:r w:rsidR="008F6188" w:rsidRPr="00DF5B4D">
              <w:rPr>
                <w:lang w:val="es-ES_tradnl"/>
              </w:rPr>
              <w:t xml:space="preserve"> </w:t>
            </w:r>
            <w:r w:rsidRPr="00DF5B4D">
              <w:rPr>
                <w:lang w:val="es-ES_tradnl"/>
              </w:rPr>
              <w:t xml:space="preserve">llevó a cabo una evaluación de la preparación de los EIII en Azerbaiyán. El principal objetivo de este ejercicio era evaluar la madurez de los equipos nacionales de intervención en caso de incidente de seguridad informática (EIII) y proporcionar más apoyo a Azerbaiyán para mejorar la integración, el funcionamiento y la eficacia del EIII nacional, </w:t>
            </w:r>
            <w:r w:rsidRPr="00DF5B4D">
              <w:rPr>
                <w:lang w:val="es-ES_tradnl"/>
              </w:rPr>
              <w:lastRenderedPageBreak/>
              <w:t xml:space="preserve">creando capacidad y capacidades de ciberseguridad mediante la coordinación a nivel nacional, lo que aumentará la concienciación y la capacidad de participar y contribuir al desarrollo y al despliegue de estrategias para combatir las </w:t>
            </w:r>
            <w:proofErr w:type="spellStart"/>
            <w:r w:rsidRPr="00DF5B4D">
              <w:rPr>
                <w:lang w:val="es-ES_tradnl"/>
              </w:rPr>
              <w:t>ciberamenazas</w:t>
            </w:r>
            <w:proofErr w:type="spellEnd"/>
            <w:r w:rsidRPr="00DF5B4D">
              <w:rPr>
                <w:lang w:val="es-ES_tradnl"/>
              </w:rPr>
              <w:t xml:space="preserve">. Esto ampliará las opciones de que dispone Azerbaiyán para reaccionar ante incidentes y ayudará a desarrollar y aplicar procedimientos operativos para una respuesta más eficaz ante diversos incidentes cibernéticos. La evaluación pretendía identificar los puntos fuertes y débiles del EIII nacional de Azerbaiyán y recomendar formas de mejorar sus capacidades. La evaluación incluyó la política y la estrategia, la estructura organizacional, los procedimientos y procesos, la tecnología y las herramientas, los recursos humanos, la cooperación entre sectores y el intercambio de información, lo que permitirá a Azerbaiyán reforzar sus capacidades y competencias en materia de ciberseguridad y, en última instancia, protegerse de las </w:t>
            </w:r>
            <w:proofErr w:type="spellStart"/>
            <w:r w:rsidRPr="00DF5B4D">
              <w:rPr>
                <w:lang w:val="es-ES_tradnl"/>
              </w:rPr>
              <w:t>ciberamenazas</w:t>
            </w:r>
            <w:proofErr w:type="spellEnd"/>
            <w:r w:rsidRPr="00DF5B4D">
              <w:rPr>
                <w:lang w:val="es-ES_tradnl"/>
              </w:rPr>
              <w:t xml:space="preserve"> y los incidentes.</w:t>
            </w:r>
          </w:p>
          <w:p w14:paraId="0BB10332" w14:textId="77777777" w:rsidR="00224990" w:rsidRPr="00DF5B4D" w:rsidRDefault="00224990" w:rsidP="006B3383">
            <w:pPr>
              <w:pStyle w:val="Tabletext"/>
              <w:rPr>
                <w:lang w:val="es-ES_tradnl"/>
              </w:rPr>
            </w:pPr>
            <w:r>
              <w:rPr>
                <w:lang w:val="es-ES_tradnl"/>
              </w:rPr>
              <w:tab/>
            </w:r>
            <w:r w:rsidRPr="00DF5B4D">
              <w:rPr>
                <w:lang w:val="es-ES_tradnl"/>
              </w:rPr>
              <w:t>Está en curso la creación del proyecto EIII para Kirguistán, con el apoyo de la UIT y el Banco Mundial.</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20D4474B" w14:textId="77777777" w:rsidR="00224990" w:rsidRPr="00DF5B4D" w:rsidRDefault="00224990" w:rsidP="00703915">
            <w:pPr>
              <w:pStyle w:val="Tabletext"/>
              <w:rPr>
                <w:b/>
                <w:bCs/>
                <w:lang w:val="es-ES_tradnl"/>
              </w:rPr>
            </w:pPr>
            <w:r w:rsidRPr="00DF5B4D">
              <w:rPr>
                <w:b/>
                <w:bCs/>
                <w:lang w:val="es-ES_tradnl"/>
              </w:rPr>
              <w:lastRenderedPageBreak/>
              <w:t>Índice de Ciberseguridad Global (2023)</w:t>
            </w:r>
          </w:p>
          <w:p w14:paraId="0ABFCF95" w14:textId="77777777" w:rsidR="00224990" w:rsidRPr="00DF5B4D" w:rsidRDefault="00224990" w:rsidP="00703915">
            <w:pPr>
              <w:pStyle w:val="Tabletext"/>
              <w:rPr>
                <w:b/>
                <w:bCs/>
                <w:lang w:val="es-ES_tradnl"/>
              </w:rPr>
            </w:pPr>
            <w:r w:rsidRPr="00DF5B4D">
              <w:rPr>
                <w:b/>
                <w:bCs/>
                <w:lang w:val="es-ES_tradnl"/>
              </w:rPr>
              <w:t>Estrategias nacionales de ciberseguridad:</w:t>
            </w:r>
          </w:p>
          <w:p w14:paraId="7B8B379B" w14:textId="77777777" w:rsidR="00224990" w:rsidRPr="00DF5B4D" w:rsidRDefault="00224990" w:rsidP="00A66D32">
            <w:pPr>
              <w:pStyle w:val="Tabletext"/>
              <w:ind w:left="284" w:hanging="284"/>
              <w:rPr>
                <w:rFonts w:cs="Times New Roman"/>
                <w:lang w:val="es-ES_tradnl"/>
              </w:rPr>
            </w:pPr>
            <w:r w:rsidRPr="00DF5B4D">
              <w:rPr>
                <w:lang w:val="es-ES_tradnl"/>
              </w:rPr>
              <w:t>•</w:t>
            </w:r>
            <w:r w:rsidRPr="00DF5B4D">
              <w:rPr>
                <w:lang w:val="es-ES_tradnl"/>
              </w:rPr>
              <w:tab/>
              <w:t xml:space="preserve">130 países beneficiados por los </w:t>
            </w:r>
            <w:proofErr w:type="spellStart"/>
            <w:r w:rsidRPr="00DF5B4D">
              <w:rPr>
                <w:b/>
                <w:bCs/>
                <w:lang w:val="es-ES_tradnl"/>
              </w:rPr>
              <w:t>cibersimulacros</w:t>
            </w:r>
            <w:proofErr w:type="spellEnd"/>
            <w:r w:rsidRPr="00DF5B4D">
              <w:rPr>
                <w:b/>
                <w:bCs/>
                <w:lang w:val="es-ES_tradnl"/>
              </w:rPr>
              <w:t xml:space="preserve"> </w:t>
            </w:r>
            <w:r w:rsidRPr="00DF5B4D">
              <w:rPr>
                <w:lang w:val="es-ES_tradnl"/>
              </w:rPr>
              <w:t>en todas las regiones.</w:t>
            </w:r>
          </w:p>
          <w:p w14:paraId="26E12328" w14:textId="77777777" w:rsidR="00224990" w:rsidRPr="00DF5B4D" w:rsidRDefault="00224990" w:rsidP="00A66D32">
            <w:pPr>
              <w:pStyle w:val="Tabletext"/>
              <w:ind w:left="284" w:hanging="284"/>
              <w:rPr>
                <w:rFonts w:cs="Times New Roman"/>
                <w:lang w:val="es-ES_tradnl"/>
              </w:rPr>
            </w:pPr>
            <w:r w:rsidRPr="00DF5B4D">
              <w:rPr>
                <w:lang w:val="es-ES_tradnl"/>
              </w:rPr>
              <w:lastRenderedPageBreak/>
              <w:t>•</w:t>
            </w:r>
            <w:r w:rsidRPr="00DF5B4D">
              <w:rPr>
                <w:lang w:val="es-ES_tradnl"/>
              </w:rPr>
              <w:tab/>
              <w:t>3 países realizaron ejercicios de respuesta a incidentes (Maldivas, Bahréin y EAU).</w:t>
            </w:r>
          </w:p>
          <w:p w14:paraId="260E7419" w14:textId="77777777" w:rsidR="00224990" w:rsidRPr="00DF5B4D" w:rsidRDefault="00224990" w:rsidP="00A66D32">
            <w:pPr>
              <w:pStyle w:val="Tabletext"/>
              <w:ind w:left="284" w:hanging="284"/>
              <w:rPr>
                <w:rFonts w:cs="Times New Roman"/>
                <w:lang w:val="es-ES_tradnl"/>
              </w:rPr>
            </w:pPr>
            <w:r w:rsidRPr="00DF5B4D">
              <w:rPr>
                <w:lang w:val="es-ES_tradnl"/>
              </w:rPr>
              <w:t>•</w:t>
            </w:r>
            <w:r w:rsidRPr="00DF5B4D">
              <w:rPr>
                <w:lang w:val="es-ES_tradnl"/>
              </w:rPr>
              <w:tab/>
              <w:t xml:space="preserve">Iniciativa </w:t>
            </w:r>
            <w:r>
              <w:rPr>
                <w:b/>
                <w:bCs/>
                <w:lang w:val="es-ES_tradnl"/>
              </w:rPr>
              <w:t>"</w:t>
            </w:r>
            <w:proofErr w:type="spellStart"/>
            <w:r w:rsidRPr="00DF5B4D">
              <w:rPr>
                <w:b/>
                <w:bCs/>
                <w:lang w:val="es-ES_tradnl"/>
              </w:rPr>
              <w:t>Her</w:t>
            </w:r>
            <w:proofErr w:type="spellEnd"/>
            <w:r w:rsidRPr="00DF5B4D">
              <w:rPr>
                <w:b/>
                <w:bCs/>
                <w:lang w:val="es-ES_tradnl"/>
              </w:rPr>
              <w:t xml:space="preserve"> </w:t>
            </w:r>
            <w:proofErr w:type="spellStart"/>
            <w:r w:rsidRPr="00DF5B4D">
              <w:rPr>
                <w:b/>
                <w:bCs/>
                <w:lang w:val="es-ES_tradnl"/>
              </w:rPr>
              <w:t>CyberTracks</w:t>
            </w:r>
            <w:proofErr w:type="spellEnd"/>
            <w:r w:rsidRPr="00DF5B4D">
              <w:rPr>
                <w:b/>
                <w:bCs/>
                <w:lang w:val="es-ES_tradnl"/>
              </w:rPr>
              <w:t xml:space="preserve">" </w:t>
            </w:r>
            <w:r w:rsidRPr="00DF5B4D">
              <w:rPr>
                <w:lang w:val="es-ES_tradnl"/>
              </w:rPr>
              <w:t>implementada en África y Europa</w:t>
            </w:r>
          </w:p>
          <w:p w14:paraId="1388B043" w14:textId="77777777" w:rsidR="00224990" w:rsidRPr="00DF5B4D" w:rsidRDefault="00224990" w:rsidP="00A66D32">
            <w:pPr>
              <w:pStyle w:val="Tabletext"/>
              <w:ind w:left="284" w:hanging="284"/>
              <w:rPr>
                <w:rFonts w:cs="Times New Roman"/>
                <w:lang w:val="es-ES_tradnl"/>
              </w:rPr>
            </w:pPr>
            <w:r w:rsidRPr="00DF5B4D">
              <w:rPr>
                <w:lang w:val="es-ES_tradnl"/>
              </w:rPr>
              <w:t>•</w:t>
            </w:r>
            <w:r w:rsidRPr="00DF5B4D">
              <w:rPr>
                <w:lang w:val="es-ES_tradnl"/>
              </w:rPr>
              <w:tab/>
              <w:t xml:space="preserve">Programa de </w:t>
            </w:r>
            <w:r w:rsidRPr="00DF5B4D">
              <w:rPr>
                <w:b/>
                <w:bCs/>
                <w:lang w:val="es-ES_tradnl"/>
              </w:rPr>
              <w:t>Mujeres en Ciberseguridad</w:t>
            </w:r>
            <w:r w:rsidRPr="00DF5B4D">
              <w:rPr>
                <w:lang w:val="es-ES_tradnl"/>
              </w:rPr>
              <w:t xml:space="preserve"> impartido en África, Asia, América y Europa.</w:t>
            </w:r>
          </w:p>
          <w:p w14:paraId="7DDEB142" w14:textId="77777777" w:rsidR="00224990" w:rsidRPr="00DF5B4D" w:rsidRDefault="00224990" w:rsidP="00A66D32">
            <w:pPr>
              <w:pStyle w:val="Tabletext"/>
              <w:ind w:left="284" w:hanging="284"/>
              <w:rPr>
                <w:rFonts w:eastAsiaTheme="minorEastAsia"/>
                <w:b/>
                <w:szCs w:val="24"/>
                <w:lang w:val="es-ES_tradnl"/>
              </w:rPr>
            </w:pPr>
            <w:r w:rsidRPr="00DF5B4D">
              <w:rPr>
                <w:lang w:val="es-ES_tradnl"/>
              </w:rPr>
              <w:t>•</w:t>
            </w:r>
            <w:r w:rsidRPr="00DF5B4D">
              <w:rPr>
                <w:lang w:val="es-ES_tradnl"/>
              </w:rPr>
              <w:tab/>
              <w:t>Las actividades de "</w:t>
            </w:r>
            <w:proofErr w:type="spellStart"/>
            <w:r w:rsidRPr="00DF5B4D">
              <w:rPr>
                <w:b/>
                <w:bCs/>
                <w:lang w:val="es-ES_tradnl"/>
              </w:rPr>
              <w:t>Cyber</w:t>
            </w:r>
            <w:proofErr w:type="spellEnd"/>
            <w:r w:rsidRPr="00DF5B4D">
              <w:rPr>
                <w:b/>
                <w:bCs/>
                <w:lang w:val="es-ES_tradnl"/>
              </w:rPr>
              <w:t xml:space="preserve"> </w:t>
            </w:r>
            <w:proofErr w:type="spellStart"/>
            <w:r w:rsidRPr="00DF5B4D">
              <w:rPr>
                <w:b/>
                <w:bCs/>
                <w:lang w:val="es-ES_tradnl"/>
              </w:rPr>
              <w:t>for</w:t>
            </w:r>
            <w:proofErr w:type="spellEnd"/>
            <w:r w:rsidRPr="00DF5B4D">
              <w:rPr>
                <w:b/>
                <w:bCs/>
                <w:lang w:val="es-ES_tradnl"/>
              </w:rPr>
              <w:t xml:space="preserve"> Good"</w:t>
            </w:r>
            <w:r w:rsidRPr="00DF5B4D">
              <w:rPr>
                <w:lang w:val="es-ES_tradnl"/>
              </w:rPr>
              <w:t xml:space="preserve"> benefició a una amplia gama de PMA.</w:t>
            </w:r>
          </w:p>
        </w:tc>
      </w:tr>
      <w:tr w:rsidR="00224990" w:rsidRPr="00DF5B4D" w14:paraId="6696004C" w14:textId="77777777" w:rsidTr="00056B55">
        <w:trPr>
          <w:trHeight w:val="300"/>
        </w:trPr>
        <w:tc>
          <w:tcPr>
            <w:tcW w:w="2785" w:type="dxa"/>
            <w:tcBorders>
              <w:top w:val="dotted" w:sz="4" w:space="0" w:color="0070C0"/>
              <w:left w:val="dotted" w:sz="4" w:space="0" w:color="0070C0"/>
              <w:bottom w:val="dotted" w:sz="4" w:space="0" w:color="0070C0"/>
              <w:right w:val="dotted" w:sz="4" w:space="0" w:color="0070C0"/>
            </w:tcBorders>
          </w:tcPr>
          <w:p w14:paraId="249459F2" w14:textId="77777777" w:rsidR="00224990" w:rsidRPr="00DF5B4D" w:rsidRDefault="00224990" w:rsidP="007D4227">
            <w:pPr>
              <w:pStyle w:val="Tabletext"/>
              <w:rPr>
                <w:rFonts w:ascii="Avenir Next LT Pro" w:hAnsi="Avenir Next LT Pro" w:cs="Calibri"/>
                <w:b/>
                <w:bCs/>
                <w:i/>
                <w:iCs/>
                <w:color w:val="000000"/>
                <w:lang w:val="es-ES_tradnl"/>
              </w:rPr>
            </w:pPr>
            <w:r w:rsidRPr="00DF5B4D">
              <w:rPr>
                <w:b/>
                <w:bCs/>
                <w:lang w:val="es-ES_tradnl"/>
              </w:rPr>
              <w:lastRenderedPageBreak/>
              <w:t xml:space="preserve">Contribución a las metas de los ODS: </w:t>
            </w:r>
          </w:p>
        </w:tc>
        <w:tc>
          <w:tcPr>
            <w:tcW w:w="12060" w:type="dxa"/>
            <w:gridSpan w:val="2"/>
            <w:tcBorders>
              <w:top w:val="dotted" w:sz="4" w:space="0" w:color="0070C0"/>
              <w:left w:val="dotted" w:sz="4" w:space="0" w:color="0070C0"/>
              <w:bottom w:val="dotted" w:sz="4" w:space="0" w:color="0070C0"/>
              <w:right w:val="dotted" w:sz="4" w:space="0" w:color="0070C0"/>
            </w:tcBorders>
          </w:tcPr>
          <w:p w14:paraId="6A4B5202" w14:textId="77777777" w:rsidR="00224990" w:rsidRPr="00DF5B4D" w:rsidRDefault="00224990" w:rsidP="007D4227">
            <w:pPr>
              <w:pStyle w:val="Tabletext"/>
              <w:rPr>
                <w:lang w:val="es-ES_tradnl"/>
              </w:rPr>
            </w:pPr>
            <w:r w:rsidRPr="00DF5B4D">
              <w:rPr>
                <w:lang w:val="es-ES_tradnl"/>
              </w:rPr>
              <w:t>ODS 1, 3, 4, 5, 8, 9, 10, 11, 16, 17</w:t>
            </w:r>
          </w:p>
        </w:tc>
      </w:tr>
      <w:tr w:rsidR="00224990" w:rsidRPr="00DF5B4D" w14:paraId="43290103" w14:textId="77777777" w:rsidTr="00056B55">
        <w:trPr>
          <w:trHeight w:val="300"/>
        </w:trPr>
        <w:tc>
          <w:tcPr>
            <w:tcW w:w="2785" w:type="dxa"/>
            <w:tcBorders>
              <w:top w:val="dotted" w:sz="4" w:space="0" w:color="0070C0"/>
              <w:left w:val="dotted" w:sz="4" w:space="0" w:color="0070C0"/>
              <w:bottom w:val="dotted" w:sz="4" w:space="0" w:color="0070C0"/>
              <w:right w:val="dotted" w:sz="4" w:space="0" w:color="0070C0"/>
            </w:tcBorders>
          </w:tcPr>
          <w:p w14:paraId="23966131" w14:textId="77777777" w:rsidR="00224990" w:rsidRPr="00DF5B4D" w:rsidRDefault="00224990" w:rsidP="007D4227">
            <w:pPr>
              <w:pStyle w:val="Tabletext"/>
              <w:rPr>
                <w:b/>
                <w:bCs/>
                <w:lang w:val="es-ES_tradnl"/>
              </w:rPr>
            </w:pPr>
            <w:r w:rsidRPr="00DF5B4D">
              <w:rPr>
                <w:b/>
                <w:bCs/>
                <w:lang w:val="es-ES_tradnl"/>
              </w:rPr>
              <w:t>Líneas de Acción de la CMSI:</w:t>
            </w:r>
          </w:p>
        </w:tc>
        <w:tc>
          <w:tcPr>
            <w:tcW w:w="12060" w:type="dxa"/>
            <w:gridSpan w:val="2"/>
            <w:tcBorders>
              <w:top w:val="dotted" w:sz="4" w:space="0" w:color="0070C0"/>
              <w:left w:val="dotted" w:sz="4" w:space="0" w:color="0070C0"/>
              <w:bottom w:val="dotted" w:sz="4" w:space="0" w:color="0070C0"/>
              <w:right w:val="dotted" w:sz="4" w:space="0" w:color="0070C0"/>
            </w:tcBorders>
          </w:tcPr>
          <w:p w14:paraId="5B1B58C2" w14:textId="77777777" w:rsidR="00224990" w:rsidRPr="00DF5B4D" w:rsidRDefault="00224990" w:rsidP="007D4227">
            <w:pPr>
              <w:pStyle w:val="Tabletext"/>
              <w:rPr>
                <w:lang w:val="es-ES_tradnl"/>
              </w:rPr>
            </w:pPr>
            <w:r w:rsidRPr="00DF5B4D">
              <w:rPr>
                <w:lang w:val="es-ES_tradnl"/>
              </w:rPr>
              <w:t>C1, C2, C3, C4, C5, C6, C7, C11</w:t>
            </w:r>
          </w:p>
        </w:tc>
      </w:tr>
      <w:tr w:rsidR="00224990" w:rsidRPr="00B6045A" w14:paraId="0247F6D9" w14:textId="77777777" w:rsidTr="00056B55">
        <w:trPr>
          <w:trHeight w:val="300"/>
        </w:trPr>
        <w:tc>
          <w:tcPr>
            <w:tcW w:w="2785" w:type="dxa"/>
            <w:tcBorders>
              <w:top w:val="dotted" w:sz="4" w:space="0" w:color="0070C0"/>
              <w:left w:val="dotted" w:sz="4" w:space="0" w:color="0070C0"/>
              <w:bottom w:val="dotted" w:sz="4" w:space="0" w:color="0070C0"/>
              <w:right w:val="dotted" w:sz="4" w:space="0" w:color="0070C0"/>
            </w:tcBorders>
          </w:tcPr>
          <w:p w14:paraId="1718B792" w14:textId="77777777" w:rsidR="00224990" w:rsidRPr="00DF5B4D" w:rsidRDefault="00224990" w:rsidP="007D4227">
            <w:pPr>
              <w:pStyle w:val="Tabletext"/>
              <w:rPr>
                <w:b/>
                <w:bCs/>
                <w:lang w:val="es-ES_tradnl"/>
              </w:rPr>
            </w:pPr>
            <w:r w:rsidRPr="00DF5B4D">
              <w:rPr>
                <w:b/>
                <w:bCs/>
                <w:lang w:val="es-ES_tradnl"/>
              </w:rPr>
              <w:t>Resoluciones:</w:t>
            </w:r>
          </w:p>
        </w:tc>
        <w:tc>
          <w:tcPr>
            <w:tcW w:w="12060" w:type="dxa"/>
            <w:gridSpan w:val="2"/>
            <w:tcBorders>
              <w:top w:val="dotted" w:sz="4" w:space="0" w:color="0070C0"/>
              <w:left w:val="dotted" w:sz="4" w:space="0" w:color="0070C0"/>
              <w:bottom w:val="dotted" w:sz="4" w:space="0" w:color="0070C0"/>
              <w:right w:val="dotted" w:sz="4" w:space="0" w:color="0070C0"/>
            </w:tcBorders>
          </w:tcPr>
          <w:p w14:paraId="2A470999" w14:textId="77777777" w:rsidR="00224990" w:rsidRPr="00DF5B4D" w:rsidRDefault="00224990" w:rsidP="007D4227">
            <w:pPr>
              <w:pStyle w:val="Tabletext"/>
              <w:rPr>
                <w:lang w:val="es-ES_tradnl"/>
              </w:rPr>
            </w:pPr>
            <w:r w:rsidRPr="00DF5B4D">
              <w:rPr>
                <w:lang w:val="es-ES_tradnl"/>
              </w:rPr>
              <w:t>PP 130, 174, 179; CMDT 45, 69; AMNT 52, 58; Cuestiones de la Comisión de Estudio 3/2</w:t>
            </w:r>
          </w:p>
        </w:tc>
      </w:tr>
    </w:tbl>
    <w:p w14:paraId="1DD58228" w14:textId="77777777" w:rsidR="00224990" w:rsidRPr="00DF5B4D" w:rsidRDefault="00224990" w:rsidP="003847BE">
      <w:pPr>
        <w:spacing w:before="0" w:after="120"/>
        <w:rPr>
          <w:sz w:val="20"/>
          <w:lang w:val="es-ES_tradnl"/>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224990" w:rsidRPr="00B6045A" w14:paraId="6C2614E5" w14:textId="77777777" w:rsidTr="00056B55">
        <w:tc>
          <w:tcPr>
            <w:tcW w:w="14850" w:type="dxa"/>
            <w:gridSpan w:val="3"/>
            <w:shd w:val="clear" w:color="auto" w:fill="365F91" w:themeFill="accent1" w:themeFillShade="BF"/>
          </w:tcPr>
          <w:p w14:paraId="22EEE92A" w14:textId="77777777" w:rsidR="00224990" w:rsidRPr="00DF5B4D" w:rsidRDefault="00224990" w:rsidP="007D4227">
            <w:pPr>
              <w:pStyle w:val="Tablehead"/>
              <w:rPr>
                <w:lang w:val="es-ES_tradnl"/>
              </w:rPr>
            </w:pPr>
            <w:r w:rsidRPr="00DF5B4D">
              <w:rPr>
                <w:lang w:val="es-ES_tradnl"/>
              </w:rPr>
              <w:t>Prioridad 5 y Factor habilitador 6 y 7 del UIT-D: Movilización de recursos y cooperación internacional</w:t>
            </w:r>
          </w:p>
          <w:p w14:paraId="4273B651" w14:textId="77777777" w:rsidR="00224990" w:rsidRPr="00DF5B4D" w:rsidRDefault="00224990" w:rsidP="007D4227">
            <w:pPr>
              <w:pStyle w:val="Tablehead"/>
              <w:rPr>
                <w:i/>
                <w:iCs/>
                <w:lang w:val="es-ES_tradnl"/>
              </w:rPr>
            </w:pPr>
            <w:r w:rsidRPr="00DF5B4D">
              <w:rPr>
                <w:i/>
                <w:iCs/>
                <w:lang w:val="es-ES_tradnl"/>
              </w:rPr>
              <w:t>Reforzar la estrategia de movilización de recursos mediante la cooperación internacional.</w:t>
            </w:r>
          </w:p>
        </w:tc>
      </w:tr>
      <w:tr w:rsidR="00224990" w:rsidRPr="00B6045A" w14:paraId="703C00A1" w14:textId="77777777" w:rsidTr="00056B55">
        <w:tc>
          <w:tcPr>
            <w:tcW w:w="14850" w:type="dxa"/>
            <w:gridSpan w:val="3"/>
            <w:shd w:val="clear" w:color="auto" w:fill="E5DFEC" w:themeFill="accent4" w:themeFillTint="33"/>
          </w:tcPr>
          <w:p w14:paraId="0BFC7C5F" w14:textId="77777777" w:rsidR="00224990" w:rsidRPr="00DF5B4D" w:rsidRDefault="00224990" w:rsidP="007D4227">
            <w:pPr>
              <w:pStyle w:val="Tabletext"/>
              <w:rPr>
                <w:b/>
                <w:bCs/>
                <w:i/>
                <w:iCs/>
                <w:lang w:val="es-ES_tradnl"/>
              </w:rPr>
            </w:pPr>
            <w:r w:rsidRPr="00DF5B4D">
              <w:rPr>
                <w:b/>
                <w:bCs/>
                <w:i/>
                <w:iCs/>
                <w:lang w:val="es-ES_tradnl"/>
              </w:rPr>
              <w:t xml:space="preserve">Realización: </w:t>
            </w:r>
            <w:r w:rsidRPr="00DF5B4D">
              <w:rPr>
                <w:i/>
                <w:iCs/>
                <w:lang w:val="es-ES_tradnl"/>
              </w:rPr>
              <w:t>Refuerzo de la cooperación y coordinación con las Naciones Unidas y sus organismos especializados, otras organizaciones internacionales, organizaciones regionales de telecomunicaciones, e instituciones de desarrollo regionales y mundiales en la aplicación de las prioridades del UIT-D</w:t>
            </w:r>
          </w:p>
        </w:tc>
      </w:tr>
      <w:tr w:rsidR="00224990" w:rsidRPr="00DF5B4D" w14:paraId="3E393C1D" w14:textId="77777777" w:rsidTr="00056B55">
        <w:tc>
          <w:tcPr>
            <w:tcW w:w="11880" w:type="dxa"/>
            <w:gridSpan w:val="2"/>
          </w:tcPr>
          <w:p w14:paraId="48F12290" w14:textId="77777777" w:rsidR="00224990" w:rsidRPr="00DF5B4D" w:rsidRDefault="00224990" w:rsidP="007D4227">
            <w:pPr>
              <w:pStyle w:val="Tablehead"/>
              <w:rPr>
                <w:lang w:val="es-ES_tradnl"/>
              </w:rPr>
            </w:pPr>
            <w:r w:rsidRPr="00DF5B4D">
              <w:rPr>
                <w:lang w:val="es-ES_tradnl"/>
              </w:rPr>
              <w:t>Productos</w:t>
            </w:r>
          </w:p>
        </w:tc>
        <w:tc>
          <w:tcPr>
            <w:tcW w:w="2970" w:type="dxa"/>
          </w:tcPr>
          <w:p w14:paraId="65C7D4BD" w14:textId="77777777" w:rsidR="00224990" w:rsidRPr="00DF5B4D" w:rsidRDefault="00224990" w:rsidP="007D4227">
            <w:pPr>
              <w:pStyle w:val="Tablehead"/>
              <w:rPr>
                <w:lang w:val="es-ES_tradnl"/>
              </w:rPr>
            </w:pPr>
            <w:r w:rsidRPr="00DF5B4D">
              <w:rPr>
                <w:lang w:val="es-ES_tradnl"/>
              </w:rPr>
              <w:t>Datos destacados</w:t>
            </w:r>
          </w:p>
        </w:tc>
      </w:tr>
      <w:tr w:rsidR="00224990" w:rsidRPr="00DF5B4D" w14:paraId="306EB0BD" w14:textId="77777777" w:rsidTr="00056B55">
        <w:tc>
          <w:tcPr>
            <w:tcW w:w="11880" w:type="dxa"/>
            <w:gridSpan w:val="2"/>
          </w:tcPr>
          <w:p w14:paraId="34C3FC21" w14:textId="77777777" w:rsidR="00224990" w:rsidRPr="00DF5B4D" w:rsidRDefault="00224990" w:rsidP="007D4227">
            <w:pPr>
              <w:pStyle w:val="Tabletext"/>
              <w:rPr>
                <w:b/>
                <w:bCs/>
                <w:lang w:val="es-ES_tradnl"/>
              </w:rPr>
            </w:pPr>
            <w:r w:rsidRPr="00DF5B4D">
              <w:rPr>
                <w:b/>
                <w:bCs/>
                <w:lang w:val="es-ES_tradnl"/>
              </w:rPr>
              <w:t>Movilización de Recursos y Asociaciones</w:t>
            </w:r>
          </w:p>
          <w:p w14:paraId="5DAC3E6D" w14:textId="77777777" w:rsidR="00224990" w:rsidRPr="00DF5B4D" w:rsidRDefault="00224990" w:rsidP="007D4227">
            <w:pPr>
              <w:pStyle w:val="Tabletext"/>
              <w:rPr>
                <w:rFonts w:ascii="Calibri" w:eastAsia="Times New Roman" w:hAnsi="Calibri" w:cs="Times New Roman"/>
                <w:kern w:val="0"/>
                <w:lang w:val="es-ES_tradnl"/>
                <w14:ligatures w14:val="none"/>
              </w:rPr>
            </w:pPr>
            <w:r w:rsidRPr="00DF5B4D">
              <w:rPr>
                <w:rFonts w:ascii="Calibri" w:eastAsia="Times New Roman" w:hAnsi="Calibri"/>
                <w:b/>
                <w:bCs/>
                <w:lang w:val="es-ES_tradnl"/>
              </w:rPr>
              <w:t>Nuevas asociaciones:</w:t>
            </w:r>
            <w:r w:rsidRPr="00DF5B4D">
              <w:rPr>
                <w:rFonts w:ascii="Calibri" w:eastAsia="Times New Roman" w:hAnsi="Calibri"/>
                <w:lang w:val="es-ES_tradnl"/>
              </w:rPr>
              <w:t xml:space="preserve"> Entre junio de 2023 y abril de 2024, la UIT ha firmado 73 acuerdos con una amplia gama de asociados.</w:t>
            </w:r>
          </w:p>
          <w:p w14:paraId="33E3BD88" w14:textId="13934A02" w:rsidR="00224990" w:rsidRPr="00DF5B4D" w:rsidRDefault="00224990" w:rsidP="007D4227">
            <w:pPr>
              <w:pStyle w:val="Tabletext"/>
              <w:rPr>
                <w:rFonts w:ascii="Calibri" w:eastAsia="Times New Roman" w:hAnsi="Calibri" w:cs="Times New Roman"/>
                <w:kern w:val="0"/>
                <w:lang w:val="es-ES_tradnl"/>
                <w14:ligatures w14:val="none"/>
              </w:rPr>
            </w:pPr>
            <w:r w:rsidRPr="00DF5B4D">
              <w:rPr>
                <w:rFonts w:ascii="Calibri" w:eastAsia="Times New Roman" w:hAnsi="Calibri"/>
                <w:b/>
                <w:bCs/>
                <w:lang w:val="es-ES_tradnl"/>
              </w:rPr>
              <w:t>Nuevos proyectos firmados:</w:t>
            </w:r>
            <w:r w:rsidRPr="00DF5B4D">
              <w:rPr>
                <w:rFonts w:ascii="Calibri" w:eastAsia="Times New Roman" w:hAnsi="Calibri"/>
                <w:lang w:val="es-ES_tradnl"/>
              </w:rPr>
              <w:t xml:space="preserve"> En 2023, la UIT firmó un total de 23 nuevos proyectos por valor de 20,9 millones CHF. Estas cifras confirman la tendencia positiva experimentada desde 2017 en el aumento de los fondos movilizados por la UIT en apoyo de proyectos, lo que demuestra una mayor confianza en la UIT como socio principal en la ejecución de iniciativas de TIC. En el Documento TDAG/23/7 figuran más detalles sobre la </w:t>
            </w:r>
            <w:hyperlink r:id="rId65" w:history="1">
              <w:r w:rsidRPr="00DF5B4D">
                <w:rPr>
                  <w:rStyle w:val="Hyperlink"/>
                  <w:rFonts w:ascii="Calibri" w:eastAsia="Times New Roman" w:hAnsi="Calibri"/>
                  <w:lang w:val="es-ES_tradnl"/>
                </w:rPr>
                <w:t>ejecución de proyectos por parte de la</w:t>
              </w:r>
              <w:r w:rsidR="008F6188">
                <w:rPr>
                  <w:rStyle w:val="Hyperlink"/>
                  <w:rFonts w:ascii="Calibri" w:eastAsia="Times New Roman" w:hAnsi="Calibri"/>
                  <w:lang w:val="es-ES_tradnl"/>
                </w:rPr>
                <w:t xml:space="preserve"> </w:t>
              </w:r>
              <w:r w:rsidR="008F6188" w:rsidRPr="008F6188">
                <w:rPr>
                  <w:rStyle w:val="Hyperlink"/>
                  <w:rFonts w:ascii="Calibri" w:hAnsi="Calibri"/>
                  <w:lang w:val="es-ES"/>
                </w:rPr>
                <w:t>BD</w:t>
              </w:r>
              <w:r w:rsidR="008F6188">
                <w:rPr>
                  <w:rStyle w:val="Hyperlink"/>
                  <w:rFonts w:ascii="Calibri" w:hAnsi="Calibri"/>
                  <w:lang w:val="es-ES"/>
                </w:rPr>
                <w:t>T</w:t>
              </w:r>
            </w:hyperlink>
            <w:r w:rsidRPr="00DF5B4D">
              <w:rPr>
                <w:rFonts w:ascii="Calibri" w:eastAsia="Times New Roman" w:hAnsi="Calibri"/>
                <w:lang w:val="es-ES_tradnl"/>
              </w:rPr>
              <w:t>, así como en el portal de proyectos</w:t>
            </w:r>
            <w:r w:rsidR="008F6188">
              <w:rPr>
                <w:rFonts w:ascii="Calibri" w:eastAsia="Times New Roman" w:hAnsi="Calibri"/>
                <w:lang w:val="es-ES_tradnl"/>
              </w:rPr>
              <w:t xml:space="preserve"> de desarrollo</w:t>
            </w:r>
            <w:r w:rsidRPr="00DF5B4D">
              <w:rPr>
                <w:rFonts w:ascii="Calibri" w:eastAsia="Times New Roman" w:hAnsi="Calibri"/>
                <w:lang w:val="es-ES_tradnl"/>
              </w:rPr>
              <w:t xml:space="preserve"> de la UIT, que incluye un panel interactivo para los miembros del GADT.</w:t>
            </w:r>
          </w:p>
          <w:p w14:paraId="42EACD64" w14:textId="181A1E17" w:rsidR="00224990" w:rsidRPr="00DF5B4D" w:rsidRDefault="00224990" w:rsidP="007D4227">
            <w:pPr>
              <w:pStyle w:val="Tabletext"/>
              <w:rPr>
                <w:rFonts w:ascii="Calibri" w:eastAsia="Times New Roman" w:hAnsi="Calibri" w:cs="Times New Roman"/>
                <w:kern w:val="0"/>
                <w:lang w:val="es-ES_tradnl"/>
                <w14:ligatures w14:val="none"/>
              </w:rPr>
            </w:pPr>
            <w:r w:rsidRPr="00DF5B4D">
              <w:rPr>
                <w:rFonts w:ascii="Calibri" w:eastAsia="Times New Roman" w:hAnsi="Calibri"/>
                <w:lang w:val="es-ES_tradnl"/>
              </w:rPr>
              <w:t xml:space="preserve">Los proyectos, asociaciones y actividades de cooperación existentes también han cobrado impulso: Durante 2023, la </w:t>
            </w:r>
            <w:r w:rsidR="008F6188">
              <w:rPr>
                <w:lang w:val="es-ES_tradnl"/>
              </w:rPr>
              <w:t>BDT</w:t>
            </w:r>
            <w:r w:rsidR="008F6188" w:rsidRPr="00DF5B4D" w:rsidDel="008F6188">
              <w:rPr>
                <w:rFonts w:ascii="Calibri" w:eastAsia="Times New Roman" w:hAnsi="Calibri"/>
                <w:lang w:val="es-ES_tradnl"/>
              </w:rPr>
              <w:t xml:space="preserve"> </w:t>
            </w:r>
            <w:r w:rsidRPr="00DF5B4D">
              <w:rPr>
                <w:rFonts w:ascii="Calibri" w:eastAsia="Times New Roman" w:hAnsi="Calibri"/>
                <w:lang w:val="es-ES_tradnl"/>
              </w:rPr>
              <w:t xml:space="preserve">llevó a cabo actividades a través de 87 proyectos, valorados en 106,4 millones CHF. Los nuevos proyectos son de carácter multirregional, regional y nacional. La mayoría de estos proyectos (93%) se financiaron mediante fondos extrapresupuestarios movilizados de </w:t>
            </w:r>
            <w:r w:rsidRPr="00DF5B4D">
              <w:rPr>
                <w:rFonts w:ascii="Calibri" w:eastAsia="Times New Roman" w:hAnsi="Calibri"/>
                <w:lang w:val="es-ES_tradnl"/>
              </w:rPr>
              <w:lastRenderedPageBreak/>
              <w:t>terceros, mientras que el 7% restante se financió mediante la asignación de financiación inicial de la UIT, el Fondo para el Desarrollo de las TIC (FD-TIC), así como fondos asignados por el Consejo de la UIT en apoyo de las iniciativas regionales de</w:t>
            </w:r>
            <w:r w:rsidR="008F6188">
              <w:rPr>
                <w:rFonts w:ascii="Calibri" w:eastAsia="Times New Roman" w:hAnsi="Calibri"/>
                <w:lang w:val="es-ES_tradnl"/>
              </w:rPr>
              <w:t>l</w:t>
            </w:r>
            <w:r w:rsidRPr="00DF5B4D">
              <w:rPr>
                <w:rFonts w:ascii="Calibri" w:eastAsia="Times New Roman" w:hAnsi="Calibri"/>
                <w:lang w:val="es-ES_tradnl"/>
              </w:rPr>
              <w:t xml:space="preserve"> UIT</w:t>
            </w:r>
            <w:r w:rsidR="008F6188">
              <w:rPr>
                <w:rFonts w:ascii="Calibri" w:eastAsia="Times New Roman" w:hAnsi="Calibri"/>
                <w:lang w:val="es-ES_tradnl"/>
              </w:rPr>
              <w:t>-D.</w:t>
            </w:r>
          </w:p>
          <w:p w14:paraId="44D65E01" w14:textId="77777777" w:rsidR="00224990" w:rsidRPr="00DF5B4D" w:rsidRDefault="00224990" w:rsidP="007D4227">
            <w:pPr>
              <w:pStyle w:val="Tabletext"/>
              <w:rPr>
                <w:rFonts w:ascii="Calibri" w:eastAsia="Times New Roman" w:hAnsi="Calibri" w:cs="Times New Roman"/>
                <w:kern w:val="0"/>
                <w:lang w:val="es-ES_tradnl"/>
                <w14:ligatures w14:val="none"/>
              </w:rPr>
            </w:pPr>
            <w:r w:rsidRPr="00DF5B4D">
              <w:rPr>
                <w:rFonts w:ascii="Calibri" w:eastAsia="Times New Roman" w:hAnsi="Calibri"/>
                <w:lang w:val="es-ES_tradnl"/>
              </w:rPr>
              <w:t>Para más información sobre los esfuerzos de movilización de recursos y asociaciones de la BDT, véanse los documentos 4, 7 e INF/1 del GADT-23.</w:t>
            </w:r>
          </w:p>
        </w:tc>
        <w:tc>
          <w:tcPr>
            <w:tcW w:w="2970" w:type="dxa"/>
            <w:shd w:val="clear" w:color="auto" w:fill="auto"/>
          </w:tcPr>
          <w:p w14:paraId="6EE11CAF" w14:textId="77777777" w:rsidR="00224990" w:rsidRPr="00DF5B4D" w:rsidRDefault="00224990" w:rsidP="007D4227">
            <w:pPr>
              <w:pStyle w:val="Tabletext"/>
              <w:ind w:left="284" w:hanging="284"/>
              <w:rPr>
                <w:rFonts w:cs="Times New Roman"/>
                <w:lang w:val="es-ES_tradnl"/>
              </w:rPr>
            </w:pPr>
            <w:r w:rsidRPr="00DF5B4D">
              <w:rPr>
                <w:b/>
                <w:bCs/>
                <w:lang w:val="es-ES_tradnl"/>
              </w:rPr>
              <w:lastRenderedPageBreak/>
              <w:t>•</w:t>
            </w:r>
            <w:r w:rsidRPr="00DF5B4D">
              <w:rPr>
                <w:b/>
                <w:bCs/>
                <w:lang w:val="es-ES_tradnl"/>
              </w:rPr>
              <w:tab/>
              <w:t>En 2023</w:t>
            </w:r>
            <w:r w:rsidRPr="00DF5B4D">
              <w:rPr>
                <w:lang w:val="es-ES_tradnl"/>
              </w:rPr>
              <w:t>: se firmaron 87 acuerdos nuevos.</w:t>
            </w:r>
          </w:p>
          <w:p w14:paraId="4D165AFD" w14:textId="77777777" w:rsidR="00224990" w:rsidRPr="00DF5B4D" w:rsidRDefault="00224990" w:rsidP="007D4227">
            <w:pPr>
              <w:pStyle w:val="Tabletext"/>
              <w:ind w:left="284" w:hanging="284"/>
              <w:rPr>
                <w:lang w:val="es-ES_tradnl"/>
              </w:rPr>
            </w:pPr>
            <w:r w:rsidRPr="00DF5B4D">
              <w:rPr>
                <w:lang w:val="es-ES_tradnl"/>
              </w:rPr>
              <w:t>•</w:t>
            </w:r>
            <w:r w:rsidRPr="00DF5B4D">
              <w:rPr>
                <w:lang w:val="es-ES_tradnl"/>
              </w:rPr>
              <w:tab/>
              <w:t>Entre junio de 2023 y marzo de 2024 se firmaron 73 acuerdos nuevos.</w:t>
            </w:r>
          </w:p>
          <w:p w14:paraId="6DAD67A9" w14:textId="77777777" w:rsidR="00224990" w:rsidRPr="00DF5B4D" w:rsidRDefault="00224990" w:rsidP="007D4227">
            <w:pPr>
              <w:pStyle w:val="Tabletext"/>
              <w:ind w:left="284" w:hanging="284"/>
              <w:rPr>
                <w:rFonts w:cs="Times New Roman"/>
                <w:lang w:val="es-ES_tradnl"/>
              </w:rPr>
            </w:pPr>
            <w:r w:rsidRPr="00DF5B4D">
              <w:rPr>
                <w:b/>
                <w:bCs/>
                <w:lang w:val="es-ES_tradnl"/>
              </w:rPr>
              <w:t>•</w:t>
            </w:r>
            <w:r w:rsidRPr="00DF5B4D">
              <w:rPr>
                <w:b/>
                <w:bCs/>
                <w:lang w:val="es-ES_tradnl"/>
              </w:rPr>
              <w:tab/>
              <w:t>23 proyectos nuevos</w:t>
            </w:r>
            <w:r w:rsidRPr="00DF5B4D">
              <w:rPr>
                <w:lang w:val="es-ES_tradnl"/>
              </w:rPr>
              <w:t>= 20,9 millones CHF</w:t>
            </w:r>
          </w:p>
        </w:tc>
      </w:tr>
      <w:tr w:rsidR="00224990" w:rsidRPr="00DF5B4D" w14:paraId="0BC05ADD" w14:textId="77777777" w:rsidTr="00056B55">
        <w:tc>
          <w:tcPr>
            <w:tcW w:w="2790" w:type="dxa"/>
          </w:tcPr>
          <w:p w14:paraId="217EFD55" w14:textId="77777777" w:rsidR="00224990" w:rsidRPr="00DF5B4D" w:rsidRDefault="00224990" w:rsidP="007D4227">
            <w:pPr>
              <w:pStyle w:val="Tabletext"/>
              <w:rPr>
                <w:rFonts w:ascii="Avenir Next LT Pro" w:hAnsi="Avenir Next LT Pro" w:cs="Calibri"/>
                <w:b/>
                <w:bCs/>
                <w:i/>
                <w:iCs/>
                <w:color w:val="000000"/>
                <w:lang w:val="es-ES_tradnl"/>
              </w:rPr>
            </w:pPr>
            <w:r w:rsidRPr="00DF5B4D">
              <w:rPr>
                <w:b/>
                <w:bCs/>
                <w:lang w:val="es-ES_tradnl"/>
              </w:rPr>
              <w:t xml:space="preserve">Contribución a las metas de los ODS: </w:t>
            </w:r>
          </w:p>
        </w:tc>
        <w:tc>
          <w:tcPr>
            <w:tcW w:w="12060" w:type="dxa"/>
            <w:gridSpan w:val="2"/>
          </w:tcPr>
          <w:p w14:paraId="1FC961F9" w14:textId="77777777" w:rsidR="00224990" w:rsidRPr="00DF5B4D" w:rsidRDefault="00224990" w:rsidP="007D4227">
            <w:pPr>
              <w:pStyle w:val="Tabletext"/>
              <w:rPr>
                <w:lang w:val="es-ES_tradnl"/>
              </w:rPr>
            </w:pPr>
            <w:r w:rsidRPr="00DF5B4D">
              <w:rPr>
                <w:lang w:val="es-ES_tradnl"/>
              </w:rPr>
              <w:t>ODS 1, 3, 4, 5, 8, 9, 10, 11, 16, 17</w:t>
            </w:r>
          </w:p>
        </w:tc>
      </w:tr>
      <w:tr w:rsidR="00224990" w:rsidRPr="00DF5B4D" w14:paraId="71CA9E7F" w14:textId="77777777" w:rsidTr="00056B55">
        <w:tc>
          <w:tcPr>
            <w:tcW w:w="2790" w:type="dxa"/>
          </w:tcPr>
          <w:p w14:paraId="6D6A75BF" w14:textId="77777777" w:rsidR="00224990" w:rsidRPr="00DF5B4D" w:rsidRDefault="00224990" w:rsidP="007D4227">
            <w:pPr>
              <w:pStyle w:val="Tabletext"/>
              <w:rPr>
                <w:b/>
                <w:bCs/>
                <w:lang w:val="es-ES_tradnl"/>
              </w:rPr>
            </w:pPr>
            <w:r w:rsidRPr="00DF5B4D">
              <w:rPr>
                <w:b/>
                <w:bCs/>
                <w:lang w:val="es-ES_tradnl"/>
              </w:rPr>
              <w:t>Líneas de Acción de la CMSI</w:t>
            </w:r>
          </w:p>
        </w:tc>
        <w:tc>
          <w:tcPr>
            <w:tcW w:w="12060" w:type="dxa"/>
            <w:gridSpan w:val="2"/>
          </w:tcPr>
          <w:p w14:paraId="283419B3" w14:textId="77777777" w:rsidR="00224990" w:rsidRPr="00DF5B4D" w:rsidRDefault="00224990" w:rsidP="007D4227">
            <w:pPr>
              <w:pStyle w:val="Tabletext"/>
              <w:rPr>
                <w:lang w:val="es-ES_tradnl"/>
              </w:rPr>
            </w:pPr>
            <w:r w:rsidRPr="00DF5B4D">
              <w:rPr>
                <w:lang w:val="es-ES_tradnl"/>
              </w:rPr>
              <w:t>C1, C2, C3, C4, C5, C6, C7, C11</w:t>
            </w:r>
          </w:p>
        </w:tc>
      </w:tr>
      <w:tr w:rsidR="00224990" w:rsidRPr="00DF5B4D" w14:paraId="13E454FA" w14:textId="77777777" w:rsidTr="00056B55">
        <w:tc>
          <w:tcPr>
            <w:tcW w:w="2790" w:type="dxa"/>
          </w:tcPr>
          <w:p w14:paraId="052F705E" w14:textId="77777777" w:rsidR="00224990" w:rsidRPr="00DF5B4D" w:rsidRDefault="00224990" w:rsidP="007D4227">
            <w:pPr>
              <w:pStyle w:val="Tabletext"/>
              <w:rPr>
                <w:b/>
                <w:bCs/>
                <w:lang w:val="es-ES_tradnl"/>
              </w:rPr>
            </w:pPr>
            <w:r w:rsidRPr="00DF5B4D">
              <w:rPr>
                <w:b/>
                <w:bCs/>
                <w:lang w:val="es-ES_tradnl"/>
              </w:rPr>
              <w:t>Resoluciones:</w:t>
            </w:r>
          </w:p>
        </w:tc>
        <w:tc>
          <w:tcPr>
            <w:tcW w:w="12060" w:type="dxa"/>
            <w:gridSpan w:val="2"/>
          </w:tcPr>
          <w:p w14:paraId="07F66DF0" w14:textId="77777777" w:rsidR="00224990" w:rsidRPr="00DF5B4D" w:rsidRDefault="00224990" w:rsidP="007D4227">
            <w:pPr>
              <w:pStyle w:val="Tabletext"/>
              <w:rPr>
                <w:lang w:val="es-ES_tradnl"/>
              </w:rPr>
            </w:pPr>
            <w:r w:rsidRPr="00DF5B4D">
              <w:rPr>
                <w:lang w:val="es-ES_tradnl"/>
              </w:rPr>
              <w:t>CMDT 1, 2, 24, 25, 52, 58</w:t>
            </w:r>
          </w:p>
        </w:tc>
      </w:tr>
    </w:tbl>
    <w:p w14:paraId="399CA48E" w14:textId="77777777" w:rsidR="00224990" w:rsidRPr="00DF5B4D" w:rsidRDefault="00224990" w:rsidP="003847BE">
      <w:pPr>
        <w:spacing w:before="0"/>
        <w:ind w:right="872"/>
        <w:rPr>
          <w:sz w:val="22"/>
          <w:szCs w:val="22"/>
          <w:lang w:val="es-ES_tradnl"/>
        </w:rPr>
      </w:pPr>
    </w:p>
    <w:tbl>
      <w:tblPr>
        <w:tblStyle w:val="TableGrid7"/>
        <w:tblW w:w="14850" w:type="dxa"/>
        <w:tblInd w:w="-5" w:type="dxa"/>
        <w:tblLook w:val="04A0" w:firstRow="1" w:lastRow="0" w:firstColumn="1" w:lastColumn="0" w:noHBand="0" w:noVBand="1"/>
      </w:tblPr>
      <w:tblGrid>
        <w:gridCol w:w="2790"/>
        <w:gridCol w:w="9090"/>
        <w:gridCol w:w="2970"/>
      </w:tblGrid>
      <w:tr w:rsidR="00224990" w:rsidRPr="00B6045A" w14:paraId="6A4B48B9" w14:textId="77777777" w:rsidTr="00056B55">
        <w:tc>
          <w:tcPr>
            <w:tcW w:w="1485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4961BC18" w14:textId="77777777" w:rsidR="00224990" w:rsidRPr="00DF5B4D" w:rsidRDefault="00224990" w:rsidP="007D4227">
            <w:pPr>
              <w:pStyle w:val="Tablehead"/>
              <w:rPr>
                <w:lang w:val="es-ES_tradnl"/>
              </w:rPr>
            </w:pPr>
            <w:r w:rsidRPr="00DF5B4D">
              <w:rPr>
                <w:lang w:val="es-ES_tradnl"/>
              </w:rPr>
              <w:t>Factor habilitador 1 del UIT-D: Impulso de los miembros</w:t>
            </w:r>
          </w:p>
          <w:p w14:paraId="4579BCC2" w14:textId="77777777" w:rsidR="00224990" w:rsidRPr="00DF5B4D" w:rsidRDefault="00224990" w:rsidP="007D4227">
            <w:pPr>
              <w:pStyle w:val="Tablehead"/>
              <w:rPr>
                <w:i/>
                <w:iCs/>
                <w:lang w:val="es-ES_tradnl"/>
              </w:rPr>
            </w:pPr>
            <w:r w:rsidRPr="00DF5B4D">
              <w:rPr>
                <w:i/>
                <w:iCs/>
                <w:lang w:val="es-ES_tradnl"/>
              </w:rPr>
              <w:t>Reforzar la aplicación de las decisiones de la CMDT y el diálogo entre los miembros de la UIT.</w:t>
            </w:r>
          </w:p>
        </w:tc>
      </w:tr>
      <w:tr w:rsidR="00224990" w:rsidRPr="00B6045A" w14:paraId="43232787" w14:textId="77777777" w:rsidTr="00056B55">
        <w:tc>
          <w:tcPr>
            <w:tcW w:w="1485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6531D0C6" w14:textId="77777777" w:rsidR="00224990" w:rsidRPr="00DF5B4D" w:rsidRDefault="00224990" w:rsidP="007D4227">
            <w:pPr>
              <w:pStyle w:val="Tabletext"/>
              <w:rPr>
                <w:b/>
                <w:bCs/>
                <w:i/>
                <w:iCs/>
                <w:lang w:val="es-ES_tradnl"/>
              </w:rPr>
            </w:pPr>
            <w:r w:rsidRPr="00DF5B4D">
              <w:rPr>
                <w:b/>
                <w:bCs/>
                <w:i/>
                <w:iCs/>
                <w:lang w:val="es-ES_tradnl"/>
              </w:rPr>
              <w:t xml:space="preserve">Realización: </w:t>
            </w:r>
            <w:r w:rsidRPr="00DF5B4D">
              <w:rPr>
                <w:i/>
                <w:iCs/>
                <w:lang w:val="es-ES_tradnl"/>
              </w:rPr>
              <w:t>Aplicación consolidada de las resoluciones de la CMDT. Fomento de las actividades de intercambio de conocimientos, investigación y desarrollo, diálogo y asociación entre los miembros de la UIT sobre cuestiones relacionadas con las telecomunicaciones/TIC</w:t>
            </w:r>
          </w:p>
        </w:tc>
      </w:tr>
      <w:tr w:rsidR="00224990" w:rsidRPr="00DF5B4D" w14:paraId="49E3D081" w14:textId="77777777" w:rsidTr="00056B55">
        <w:tc>
          <w:tcPr>
            <w:tcW w:w="11880" w:type="dxa"/>
            <w:gridSpan w:val="2"/>
            <w:tcBorders>
              <w:top w:val="dotted" w:sz="4" w:space="0" w:color="0070C0"/>
              <w:left w:val="dotted" w:sz="4" w:space="0" w:color="0070C0"/>
              <w:bottom w:val="dotted" w:sz="4" w:space="0" w:color="0070C0"/>
              <w:right w:val="dotted" w:sz="4" w:space="0" w:color="0070C0"/>
            </w:tcBorders>
          </w:tcPr>
          <w:p w14:paraId="36B03997" w14:textId="77777777" w:rsidR="00224990" w:rsidRPr="00DF5B4D" w:rsidRDefault="00224990" w:rsidP="007D4227">
            <w:pPr>
              <w:pStyle w:val="Tablehead"/>
              <w:rPr>
                <w:lang w:val="es-ES_tradnl"/>
              </w:rPr>
            </w:pPr>
            <w:r w:rsidRPr="00DF5B4D">
              <w:rPr>
                <w:lang w:val="es-ES_tradnl"/>
              </w:rPr>
              <w:t>Productos</w:t>
            </w:r>
          </w:p>
        </w:tc>
        <w:tc>
          <w:tcPr>
            <w:tcW w:w="2970" w:type="dxa"/>
            <w:tcBorders>
              <w:top w:val="dotted" w:sz="4" w:space="0" w:color="0070C0"/>
              <w:left w:val="dotted" w:sz="4" w:space="0" w:color="0070C0"/>
              <w:bottom w:val="dotted" w:sz="4" w:space="0" w:color="0070C0"/>
              <w:right w:val="dotted" w:sz="4" w:space="0" w:color="0070C0"/>
            </w:tcBorders>
          </w:tcPr>
          <w:p w14:paraId="219E1DA4" w14:textId="77777777" w:rsidR="00224990" w:rsidRPr="00DF5B4D" w:rsidRDefault="00224990" w:rsidP="007D4227">
            <w:pPr>
              <w:pStyle w:val="Tablehead"/>
              <w:rPr>
                <w:lang w:val="es-ES_tradnl"/>
              </w:rPr>
            </w:pPr>
            <w:r w:rsidRPr="00DF5B4D">
              <w:rPr>
                <w:lang w:val="es-ES_tradnl"/>
              </w:rPr>
              <w:t>Datos destacados</w:t>
            </w:r>
          </w:p>
        </w:tc>
      </w:tr>
      <w:tr w:rsidR="00224990" w:rsidRPr="00B6045A" w14:paraId="63F2B548" w14:textId="77777777" w:rsidTr="00056B55">
        <w:tc>
          <w:tcPr>
            <w:tcW w:w="11880" w:type="dxa"/>
            <w:gridSpan w:val="2"/>
            <w:tcBorders>
              <w:top w:val="dotted" w:sz="4" w:space="0" w:color="0070C0"/>
              <w:left w:val="dotted" w:sz="4" w:space="0" w:color="0070C0"/>
              <w:bottom w:val="dotted" w:sz="4" w:space="0" w:color="0070C0"/>
              <w:right w:val="dotted" w:sz="4" w:space="0" w:color="0070C0"/>
            </w:tcBorders>
          </w:tcPr>
          <w:p w14:paraId="43C2B9FB" w14:textId="34A260AF" w:rsidR="00224990" w:rsidRPr="00DF5B4D" w:rsidRDefault="00224990" w:rsidP="007D4227">
            <w:pPr>
              <w:pStyle w:val="Tabletext"/>
              <w:rPr>
                <w:lang w:val="es-ES_tradnl"/>
              </w:rPr>
            </w:pPr>
            <w:r w:rsidRPr="00DF5B4D">
              <w:rPr>
                <w:lang w:val="es-ES_tradnl"/>
              </w:rPr>
              <w:t xml:space="preserve">En 2023, </w:t>
            </w:r>
            <w:r w:rsidR="008F6188">
              <w:rPr>
                <w:lang w:val="es-ES_tradnl"/>
              </w:rPr>
              <w:t>el</w:t>
            </w:r>
            <w:r w:rsidR="008F6188" w:rsidRPr="00DF5B4D">
              <w:rPr>
                <w:lang w:val="es-ES_tradnl"/>
              </w:rPr>
              <w:t xml:space="preserve"> </w:t>
            </w:r>
            <w:r w:rsidRPr="00DF5B4D">
              <w:rPr>
                <w:lang w:val="es-ES_tradnl"/>
              </w:rPr>
              <w:t>UIT</w:t>
            </w:r>
            <w:r w:rsidR="008F6188">
              <w:rPr>
                <w:lang w:val="es-ES_tradnl"/>
              </w:rPr>
              <w:t>-D</w:t>
            </w:r>
            <w:r w:rsidRPr="00DF5B4D">
              <w:rPr>
                <w:lang w:val="es-ES_tradnl"/>
              </w:rPr>
              <w:t xml:space="preserve"> dio la bienvenida a un número considerable de nuevos miembros, gracias a estrategias de divulgación reforzadas, concertadas y específicas que abarcan diversos segmentos del ecosistema de las TIC. El compromiso estratégico reforzado con los miembros del UIT-D, incluidos los Estados Miembros, incluyó visitas específicas, eventos y la preparación de informes.</w:t>
            </w:r>
          </w:p>
          <w:p w14:paraId="2065B936" w14:textId="77777777" w:rsidR="00224990" w:rsidRPr="00DF5B4D" w:rsidRDefault="00224990" w:rsidP="00C009F8">
            <w:pPr>
              <w:pStyle w:val="Tabletext"/>
              <w:ind w:left="284" w:hanging="284"/>
              <w:rPr>
                <w:lang w:val="es-ES_tradnl"/>
              </w:rPr>
            </w:pPr>
            <w:r w:rsidRPr="00DF5B4D">
              <w:rPr>
                <w:b/>
                <w:bCs/>
                <w:lang w:val="es-ES_tradnl"/>
              </w:rPr>
              <w:t>•</w:t>
            </w:r>
            <w:r w:rsidRPr="00DF5B4D">
              <w:rPr>
                <w:b/>
                <w:bCs/>
                <w:lang w:val="es-ES_tradnl"/>
              </w:rPr>
              <w:tab/>
              <w:t>Veintisiete miembros nuevos</w:t>
            </w:r>
            <w:r w:rsidRPr="00DF5B4D">
              <w:rPr>
                <w:lang w:val="es-ES_tradnl"/>
              </w:rPr>
              <w:t xml:space="preserve"> se unieron al UIT-D en 2023, frente a 18 miembros nuevos en 2022, lo que refleja un aumento del 50% en nuevas asociaciones.</w:t>
            </w:r>
          </w:p>
          <w:p w14:paraId="797F1D16" w14:textId="488FA3A7" w:rsidR="00224990" w:rsidRPr="00DF5B4D" w:rsidRDefault="00224990" w:rsidP="00C009F8">
            <w:pPr>
              <w:pStyle w:val="Tabletext"/>
              <w:ind w:left="284" w:hanging="284"/>
              <w:rPr>
                <w:lang w:val="es-ES_tradnl"/>
              </w:rPr>
            </w:pPr>
            <w:r w:rsidRPr="00DF5B4D">
              <w:rPr>
                <w:lang w:val="es-ES_tradnl"/>
              </w:rPr>
              <w:t>•</w:t>
            </w:r>
            <w:r w:rsidRPr="00DF5B4D">
              <w:rPr>
                <w:lang w:val="es-ES_tradnl"/>
              </w:rPr>
              <w:tab/>
              <w:t xml:space="preserve">El </w:t>
            </w:r>
            <w:r w:rsidRPr="00DF5B4D">
              <w:rPr>
                <w:b/>
                <w:bCs/>
                <w:lang w:val="es-ES_tradnl"/>
              </w:rPr>
              <w:t>crecimiento neto global de asociaciones en 2023</w:t>
            </w:r>
            <w:r w:rsidRPr="00DF5B4D">
              <w:rPr>
                <w:lang w:val="es-ES_tradnl"/>
              </w:rPr>
              <w:t xml:space="preserve"> (la diferencia entre ganancias y pérdidas) fue </w:t>
            </w:r>
            <w:r w:rsidRPr="00DF5B4D">
              <w:rPr>
                <w:b/>
                <w:bCs/>
                <w:lang w:val="es-ES_tradnl"/>
              </w:rPr>
              <w:t>cuatro veces superior al de</w:t>
            </w:r>
            <w:r w:rsidR="00C009F8">
              <w:rPr>
                <w:b/>
                <w:bCs/>
                <w:lang w:val="es-ES_tradnl"/>
              </w:rPr>
              <w:t> </w:t>
            </w:r>
            <w:r w:rsidRPr="00DF5B4D">
              <w:rPr>
                <w:b/>
                <w:bCs/>
                <w:lang w:val="es-ES_tradnl"/>
              </w:rPr>
              <w:t>2022.</w:t>
            </w:r>
          </w:p>
          <w:p w14:paraId="1C8BD858" w14:textId="77777777" w:rsidR="00224990" w:rsidRPr="00DF5B4D" w:rsidRDefault="00224990" w:rsidP="00C009F8">
            <w:pPr>
              <w:pStyle w:val="Tabletext"/>
              <w:ind w:left="284" w:hanging="284"/>
              <w:rPr>
                <w:lang w:val="es-ES_tradnl"/>
              </w:rPr>
            </w:pPr>
            <w:r w:rsidRPr="00DF5B4D">
              <w:rPr>
                <w:lang w:val="es-ES_tradnl"/>
              </w:rPr>
              <w:t>•</w:t>
            </w:r>
            <w:r w:rsidRPr="00DF5B4D">
              <w:rPr>
                <w:lang w:val="es-ES_tradnl"/>
              </w:rPr>
              <w:tab/>
              <w:t xml:space="preserve">Récord de asistencia con </w:t>
            </w:r>
            <w:r w:rsidRPr="00DF5B4D">
              <w:rPr>
                <w:b/>
                <w:bCs/>
                <w:lang w:val="es-ES_tradnl"/>
              </w:rPr>
              <w:t>149 participantes</w:t>
            </w:r>
            <w:r w:rsidRPr="00DF5B4D">
              <w:rPr>
                <w:lang w:val="es-ES_tradnl"/>
              </w:rPr>
              <w:t xml:space="preserve"> a la reunión del Grupo Asesor de la Industria sobre el Desarrollo y de Directores de reglamentación del sector privado (IAGDI-CRO) celebrada durante el GSR-23 en Sharm-el-Sheikh (Egipto).</w:t>
            </w:r>
          </w:p>
          <w:p w14:paraId="3BF76B7B" w14:textId="496FA1F3" w:rsidR="00224990" w:rsidRPr="00DF5B4D" w:rsidRDefault="00224990" w:rsidP="00C009F8">
            <w:pPr>
              <w:pStyle w:val="Tabletext"/>
              <w:ind w:left="284" w:hanging="284"/>
              <w:rPr>
                <w:lang w:val="es-ES_tradnl"/>
              </w:rPr>
            </w:pPr>
            <w:r w:rsidRPr="00DF5B4D">
              <w:rPr>
                <w:lang w:val="es-ES_tradnl"/>
              </w:rPr>
              <w:t>•</w:t>
            </w:r>
            <w:r w:rsidRPr="00DF5B4D">
              <w:rPr>
                <w:lang w:val="es-ES_tradnl"/>
              </w:rPr>
              <w:tab/>
              <w:t>Mayor conocimiento de los productos y servicios de</w:t>
            </w:r>
            <w:r w:rsidR="008F6188">
              <w:rPr>
                <w:lang w:val="es-ES_tradnl"/>
              </w:rPr>
              <w:t>l</w:t>
            </w:r>
            <w:r w:rsidRPr="00DF5B4D">
              <w:rPr>
                <w:lang w:val="es-ES_tradnl"/>
              </w:rPr>
              <w:t xml:space="preserve"> UIT</w:t>
            </w:r>
            <w:r w:rsidR="008F6188">
              <w:rPr>
                <w:lang w:val="es-ES_tradnl"/>
              </w:rPr>
              <w:t>-D</w:t>
            </w:r>
            <w:r w:rsidRPr="00DF5B4D">
              <w:rPr>
                <w:lang w:val="es-ES_tradnl"/>
              </w:rPr>
              <w:t xml:space="preserve"> con más de </w:t>
            </w:r>
            <w:r w:rsidRPr="00DF5B4D">
              <w:rPr>
                <w:b/>
                <w:bCs/>
                <w:lang w:val="es-ES_tradnl"/>
              </w:rPr>
              <w:t>150 interacciones</w:t>
            </w:r>
            <w:r w:rsidRPr="00DF5B4D">
              <w:rPr>
                <w:lang w:val="es-ES_tradnl"/>
              </w:rPr>
              <w:t xml:space="preserve"> con los miembros a través de misiones de divulgación, reuniones y visitas de alto nivel.</w:t>
            </w:r>
          </w:p>
          <w:p w14:paraId="1DE31A6A" w14:textId="77777777" w:rsidR="00224990" w:rsidRPr="00DF5B4D" w:rsidRDefault="00224990" w:rsidP="0008387E">
            <w:pPr>
              <w:pStyle w:val="Tabletext"/>
              <w:spacing w:before="120"/>
              <w:rPr>
                <w:b/>
                <w:bCs/>
                <w:lang w:val="es-ES_tradnl"/>
              </w:rPr>
            </w:pPr>
            <w:r w:rsidRPr="00DF5B4D">
              <w:rPr>
                <w:b/>
                <w:bCs/>
                <w:lang w:val="es-ES_tradnl"/>
              </w:rPr>
              <w:t>1</w:t>
            </w:r>
            <w:r w:rsidRPr="00DF5B4D">
              <w:rPr>
                <w:b/>
                <w:bCs/>
                <w:lang w:val="es-ES_tradnl"/>
              </w:rPr>
              <w:tab/>
              <w:t>Las Instituciones Académicas de la UIT</w:t>
            </w:r>
          </w:p>
          <w:p w14:paraId="2C7907FC" w14:textId="77777777" w:rsidR="00224990" w:rsidRPr="00DF5B4D" w:rsidRDefault="00224990" w:rsidP="00224990">
            <w:pPr>
              <w:pStyle w:val="ListParagraph"/>
              <w:numPr>
                <w:ilvl w:val="0"/>
                <w:numId w:val="24"/>
              </w:numPr>
              <w:tabs>
                <w:tab w:val="clear" w:pos="1134"/>
                <w:tab w:val="clear" w:pos="1871"/>
                <w:tab w:val="clear" w:pos="2268"/>
              </w:tabs>
              <w:overflowPunct/>
              <w:autoSpaceDE/>
              <w:autoSpaceDN/>
              <w:adjustRightInd/>
              <w:spacing w:before="0"/>
              <w:jc w:val="both"/>
              <w:textAlignment w:val="auto"/>
              <w:rPr>
                <w:sz w:val="22"/>
                <w:lang w:val="es-ES_tradnl"/>
              </w:rPr>
            </w:pPr>
            <w:r w:rsidRPr="00DF5B4D">
              <w:rPr>
                <w:sz w:val="22"/>
                <w:lang w:val="es-ES_tradnl"/>
              </w:rPr>
              <w:t xml:space="preserve">La UIT atrajo 17 afiliaciones académicas y perdió 18 en 2023. A pesar de los esfuerzos concertados en los tres Sectores de la UIT para atraer y retener a las Instituciones Académicas, mantener el crecimiento ha resultado ser un reto, ya que las instituciones académicas han informado periódicamente de dificultades para mantener la afiliación durante un </w:t>
            </w:r>
            <w:r>
              <w:rPr>
                <w:sz w:val="22"/>
                <w:lang w:val="es-ES_tradnl"/>
              </w:rPr>
              <w:t>periodo</w:t>
            </w:r>
            <w:r w:rsidRPr="00DF5B4D">
              <w:rPr>
                <w:sz w:val="22"/>
                <w:lang w:val="es-ES_tradnl"/>
              </w:rPr>
              <w:t xml:space="preserve"> prolongado debido a limitaciones presupuestarias.</w:t>
            </w:r>
          </w:p>
          <w:p w14:paraId="3A342038" w14:textId="77777777" w:rsidR="00224990" w:rsidRPr="00DF5B4D" w:rsidRDefault="00224990" w:rsidP="00224990">
            <w:pPr>
              <w:pStyle w:val="ListParagraph"/>
              <w:numPr>
                <w:ilvl w:val="0"/>
                <w:numId w:val="24"/>
              </w:numPr>
              <w:tabs>
                <w:tab w:val="clear" w:pos="1134"/>
                <w:tab w:val="clear" w:pos="1871"/>
                <w:tab w:val="clear" w:pos="2268"/>
              </w:tabs>
              <w:overflowPunct/>
              <w:autoSpaceDE/>
              <w:autoSpaceDN/>
              <w:adjustRightInd/>
              <w:spacing w:before="0"/>
              <w:jc w:val="both"/>
              <w:textAlignment w:val="auto"/>
              <w:rPr>
                <w:sz w:val="22"/>
                <w:lang w:val="es-ES_tradnl"/>
              </w:rPr>
            </w:pPr>
            <w:r w:rsidRPr="00DF5B4D">
              <w:rPr>
                <w:sz w:val="22"/>
                <w:lang w:val="es-ES_tradnl"/>
              </w:rPr>
              <w:lastRenderedPageBreak/>
              <w:t>En todos los Sectores de la UIT se están realizando esfuerzos para revisar y promover mejor la propuesta de valor de la afiliación a las Instituciones Académicas de la UIT en toda la UIT. En lo que respecta al compromiso específico con el UIT-D, las Instituciones Académicas de la UIT, la inclusión digital y la Alianza sobre Innovación e Iniciativa Empresarial en aras de Desarrollo Digital son algunas de las principales áreas en las que se están explorando colaboraciones, además de las Comisiones de Estudio del UIT-D.</w:t>
            </w:r>
          </w:p>
          <w:p w14:paraId="7CC4DDBB" w14:textId="77777777" w:rsidR="00224990" w:rsidRPr="00DF5B4D" w:rsidRDefault="00224990" w:rsidP="0008387E">
            <w:pPr>
              <w:pStyle w:val="Tabletext"/>
              <w:spacing w:before="120"/>
              <w:rPr>
                <w:b/>
                <w:bCs/>
                <w:lang w:val="es-ES_tradnl"/>
              </w:rPr>
            </w:pPr>
            <w:r w:rsidRPr="00DF5B4D">
              <w:rPr>
                <w:b/>
                <w:bCs/>
                <w:lang w:val="es-ES_tradnl"/>
              </w:rPr>
              <w:t>2</w:t>
            </w:r>
            <w:r w:rsidRPr="00DF5B4D">
              <w:rPr>
                <w:b/>
                <w:bCs/>
                <w:lang w:val="es-ES_tradnl"/>
              </w:rPr>
              <w:tab/>
              <w:t>Comisiones de Estudio del UIT-D (CE)</w:t>
            </w:r>
          </w:p>
          <w:p w14:paraId="277B4386" w14:textId="77777777" w:rsidR="00224990" w:rsidRDefault="00224990" w:rsidP="0008387E">
            <w:pPr>
              <w:pStyle w:val="Tabletext"/>
              <w:rPr>
                <w:lang w:val="es-ES_tradnl"/>
              </w:rPr>
            </w:pPr>
            <w:r w:rsidRPr="00DF5B4D">
              <w:rPr>
                <w:lang w:val="es-ES_tradnl"/>
              </w:rPr>
              <w:t xml:space="preserve">La </w:t>
            </w:r>
            <w:hyperlink r:id="rId66" w:history="1">
              <w:r w:rsidRPr="00DF5B4D">
                <w:rPr>
                  <w:rStyle w:val="Hyperlink"/>
                  <w:rFonts w:ascii="Calibri" w:eastAsia="Calibri" w:hAnsi="Calibri" w:cs="Calibri"/>
                  <w:lang w:val="es-ES_tradnl"/>
                </w:rPr>
                <w:t>segunda reunión anual de la Comisión de Estudio 1 del UIT-D (CE1)</w:t>
              </w:r>
            </w:hyperlink>
            <w:r w:rsidRPr="00DF5B4D">
              <w:rPr>
                <w:lang w:val="es-ES_tradnl"/>
              </w:rPr>
              <w:t xml:space="preserve"> se celebró del 23 al 27 de octubre de 2023, con 224 participantes (100 mujeres delegadas) de 59 Miembros Estados. Se concedieron 13 becas a las delegadas para facilitar su presencia física.</w:t>
            </w:r>
          </w:p>
          <w:p w14:paraId="3EDA376F" w14:textId="77777777" w:rsidR="00224990" w:rsidRPr="00DF5B4D" w:rsidRDefault="00224990" w:rsidP="0008387E">
            <w:pPr>
              <w:pStyle w:val="Tabletext"/>
              <w:rPr>
                <w:lang w:val="es-ES_tradnl"/>
              </w:rPr>
            </w:pPr>
            <w:r w:rsidRPr="00DF5B4D">
              <w:rPr>
                <w:lang w:val="es-ES_tradnl"/>
              </w:rPr>
              <w:t xml:space="preserve">Para seguir innovando y mantener el interés de los participantes, en la sesión plenaria de apertura se celebró una sesión especial sobre la </w:t>
            </w:r>
            <w:hyperlink r:id="rId67" w:history="1">
              <w:r w:rsidRPr="00DF5B4D">
                <w:rPr>
                  <w:rStyle w:val="Hyperlink"/>
                  <w:rFonts w:ascii="Calibri" w:eastAsia="Calibri" w:hAnsi="Calibri" w:cs="Calibri"/>
                  <w:lang w:val="es-ES_tradnl"/>
                </w:rPr>
                <w:t>Red de Reglamentación Digital</w:t>
              </w:r>
            </w:hyperlink>
            <w:r w:rsidRPr="00DF5B4D">
              <w:rPr>
                <w:lang w:val="es-ES_tradnl"/>
              </w:rPr>
              <w:t xml:space="preserve">, y durante la semana se organizó un almuerzo informal de la Red de Mujeres (NOW). Del 22 al 28 de octubre de 2023 se celebraron en Ginebra dos reuniones del equipo directivo de la CE1 del UIT-D, una reunión conjunta del equipo de dirección de la CE1 y la CE2 del UIT-D y varias reuniones del equipo de dirección de Cuestiones, para aprovechar al máximo la presencia física en Ginebra. </w:t>
            </w:r>
            <w:hyperlink r:id="rId68" w:history="1">
              <w:r w:rsidRPr="00DF5B4D">
                <w:rPr>
                  <w:rStyle w:val="Hyperlink"/>
                  <w:rFonts w:ascii="Calibri" w:eastAsia="Calibri" w:hAnsi="Calibri" w:cs="Calibri"/>
                  <w:lang w:val="es-ES_tradnl"/>
                </w:rPr>
                <w:t>Los miembros del equipo de dirección de la CE1</w:t>
              </w:r>
            </w:hyperlink>
            <w:r w:rsidRPr="00DF5B4D">
              <w:rPr>
                <w:lang w:val="es-ES_tradnl"/>
              </w:rPr>
              <w:t xml:space="preserve"> prepararon la reunión de la CE1 y avanzaron en el trabajo sobre los informes de productos de las Cuestiones y sobre los productos intermedios a través de las reuniones electrónicas a nivel de Cuestiones celebradas periódicamente desde el final de las reuniones de los Grupos de Relator de mayo de 2023.</w:t>
            </w:r>
          </w:p>
          <w:p w14:paraId="548D694D" w14:textId="77777777" w:rsidR="00224990" w:rsidRPr="00DF5B4D" w:rsidRDefault="00224990" w:rsidP="0008387E">
            <w:pPr>
              <w:pStyle w:val="Tabletext"/>
              <w:rPr>
                <w:lang w:val="es-ES_tradnl"/>
              </w:rPr>
            </w:pPr>
            <w:r w:rsidRPr="00DF5B4D">
              <w:rPr>
                <w:lang w:val="es-ES_tradnl"/>
              </w:rPr>
              <w:t>En la reunión de la CE 1 del UIT-D 2023 se debatieron un total de 155 documentos, entre los que se incluían los cinco primeros proyectos de informes de productos de Cuestiones de Estudio, para avanzar en los trabajos, que culminaron con: (1) la emisión de ocho declaraciones de enlace salientes a nuestros colaboradores externos; (2) el nombramiento de un Vicepresidente y dos Vicerrelatores; y (3) la aprobación del primer producto intermedio provisional de la CE1 del UIT-D relacionado con el trabajo de la Cuestión 6/1 de la CE1 del UIT-D sobre "Prácticas idóneas adoptadas en relación con las herramientas de reglamentación digital adecuadas al objetivo de proteger a los consumidores"; (4) cinco propuestas de talleres públicos que se celebrarán en conjunción con las reuniones de los Grupos de Relator de abril de 2024 y una propuesta de un taller que será organizado en Brasilia por la Oficina Regional de la UIT para las Américas y ANATEL en junio de 2024.</w:t>
            </w:r>
          </w:p>
          <w:p w14:paraId="500D8FDB" w14:textId="77777777" w:rsidR="00224990" w:rsidRPr="00DF5B4D" w:rsidRDefault="00224990" w:rsidP="0008387E">
            <w:pPr>
              <w:pStyle w:val="Tabletext"/>
              <w:rPr>
                <w:lang w:val="es-ES_tradnl"/>
              </w:rPr>
            </w:pPr>
            <w:r w:rsidRPr="00DF5B4D">
              <w:rPr>
                <w:lang w:val="es-ES_tradnl"/>
              </w:rPr>
              <w:t xml:space="preserve">Estos talleres se están llevando a cabo, como se detalla en la </w:t>
            </w:r>
            <w:hyperlink r:id="rId69" w:history="1">
              <w:r w:rsidRPr="00DF5B4D">
                <w:rPr>
                  <w:rStyle w:val="Hyperlink"/>
                  <w:rFonts w:ascii="Calibri" w:eastAsia="Calibri" w:hAnsi="Calibri" w:cs="Calibri"/>
                  <w:lang w:val="es-ES_tradnl"/>
                </w:rPr>
                <w:t>página web</w:t>
              </w:r>
            </w:hyperlink>
            <w:r w:rsidRPr="00DF5B4D">
              <w:rPr>
                <w:lang w:val="es-ES_tradnl"/>
              </w:rPr>
              <w:t xml:space="preserve"> de las reuniones de los Grupos de Relator de abril de 2024. El producto intermedio de la Cuestión 6/1 de la CE1 del UIT-D está disponible como </w:t>
            </w:r>
            <w:hyperlink r:id="rId70" w:anchor="/es" w:history="1">
              <w:r w:rsidRPr="00DF5B4D">
                <w:rPr>
                  <w:rStyle w:val="Hyperlink"/>
                  <w:rFonts w:ascii="Calibri" w:eastAsia="Calibri" w:hAnsi="Calibri" w:cs="Calibri"/>
                  <w:lang w:val="es-ES_tradnl"/>
                </w:rPr>
                <w:t>publicación gratuita en todos los idiomas oficiales de las Naciones Unidas</w:t>
              </w:r>
            </w:hyperlink>
            <w:r w:rsidRPr="00DF5B4D">
              <w:rPr>
                <w:lang w:val="es-ES_tradnl"/>
              </w:rPr>
              <w:t xml:space="preserve"> y se complementa con una </w:t>
            </w:r>
            <w:hyperlink r:id="rId71" w:history="1">
              <w:r w:rsidRPr="00DF5B4D">
                <w:rPr>
                  <w:rStyle w:val="Hyperlink"/>
                  <w:rFonts w:ascii="Calibri" w:eastAsia="Calibri" w:hAnsi="Calibri" w:cs="Calibri"/>
                  <w:lang w:val="es-ES_tradnl"/>
                </w:rPr>
                <w:t>entrevista en vídeo</w:t>
              </w:r>
            </w:hyperlink>
            <w:r w:rsidRPr="00DF5B4D">
              <w:rPr>
                <w:lang w:val="es-ES_tradnl"/>
              </w:rPr>
              <w:t xml:space="preserve"> de los autores. [Los productos de las sesiones de los Grupos de Relator de abril de 2024 se compartirán después del 26 de abril de 2024].</w:t>
            </w:r>
          </w:p>
          <w:p w14:paraId="33549914" w14:textId="77777777" w:rsidR="00224990" w:rsidRPr="00DF5B4D" w:rsidRDefault="00224990" w:rsidP="0008387E">
            <w:pPr>
              <w:pStyle w:val="Tabletext"/>
              <w:rPr>
                <w:lang w:val="es-ES_tradnl"/>
              </w:rPr>
            </w:pPr>
            <w:r w:rsidRPr="00DF5B4D">
              <w:rPr>
                <w:lang w:val="es-ES_tradnl"/>
              </w:rPr>
              <w:t xml:space="preserve">La </w:t>
            </w:r>
            <w:hyperlink r:id="rId72" w:history="1">
              <w:r w:rsidRPr="00DF5B4D">
                <w:rPr>
                  <w:rStyle w:val="Hyperlink"/>
                  <w:rFonts w:eastAsia="Calibri"/>
                  <w:lang w:val="es-ES_tradnl"/>
                </w:rPr>
                <w:t>segunda reunión anual de la Comisión de Estudio 2 (CE2) del UIT-D</w:t>
              </w:r>
            </w:hyperlink>
            <w:r w:rsidRPr="00DF5B4D">
              <w:rPr>
                <w:lang w:val="es-ES_tradnl"/>
              </w:rPr>
              <w:t xml:space="preserve"> se celebró </w:t>
            </w:r>
            <w:r>
              <w:rPr>
                <w:lang w:val="es-ES_tradnl"/>
              </w:rPr>
              <w:t>d</w:t>
            </w:r>
            <w:r w:rsidRPr="00DF5B4D">
              <w:rPr>
                <w:lang w:val="es-ES_tradnl"/>
              </w:rPr>
              <w:t xml:space="preserve">el 30 de octubre al 3 de noviembre de 2023, con 195 participantes de 54 Estados Miembros. Se concedieron trece becas a delegados para facilitar su presencia física. </w:t>
            </w:r>
            <w:hyperlink r:id="rId73" w:history="1">
              <w:r w:rsidRPr="00DF5B4D">
                <w:rPr>
                  <w:rStyle w:val="Hyperlink"/>
                  <w:rFonts w:eastAsia="Calibri"/>
                  <w:lang w:val="es-ES_tradnl"/>
                </w:rPr>
                <w:t>Los miembros del equipo de dirección de la CE2</w:t>
              </w:r>
            </w:hyperlink>
            <w:r w:rsidRPr="00DF5B4D">
              <w:rPr>
                <w:lang w:val="es-ES_tradnl"/>
              </w:rPr>
              <w:t xml:space="preserve"> prepararon esta reunión y avanzaron en los trabajos sobre los informes y los productos de las Cuestiones y sobre los productos intermedios a través de las reuniones electrónicas a nivel de Cuestiones celebradas periódicamente desde el final de las reuniones de los Grupos de Relator de mayo-junio de 2023.</w:t>
            </w:r>
          </w:p>
          <w:p w14:paraId="4F8169E8" w14:textId="77777777" w:rsidR="00224990" w:rsidRPr="00DF5B4D" w:rsidRDefault="00224990" w:rsidP="0008387E">
            <w:pPr>
              <w:pStyle w:val="Tabletext"/>
              <w:rPr>
                <w:lang w:val="es-ES_tradnl"/>
              </w:rPr>
            </w:pPr>
            <w:r w:rsidRPr="00DF5B4D">
              <w:rPr>
                <w:lang w:val="es-ES_tradnl"/>
              </w:rPr>
              <w:lastRenderedPageBreak/>
              <w:t>En la reunión de la CE 2 del UIT-D de 2023 se debatieron 120 documentos para avanzar en los trabajos, que culminaron con: (1) la emisión de tres declaraciones de coordinación salientes a nuestros colaboradores externos; (2) el nombramiento de un Vicepresidente, tres Correlatores y un Vicerrelator; (3) la aprobación del producto intermedio provisional de la CE 2 del UIT-D relacionado con los trabajos de la Cuestión 3/2 de la CE2 del UIT-D sobre "Prácticas óptimas para el desarrollo de una cultura de ciberseguridad".</w:t>
            </w:r>
          </w:p>
          <w:p w14:paraId="32C8DAB9" w14:textId="14507836" w:rsidR="00224990" w:rsidRPr="00DF5B4D" w:rsidRDefault="00224990" w:rsidP="0008387E">
            <w:pPr>
              <w:pStyle w:val="Tabletext"/>
              <w:rPr>
                <w:lang w:val="es-ES_tradnl"/>
              </w:rPr>
            </w:pPr>
            <w:r w:rsidRPr="00DF5B4D">
              <w:rPr>
                <w:lang w:val="es-ES_tradnl"/>
              </w:rPr>
              <w:t xml:space="preserve">Se estudiaron propuestas de colaboración, incluido el compromiso con los jóvenes y las mujeres, las estadísticas y los indicadores relacionados, las sinergias con los proyectos </w:t>
            </w:r>
            <w:r w:rsidR="008F6188">
              <w:rPr>
                <w:lang w:val="es-ES_tradnl"/>
              </w:rPr>
              <w:t xml:space="preserve">de desarrollo </w:t>
            </w:r>
            <w:r w:rsidRPr="00DF5B4D">
              <w:rPr>
                <w:lang w:val="es-ES_tradnl"/>
              </w:rPr>
              <w:t>de la UIT y la CMSI. Se celebraron dos sesiones informativas: en la primera se presentó el nuevo producto intermedio sobre prácticas de garantía de la ciberseguridad, y en la segunda se presentaron proyectos seleccionados de la UIT relacionados con la transformación digital y sus repercusiones. Ambos actos se celebraron con éxito y contaron con una buena participación.</w:t>
            </w:r>
          </w:p>
          <w:p w14:paraId="5E7BC532" w14:textId="77777777" w:rsidR="00224990" w:rsidRPr="00DF5B4D" w:rsidRDefault="00224990" w:rsidP="0008387E">
            <w:pPr>
              <w:pStyle w:val="Tabletext"/>
              <w:rPr>
                <w:rFonts w:ascii="Calibri" w:hAnsi="Calibri" w:cs="Calibri"/>
                <w:lang w:val="es-ES_tradnl"/>
              </w:rPr>
            </w:pPr>
            <w:r w:rsidRPr="00DF5B4D">
              <w:rPr>
                <w:lang w:val="es-ES_tradnl"/>
              </w:rPr>
              <w:t xml:space="preserve">El producto intermedio para la Cuestión 3/2 de la CE3 del UIT-D está disponible como </w:t>
            </w:r>
            <w:hyperlink r:id="rId74" w:anchor="/es" w:history="1">
              <w:r w:rsidRPr="00DF5B4D">
                <w:rPr>
                  <w:rStyle w:val="Hyperlink"/>
                  <w:rFonts w:eastAsia="Calibri"/>
                  <w:lang w:val="es-ES_tradnl"/>
                </w:rPr>
                <w:t>publicación gratuita en todas las lenguas oficiales de las Naciones Unidas</w:t>
              </w:r>
            </w:hyperlink>
            <w:r w:rsidRPr="00DF5B4D">
              <w:rPr>
                <w:lang w:val="es-ES_tradnl"/>
              </w:rPr>
              <w:t xml:space="preserve"> y se complementa con </w:t>
            </w:r>
            <w:hyperlink r:id="rId75" w:history="1">
              <w:r w:rsidRPr="00DF5B4D">
                <w:rPr>
                  <w:rStyle w:val="Hyperlink"/>
                  <w:rFonts w:eastAsia="Calibri"/>
                  <w:lang w:val="es-ES_tradnl"/>
                </w:rPr>
                <w:t>una entrevista en vídeo</w:t>
              </w:r>
            </w:hyperlink>
            <w:r w:rsidRPr="00DF5B4D">
              <w:rPr>
                <w:lang w:val="es-ES_tradnl"/>
              </w:rPr>
              <w:t xml:space="preserve"> a los autores.</w:t>
            </w:r>
          </w:p>
          <w:p w14:paraId="4D48EEC6" w14:textId="77777777" w:rsidR="00224990" w:rsidRPr="00DF5B4D" w:rsidRDefault="00224990" w:rsidP="00186A47">
            <w:pPr>
              <w:pStyle w:val="Tabletext"/>
              <w:spacing w:before="120"/>
              <w:rPr>
                <w:rFonts w:ascii="Calibri" w:eastAsia="Calibri" w:hAnsi="Calibri" w:cs="Calibri"/>
                <w:b/>
                <w:bCs/>
                <w:lang w:val="es-ES_tradnl"/>
              </w:rPr>
            </w:pPr>
            <w:r w:rsidRPr="00DF5B4D">
              <w:rPr>
                <w:b/>
                <w:bCs/>
                <w:lang w:val="es-ES_tradnl"/>
              </w:rPr>
              <w:t>3</w:t>
            </w:r>
            <w:r w:rsidRPr="00DF5B4D">
              <w:rPr>
                <w:b/>
                <w:bCs/>
                <w:lang w:val="es-ES_tradnl"/>
              </w:rPr>
              <w:tab/>
              <w:t>Implementación y seguimiento de la CMSI</w:t>
            </w:r>
          </w:p>
          <w:p w14:paraId="01FCF315" w14:textId="77777777" w:rsidR="00224990" w:rsidRPr="00DF5B4D" w:rsidRDefault="00224990" w:rsidP="0008387E">
            <w:pPr>
              <w:pStyle w:val="Tabletext"/>
              <w:rPr>
                <w:rStyle w:val="ui-provider"/>
                <w:lang w:val="es-ES_tradnl"/>
              </w:rPr>
            </w:pPr>
            <w:r w:rsidRPr="00DF5B4D">
              <w:rPr>
                <w:rStyle w:val="ui-provider"/>
                <w:lang w:val="es-ES_tradnl"/>
              </w:rPr>
              <w:t xml:space="preserve">Siguiendo los productos de la CMDT-22, en particular la Resolución 30, todas las actividades de la BDT contribuyen a la aplicación de los productos de la CMSI y la Agenda 2030 para el Desarrollo Sostenible. Esto incluye la ejecución de actividades regulares en el marco del </w:t>
            </w:r>
            <w:r w:rsidRPr="00DF5B4D">
              <w:rPr>
                <w:rStyle w:val="ui-provider"/>
                <w:b/>
                <w:bCs/>
                <w:lang w:val="es-ES_tradnl"/>
              </w:rPr>
              <w:t>plan operacional, pero también proyectos, iniciativas regionales, iniciativas especiales, así como las Comisiones de Estudio del UIT-D</w:t>
            </w:r>
            <w:r w:rsidRPr="00DF5B4D">
              <w:rPr>
                <w:rStyle w:val="ui-provider"/>
                <w:lang w:val="es-ES_tradnl"/>
              </w:rPr>
              <w:t>.</w:t>
            </w:r>
          </w:p>
          <w:p w14:paraId="6006153D" w14:textId="77777777" w:rsidR="00224990" w:rsidRPr="00DF5B4D" w:rsidRDefault="00224990" w:rsidP="0008387E">
            <w:pPr>
              <w:pStyle w:val="Tabletext"/>
              <w:rPr>
                <w:rFonts w:eastAsiaTheme="minorEastAsia"/>
                <w:lang w:val="es-ES_tradnl"/>
              </w:rPr>
            </w:pPr>
            <w:r w:rsidRPr="00DF5B4D">
              <w:rPr>
                <w:rFonts w:eastAsiaTheme="minorEastAsia"/>
                <w:lang w:val="es-ES_tradnl"/>
              </w:rPr>
              <w:t xml:space="preserve">A nivel de facilitación, la UIT ha seguido desempeñando el papel de facilitador principal para las Líneas de Acción C2 (Infraestructura de las TIC), C6 (Entorno habilitador) y C4 (Creación de capacidades) de la CMSI, al tiempo que ha contribuido significativamente a la Línea de Acción C5 (Confianza en la utilización de las TIC) de la CMSI. Se están organizando una serie de reuniones de facilitación con motivo del Evento de Alto Nivel de la CMSI+20, que se celebrará del 27 al 31 de mayo de 2024 en Ginebra (Suiza). La BDT también sigue </w:t>
            </w:r>
            <w:proofErr w:type="spellStart"/>
            <w:r w:rsidRPr="00DF5B4D">
              <w:rPr>
                <w:rFonts w:eastAsiaTheme="minorEastAsia"/>
                <w:lang w:val="es-ES_tradnl"/>
              </w:rPr>
              <w:t>cofacilitando</w:t>
            </w:r>
            <w:proofErr w:type="spellEnd"/>
            <w:r w:rsidRPr="00DF5B4D">
              <w:rPr>
                <w:rFonts w:eastAsiaTheme="minorEastAsia"/>
                <w:lang w:val="es-ES_tradnl"/>
              </w:rPr>
              <w:t xml:space="preserve"> las Líneas de Acción C1, C3, C7, C9 y C11 de la CMSI, contribuyendo regularmente a todas las reuniones pertinentes e informando.</w:t>
            </w:r>
          </w:p>
          <w:p w14:paraId="6469B03C" w14:textId="77777777" w:rsidR="00224990" w:rsidRPr="00DF5B4D" w:rsidRDefault="00224990" w:rsidP="0008387E">
            <w:pPr>
              <w:pStyle w:val="Tabletext"/>
              <w:rPr>
                <w:rFonts w:eastAsiaTheme="minorEastAsia"/>
                <w:lang w:val="es-ES_tradnl"/>
              </w:rPr>
            </w:pPr>
            <w:r w:rsidRPr="00DF5B4D">
              <w:rPr>
                <w:rFonts w:eastAsiaTheme="minorEastAsia"/>
                <w:lang w:val="es-ES_tradnl"/>
              </w:rPr>
              <w:t>Además, la UIT siguió siendo miembro activo de la Asociación para la Medición de las TIC para el Desarrollo y de su Comisión de Dirección, junto con la UNCTAD y el DAES. El número de miembros de la Asociación se ha ampliado a 14 organizaciones. Ha estado supervisando el desarrollo de las TIC en todo el mundo, haciendo un seguimiento de los avances hacia los objetivos de la CMSI y concienciando sobre la importancia de las TIC para el desarrollo. La Asociación participa activamente en el seguimiento de los Objetivos de Desarrollo Sostenible (ODS), varias de cuyas metas se refieren a las TIC y la tecnología.</w:t>
            </w:r>
            <w:r w:rsidRPr="00DF5B4D">
              <w:rPr>
                <w:lang w:val="es-ES_tradnl"/>
              </w:rPr>
              <w:t xml:space="preserve"> </w:t>
            </w:r>
            <w:r w:rsidRPr="00DF5B4D">
              <w:rPr>
                <w:rFonts w:eastAsiaTheme="minorEastAsia"/>
                <w:lang w:val="es-ES_tradnl"/>
              </w:rPr>
              <w:t>En el marco global de indicadores de los ODS, de un total de 231 indicadores, se incluyen siete indicadores de TIC, que cubren seis metas de los Objetivos 4, 5, 9 y 17. La UIT custodia cinco de los siete indicadores. La UIT es el custodio de cinco de los siete indicadores. (Para más información sobre la contribución de la UIT a la Asociación, véase la sección sobre Medición).</w:t>
            </w:r>
          </w:p>
          <w:p w14:paraId="459ACDEE" w14:textId="6D6EE7A1" w:rsidR="00224990" w:rsidRPr="00DF5B4D" w:rsidRDefault="00224990" w:rsidP="00186A47">
            <w:pPr>
              <w:pStyle w:val="Tabletext"/>
              <w:rPr>
                <w:lang w:val="es-ES_tradnl"/>
              </w:rPr>
            </w:pPr>
            <w:r w:rsidRPr="00DF5B4D">
              <w:rPr>
                <w:lang w:val="es-ES_tradnl"/>
              </w:rPr>
              <w:t xml:space="preserve">A nivel regional, las Oficinas Regionales de la UIT han seguido desempeñando un importante doble papel en términos de aplicación y seguimiento. Los </w:t>
            </w:r>
            <w:r w:rsidRPr="00DF5B4D">
              <w:rPr>
                <w:b/>
                <w:bCs/>
                <w:lang w:val="es-ES_tradnl"/>
              </w:rPr>
              <w:t>seis</w:t>
            </w:r>
            <w:r w:rsidR="001A5926">
              <w:rPr>
                <w:b/>
                <w:bCs/>
                <w:lang w:val="es-ES_tradnl"/>
              </w:rPr>
              <w:t xml:space="preserve"> Foros de Desarrollo Regional</w:t>
            </w:r>
            <w:r w:rsidRPr="00DF5B4D">
              <w:rPr>
                <w:b/>
                <w:bCs/>
                <w:lang w:val="es-ES_tradnl"/>
              </w:rPr>
              <w:t xml:space="preserve"> </w:t>
            </w:r>
            <w:r w:rsidR="001A5926">
              <w:rPr>
                <w:b/>
                <w:bCs/>
                <w:lang w:val="es-ES_tradnl"/>
              </w:rPr>
              <w:t>(</w:t>
            </w:r>
            <w:r w:rsidRPr="00DF5B4D">
              <w:rPr>
                <w:b/>
                <w:bCs/>
                <w:lang w:val="es-ES_tradnl"/>
              </w:rPr>
              <w:t>FRD</w:t>
            </w:r>
            <w:r w:rsidR="001A5926">
              <w:rPr>
                <w:b/>
                <w:bCs/>
                <w:lang w:val="es-ES_tradnl"/>
              </w:rPr>
              <w:t>)</w:t>
            </w:r>
            <w:r w:rsidRPr="00DF5B4D">
              <w:rPr>
                <w:b/>
                <w:bCs/>
                <w:lang w:val="es-ES_tradnl"/>
              </w:rPr>
              <w:t xml:space="preserve"> celebrados en</w:t>
            </w:r>
            <w:r w:rsidR="00C1796F">
              <w:rPr>
                <w:b/>
                <w:bCs/>
                <w:lang w:val="es-ES_tradnl"/>
              </w:rPr>
              <w:t>tre</w:t>
            </w:r>
            <w:r w:rsidRPr="00DF5B4D">
              <w:rPr>
                <w:b/>
                <w:bCs/>
                <w:lang w:val="es-ES_tradnl"/>
              </w:rPr>
              <w:t xml:space="preserve"> 2023 y 2024 atrajeron a más de 1500 partes interesadas de todo el mundo</w:t>
            </w:r>
            <w:r w:rsidRPr="00DF5B4D">
              <w:rPr>
                <w:lang w:val="es-ES_tradnl"/>
              </w:rPr>
              <w:t xml:space="preserve">, proporcionando una plataforma eficaz para que todas las partes interesadas debatieran la </w:t>
            </w:r>
            <w:r w:rsidRPr="00DF5B4D">
              <w:rPr>
                <w:lang w:val="es-ES_tradnl"/>
              </w:rPr>
              <w:lastRenderedPageBreak/>
              <w:t>aplicación de las iniciativas regionales de la UIT que contribuyen a la aplicación de las Líneas de Acción de la CMSI. Las reuniones atrajeron a representantes del sistema de las Naciones Unidas, incluidas las comisiones regionales de las Naciones Unidas, que desempeñan la función de seguimiento de la aplicación de la CMSI a nivel regional.</w:t>
            </w:r>
          </w:p>
          <w:p w14:paraId="5EDAFF06" w14:textId="77777777" w:rsidR="00224990" w:rsidRPr="00DF5B4D" w:rsidRDefault="00224990" w:rsidP="00186A47">
            <w:pPr>
              <w:pStyle w:val="Tabletext"/>
              <w:rPr>
                <w:lang w:val="es-ES_tradnl"/>
              </w:rPr>
            </w:pPr>
            <w:r w:rsidRPr="00DF5B4D">
              <w:rPr>
                <w:lang w:val="es-ES_tradnl"/>
              </w:rPr>
              <w:t>Además, las Oficinas Regionales de la UIT han seguido contribuyendo a una serie de foros regionales de desarrollo sostenible de las Naciones Unidas, llamando la atención sobre el papel facilitador de lo digital para el desarrollo y abogando por la alineación entre los procesos de la CMSI y los ODS. Además, la UIT ha seguido desempeñando un papel activo en el sistema de desarrollo de las Naciones Unidas. A nivel regional, la UIT ha contribuido a las plataformas de coordinación del sistema de las Naciones Unidas relacionadas con lo digital (Coaliciones sobre oportunidades y cuestiones concretas) al tiempo que ha promovido la armonización entre los procesos de la CMSI y los ODS, y ha desarrollado varios productos y servicios para apoyar la labor de los Equipos de Países de las Naciones Unidas.</w:t>
            </w:r>
          </w:p>
          <w:p w14:paraId="127661AC" w14:textId="77777777" w:rsidR="00224990" w:rsidRPr="00DF5B4D" w:rsidRDefault="00224990" w:rsidP="00186A47">
            <w:pPr>
              <w:pStyle w:val="Tabletext"/>
              <w:rPr>
                <w:lang w:val="es-ES_tradnl"/>
              </w:rPr>
            </w:pPr>
            <w:r w:rsidRPr="00DF5B4D">
              <w:rPr>
                <w:lang w:val="es-ES_tradnl"/>
              </w:rPr>
              <w:t>A nivel nacional, la UIT se ha convertido en miembro no residente de los Equipos de Países de las Naciones Unidas y ha contribuido de forma proactiva al proceso de elaboración de análisis específicos de cada país y al diseño conjunto de los marcos de desarrollo sostenible de las Naciones Unidas. La UIT también ha pilotado la ejecución de los primeros proyectos en el marco de la Ventana Digital del Fondo Conjunto para los ODS.</w:t>
            </w:r>
          </w:p>
          <w:p w14:paraId="628DCAD0" w14:textId="77777777" w:rsidR="00224990" w:rsidRPr="00DF5B4D" w:rsidRDefault="00224990" w:rsidP="00186A47">
            <w:pPr>
              <w:pStyle w:val="Tabletext"/>
              <w:spacing w:before="120"/>
              <w:rPr>
                <w:b/>
                <w:bCs/>
                <w:lang w:val="es-ES_tradnl"/>
              </w:rPr>
            </w:pPr>
            <w:r w:rsidRPr="00DF5B4D">
              <w:rPr>
                <w:b/>
                <w:bCs/>
                <w:lang w:val="es-ES_tradnl"/>
              </w:rPr>
              <w:t>4</w:t>
            </w:r>
            <w:r w:rsidRPr="00DF5B4D">
              <w:rPr>
                <w:b/>
                <w:bCs/>
                <w:lang w:val="es-ES_tradnl"/>
              </w:rPr>
              <w:tab/>
              <w:t>Coalición P2C de la UIT</w:t>
            </w:r>
          </w:p>
          <w:p w14:paraId="74AA8AC4" w14:textId="77777777" w:rsidR="00224990" w:rsidRPr="00DF5B4D" w:rsidRDefault="00224990" w:rsidP="00186A47">
            <w:pPr>
              <w:pStyle w:val="Tabletext"/>
              <w:rPr>
                <w:lang w:val="es-ES_tradnl"/>
              </w:rPr>
            </w:pPr>
            <w:bookmarkStart w:id="7" w:name="OLE_LINK1"/>
            <w:r w:rsidRPr="00DF5B4D">
              <w:rPr>
                <w:lang w:val="es-ES_tradnl"/>
              </w:rPr>
              <w:t>La P2C lanzada en 2021 por la UIT en estrecha colaboración con la Oficina del Enviado del Secretario General para la Tecnología y la Oficina del Alto Representante de las Naciones Unidas para los Países Menos Adelantados, los Países en Desarrollo sin Litoral y los Pequeños Estados Insulares en Desarrollo (OARPPP). La CMDT-22, celebrada en Kigali (</w:t>
            </w:r>
            <w:proofErr w:type="spellStart"/>
            <w:r w:rsidRPr="00DF5B4D">
              <w:rPr>
                <w:lang w:val="es-ES_tradnl"/>
              </w:rPr>
              <w:t>Rwanda</w:t>
            </w:r>
            <w:proofErr w:type="spellEnd"/>
            <w:r w:rsidRPr="00DF5B4D">
              <w:rPr>
                <w:lang w:val="es-ES_tradnl"/>
              </w:rPr>
              <w:t xml:space="preserve">), adoptó la </w:t>
            </w:r>
            <w:hyperlink r:id="rId76" w:history="1">
              <w:r w:rsidRPr="00DF5B4D">
                <w:rPr>
                  <w:rStyle w:val="Hyperlink"/>
                  <w:rFonts w:ascii="Calibri" w:eastAsia="Calibri" w:hAnsi="Calibri" w:cs="Calibri"/>
                  <w:lang w:val="es-ES_tradnl"/>
                </w:rPr>
                <w:t>Resolución 88</w:t>
              </w:r>
            </w:hyperlink>
            <w:r w:rsidRPr="00DF5B4D">
              <w:rPr>
                <w:lang w:val="es-ES_tradnl"/>
              </w:rPr>
              <w:t xml:space="preserve"> y encargó al Director de la BDT que siguiera trabajando en la P2C centrándose en las asociaciones para la ejecución de proyectos y la ampliación de los compromisos.</w:t>
            </w:r>
          </w:p>
          <w:p w14:paraId="4D9A6F0C" w14:textId="77777777" w:rsidR="00224990" w:rsidRPr="00DF5B4D" w:rsidRDefault="00224990" w:rsidP="00186A47">
            <w:pPr>
              <w:pStyle w:val="Tabletext"/>
              <w:spacing w:before="120"/>
              <w:rPr>
                <w:b/>
                <w:bCs/>
                <w:lang w:val="es-ES_tradnl"/>
              </w:rPr>
            </w:pPr>
            <w:r w:rsidRPr="00DF5B4D">
              <w:rPr>
                <w:b/>
                <w:bCs/>
                <w:lang w:val="es-ES_tradnl"/>
              </w:rPr>
              <w:t>Actividades, productos y logros de la P2C de julio de 2023 a febrero de 2024:</w:t>
            </w:r>
          </w:p>
          <w:p w14:paraId="60E8580F" w14:textId="51C6043A" w:rsidR="00224990" w:rsidRDefault="00224990" w:rsidP="00186A47">
            <w:pPr>
              <w:pStyle w:val="Tabletext"/>
              <w:ind w:left="284" w:hanging="284"/>
              <w:rPr>
                <w:color w:val="000000" w:themeColor="text1"/>
                <w:lang w:val="es-ES_tradnl"/>
              </w:rPr>
            </w:pPr>
            <w:r w:rsidRPr="00DF5B4D">
              <w:rPr>
                <w:b/>
                <w:bCs/>
                <w:color w:val="000000" w:themeColor="text1"/>
                <w:lang w:val="es-ES_tradnl"/>
              </w:rPr>
              <w:t>•</w:t>
            </w:r>
            <w:r w:rsidRPr="00DF5B4D">
              <w:rPr>
                <w:b/>
                <w:bCs/>
                <w:color w:val="000000" w:themeColor="text1"/>
                <w:lang w:val="es-ES_tradnl"/>
              </w:rPr>
              <w:tab/>
              <w:t>Se organizaron 2</w:t>
            </w:r>
            <w:r>
              <w:rPr>
                <w:b/>
                <w:bCs/>
                <w:color w:val="000000" w:themeColor="text1"/>
                <w:lang w:val="es-ES_tradnl"/>
              </w:rPr>
              <w:t>5</w:t>
            </w:r>
            <w:r w:rsidRPr="00DF5B4D">
              <w:rPr>
                <w:b/>
                <w:bCs/>
                <w:color w:val="000000" w:themeColor="text1"/>
                <w:lang w:val="es-ES_tradnl"/>
              </w:rPr>
              <w:t xml:space="preserve"> mesas redondas de establecimiento de contactos durante los seis </w:t>
            </w:r>
            <w:hyperlink r:id="rId77" w:history="1">
              <w:r w:rsidRPr="00DF5B4D">
                <w:rPr>
                  <w:rStyle w:val="Hyperlink"/>
                  <w:rFonts w:ascii="Calibri" w:eastAsia="Calibri" w:hAnsi="Calibri" w:cs="Calibri"/>
                  <w:b/>
                  <w:bCs/>
                  <w:lang w:val="es-ES_tradnl"/>
                </w:rPr>
                <w:t>FDR del UIT-D</w:t>
              </w:r>
            </w:hyperlink>
            <w:r w:rsidRPr="00DF5B4D">
              <w:rPr>
                <w:color w:val="000000" w:themeColor="text1"/>
                <w:lang w:val="es-ES_tradnl"/>
              </w:rPr>
              <w:t xml:space="preserve">, para garantizar que las prioridades o necesidades individuales de cada país y región se correspondan como una forma de hacer operacionales las numerosas promesas que se habían anunciado. La </w:t>
            </w:r>
            <w:r w:rsidR="00B51568" w:rsidRPr="00DF5B4D">
              <w:rPr>
                <w:color w:val="000000" w:themeColor="text1"/>
                <w:lang w:val="es-ES_tradnl"/>
              </w:rPr>
              <w:t>BD</w:t>
            </w:r>
            <w:r w:rsidR="00B51568">
              <w:rPr>
                <w:color w:val="000000" w:themeColor="text1"/>
                <w:lang w:val="es-ES_tradnl"/>
              </w:rPr>
              <w:t>T</w:t>
            </w:r>
            <w:r w:rsidR="00B51568" w:rsidRPr="00DF5B4D">
              <w:rPr>
                <w:color w:val="000000" w:themeColor="text1"/>
                <w:lang w:val="es-ES_tradnl"/>
              </w:rPr>
              <w:t xml:space="preserve"> </w:t>
            </w:r>
            <w:r w:rsidRPr="00DF5B4D">
              <w:rPr>
                <w:color w:val="000000" w:themeColor="text1"/>
                <w:lang w:val="es-ES_tradnl"/>
              </w:rPr>
              <w:t>se está centrando en traducir las promesas de P2C en acciones concretas que generen una repercusión significativa sobre el territorio, beneficiando directamente a los ciudadanos comunes, a las comunidades y dando lugar a la transformación digital general en los países beneficiarios.</w:t>
            </w:r>
          </w:p>
          <w:p w14:paraId="404D311D" w14:textId="4D962E8B" w:rsidR="001A5926" w:rsidRPr="00DF5B4D" w:rsidRDefault="001A5926" w:rsidP="001A5926">
            <w:pPr>
              <w:pStyle w:val="Tabletext"/>
              <w:ind w:left="284" w:hanging="284"/>
              <w:rPr>
                <w:lang w:val="es-ES_tradnl"/>
              </w:rPr>
            </w:pPr>
            <w:r w:rsidRPr="00DF5B4D">
              <w:rPr>
                <w:lang w:val="es-ES_tradnl"/>
              </w:rPr>
              <w:t>•</w:t>
            </w:r>
            <w:r w:rsidRPr="00DF5B4D">
              <w:rPr>
                <w:lang w:val="es-ES_tradnl"/>
              </w:rPr>
              <w:tab/>
              <w:t xml:space="preserve">Hasta el 28 de febrero de 2024, </w:t>
            </w:r>
            <w:r>
              <w:rPr>
                <w:lang w:val="es-ES_tradnl"/>
              </w:rPr>
              <w:t xml:space="preserve">la </w:t>
            </w:r>
            <w:r w:rsidRPr="00DF5B4D">
              <w:rPr>
                <w:lang w:val="es-ES_tradnl"/>
              </w:rPr>
              <w:t xml:space="preserve">P2C ha recibido </w:t>
            </w:r>
            <w:r w:rsidRPr="00DF5B4D">
              <w:rPr>
                <w:b/>
                <w:bCs/>
                <w:lang w:val="es-ES_tradnl"/>
              </w:rPr>
              <w:t>873 promesas</w:t>
            </w:r>
            <w:r>
              <w:rPr>
                <w:b/>
                <w:bCs/>
                <w:lang w:val="es-ES_tradnl"/>
              </w:rPr>
              <w:t xml:space="preserve"> cuyo valor supera los</w:t>
            </w:r>
            <w:r w:rsidRPr="00DF5B4D">
              <w:rPr>
                <w:b/>
                <w:bCs/>
                <w:lang w:val="es-ES_tradnl"/>
              </w:rPr>
              <w:t xml:space="preserve"> 46</w:t>
            </w:r>
            <w:r>
              <w:rPr>
                <w:b/>
                <w:bCs/>
                <w:lang w:val="es-ES_tradnl"/>
              </w:rPr>
              <w:t xml:space="preserve"> </w:t>
            </w:r>
            <w:r w:rsidRPr="00DF5B4D">
              <w:rPr>
                <w:b/>
                <w:bCs/>
                <w:lang w:val="es-ES_tradnl"/>
              </w:rPr>
              <w:t>07</w:t>
            </w:r>
            <w:r>
              <w:rPr>
                <w:b/>
                <w:bCs/>
                <w:lang w:val="es-ES_tradnl"/>
              </w:rPr>
              <w:t>0</w:t>
            </w:r>
            <w:r w:rsidRPr="00DF5B4D">
              <w:rPr>
                <w:b/>
                <w:bCs/>
                <w:lang w:val="es-ES_tradnl"/>
              </w:rPr>
              <w:t xml:space="preserve"> millones </w:t>
            </w:r>
            <w:r>
              <w:rPr>
                <w:b/>
                <w:bCs/>
                <w:lang w:val="es-ES_tradnl"/>
              </w:rPr>
              <w:t>USD</w:t>
            </w:r>
            <w:r w:rsidRPr="00DF5B4D">
              <w:rPr>
                <w:b/>
                <w:bCs/>
                <w:lang w:val="es-ES_tradnl"/>
              </w:rPr>
              <w:t xml:space="preserve">, realizadas por 426 entidades, </w:t>
            </w:r>
            <w:r w:rsidRPr="00DF5B4D">
              <w:rPr>
                <w:lang w:val="es-ES_tradnl"/>
              </w:rPr>
              <w:t xml:space="preserve">entre ellas, gobiernos, empresas del sector privado, organismos de las Naciones Unidas y otras organizaciones internacionales o regionales (incluidos bancos multilaterales de desarrollo), la sociedad civil, las instituciones académicas y los grupos de jóvenes. Los autores de </w:t>
            </w:r>
            <w:r>
              <w:rPr>
                <w:lang w:val="es-ES_tradnl"/>
              </w:rPr>
              <w:t xml:space="preserve">estas promesas proceden </w:t>
            </w:r>
            <w:r w:rsidRPr="00DF5B4D">
              <w:rPr>
                <w:lang w:val="es-ES_tradnl"/>
              </w:rPr>
              <w:t xml:space="preserve">de </w:t>
            </w:r>
            <w:r w:rsidRPr="00DF5B4D">
              <w:rPr>
                <w:b/>
                <w:bCs/>
                <w:lang w:val="es-ES_tradnl"/>
              </w:rPr>
              <w:t>141 países</w:t>
            </w:r>
            <w:r w:rsidRPr="00DF5B4D">
              <w:rPr>
                <w:lang w:val="es-ES_tradnl"/>
              </w:rPr>
              <w:t xml:space="preserve">. En el Programa Ministerial </w:t>
            </w:r>
            <w:r w:rsidR="00C1796F">
              <w:rPr>
                <w:lang w:val="es-ES_tradnl"/>
              </w:rPr>
              <w:t>d</w:t>
            </w:r>
            <w:r w:rsidRPr="00DF5B4D">
              <w:rPr>
                <w:lang w:val="es-ES_tradnl"/>
              </w:rPr>
              <w:t xml:space="preserve">el Mobile </w:t>
            </w:r>
            <w:proofErr w:type="spellStart"/>
            <w:r w:rsidRPr="00DF5B4D">
              <w:rPr>
                <w:lang w:val="es-ES_tradnl"/>
              </w:rPr>
              <w:t>World</w:t>
            </w:r>
            <w:proofErr w:type="spellEnd"/>
            <w:r w:rsidRPr="00DF5B4D">
              <w:rPr>
                <w:lang w:val="es-ES_tradnl"/>
              </w:rPr>
              <w:t xml:space="preserve"> </w:t>
            </w:r>
            <w:proofErr w:type="spellStart"/>
            <w:r w:rsidRPr="00DF5B4D">
              <w:rPr>
                <w:lang w:val="es-ES_tradnl"/>
              </w:rPr>
              <w:t>Congress</w:t>
            </w:r>
            <w:proofErr w:type="spellEnd"/>
            <w:r w:rsidRPr="00DF5B4D">
              <w:rPr>
                <w:lang w:val="es-ES_tradnl"/>
              </w:rPr>
              <w:t xml:space="preserve"> (MWC</w:t>
            </w:r>
            <w:r>
              <w:rPr>
                <w:lang w:val="es-ES_tradnl"/>
              </w:rPr>
              <w:t xml:space="preserve">, </w:t>
            </w:r>
            <w:r w:rsidRPr="00DF5B4D">
              <w:rPr>
                <w:lang w:val="es-ES_tradnl"/>
              </w:rPr>
              <w:t>26-29 de febrero de 2024</w:t>
            </w:r>
            <w:r>
              <w:rPr>
                <w:lang w:val="es-ES_tradnl"/>
              </w:rPr>
              <w:t>,</w:t>
            </w:r>
            <w:r w:rsidRPr="00DF5B4D">
              <w:rPr>
                <w:lang w:val="es-ES_tradnl"/>
              </w:rPr>
              <w:t xml:space="preserve"> Barcelona), se anunciaron promesas </w:t>
            </w:r>
            <w:r>
              <w:rPr>
                <w:lang w:val="es-ES_tradnl"/>
              </w:rPr>
              <w:t xml:space="preserve">relacionadas con </w:t>
            </w:r>
            <w:r w:rsidRPr="00DF5B4D">
              <w:rPr>
                <w:lang w:val="es-ES_tradnl"/>
              </w:rPr>
              <w:t xml:space="preserve">infraestructuras </w:t>
            </w:r>
            <w:r>
              <w:rPr>
                <w:lang w:val="es-ES_tradnl"/>
              </w:rPr>
              <w:t>por</w:t>
            </w:r>
            <w:r w:rsidRPr="00DF5B4D">
              <w:rPr>
                <w:lang w:val="es-ES_tradnl"/>
              </w:rPr>
              <w:t xml:space="preserve"> valor de 9</w:t>
            </w:r>
            <w:r>
              <w:rPr>
                <w:lang w:val="es-ES_tradnl"/>
              </w:rPr>
              <w:t xml:space="preserve"> 000 </w:t>
            </w:r>
            <w:r w:rsidRPr="00DF5B4D">
              <w:rPr>
                <w:lang w:val="es-ES_tradnl"/>
              </w:rPr>
              <w:t>millones USD</w:t>
            </w:r>
            <w:r w:rsidRPr="001A5926">
              <w:rPr>
                <w:lang w:val="es-ES_tradnl"/>
              </w:rPr>
              <w:t>.</w:t>
            </w:r>
          </w:p>
          <w:p w14:paraId="4C8714BC" w14:textId="77777777" w:rsidR="00224990" w:rsidRPr="00DF5B4D" w:rsidRDefault="00224990" w:rsidP="00186A47">
            <w:pPr>
              <w:pStyle w:val="Tabletext"/>
              <w:spacing w:before="120"/>
              <w:rPr>
                <w:b/>
                <w:bCs/>
                <w:lang w:val="es-ES_tradnl"/>
              </w:rPr>
            </w:pPr>
            <w:r w:rsidRPr="00DF5B4D">
              <w:rPr>
                <w:b/>
                <w:bCs/>
                <w:lang w:val="es-ES_tradnl"/>
              </w:rPr>
              <w:t>5</w:t>
            </w:r>
            <w:r w:rsidRPr="00DF5B4D">
              <w:rPr>
                <w:b/>
                <w:bCs/>
                <w:lang w:val="es-ES_tradnl"/>
              </w:rPr>
              <w:tab/>
              <w:t>Eventos del UIT-D:</w:t>
            </w:r>
          </w:p>
          <w:bookmarkEnd w:id="7"/>
          <w:p w14:paraId="75334F9A" w14:textId="77777777" w:rsidR="00224990" w:rsidRPr="00DF5B4D" w:rsidRDefault="00224990" w:rsidP="00186A47">
            <w:pPr>
              <w:pStyle w:val="Tabletext"/>
              <w:rPr>
                <w:b/>
                <w:bCs/>
                <w:lang w:val="es-ES_tradnl"/>
              </w:rPr>
            </w:pPr>
            <w:r w:rsidRPr="00DF5B4D">
              <w:rPr>
                <w:lang w:val="es-ES_tradnl"/>
              </w:rPr>
              <w:lastRenderedPageBreak/>
              <w:t>En 2023, el UIT-D celebró 118 eventos no estatutarios, incluidos talleres, sesiones informativas, simposios, seminarios y foros, dirigidos a diversos públicos, algunos mundiales y otros regionales. Aprovechando el impulso de 2022, se produjo un notable aumento del número de eventos físicos e híbridos, mientras que unos pocos siguieron siendo totalmente virtuales. De los 118 eventos, 46 fueron totalmente presenciales, 45 híbridos y 27 virtuales. Los eventos abarcaron todas las prioridades del UIT-D de conformidad con el Plan de Acción de Kigali aprobado por la CMDT-22, fomentando la colaboración y la innovación.</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4C81C8F2" w14:textId="77777777" w:rsidR="00224990" w:rsidRPr="00DF5B4D" w:rsidRDefault="00224990" w:rsidP="007D4227">
            <w:pPr>
              <w:pStyle w:val="Tabletext"/>
              <w:ind w:left="284" w:hanging="284"/>
              <w:rPr>
                <w:rFonts w:eastAsia="Calibri" w:cs="Times New Roman"/>
                <w:lang w:val="es-ES_tradnl"/>
              </w:rPr>
            </w:pPr>
            <w:r w:rsidRPr="00DF5B4D">
              <w:rPr>
                <w:rFonts w:eastAsia="Calibri"/>
                <w:lang w:val="es-ES_tradnl"/>
              </w:rPr>
              <w:lastRenderedPageBreak/>
              <w:t>•</w:t>
            </w:r>
            <w:r w:rsidRPr="00DF5B4D">
              <w:rPr>
                <w:rFonts w:eastAsia="Calibri"/>
                <w:lang w:val="es-ES_tradnl"/>
              </w:rPr>
              <w:tab/>
              <w:t>UIT-D: 27 miembros nuevos.</w:t>
            </w:r>
          </w:p>
          <w:p w14:paraId="2A06CB73" w14:textId="77777777" w:rsidR="00224990" w:rsidRPr="00DF5B4D" w:rsidRDefault="00224990" w:rsidP="007D4227">
            <w:pPr>
              <w:pStyle w:val="Tabletext"/>
              <w:ind w:left="284" w:hanging="284"/>
              <w:rPr>
                <w:rFonts w:eastAsia="Calibri" w:cs="Times New Roman"/>
                <w:lang w:val="es-ES_tradnl"/>
              </w:rPr>
            </w:pPr>
            <w:r w:rsidRPr="00DF5B4D">
              <w:rPr>
                <w:rFonts w:eastAsia="Calibri"/>
                <w:lang w:val="es-ES_tradnl"/>
              </w:rPr>
              <w:t>•</w:t>
            </w:r>
            <w:r w:rsidRPr="00DF5B4D">
              <w:rPr>
                <w:rFonts w:eastAsia="Calibri"/>
                <w:lang w:val="es-ES_tradnl"/>
              </w:rPr>
              <w:tab/>
              <w:t>Todas las actividades de la BDT contribuyen a la aplicación de las realizaciones de la CMSI y la Agenda 2030 para el Desarrollo Sostenible.</w:t>
            </w:r>
          </w:p>
          <w:p w14:paraId="61B7C4F4" w14:textId="77777777" w:rsidR="00224990" w:rsidRPr="00DF5B4D" w:rsidRDefault="00224990" w:rsidP="007D4227">
            <w:pPr>
              <w:pStyle w:val="Tabletext"/>
              <w:ind w:left="284" w:hanging="284"/>
              <w:rPr>
                <w:rFonts w:eastAsia="Calibri" w:cs="Times New Roman"/>
                <w:lang w:val="es-ES_tradnl"/>
              </w:rPr>
            </w:pPr>
            <w:r w:rsidRPr="00DF5B4D">
              <w:rPr>
                <w:rFonts w:eastAsia="Calibri"/>
                <w:lang w:val="es-ES_tradnl"/>
              </w:rPr>
              <w:t>•</w:t>
            </w:r>
            <w:r w:rsidRPr="00DF5B4D">
              <w:rPr>
                <w:rFonts w:eastAsia="Calibri"/>
                <w:lang w:val="es-ES_tradnl"/>
              </w:rPr>
              <w:tab/>
              <w:t>Seis FDR de la UIT celebrados en 2023 y 2024. (Más de 1 500 partes interesadas)</w:t>
            </w:r>
          </w:p>
          <w:p w14:paraId="620BBE19" w14:textId="77777777" w:rsidR="00224990" w:rsidRPr="00DF5B4D" w:rsidRDefault="00224990" w:rsidP="007D4227">
            <w:pPr>
              <w:pStyle w:val="Tabletext"/>
              <w:rPr>
                <w:b/>
                <w:bCs/>
                <w:lang w:val="es-ES_tradnl"/>
              </w:rPr>
            </w:pPr>
            <w:r w:rsidRPr="00DF5B4D">
              <w:rPr>
                <w:b/>
                <w:bCs/>
                <w:lang w:val="es-ES_tradnl"/>
              </w:rPr>
              <w:t>P2C:</w:t>
            </w:r>
          </w:p>
          <w:p w14:paraId="7788AFC7" w14:textId="70DD4F78" w:rsidR="00224990" w:rsidRPr="00DF5B4D" w:rsidRDefault="00224990" w:rsidP="007D4227">
            <w:pPr>
              <w:pStyle w:val="Tabletext"/>
              <w:ind w:left="284" w:hanging="284"/>
              <w:rPr>
                <w:rFonts w:eastAsia="Calibri" w:cs="Times New Roman"/>
                <w:lang w:val="es-ES_tradnl"/>
              </w:rPr>
            </w:pPr>
            <w:r w:rsidRPr="00DF5B4D">
              <w:rPr>
                <w:rFonts w:eastAsia="Calibri"/>
                <w:lang w:val="es-ES_tradnl"/>
              </w:rPr>
              <w:t>•</w:t>
            </w:r>
            <w:r w:rsidRPr="00DF5B4D">
              <w:rPr>
                <w:rFonts w:eastAsia="Calibri"/>
                <w:lang w:val="es-ES_tradnl"/>
              </w:rPr>
              <w:tab/>
            </w:r>
            <w:r w:rsidR="001A5926">
              <w:rPr>
                <w:rFonts w:eastAsia="Calibri"/>
                <w:lang w:val="es-ES_tradnl"/>
              </w:rPr>
              <w:t xml:space="preserve">La </w:t>
            </w:r>
            <w:r w:rsidRPr="00DF5B4D">
              <w:rPr>
                <w:rFonts w:eastAsia="Calibri"/>
                <w:lang w:val="es-ES_tradnl"/>
              </w:rPr>
              <w:t xml:space="preserve">P2C ha recibido 873 promesas (141 países) </w:t>
            </w:r>
            <w:r w:rsidR="001A5926">
              <w:rPr>
                <w:rFonts w:eastAsia="Calibri"/>
                <w:lang w:val="es-ES_tradnl"/>
              </w:rPr>
              <w:t>cuyo valor supera los</w:t>
            </w:r>
            <w:r w:rsidRPr="00DF5B4D">
              <w:rPr>
                <w:rFonts w:eastAsia="Calibri"/>
                <w:lang w:val="es-ES_tradnl"/>
              </w:rPr>
              <w:t xml:space="preserve"> 46</w:t>
            </w:r>
            <w:r w:rsidR="001A5926">
              <w:rPr>
                <w:rFonts w:eastAsia="Calibri"/>
                <w:lang w:val="es-ES_tradnl"/>
              </w:rPr>
              <w:t xml:space="preserve"> </w:t>
            </w:r>
            <w:r w:rsidRPr="00DF5B4D">
              <w:rPr>
                <w:rFonts w:eastAsia="Calibri"/>
                <w:lang w:val="es-ES_tradnl"/>
              </w:rPr>
              <w:t>07</w:t>
            </w:r>
            <w:r w:rsidR="001A5926">
              <w:rPr>
                <w:rFonts w:eastAsia="Calibri"/>
                <w:lang w:val="es-ES_tradnl"/>
              </w:rPr>
              <w:t>0</w:t>
            </w:r>
            <w:r w:rsidRPr="00DF5B4D">
              <w:rPr>
                <w:rFonts w:eastAsia="Calibri"/>
                <w:lang w:val="es-ES_tradnl"/>
              </w:rPr>
              <w:t xml:space="preserve"> </w:t>
            </w:r>
            <w:r w:rsidRPr="00DF5B4D">
              <w:rPr>
                <w:rFonts w:eastAsia="Calibri"/>
                <w:lang w:val="es-ES_tradnl"/>
              </w:rPr>
              <w:lastRenderedPageBreak/>
              <w:t>millones USD, hechas por 426 entidades.</w:t>
            </w:r>
          </w:p>
          <w:p w14:paraId="51CC584F" w14:textId="77777777" w:rsidR="00224990" w:rsidRPr="00DF5B4D" w:rsidRDefault="00224990" w:rsidP="007D4227">
            <w:pPr>
              <w:pStyle w:val="Tabletext"/>
              <w:rPr>
                <w:b/>
                <w:bCs/>
                <w:lang w:val="es-ES_tradnl"/>
              </w:rPr>
            </w:pPr>
            <w:r w:rsidRPr="00DF5B4D">
              <w:rPr>
                <w:b/>
                <w:bCs/>
                <w:lang w:val="es-ES_tradnl"/>
              </w:rPr>
              <w:t>Comisiones de Estudio:</w:t>
            </w:r>
          </w:p>
          <w:p w14:paraId="2764A1A6" w14:textId="77777777" w:rsidR="00224990" w:rsidRPr="00DF5B4D" w:rsidRDefault="00224990" w:rsidP="007D4227">
            <w:pPr>
              <w:pStyle w:val="Tabletext"/>
              <w:ind w:left="284" w:hanging="284"/>
              <w:rPr>
                <w:rFonts w:eastAsia="Calibri" w:cs="Times New Roman"/>
                <w:lang w:val="es-ES_tradnl"/>
              </w:rPr>
            </w:pPr>
            <w:r w:rsidRPr="00DF5B4D">
              <w:rPr>
                <w:rFonts w:eastAsia="Calibri"/>
                <w:lang w:val="es-ES_tradnl"/>
              </w:rPr>
              <w:t>•</w:t>
            </w:r>
            <w:r w:rsidRPr="00DF5B4D">
              <w:rPr>
                <w:rFonts w:eastAsia="Calibri"/>
                <w:lang w:val="es-ES_tradnl"/>
              </w:rPr>
              <w:tab/>
              <w:t>2 productos intermedios (papeles) publicados. 155 documentos fueron debatidos en la reunión de la CE 1 del UIT-D de 2023.</w:t>
            </w:r>
          </w:p>
          <w:p w14:paraId="5A9A13B4" w14:textId="77777777" w:rsidR="00224990" w:rsidRPr="00DF5B4D" w:rsidRDefault="00224990" w:rsidP="007D4227">
            <w:pPr>
              <w:pStyle w:val="Tabletext"/>
              <w:ind w:left="284" w:hanging="284"/>
              <w:rPr>
                <w:rFonts w:eastAsia="Calibri" w:cs="Times New Roman"/>
                <w:lang w:val="es-ES_tradnl"/>
              </w:rPr>
            </w:pPr>
            <w:r w:rsidRPr="00DF5B4D">
              <w:rPr>
                <w:rFonts w:eastAsia="Calibri"/>
                <w:lang w:val="es-ES_tradnl"/>
              </w:rPr>
              <w:t>•</w:t>
            </w:r>
            <w:r w:rsidRPr="00DF5B4D">
              <w:rPr>
                <w:rFonts w:eastAsia="Calibri"/>
                <w:lang w:val="es-ES_tradnl"/>
              </w:rPr>
              <w:tab/>
              <w:t>Se debatieron 120 documentos en la reunión de la CE2 del UIT-D de 2023.</w:t>
            </w:r>
          </w:p>
        </w:tc>
      </w:tr>
      <w:tr w:rsidR="00224990" w:rsidRPr="00B6045A" w14:paraId="3270EE04" w14:textId="77777777" w:rsidTr="00056B55">
        <w:tc>
          <w:tcPr>
            <w:tcW w:w="2790" w:type="dxa"/>
            <w:tcBorders>
              <w:top w:val="dotted" w:sz="4" w:space="0" w:color="0070C0"/>
              <w:left w:val="dotted" w:sz="4" w:space="0" w:color="0070C0"/>
              <w:bottom w:val="dotted" w:sz="4" w:space="0" w:color="0070C0"/>
              <w:right w:val="dotted" w:sz="4" w:space="0" w:color="0070C0"/>
            </w:tcBorders>
          </w:tcPr>
          <w:p w14:paraId="712183A3" w14:textId="77777777" w:rsidR="00224990" w:rsidRPr="00DF5B4D" w:rsidRDefault="00224990" w:rsidP="00186A47">
            <w:pPr>
              <w:pStyle w:val="Tabletext"/>
              <w:rPr>
                <w:rFonts w:ascii="Avenir Next LT Pro" w:hAnsi="Avenir Next LT Pro" w:cs="Calibri"/>
                <w:b/>
                <w:bCs/>
                <w:i/>
                <w:iCs/>
                <w:color w:val="000000"/>
                <w:lang w:val="es-ES_tradnl"/>
              </w:rPr>
            </w:pPr>
            <w:r w:rsidRPr="00DF5B4D">
              <w:rPr>
                <w:b/>
                <w:bCs/>
                <w:lang w:val="es-ES_tradnl"/>
              </w:rPr>
              <w:lastRenderedPageBreak/>
              <w:t>Contribución a las metas de los ODS</w:t>
            </w:r>
          </w:p>
        </w:tc>
        <w:tc>
          <w:tcPr>
            <w:tcW w:w="12060" w:type="dxa"/>
            <w:gridSpan w:val="2"/>
            <w:tcBorders>
              <w:top w:val="dotted" w:sz="4" w:space="0" w:color="0070C0"/>
              <w:left w:val="dotted" w:sz="4" w:space="0" w:color="0070C0"/>
              <w:bottom w:val="dotted" w:sz="4" w:space="0" w:color="0070C0"/>
              <w:right w:val="dotted" w:sz="4" w:space="0" w:color="0070C0"/>
            </w:tcBorders>
          </w:tcPr>
          <w:p w14:paraId="2DC4076A" w14:textId="77777777" w:rsidR="00224990" w:rsidRPr="00DF5B4D" w:rsidRDefault="00224990" w:rsidP="00186A47">
            <w:pPr>
              <w:pStyle w:val="Tabletext"/>
              <w:rPr>
                <w:lang w:val="es-ES_tradnl"/>
              </w:rPr>
            </w:pPr>
            <w:r w:rsidRPr="00DF5B4D">
              <w:rPr>
                <w:lang w:val="es-ES_tradnl"/>
              </w:rPr>
              <w:t>ODS 1, 3, 4, 5, 8, 9, 10, 11, 16, 17</w:t>
            </w:r>
          </w:p>
          <w:p w14:paraId="545D4972" w14:textId="77777777" w:rsidR="00224990" w:rsidRPr="00DF5B4D" w:rsidRDefault="00224990" w:rsidP="00186A47">
            <w:pPr>
              <w:pStyle w:val="Tabletext"/>
              <w:rPr>
                <w:rFonts w:eastAsia="Calibri" w:cstheme="minorHAnsi"/>
                <w:lang w:val="es-ES_tradnl"/>
              </w:rPr>
            </w:pPr>
            <w:r w:rsidRPr="00DF5B4D">
              <w:rPr>
                <w:b/>
                <w:bCs/>
                <w:lang w:val="es-ES_tradnl"/>
              </w:rPr>
              <w:t>Comisiones de Estudio:</w:t>
            </w:r>
            <w:r w:rsidRPr="00DF5B4D">
              <w:rPr>
                <w:lang w:val="es-ES_tradnl"/>
              </w:rPr>
              <w:t xml:space="preserve"> </w:t>
            </w:r>
            <w:r w:rsidRPr="00DF5B4D">
              <w:rPr>
                <w:rFonts w:eastAsia="Calibri" w:cstheme="minorHAnsi"/>
                <w:lang w:val="es-ES_tradnl"/>
              </w:rPr>
              <w:t xml:space="preserve">Contribución a las metas de los OSD y a las Líneas de Acción de la CMSI: véase la </w:t>
            </w:r>
            <w:hyperlink r:id="rId78" w:history="1">
              <w:r w:rsidRPr="00DF5B4D">
                <w:rPr>
                  <w:rStyle w:val="Hyperlink"/>
                  <w:rFonts w:eastAsia="Calibri" w:cstheme="minorHAnsi"/>
                  <w:lang w:val="es-ES_tradnl"/>
                </w:rPr>
                <w:t>correspondencia aquí</w:t>
              </w:r>
            </w:hyperlink>
          </w:p>
          <w:p w14:paraId="19D76F63" w14:textId="77777777" w:rsidR="00224990" w:rsidRPr="00DF5B4D" w:rsidRDefault="00224990" w:rsidP="00186A47">
            <w:pPr>
              <w:pStyle w:val="Tabletext"/>
              <w:rPr>
                <w:rFonts w:ascii="Calibri" w:eastAsia="Calibri" w:hAnsi="Calibri" w:cs="Calibri"/>
                <w:lang w:val="es-ES_tradnl"/>
              </w:rPr>
            </w:pPr>
            <w:r w:rsidRPr="00DF5B4D">
              <w:rPr>
                <w:rFonts w:eastAsia="Calibri"/>
                <w:lang w:val="es-ES_tradnl"/>
              </w:rPr>
              <w:t>Resoluciones: CMDT</w:t>
            </w:r>
            <w:r w:rsidRPr="00DF5B4D">
              <w:rPr>
                <w:rFonts w:ascii="Calibri" w:eastAsia="Calibri" w:hAnsi="Calibri" w:cs="Calibri"/>
                <w:lang w:val="es-ES_tradnl"/>
              </w:rPr>
              <w:t xml:space="preserve"> Res. 1 y 2principalmente </w:t>
            </w:r>
          </w:p>
          <w:p w14:paraId="78D8DBB0" w14:textId="77777777" w:rsidR="00224990" w:rsidRPr="00DF5B4D" w:rsidRDefault="00224990" w:rsidP="00186A47">
            <w:pPr>
              <w:pStyle w:val="Tabletext"/>
              <w:rPr>
                <w:lang w:val="es-ES_tradnl"/>
              </w:rPr>
            </w:pPr>
            <w:r w:rsidRPr="00DF5B4D">
              <w:rPr>
                <w:rFonts w:ascii="Calibri" w:eastAsia="Calibri" w:hAnsi="Calibri" w:cs="Calibri"/>
                <w:lang w:val="es-ES_tradnl"/>
              </w:rPr>
              <w:t>PP Res. 208, 21, 70, 71, 77, 102, 123, 130, 131, 136, 139, 154, 167, 175, 177, 179, 180, 182, 188, 196, 197, 203, 204, 205, 209.</w:t>
            </w:r>
          </w:p>
        </w:tc>
      </w:tr>
      <w:tr w:rsidR="00224990" w:rsidRPr="00DF5B4D" w14:paraId="26695443" w14:textId="77777777" w:rsidTr="00056B55">
        <w:tc>
          <w:tcPr>
            <w:tcW w:w="2790" w:type="dxa"/>
            <w:tcBorders>
              <w:top w:val="dotted" w:sz="4" w:space="0" w:color="0070C0"/>
              <w:left w:val="dotted" w:sz="4" w:space="0" w:color="0070C0"/>
              <w:bottom w:val="dotted" w:sz="4" w:space="0" w:color="0070C0"/>
              <w:right w:val="dotted" w:sz="4" w:space="0" w:color="0070C0"/>
            </w:tcBorders>
          </w:tcPr>
          <w:p w14:paraId="3167EBB1" w14:textId="77777777" w:rsidR="00224990" w:rsidRPr="00DF5B4D" w:rsidRDefault="00224990" w:rsidP="00186A47">
            <w:pPr>
              <w:pStyle w:val="Tabletext"/>
              <w:rPr>
                <w:b/>
                <w:bCs/>
                <w:lang w:val="es-ES_tradnl"/>
              </w:rPr>
            </w:pPr>
            <w:r w:rsidRPr="00DF5B4D">
              <w:rPr>
                <w:b/>
                <w:bCs/>
                <w:lang w:val="es-ES_tradnl"/>
              </w:rPr>
              <w:t>Líneas de Acción de la CMSI</w:t>
            </w:r>
          </w:p>
        </w:tc>
        <w:tc>
          <w:tcPr>
            <w:tcW w:w="12060" w:type="dxa"/>
            <w:gridSpan w:val="2"/>
            <w:tcBorders>
              <w:top w:val="dotted" w:sz="4" w:space="0" w:color="0070C0"/>
              <w:left w:val="dotted" w:sz="4" w:space="0" w:color="0070C0"/>
              <w:bottom w:val="dotted" w:sz="4" w:space="0" w:color="0070C0"/>
              <w:right w:val="dotted" w:sz="4" w:space="0" w:color="0070C0"/>
            </w:tcBorders>
          </w:tcPr>
          <w:p w14:paraId="7AC9AFC7" w14:textId="77777777" w:rsidR="00224990" w:rsidRPr="00DF5B4D" w:rsidRDefault="00224990" w:rsidP="00186A47">
            <w:pPr>
              <w:pStyle w:val="Tabletext"/>
              <w:rPr>
                <w:lang w:val="es-ES_tradnl"/>
              </w:rPr>
            </w:pPr>
            <w:r w:rsidRPr="00DF5B4D">
              <w:rPr>
                <w:lang w:val="es-ES_tradnl"/>
              </w:rPr>
              <w:t>C1, C2, C3, C4, C5, C6, C7, C11</w:t>
            </w:r>
          </w:p>
        </w:tc>
      </w:tr>
    </w:tbl>
    <w:p w14:paraId="2974EDD6" w14:textId="77777777" w:rsidR="006C06C3" w:rsidRDefault="006C06C3"/>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224990" w:rsidRPr="00B6045A" w14:paraId="00EACA57" w14:textId="77777777" w:rsidTr="00056B55">
        <w:tc>
          <w:tcPr>
            <w:tcW w:w="14850" w:type="dxa"/>
            <w:gridSpan w:val="3"/>
            <w:shd w:val="clear" w:color="auto" w:fill="365F91" w:themeFill="accent1" w:themeFillShade="BF"/>
          </w:tcPr>
          <w:p w14:paraId="31D268A1" w14:textId="77777777" w:rsidR="00224990" w:rsidRPr="00DF5B4D" w:rsidRDefault="00224990" w:rsidP="00186A47">
            <w:pPr>
              <w:pStyle w:val="Tablehead"/>
              <w:rPr>
                <w:lang w:val="es-ES_tradnl"/>
              </w:rPr>
            </w:pPr>
            <w:r w:rsidRPr="00DF5B4D">
              <w:rPr>
                <w:lang w:val="es-ES_tradnl"/>
              </w:rPr>
              <w:t>Factor habilitador 2 del UIT-D: Presencia regional</w:t>
            </w:r>
          </w:p>
          <w:p w14:paraId="7004BD9B" w14:textId="77777777" w:rsidR="00224990" w:rsidRPr="00DF5B4D" w:rsidRDefault="00224990" w:rsidP="00186A47">
            <w:pPr>
              <w:pStyle w:val="Tablehead"/>
              <w:rPr>
                <w:i/>
                <w:iCs/>
                <w:lang w:val="es-ES_tradnl"/>
              </w:rPr>
            </w:pPr>
            <w:r w:rsidRPr="00DF5B4D">
              <w:rPr>
                <w:i/>
                <w:iCs/>
                <w:lang w:val="es-ES_tradnl"/>
              </w:rPr>
              <w:t>Fortalecimiento de la eficacia y las repercusiones globales de la UIT</w:t>
            </w:r>
          </w:p>
        </w:tc>
      </w:tr>
      <w:tr w:rsidR="00224990" w:rsidRPr="00B6045A" w14:paraId="098DCA58" w14:textId="77777777" w:rsidTr="00056B55">
        <w:tc>
          <w:tcPr>
            <w:tcW w:w="14850" w:type="dxa"/>
            <w:gridSpan w:val="3"/>
            <w:shd w:val="clear" w:color="auto" w:fill="E5DFEC" w:themeFill="accent4" w:themeFillTint="33"/>
          </w:tcPr>
          <w:p w14:paraId="4A6115CA" w14:textId="77777777" w:rsidR="00224990" w:rsidRPr="00DF5B4D" w:rsidRDefault="00224990" w:rsidP="00186A47">
            <w:pPr>
              <w:pStyle w:val="Tablehead"/>
              <w:rPr>
                <w:bCs/>
                <w:lang w:val="es-ES_tradnl"/>
              </w:rPr>
            </w:pPr>
            <w:r w:rsidRPr="000F462D">
              <w:rPr>
                <w:bCs/>
                <w:i/>
                <w:iCs/>
                <w:lang w:val="es-ES_tradnl"/>
              </w:rPr>
              <w:t>Realización</w:t>
            </w:r>
            <w:r w:rsidRPr="00DF5B4D">
              <w:rPr>
                <w:bCs/>
                <w:lang w:val="es-ES_tradnl"/>
              </w:rPr>
              <w:t xml:space="preserve">: </w:t>
            </w:r>
            <w:r w:rsidRPr="000F462D">
              <w:rPr>
                <w:b w:val="0"/>
                <w:bCs/>
                <w:i/>
                <w:iCs/>
                <w:lang w:val="es-ES_tradnl"/>
              </w:rPr>
              <w:t>Refuerzo de la colaboración y cooperación regionales y con las Naciones Unidas y sus organismos especializados, organizaciones regionales de telecomunicaciones, e instituciones financieras y de desarrollo a fin de lograr los ODS para 2030 que guarden relación con el desarrollo de la economía digital.</w:t>
            </w:r>
          </w:p>
        </w:tc>
      </w:tr>
      <w:tr w:rsidR="00224990" w:rsidRPr="00DF5B4D" w14:paraId="046D195D" w14:textId="77777777" w:rsidTr="00056B55">
        <w:tc>
          <w:tcPr>
            <w:tcW w:w="11880" w:type="dxa"/>
            <w:gridSpan w:val="2"/>
          </w:tcPr>
          <w:p w14:paraId="1F983663" w14:textId="77777777" w:rsidR="00224990" w:rsidRPr="00DF5B4D" w:rsidRDefault="00224990" w:rsidP="00186A47">
            <w:pPr>
              <w:pStyle w:val="Tablehead"/>
              <w:rPr>
                <w:rFonts w:eastAsia="Calibri" w:cs="Times New Roman"/>
                <w:bCs/>
                <w:lang w:val="es-ES_tradnl"/>
              </w:rPr>
            </w:pPr>
            <w:r w:rsidRPr="00DF5B4D">
              <w:rPr>
                <w:rFonts w:eastAsia="Calibri"/>
                <w:bCs/>
                <w:lang w:val="es-ES_tradnl"/>
              </w:rPr>
              <w:t>Productos</w:t>
            </w:r>
          </w:p>
        </w:tc>
        <w:tc>
          <w:tcPr>
            <w:tcW w:w="2970" w:type="dxa"/>
          </w:tcPr>
          <w:p w14:paraId="2D6B3215" w14:textId="77777777" w:rsidR="00224990" w:rsidRPr="00DF5B4D" w:rsidRDefault="00224990" w:rsidP="00186A47">
            <w:pPr>
              <w:pStyle w:val="Tablehead"/>
              <w:rPr>
                <w:rFonts w:eastAsia="Calibri" w:cs="Times New Roman"/>
                <w:bCs/>
                <w:lang w:val="es-ES_tradnl"/>
              </w:rPr>
            </w:pPr>
            <w:r w:rsidRPr="00DF5B4D">
              <w:rPr>
                <w:rFonts w:eastAsia="Calibri"/>
                <w:bCs/>
                <w:lang w:val="es-ES_tradnl"/>
              </w:rPr>
              <w:t xml:space="preserve">Datos destacados </w:t>
            </w:r>
          </w:p>
        </w:tc>
      </w:tr>
      <w:tr w:rsidR="00224990" w:rsidRPr="00B6045A" w14:paraId="702EF9A4" w14:textId="77777777" w:rsidTr="00056B55">
        <w:tc>
          <w:tcPr>
            <w:tcW w:w="11880" w:type="dxa"/>
            <w:gridSpan w:val="2"/>
          </w:tcPr>
          <w:p w14:paraId="6872AE12" w14:textId="21FD9CAB" w:rsidR="00224990" w:rsidRPr="00DF5B4D" w:rsidRDefault="00224990" w:rsidP="00D57BEC">
            <w:pPr>
              <w:pStyle w:val="Tabletext"/>
              <w:rPr>
                <w:lang w:val="es-ES_tradnl"/>
              </w:rPr>
            </w:pPr>
            <w:r w:rsidRPr="00DF5B4D">
              <w:rPr>
                <w:lang w:val="es-ES_tradnl"/>
              </w:rPr>
              <w:t xml:space="preserve">A nivel regional, las Oficinas Regionales de la UIT </w:t>
            </w:r>
            <w:r w:rsidR="00E95799" w:rsidRPr="00DF5B4D">
              <w:rPr>
                <w:lang w:val="es-ES_tradnl"/>
              </w:rPr>
              <w:t xml:space="preserve">han seguido desempeñando un importante doble papel </w:t>
            </w:r>
            <w:r w:rsidRPr="00DF5B4D">
              <w:rPr>
                <w:lang w:val="es-ES_tradnl"/>
              </w:rPr>
              <w:t>en términos de implementación y seguimiento. Los</w:t>
            </w:r>
            <w:r w:rsidRPr="00DF5B4D">
              <w:rPr>
                <w:b/>
                <w:bCs/>
                <w:lang w:val="es-ES_tradnl"/>
              </w:rPr>
              <w:t xml:space="preserve"> seis FDR de la UIT celebrados en</w:t>
            </w:r>
            <w:r w:rsidR="00E95799">
              <w:rPr>
                <w:b/>
                <w:bCs/>
                <w:lang w:val="es-ES_tradnl"/>
              </w:rPr>
              <w:t>tre</w:t>
            </w:r>
            <w:r w:rsidRPr="00DF5B4D">
              <w:rPr>
                <w:b/>
                <w:bCs/>
                <w:lang w:val="es-ES_tradnl"/>
              </w:rPr>
              <w:t xml:space="preserve"> 2023 y 2024 atrajeron a más de 1 500 partes interesadas a nivel global</w:t>
            </w:r>
            <w:r w:rsidRPr="006C06C3">
              <w:rPr>
                <w:lang w:val="es-ES_tradnl"/>
              </w:rPr>
              <w:t xml:space="preserve">, </w:t>
            </w:r>
            <w:r w:rsidR="00D57BEC" w:rsidRPr="00DF5B4D">
              <w:rPr>
                <w:lang w:val="es-ES_tradnl"/>
              </w:rPr>
              <w:t>proporcionando una plataforma eficaz para que todas las partes interesadas debatieran la aplicación de las iniciativas regionales del UIT</w:t>
            </w:r>
            <w:r w:rsidR="00D57BEC">
              <w:rPr>
                <w:lang w:val="es-ES_tradnl"/>
              </w:rPr>
              <w:t>-D</w:t>
            </w:r>
            <w:r w:rsidR="00D57BEC" w:rsidRPr="00D57BEC">
              <w:rPr>
                <w:lang w:val="es-ES"/>
              </w:rPr>
              <w:t xml:space="preserve"> </w:t>
            </w:r>
            <w:r w:rsidR="00D57BEC" w:rsidRPr="00D57BEC">
              <w:rPr>
                <w:lang w:val="es-ES_tradnl"/>
              </w:rPr>
              <w:t>adoptadas por la Conferencia Mundial de Desarrollo de las Telecomunicaciones de 2022 y todos los resultados del Plan de Acción de Kigali.</w:t>
            </w:r>
            <w:r w:rsidR="00D57BEC" w:rsidRPr="00DF5B4D">
              <w:rPr>
                <w:lang w:val="es-ES_tradnl"/>
              </w:rPr>
              <w:t xml:space="preserve"> Las reuniones atrajeron a representantes del sistema de las Naciones Unidas, incluidas </w:t>
            </w:r>
            <w:r w:rsidR="00D57BEC">
              <w:rPr>
                <w:lang w:val="es-ES_tradnl"/>
              </w:rPr>
              <w:t>sus</w:t>
            </w:r>
            <w:r w:rsidR="00D57BEC" w:rsidRPr="00D57BEC">
              <w:rPr>
                <w:lang w:val="es-ES_tradnl"/>
              </w:rPr>
              <w:t xml:space="preserve"> comisiones regionales, los bancos de desarrollo, el sector privado, los Estados Miembros y </w:t>
            </w:r>
            <w:r w:rsidR="00D57BEC">
              <w:rPr>
                <w:lang w:val="es-ES_tradnl"/>
              </w:rPr>
              <w:t>las instituciones académicas</w:t>
            </w:r>
            <w:r w:rsidR="00D57BEC" w:rsidRPr="00D57BEC">
              <w:rPr>
                <w:lang w:val="es-ES_tradnl"/>
              </w:rPr>
              <w:t>. Durante los FDR se celebraron con éxito</w:t>
            </w:r>
            <w:r w:rsidR="00D57BEC">
              <w:rPr>
                <w:lang w:val="es-ES_tradnl"/>
              </w:rPr>
              <w:t xml:space="preserve"> una serie de</w:t>
            </w:r>
            <w:r w:rsidR="00D57BEC" w:rsidRPr="00D57BEC">
              <w:rPr>
                <w:lang w:val="es-ES_tradnl"/>
              </w:rPr>
              <w:t xml:space="preserve"> mesas redondas</w:t>
            </w:r>
            <w:r w:rsidR="00D57BEC">
              <w:rPr>
                <w:lang w:val="es-ES_tradnl"/>
              </w:rPr>
              <w:t>, cuyo o</w:t>
            </w:r>
            <w:r w:rsidR="00D57BEC" w:rsidRPr="00D57BEC">
              <w:rPr>
                <w:lang w:val="es-ES_tradnl"/>
              </w:rPr>
              <w:t xml:space="preserve">bjetivo </w:t>
            </w:r>
            <w:r w:rsidR="00D57BEC">
              <w:rPr>
                <w:lang w:val="es-ES_tradnl"/>
              </w:rPr>
              <w:t>fue concordar</w:t>
            </w:r>
            <w:r w:rsidR="00D57BEC" w:rsidRPr="00D57BEC">
              <w:rPr>
                <w:lang w:val="es-ES_tradnl"/>
              </w:rPr>
              <w:t xml:space="preserve"> las promesas </w:t>
            </w:r>
            <w:r w:rsidR="00D57BEC">
              <w:rPr>
                <w:lang w:val="es-ES_tradnl"/>
              </w:rPr>
              <w:t>con</w:t>
            </w:r>
            <w:r w:rsidR="00D57BEC" w:rsidRPr="00D57BEC">
              <w:rPr>
                <w:lang w:val="es-ES_tradnl"/>
              </w:rPr>
              <w:t xml:space="preserve"> las</w:t>
            </w:r>
            <w:r w:rsidR="00D57BEC">
              <w:rPr>
                <w:lang w:val="es-ES_tradnl"/>
              </w:rPr>
              <w:t xml:space="preserve"> distintas</w:t>
            </w:r>
            <w:r w:rsidR="00D57BEC" w:rsidRPr="00D57BEC">
              <w:rPr>
                <w:lang w:val="es-ES_tradnl"/>
              </w:rPr>
              <w:t xml:space="preserve"> prioridades de cada país y región</w:t>
            </w:r>
            <w:r w:rsidR="00D57BEC">
              <w:rPr>
                <w:lang w:val="es-ES_tradnl"/>
              </w:rPr>
              <w:t>,</w:t>
            </w:r>
            <w:r w:rsidR="00D57BEC" w:rsidRPr="00D57BEC">
              <w:rPr>
                <w:lang w:val="es-ES_tradnl"/>
              </w:rPr>
              <w:t xml:space="preserve"> y</w:t>
            </w:r>
            <w:r w:rsidR="00D57BEC">
              <w:rPr>
                <w:lang w:val="es-ES_tradnl"/>
              </w:rPr>
              <w:t xml:space="preserve"> cerrar los compromisos </w:t>
            </w:r>
            <w:r w:rsidR="00D57BEC" w:rsidRPr="00D57BEC">
              <w:rPr>
                <w:lang w:val="es-ES_tradnl"/>
              </w:rPr>
              <w:t xml:space="preserve">que se están aplicando en la actualidad. Las Oficinas Regionales se basaron en el seguimiento de </w:t>
            </w:r>
            <w:r w:rsidR="00D57BEC">
              <w:rPr>
                <w:lang w:val="es-ES_tradnl"/>
              </w:rPr>
              <w:t>estos</w:t>
            </w:r>
            <w:r w:rsidR="00D57BEC" w:rsidRPr="00D57BEC">
              <w:rPr>
                <w:lang w:val="es-ES_tradnl"/>
              </w:rPr>
              <w:t xml:space="preserve"> compromisos para proporcionar apoyo durante la</w:t>
            </w:r>
            <w:r w:rsidR="00D57BEC">
              <w:rPr>
                <w:lang w:val="es-ES_tradnl"/>
              </w:rPr>
              <w:t xml:space="preserve"> fase de</w:t>
            </w:r>
            <w:r w:rsidR="00D57BEC" w:rsidRPr="00D57BEC">
              <w:rPr>
                <w:lang w:val="es-ES_tradnl"/>
              </w:rPr>
              <w:t xml:space="preserve"> implementación</w:t>
            </w:r>
            <w:r w:rsidRPr="00DF5B4D">
              <w:rPr>
                <w:lang w:val="es-ES_tradnl"/>
              </w:rPr>
              <w:t>.</w:t>
            </w:r>
          </w:p>
          <w:p w14:paraId="128CC59A" w14:textId="0937EB9D" w:rsidR="00224990" w:rsidRDefault="00224990" w:rsidP="00186A47">
            <w:pPr>
              <w:pStyle w:val="Tabletext"/>
              <w:spacing w:before="120"/>
              <w:rPr>
                <w:b/>
                <w:bCs/>
                <w:lang w:val="es-ES_tradnl"/>
              </w:rPr>
            </w:pPr>
            <w:r w:rsidRPr="00DF5B4D">
              <w:rPr>
                <w:b/>
                <w:bCs/>
                <w:lang w:val="es-ES_tradnl"/>
              </w:rPr>
              <w:t>Oficina Regional de la UIT para África:</w:t>
            </w:r>
          </w:p>
          <w:p w14:paraId="41569F5B" w14:textId="14D6C5C7" w:rsidR="003A7BE0" w:rsidRPr="00DF5B4D" w:rsidRDefault="003A7BE0" w:rsidP="00186A47">
            <w:pPr>
              <w:pStyle w:val="Tabletext"/>
              <w:spacing w:before="120"/>
              <w:rPr>
                <w:b/>
                <w:bCs/>
                <w:lang w:val="es-ES_tradnl"/>
              </w:rPr>
            </w:pPr>
            <w:r w:rsidRPr="003A7BE0">
              <w:rPr>
                <w:b/>
                <w:bCs/>
                <w:lang w:val="es-ES_tradnl"/>
              </w:rPr>
              <w:t xml:space="preserve">La Oficina Regional para África ha trabajado activamente en la </w:t>
            </w:r>
            <w:r>
              <w:rPr>
                <w:b/>
                <w:bCs/>
                <w:lang w:val="es-ES_tradnl"/>
              </w:rPr>
              <w:t>ejecución</w:t>
            </w:r>
            <w:r w:rsidRPr="003A7BE0">
              <w:rPr>
                <w:b/>
                <w:bCs/>
                <w:lang w:val="es-ES_tradnl"/>
              </w:rPr>
              <w:t xml:space="preserve"> de vari</w:t>
            </w:r>
            <w:r>
              <w:rPr>
                <w:b/>
                <w:bCs/>
                <w:lang w:val="es-ES_tradnl"/>
              </w:rPr>
              <w:t>o</w:t>
            </w:r>
            <w:r w:rsidRPr="003A7BE0">
              <w:rPr>
                <w:b/>
                <w:bCs/>
                <w:lang w:val="es-ES_tradnl"/>
              </w:rPr>
              <w:t>s</w:t>
            </w:r>
            <w:r>
              <w:rPr>
                <w:b/>
                <w:bCs/>
                <w:lang w:val="es-ES_tradnl"/>
              </w:rPr>
              <w:t xml:space="preserve"> proyectos e</w:t>
            </w:r>
            <w:r w:rsidRPr="003A7BE0">
              <w:rPr>
                <w:b/>
                <w:bCs/>
                <w:lang w:val="es-ES_tradnl"/>
              </w:rPr>
              <w:t xml:space="preserve"> iniciativas en </w:t>
            </w:r>
            <w:r>
              <w:rPr>
                <w:b/>
                <w:bCs/>
                <w:lang w:val="es-ES_tradnl"/>
              </w:rPr>
              <w:t>l</w:t>
            </w:r>
            <w:r w:rsidRPr="003A7BE0">
              <w:rPr>
                <w:b/>
                <w:bCs/>
                <w:lang w:val="es-ES_tradnl"/>
              </w:rPr>
              <w:t>a región, principalmente</w:t>
            </w:r>
            <w:r>
              <w:rPr>
                <w:b/>
                <w:bCs/>
                <w:lang w:val="es-ES_tradnl"/>
              </w:rPr>
              <w:t xml:space="preserve">, brindado </w:t>
            </w:r>
            <w:r w:rsidRPr="003A7BE0">
              <w:rPr>
                <w:b/>
                <w:bCs/>
                <w:lang w:val="es-ES_tradnl"/>
              </w:rPr>
              <w:t>apoyo a los Estados Miembros</w:t>
            </w:r>
            <w:r>
              <w:rPr>
                <w:b/>
                <w:bCs/>
                <w:lang w:val="es-ES_tradnl"/>
              </w:rPr>
              <w:t xml:space="preserve"> a través de la promoción de </w:t>
            </w:r>
            <w:r w:rsidRPr="003A7BE0">
              <w:rPr>
                <w:b/>
                <w:bCs/>
                <w:lang w:val="es-ES_tradnl"/>
              </w:rPr>
              <w:t>la transformación digital</w:t>
            </w:r>
            <w:r>
              <w:rPr>
                <w:b/>
                <w:bCs/>
                <w:lang w:val="es-ES_tradnl"/>
              </w:rPr>
              <w:t>, la aceleración de</w:t>
            </w:r>
            <w:r w:rsidRPr="003A7BE0">
              <w:rPr>
                <w:b/>
                <w:bCs/>
                <w:lang w:val="es-ES_tradnl"/>
              </w:rPr>
              <w:t xml:space="preserve"> la transición </w:t>
            </w:r>
            <w:r>
              <w:rPr>
                <w:b/>
                <w:bCs/>
                <w:lang w:val="es-ES_tradnl"/>
              </w:rPr>
              <w:t>hacia una</w:t>
            </w:r>
            <w:r w:rsidRPr="003A7BE0">
              <w:rPr>
                <w:b/>
                <w:bCs/>
                <w:lang w:val="es-ES_tradnl"/>
              </w:rPr>
              <w:t xml:space="preserve"> economía digital, </w:t>
            </w:r>
            <w:r>
              <w:rPr>
                <w:b/>
                <w:bCs/>
                <w:lang w:val="es-ES_tradnl"/>
              </w:rPr>
              <w:t>la mejora de</w:t>
            </w:r>
            <w:r w:rsidRPr="003A7BE0">
              <w:rPr>
                <w:b/>
                <w:bCs/>
                <w:lang w:val="es-ES_tradnl"/>
              </w:rPr>
              <w:t xml:space="preserve"> </w:t>
            </w:r>
            <w:r>
              <w:rPr>
                <w:b/>
                <w:bCs/>
                <w:lang w:val="es-ES_tradnl"/>
              </w:rPr>
              <w:t>su</w:t>
            </w:r>
            <w:r w:rsidRPr="003A7BE0">
              <w:rPr>
                <w:b/>
                <w:bCs/>
                <w:lang w:val="es-ES_tradnl"/>
              </w:rPr>
              <w:t xml:space="preserve"> respuesta</w:t>
            </w:r>
            <w:r>
              <w:rPr>
                <w:b/>
                <w:bCs/>
                <w:lang w:val="es-ES_tradnl"/>
              </w:rPr>
              <w:t xml:space="preserve"> en caso de</w:t>
            </w:r>
            <w:r w:rsidRPr="003A7BE0">
              <w:rPr>
                <w:b/>
                <w:bCs/>
                <w:lang w:val="es-ES_tradnl"/>
              </w:rPr>
              <w:t xml:space="preserve"> incidente de ciberseguridad</w:t>
            </w:r>
            <w:r>
              <w:rPr>
                <w:b/>
                <w:bCs/>
                <w:lang w:val="es-ES_tradnl"/>
              </w:rPr>
              <w:t xml:space="preserve"> y el fomento de</w:t>
            </w:r>
            <w:r w:rsidRPr="003A7BE0">
              <w:rPr>
                <w:b/>
                <w:bCs/>
                <w:lang w:val="es-ES_tradnl"/>
              </w:rPr>
              <w:t xml:space="preserve"> la </w:t>
            </w:r>
            <w:r w:rsidRPr="003A7BE0">
              <w:rPr>
                <w:b/>
                <w:bCs/>
                <w:lang w:val="es-ES_tradnl"/>
              </w:rPr>
              <w:lastRenderedPageBreak/>
              <w:t xml:space="preserve">inclusión digital y </w:t>
            </w:r>
            <w:r>
              <w:rPr>
                <w:b/>
                <w:bCs/>
                <w:lang w:val="es-ES_tradnl"/>
              </w:rPr>
              <w:t>la</w:t>
            </w:r>
            <w:r w:rsidRPr="003A7BE0">
              <w:rPr>
                <w:b/>
                <w:bCs/>
                <w:lang w:val="es-ES_tradnl"/>
              </w:rPr>
              <w:t xml:space="preserve"> conectividad </w:t>
            </w:r>
            <w:r>
              <w:rPr>
                <w:b/>
                <w:bCs/>
                <w:lang w:val="es-ES_tradnl"/>
              </w:rPr>
              <w:t>efectiva</w:t>
            </w:r>
            <w:r w:rsidRPr="003A7BE0">
              <w:rPr>
                <w:b/>
                <w:bCs/>
                <w:lang w:val="es-ES_tradnl"/>
              </w:rPr>
              <w:t>. Estos</w:t>
            </w:r>
            <w:r>
              <w:rPr>
                <w:b/>
                <w:bCs/>
                <w:lang w:val="es-ES_tradnl"/>
              </w:rPr>
              <w:t xml:space="preserve"> </w:t>
            </w:r>
            <w:r w:rsidR="003B3FD5">
              <w:rPr>
                <w:b/>
                <w:bCs/>
                <w:lang w:val="es-ES_tradnl"/>
              </w:rPr>
              <w:t>esfuerzos</w:t>
            </w:r>
            <w:r>
              <w:rPr>
                <w:b/>
                <w:bCs/>
                <w:lang w:val="es-ES_tradnl"/>
              </w:rPr>
              <w:t xml:space="preserve"> se enmarcan e</w:t>
            </w:r>
            <w:r w:rsidRPr="003A7BE0">
              <w:rPr>
                <w:b/>
                <w:bCs/>
                <w:lang w:val="es-ES_tradnl"/>
              </w:rPr>
              <w:t>n las cuatro iniciativas regionales establecidas en el Plan de Acción de Kigali (P</w:t>
            </w:r>
            <w:r>
              <w:rPr>
                <w:b/>
                <w:bCs/>
                <w:lang w:val="es-ES_tradnl"/>
              </w:rPr>
              <w:t>AK</w:t>
            </w:r>
            <w:r w:rsidRPr="003A7BE0">
              <w:rPr>
                <w:b/>
                <w:bCs/>
                <w:lang w:val="es-ES_tradnl"/>
              </w:rPr>
              <w:t xml:space="preserve">). A continuación se detallan las actividades y </w:t>
            </w:r>
            <w:r>
              <w:rPr>
                <w:b/>
                <w:bCs/>
                <w:lang w:val="es-ES_tradnl"/>
              </w:rPr>
              <w:t>los logros principales</w:t>
            </w:r>
            <w:r w:rsidRPr="003A7BE0">
              <w:rPr>
                <w:b/>
                <w:bCs/>
                <w:lang w:val="es-ES_tradnl"/>
              </w:rPr>
              <w:t xml:space="preserve"> de cada iniciativa regional.</w:t>
            </w:r>
          </w:p>
          <w:p w14:paraId="3D856F59" w14:textId="799477F2" w:rsidR="00224990" w:rsidRPr="00DF5B4D" w:rsidRDefault="00224990" w:rsidP="00FD78F6">
            <w:pPr>
              <w:pStyle w:val="Tabletext"/>
              <w:ind w:left="284" w:hanging="284"/>
              <w:rPr>
                <w:lang w:val="es-ES_tradnl"/>
              </w:rPr>
            </w:pPr>
            <w:r w:rsidRPr="00DF5B4D">
              <w:rPr>
                <w:b/>
                <w:bCs/>
                <w:lang w:val="es-ES_tradnl"/>
              </w:rPr>
              <w:t>•</w:t>
            </w:r>
            <w:r w:rsidRPr="00DF5B4D">
              <w:rPr>
                <w:b/>
                <w:bCs/>
                <w:lang w:val="es-ES_tradnl"/>
              </w:rPr>
              <w:tab/>
              <w:t>Mayor compromiso entre los Estados Miembros, el sector privado, las Instituciones Académicas, las organizaciones regionales y los socios para la aplicación del Plan de Acción de Kigali, mostrando los avances y los éxitos nacionales durante los intercambios:</w:t>
            </w:r>
            <w:r w:rsidRPr="00DF5B4D">
              <w:rPr>
                <w:lang w:val="es-ES_tradnl"/>
              </w:rPr>
              <w:t xml:space="preserve"> </w:t>
            </w:r>
            <w:r w:rsidRPr="000F462D">
              <w:rPr>
                <w:b/>
                <w:bCs/>
                <w:lang w:val="es-ES_tradnl"/>
              </w:rPr>
              <w:t>El FDR para África (FDR-AFR)</w:t>
            </w:r>
            <w:r w:rsidR="003A7BE0">
              <w:rPr>
                <w:b/>
                <w:bCs/>
                <w:lang w:val="es-ES_tradnl"/>
              </w:rPr>
              <w:t xml:space="preserve"> de 2023</w:t>
            </w:r>
            <w:r w:rsidRPr="00DF5B4D">
              <w:rPr>
                <w:lang w:val="es-ES_tradnl"/>
              </w:rPr>
              <w:t xml:space="preserve"> se celebró del 3 al 5 de octubre de 2023 en Addis Abeba, Etiopía, bajo el lema "Transformación digital para un futuro digital sostenible y equitativo: Acelerar la implementación de los ODS en África a través de la transformación digital". Acogió a cerca de 300 participantes, atrajo 27 contribuciones y dio lugar a 20 nuevos compromisos P2C para África, logrando el hito de la promesa P2C número 800.</w:t>
            </w:r>
          </w:p>
          <w:p w14:paraId="430D9155" w14:textId="77777777" w:rsidR="00224990" w:rsidRPr="00DF5B4D" w:rsidRDefault="00224990" w:rsidP="00FD78F6">
            <w:pPr>
              <w:pStyle w:val="Tabletext"/>
              <w:ind w:left="284" w:hanging="284"/>
              <w:rPr>
                <w:lang w:val="es-ES_tradnl"/>
              </w:rPr>
            </w:pPr>
            <w:r w:rsidRPr="00DF5B4D">
              <w:rPr>
                <w:b/>
                <w:bCs/>
                <w:lang w:val="es-ES_tradnl"/>
              </w:rPr>
              <w:t>•</w:t>
            </w:r>
            <w:r w:rsidRPr="00DF5B4D">
              <w:rPr>
                <w:b/>
                <w:bCs/>
                <w:lang w:val="es-ES_tradnl"/>
              </w:rPr>
              <w:tab/>
              <w:t>Se reforzó la colaboración estratégica con los organismos de las Naciones Unidas</w:t>
            </w:r>
            <w:r w:rsidRPr="00DF5B4D">
              <w:rPr>
                <w:lang w:val="es-ES_tradnl"/>
              </w:rPr>
              <w:t>: Como signatario del Marco de Cooperación de las Naciones Unidas para el Desarrollo Sostenible (UNSDCF), un número cada vez mayor de países de la Oficina Regional de la UIT para África contribuyó a reforzar la colaboración dentro de los Equipos de Países de las Naciones Unidas para actuar como una sola Organización de las Naciones Unidas en la región. La UIT se ha convertido recientemente en signataria de los nuevos Marcos de Cooperación de las Naciones Unidas para el Desarrollo Sostenible (UNSDCF) en Cabo Verde, Malawi, Mauricio y Seychelles, y se están realizando esfuerzos para convertirse en signatarios en otros países. En enero de 2024, la UIT y la Oficina de Coordinación del Desarrollo de las Naciones Unidas, en apoyo de los coordinadores residentes de las Naciones Unidas en todo el continente para crear una buena comprensión de la transformación digital en sus marcos nacionales, compartieron una visión general de los retos y oportunidades de la transformación digital en la región de África.</w:t>
            </w:r>
          </w:p>
          <w:p w14:paraId="7A8D4836" w14:textId="6399C1B8" w:rsidR="00224990" w:rsidRPr="00DF5B4D" w:rsidRDefault="00224990" w:rsidP="00FD78F6">
            <w:pPr>
              <w:pStyle w:val="Tabletext"/>
              <w:ind w:left="284" w:hanging="284"/>
              <w:rPr>
                <w:lang w:val="es-ES_tradnl"/>
              </w:rPr>
            </w:pPr>
            <w:r w:rsidRPr="00DF5B4D">
              <w:rPr>
                <w:b/>
                <w:bCs/>
                <w:lang w:val="es-ES_tradnl"/>
              </w:rPr>
              <w:t>•</w:t>
            </w:r>
            <w:r w:rsidRPr="00DF5B4D">
              <w:rPr>
                <w:b/>
                <w:bCs/>
                <w:lang w:val="es-ES_tradnl"/>
              </w:rPr>
              <w:tab/>
              <w:t xml:space="preserve">Se abordaron las prioridades regionales: </w:t>
            </w:r>
            <w:r w:rsidRPr="00DF5B4D">
              <w:rPr>
                <w:lang w:val="es-ES_tradnl"/>
              </w:rPr>
              <w:t xml:space="preserve">La </w:t>
            </w:r>
            <w:r w:rsidR="003A7BE0">
              <w:rPr>
                <w:lang w:val="es-ES_tradnl"/>
              </w:rPr>
              <w:t>BDT</w:t>
            </w:r>
            <w:r w:rsidR="003A7BE0" w:rsidRPr="00DF5B4D">
              <w:rPr>
                <w:lang w:val="es-ES_tradnl"/>
              </w:rPr>
              <w:t xml:space="preserve"> </w:t>
            </w:r>
            <w:r w:rsidRPr="00DF5B4D">
              <w:rPr>
                <w:lang w:val="es-ES_tradnl"/>
              </w:rPr>
              <w:t>proporcionó asistencia técnica y reforzó la capacidad para apoyar una conectividad significativa y el proceso de transformación digital tanto a escala nacional como regional, en consonancia con las iniciativas regionales africanas.</w:t>
            </w:r>
          </w:p>
          <w:p w14:paraId="191833C2" w14:textId="77777777" w:rsidR="00224990" w:rsidRPr="00DF5B4D" w:rsidRDefault="00224990" w:rsidP="00FD78F6">
            <w:pPr>
              <w:pStyle w:val="Tabletext"/>
              <w:rPr>
                <w:b/>
                <w:bCs/>
                <w:lang w:val="es-ES_tradnl"/>
              </w:rPr>
            </w:pPr>
            <w:r w:rsidRPr="00DF5B4D">
              <w:rPr>
                <w:b/>
                <w:bCs/>
                <w:lang w:val="es-ES_tradnl"/>
              </w:rPr>
              <w:t>AFR1: Respaldar la transformación digital para impulsar una rápida transición a la economía digital y acelerando al mismo tiempo la innovación en África</w:t>
            </w:r>
          </w:p>
          <w:p w14:paraId="508661EE" w14:textId="74AF047E" w:rsidR="00224990" w:rsidRPr="00DF5B4D" w:rsidRDefault="00224990" w:rsidP="002446F6">
            <w:pPr>
              <w:pStyle w:val="Tabletext"/>
              <w:ind w:left="284" w:hanging="284"/>
              <w:rPr>
                <w:lang w:val="es-ES_tradnl"/>
              </w:rPr>
            </w:pPr>
            <w:r w:rsidRPr="00DF5B4D">
              <w:rPr>
                <w:lang w:val="es-ES_tradnl"/>
              </w:rPr>
              <w:t>•</w:t>
            </w:r>
            <w:r w:rsidRPr="00DF5B4D">
              <w:rPr>
                <w:lang w:val="es-ES_tradnl"/>
              </w:rPr>
              <w:tab/>
              <w:t xml:space="preserve">La </w:t>
            </w:r>
            <w:r w:rsidR="003A7BE0">
              <w:rPr>
                <w:lang w:val="es-ES_tradnl"/>
              </w:rPr>
              <w:t>BDT</w:t>
            </w:r>
            <w:r w:rsidR="003A7BE0" w:rsidRPr="00DF5B4D" w:rsidDel="003A7BE0">
              <w:rPr>
                <w:lang w:val="es-ES_tradnl"/>
              </w:rPr>
              <w:t xml:space="preserve"> </w:t>
            </w:r>
            <w:r w:rsidRPr="00DF5B4D">
              <w:rPr>
                <w:lang w:val="es-ES_tradnl"/>
              </w:rPr>
              <w:t>proporcionó asistencia técnica sobre la iniciativa de la aldea inteligente y la isla inteligente a Liberia y Cabo Verde, respectivamente, en colaboración con las oficinas del Coordinador Residente de las Naciones Unidas para permitir la transformación digital para todos.</w:t>
            </w:r>
          </w:p>
          <w:p w14:paraId="4E67DA1A" w14:textId="77777777" w:rsidR="00224990" w:rsidRPr="00DF5B4D" w:rsidRDefault="00224990" w:rsidP="002446F6">
            <w:pPr>
              <w:pStyle w:val="Tabletext"/>
              <w:ind w:left="284" w:hanging="284"/>
              <w:rPr>
                <w:lang w:val="es-ES_tradnl"/>
              </w:rPr>
            </w:pPr>
            <w:r w:rsidRPr="00DF5B4D">
              <w:rPr>
                <w:lang w:val="es-ES_tradnl"/>
              </w:rPr>
              <w:t>•</w:t>
            </w:r>
            <w:r w:rsidRPr="00DF5B4D">
              <w:rPr>
                <w:lang w:val="es-ES_tradnl"/>
              </w:rPr>
              <w:tab/>
              <w:t>Para apoyar el avance de la transformación digital en la región, a través de la iniciativa "</w:t>
            </w:r>
            <w:proofErr w:type="spellStart"/>
            <w:r w:rsidRPr="00DF5B4D">
              <w:rPr>
                <w:lang w:val="es-ES_tradnl"/>
              </w:rPr>
              <w:t>GovStack</w:t>
            </w:r>
            <w:proofErr w:type="spellEnd"/>
            <w:r w:rsidRPr="00DF5B4D">
              <w:rPr>
                <w:lang w:val="es-ES_tradnl"/>
              </w:rPr>
              <w:t xml:space="preserve">", se han celebrado sesiones de inmersión profunda con países como Gambia y </w:t>
            </w:r>
            <w:proofErr w:type="spellStart"/>
            <w:r w:rsidRPr="00DF5B4D">
              <w:rPr>
                <w:lang w:val="es-ES_tradnl"/>
              </w:rPr>
              <w:t>Lesotho</w:t>
            </w:r>
            <w:proofErr w:type="spellEnd"/>
            <w:r w:rsidRPr="00DF5B4D">
              <w:rPr>
                <w:lang w:val="es-ES_tradnl"/>
              </w:rPr>
              <w:t>, entre otros, para compartir información sobre el enfoque de todo el gobierno para permitir la prestación eficaz de servicios gubernamentales digitales.</w:t>
            </w:r>
          </w:p>
          <w:p w14:paraId="0126EDD7" w14:textId="32A015D6" w:rsidR="00224990" w:rsidRPr="00DF5B4D" w:rsidRDefault="00224990" w:rsidP="002446F6">
            <w:pPr>
              <w:pStyle w:val="Tabletext"/>
              <w:ind w:left="284" w:hanging="284"/>
              <w:rPr>
                <w:lang w:val="es-ES_tradnl"/>
              </w:rPr>
            </w:pPr>
            <w:r w:rsidRPr="00DF5B4D">
              <w:rPr>
                <w:lang w:val="es-ES_tradnl"/>
              </w:rPr>
              <w:t>•</w:t>
            </w:r>
            <w:r w:rsidRPr="00DF5B4D">
              <w:rPr>
                <w:lang w:val="es-ES_tradnl"/>
              </w:rPr>
              <w:tab/>
              <w:t xml:space="preserve">En el marco de la economía circular y la trasformación digital ecológica para los residuos de aparatos eléctricos y electrónicos, la </w:t>
            </w:r>
            <w:r w:rsidR="003A7BE0">
              <w:rPr>
                <w:lang w:val="es-ES_tradnl"/>
              </w:rPr>
              <w:t>BDT</w:t>
            </w:r>
            <w:r w:rsidRPr="00DF5B4D">
              <w:rPr>
                <w:lang w:val="es-ES_tradnl"/>
              </w:rPr>
              <w:t xml:space="preserve">, en colaboración con diferentes socios prestó apoyo para desarrollar y aplicar estrategias gestión de residuos electrónicos para una economía circular en los Estados Miembros como </w:t>
            </w:r>
            <w:proofErr w:type="spellStart"/>
            <w:r w:rsidRPr="00DF5B4D">
              <w:rPr>
                <w:lang w:val="es-ES_tradnl"/>
              </w:rPr>
              <w:t>Botswana</w:t>
            </w:r>
            <w:proofErr w:type="spellEnd"/>
            <w:r w:rsidRPr="00DF5B4D">
              <w:rPr>
                <w:lang w:val="es-ES_tradnl"/>
              </w:rPr>
              <w:t xml:space="preserve">, Malawi, Níger, </w:t>
            </w:r>
            <w:proofErr w:type="spellStart"/>
            <w:r w:rsidRPr="00DF5B4D">
              <w:rPr>
                <w:lang w:val="es-ES_tradnl"/>
              </w:rPr>
              <w:t>Rwanda</w:t>
            </w:r>
            <w:proofErr w:type="spellEnd"/>
            <w:r w:rsidRPr="00DF5B4D">
              <w:rPr>
                <w:lang w:val="es-ES_tradnl"/>
              </w:rPr>
              <w:t>, Uganda, y Zambia.</w:t>
            </w:r>
          </w:p>
          <w:p w14:paraId="4D7F1524" w14:textId="77777777" w:rsidR="00224990" w:rsidRPr="00DF5B4D" w:rsidRDefault="00224990" w:rsidP="002446F6">
            <w:pPr>
              <w:pStyle w:val="Tabletext"/>
              <w:spacing w:before="120"/>
              <w:rPr>
                <w:b/>
                <w:bCs/>
                <w:lang w:val="es-ES_tradnl"/>
              </w:rPr>
            </w:pPr>
            <w:r w:rsidRPr="00DF5B4D">
              <w:rPr>
                <w:b/>
                <w:bCs/>
                <w:lang w:val="es-ES_tradnl"/>
              </w:rPr>
              <w:t>AFR2: Implementar y ampliar infraestructuras de banda ancha, conectividad y tecnologías emergentes</w:t>
            </w:r>
          </w:p>
          <w:p w14:paraId="1F5ADD39" w14:textId="77777777" w:rsidR="00224990" w:rsidRPr="00DF5B4D" w:rsidRDefault="00224990" w:rsidP="002446F6">
            <w:pPr>
              <w:pStyle w:val="Tabletext"/>
              <w:ind w:left="284" w:hanging="284"/>
              <w:rPr>
                <w:lang w:val="es-ES_tradnl"/>
              </w:rPr>
            </w:pPr>
            <w:r w:rsidRPr="00DF5B4D">
              <w:rPr>
                <w:lang w:val="es-ES_tradnl"/>
              </w:rPr>
              <w:t>•</w:t>
            </w:r>
            <w:r w:rsidRPr="00DF5B4D">
              <w:rPr>
                <w:lang w:val="es-ES_tradnl"/>
              </w:rPr>
              <w:tab/>
              <w:t xml:space="preserve">Para crear y reforzar la capacidad de gestión del espectro y las tecnologías emergentes, se ha prestado asistencia técnica y de capacitación a 42 países en el marco del proyecto PRIDA. El proyecto de evaluación comparativa de las TIC en África Central ha </w:t>
            </w:r>
            <w:r w:rsidRPr="00DF5B4D">
              <w:rPr>
                <w:lang w:val="es-ES_tradnl"/>
              </w:rPr>
              <w:lastRenderedPageBreak/>
              <w:t xml:space="preserve">emprendido la recopilación de datos en los 11 países beneficiarios, a saber: Angola, Burundi, Camerún, República (Centroafricana), Chad, Congo (Rep. del), Rep. </w:t>
            </w:r>
            <w:proofErr w:type="spellStart"/>
            <w:r w:rsidRPr="00DF5B4D">
              <w:rPr>
                <w:lang w:val="es-ES_tradnl"/>
              </w:rPr>
              <w:t>Dem</w:t>
            </w:r>
            <w:proofErr w:type="spellEnd"/>
            <w:r w:rsidRPr="00DF5B4D">
              <w:rPr>
                <w:lang w:val="es-ES_tradnl"/>
              </w:rPr>
              <w:t xml:space="preserve">. del Congo, Guinea Ecuatorial, Gabón, </w:t>
            </w:r>
            <w:proofErr w:type="spellStart"/>
            <w:r w:rsidRPr="00DF5B4D">
              <w:rPr>
                <w:lang w:val="es-ES_tradnl"/>
              </w:rPr>
              <w:t>Rwanda</w:t>
            </w:r>
            <w:proofErr w:type="spellEnd"/>
            <w:r w:rsidRPr="00DF5B4D">
              <w:rPr>
                <w:lang w:val="es-ES_tradnl"/>
              </w:rPr>
              <w:t xml:space="preserve"> y Santo Tomé y Príncipe. Los datos servirán para formular recomendaciones y programas de capacitación adaptados a las necesidades y prioridades de los países.</w:t>
            </w:r>
          </w:p>
          <w:p w14:paraId="7BE59C29" w14:textId="77777777" w:rsidR="00224990" w:rsidRPr="00DF5B4D" w:rsidRDefault="00224990" w:rsidP="002446F6">
            <w:pPr>
              <w:pStyle w:val="Tabletext"/>
              <w:ind w:left="284" w:hanging="284"/>
              <w:rPr>
                <w:lang w:val="es-ES_tradnl"/>
              </w:rPr>
            </w:pPr>
            <w:r w:rsidRPr="00DF5B4D">
              <w:rPr>
                <w:lang w:val="es-ES_tradnl"/>
              </w:rPr>
              <w:t>•</w:t>
            </w:r>
            <w:r w:rsidRPr="00DF5B4D">
              <w:rPr>
                <w:lang w:val="es-ES_tradnl"/>
              </w:rPr>
              <w:tab/>
              <w:t>En Zambia se ha emprendido una evaluación del mercado de las TIC asequibles para garantizar una competencia efectiva y unas tarifas transparentes, basadas en los costes y no discriminatorias.</w:t>
            </w:r>
          </w:p>
          <w:p w14:paraId="32A4C389" w14:textId="53344BCB" w:rsidR="00224990" w:rsidRPr="00DF5B4D" w:rsidRDefault="00224990" w:rsidP="002446F6">
            <w:pPr>
              <w:pStyle w:val="Tabletext"/>
              <w:ind w:left="284" w:hanging="284"/>
              <w:rPr>
                <w:lang w:val="es-ES_tradnl"/>
              </w:rPr>
            </w:pPr>
            <w:r w:rsidRPr="00DF5B4D">
              <w:rPr>
                <w:lang w:val="es-ES_tradnl"/>
              </w:rPr>
              <w:t>•</w:t>
            </w:r>
            <w:r w:rsidRPr="00DF5B4D">
              <w:rPr>
                <w:lang w:val="es-ES_tradnl"/>
              </w:rPr>
              <w:tab/>
              <w:t xml:space="preserve">En el marco del proyecto conjunto de transformación digital entre el Gobierno de Uganda y la UIT, apoyado por el Fondo de Asistencia para la Cooperación Sur-Sur (SSCAF), </w:t>
            </w:r>
            <w:r w:rsidR="00EB3B77">
              <w:rPr>
                <w:lang w:val="es-ES_tradnl"/>
              </w:rPr>
              <w:t>la BDT ha formulado una serie de</w:t>
            </w:r>
            <w:r w:rsidRPr="00DF5B4D">
              <w:rPr>
                <w:lang w:val="es-ES_tradnl"/>
              </w:rPr>
              <w:t xml:space="preserve"> orientaciones políticas sobre conectividad de último kilómetro, aplicaciones de macrodatos y desarrollo de políticas sobre residuos electrónicos. Este trabajo apoya además el desarrollo de un entorno normativo propicio para la banda ancha y el desarrollo de la estrategia 5G, entre otros temas de trabajo. El desarrollo de capacidades y la formación certificada se están llevando a cabo en todos los ámbitos cubiertos por las recomendaciones políticas.</w:t>
            </w:r>
          </w:p>
          <w:p w14:paraId="75EE354F" w14:textId="77777777" w:rsidR="00224990" w:rsidRPr="00DF5B4D" w:rsidRDefault="00224990" w:rsidP="002446F6">
            <w:pPr>
              <w:pStyle w:val="Tabletext"/>
              <w:spacing w:before="120"/>
              <w:rPr>
                <w:b/>
                <w:bCs/>
                <w:lang w:val="es-ES_tradnl"/>
              </w:rPr>
            </w:pPr>
            <w:r w:rsidRPr="00DF5B4D">
              <w:rPr>
                <w:b/>
                <w:bCs/>
                <w:lang w:val="es-ES_tradnl"/>
              </w:rPr>
              <w:t>AFR3: Creación de confianza, protección y seguridad en la utilización de las telecomunicaciones/tecnologías de la información y la comunicación, y la protección de los datos personales</w:t>
            </w:r>
          </w:p>
          <w:p w14:paraId="4E801009" w14:textId="26C00466" w:rsidR="00224990" w:rsidRPr="00DF5B4D" w:rsidRDefault="00224990" w:rsidP="002446F6">
            <w:pPr>
              <w:pStyle w:val="Tabletext"/>
              <w:ind w:left="284" w:hanging="284"/>
              <w:rPr>
                <w:rFonts w:ascii="Calibri" w:eastAsia="Calibri" w:hAnsi="Calibri" w:cs="Calibri"/>
                <w:lang w:val="es-ES_tradnl"/>
              </w:rPr>
            </w:pPr>
            <w:r w:rsidRPr="00DF5B4D">
              <w:rPr>
                <w:rFonts w:ascii="Calibri" w:eastAsia="Calibri" w:hAnsi="Calibri" w:cs="Calibri"/>
                <w:lang w:val="es-ES_tradnl"/>
              </w:rPr>
              <w:t>•</w:t>
            </w:r>
            <w:r w:rsidRPr="00DF5B4D">
              <w:rPr>
                <w:rFonts w:ascii="Calibri" w:eastAsia="Calibri" w:hAnsi="Calibri" w:cs="Calibri"/>
                <w:lang w:val="es-ES_tradnl"/>
              </w:rPr>
              <w:tab/>
              <w:t xml:space="preserve">Dado que la ciberseguridad es una responsabilidad compartida, la </w:t>
            </w:r>
            <w:r w:rsidR="00EB3B77">
              <w:rPr>
                <w:lang w:val="es-ES_tradnl"/>
              </w:rPr>
              <w:t>BDT</w:t>
            </w:r>
            <w:r w:rsidR="00EB3B77" w:rsidRPr="00DF5B4D" w:rsidDel="00EB3B77">
              <w:rPr>
                <w:rFonts w:ascii="Calibri" w:eastAsia="Calibri" w:hAnsi="Calibri" w:cs="Calibri"/>
                <w:lang w:val="es-ES_tradnl"/>
              </w:rPr>
              <w:t xml:space="preserve"> </w:t>
            </w:r>
            <w:r w:rsidRPr="00DF5B4D">
              <w:rPr>
                <w:rFonts w:ascii="Calibri" w:eastAsia="Calibri" w:hAnsi="Calibri" w:cs="Calibri"/>
                <w:lang w:val="es-ES_tradnl"/>
              </w:rPr>
              <w:t xml:space="preserve">ayudó a Chad y </w:t>
            </w:r>
            <w:proofErr w:type="spellStart"/>
            <w:r w:rsidRPr="00DF5B4D">
              <w:rPr>
                <w:rFonts w:ascii="Calibri" w:eastAsia="Calibri" w:hAnsi="Calibri" w:cs="Calibri"/>
                <w:lang w:val="es-ES_tradnl"/>
              </w:rPr>
              <w:t>Rwanda</w:t>
            </w:r>
            <w:proofErr w:type="spellEnd"/>
            <w:r w:rsidRPr="00DF5B4D">
              <w:rPr>
                <w:rFonts w:ascii="Calibri" w:eastAsia="Calibri" w:hAnsi="Calibri" w:cs="Calibri"/>
                <w:lang w:val="es-ES_tradnl"/>
              </w:rPr>
              <w:t xml:space="preserve"> a desarrollar una estrategia nacional integral de ciberseguridad para garantizar un funcionamiento fluido y un ámbito digital seguro y resistente. Esta estrategia se aplicará y ejecutará con un enfoque multilateral.</w:t>
            </w:r>
          </w:p>
          <w:p w14:paraId="21F3F852" w14:textId="77777777" w:rsidR="00224990" w:rsidRPr="00DF5B4D" w:rsidRDefault="00224990" w:rsidP="002446F6">
            <w:pPr>
              <w:pStyle w:val="Tabletext"/>
              <w:ind w:left="284" w:hanging="284"/>
              <w:rPr>
                <w:rFonts w:ascii="Calibri" w:eastAsia="Calibri" w:hAnsi="Calibri" w:cs="Calibri"/>
                <w:lang w:val="es-ES_tradnl"/>
              </w:rPr>
            </w:pPr>
            <w:r w:rsidRPr="00DF5B4D">
              <w:rPr>
                <w:rFonts w:ascii="Calibri" w:eastAsia="Calibri" w:hAnsi="Calibri" w:cs="Calibri"/>
                <w:lang w:val="es-ES_tradnl"/>
              </w:rPr>
              <w:t>•</w:t>
            </w:r>
            <w:r w:rsidRPr="00DF5B4D">
              <w:rPr>
                <w:rFonts w:ascii="Calibri" w:eastAsia="Calibri" w:hAnsi="Calibri" w:cs="Calibri"/>
                <w:lang w:val="es-ES_tradnl"/>
              </w:rPr>
              <w:tab/>
              <w:t xml:space="preserve">Para mejorar la respuesta a los incidentes de ciberseguridad y a los ciberataques a escala nacional y regional, además del </w:t>
            </w:r>
            <w:proofErr w:type="spellStart"/>
            <w:r w:rsidRPr="00DF5B4D">
              <w:rPr>
                <w:rFonts w:ascii="Calibri" w:eastAsia="Calibri" w:hAnsi="Calibri" w:cs="Calibri"/>
                <w:lang w:val="es-ES_tradnl"/>
              </w:rPr>
              <w:t>cibersimulacro</w:t>
            </w:r>
            <w:proofErr w:type="spellEnd"/>
            <w:r w:rsidRPr="00DF5B4D">
              <w:rPr>
                <w:rFonts w:ascii="Calibri" w:eastAsia="Calibri" w:hAnsi="Calibri" w:cs="Calibri"/>
                <w:lang w:val="es-ES_tradnl"/>
              </w:rPr>
              <w:t xml:space="preserve"> regional para la región de África, la UIT realizó una evaluación del desarrollo de los EIII para </w:t>
            </w:r>
            <w:proofErr w:type="spellStart"/>
            <w:r w:rsidRPr="00DF5B4D">
              <w:rPr>
                <w:rFonts w:ascii="Calibri" w:eastAsia="Calibri" w:hAnsi="Calibri" w:cs="Calibri"/>
                <w:lang w:val="es-ES_tradnl"/>
              </w:rPr>
              <w:t>Zimbabwe</w:t>
            </w:r>
            <w:proofErr w:type="spellEnd"/>
            <w:r w:rsidRPr="00DF5B4D">
              <w:rPr>
                <w:rFonts w:ascii="Calibri" w:eastAsia="Calibri" w:hAnsi="Calibri" w:cs="Calibri"/>
                <w:lang w:val="es-ES_tradnl"/>
              </w:rPr>
              <w:t xml:space="preserve"> y una evaluación de la preparación de los EIII para </w:t>
            </w:r>
            <w:proofErr w:type="spellStart"/>
            <w:r w:rsidRPr="00DF5B4D">
              <w:rPr>
                <w:rFonts w:ascii="Calibri" w:eastAsia="Calibri" w:hAnsi="Calibri" w:cs="Calibri"/>
                <w:lang w:val="es-ES_tradnl"/>
              </w:rPr>
              <w:t>Lesotho</w:t>
            </w:r>
            <w:proofErr w:type="spellEnd"/>
            <w:r w:rsidRPr="00DF5B4D">
              <w:rPr>
                <w:rFonts w:ascii="Calibri" w:eastAsia="Calibri" w:hAnsi="Calibri" w:cs="Calibri"/>
                <w:lang w:val="es-ES_tradnl"/>
              </w:rPr>
              <w:t>.</w:t>
            </w:r>
          </w:p>
          <w:p w14:paraId="278A2D78" w14:textId="77777777" w:rsidR="00224990" w:rsidRPr="00DF5B4D" w:rsidRDefault="00224990" w:rsidP="002446F6">
            <w:pPr>
              <w:pStyle w:val="Tabletext"/>
              <w:ind w:left="284" w:hanging="284"/>
              <w:rPr>
                <w:rFonts w:ascii="Calibri" w:eastAsia="Calibri" w:hAnsi="Calibri" w:cs="Calibri"/>
                <w:lang w:val="es-ES_tradnl"/>
              </w:rPr>
            </w:pPr>
            <w:r w:rsidRPr="00DF5B4D">
              <w:rPr>
                <w:rFonts w:ascii="Calibri" w:eastAsia="Calibri" w:hAnsi="Calibri" w:cs="Calibri"/>
                <w:lang w:val="es-ES_tradnl"/>
              </w:rPr>
              <w:t>•</w:t>
            </w:r>
            <w:r w:rsidRPr="00DF5B4D">
              <w:rPr>
                <w:rFonts w:ascii="Calibri" w:eastAsia="Calibri" w:hAnsi="Calibri" w:cs="Calibri"/>
                <w:lang w:val="es-ES_tradnl"/>
              </w:rPr>
              <w:tab/>
              <w:t xml:space="preserve">Se impartió formación y desarrollo de capacidades sobre nuevas tecnologías digitales y </w:t>
            </w:r>
            <w:proofErr w:type="spellStart"/>
            <w:r w:rsidRPr="00DF5B4D">
              <w:rPr>
                <w:rFonts w:ascii="Calibri" w:eastAsia="Calibri" w:hAnsi="Calibri" w:cs="Calibri"/>
                <w:lang w:val="es-ES_tradnl"/>
              </w:rPr>
              <w:t>ciberlegislación</w:t>
            </w:r>
            <w:proofErr w:type="spellEnd"/>
            <w:r w:rsidRPr="00DF5B4D">
              <w:rPr>
                <w:rFonts w:ascii="Calibri" w:eastAsia="Calibri" w:hAnsi="Calibri" w:cs="Calibri"/>
                <w:lang w:val="es-ES_tradnl"/>
              </w:rPr>
              <w:t xml:space="preserve"> a la comunidad jurídica y judicial de Malawi.</w:t>
            </w:r>
          </w:p>
          <w:p w14:paraId="7AFF1999" w14:textId="77777777" w:rsidR="00224990" w:rsidRPr="00DF5B4D" w:rsidRDefault="00224990" w:rsidP="002446F6">
            <w:pPr>
              <w:pStyle w:val="Tabletext"/>
              <w:spacing w:before="120"/>
              <w:rPr>
                <w:b/>
                <w:bCs/>
                <w:lang w:val="es-ES_tradnl"/>
              </w:rPr>
            </w:pPr>
            <w:r w:rsidRPr="00DF5B4D">
              <w:rPr>
                <w:b/>
                <w:bCs/>
                <w:lang w:val="es-ES_tradnl"/>
              </w:rPr>
              <w:t>AFR4: Fomentar las tecnologías emergentes y los ecosistemas de innovación</w:t>
            </w:r>
          </w:p>
          <w:p w14:paraId="27860DF3" w14:textId="5C5883C1" w:rsidR="00224990" w:rsidRPr="00DF5B4D" w:rsidRDefault="00224990" w:rsidP="002446F6">
            <w:pPr>
              <w:pStyle w:val="Tabletext"/>
              <w:ind w:left="284" w:hanging="284"/>
              <w:rPr>
                <w:lang w:val="es-ES_tradnl"/>
              </w:rPr>
            </w:pPr>
            <w:r w:rsidRPr="00DF5B4D">
              <w:rPr>
                <w:lang w:val="es-ES_tradnl"/>
              </w:rPr>
              <w:t>•</w:t>
            </w:r>
            <w:r w:rsidRPr="00DF5B4D">
              <w:rPr>
                <w:lang w:val="es-ES_tradnl"/>
              </w:rPr>
              <w:tab/>
              <w:t xml:space="preserve">Un perfil de innovación digital ha sido completado por </w:t>
            </w:r>
            <w:proofErr w:type="spellStart"/>
            <w:r w:rsidRPr="00DF5B4D">
              <w:rPr>
                <w:lang w:val="es-ES_tradnl"/>
              </w:rPr>
              <w:t>Zimbabwe</w:t>
            </w:r>
            <w:proofErr w:type="spellEnd"/>
            <w:r w:rsidRPr="00DF5B4D">
              <w:rPr>
                <w:lang w:val="es-ES_tradnl"/>
              </w:rPr>
              <w:t xml:space="preserve">, </w:t>
            </w:r>
            <w:r w:rsidR="00EB3B77">
              <w:rPr>
                <w:lang w:val="es-ES_tradnl"/>
              </w:rPr>
              <w:t>cuyas conclusiones</w:t>
            </w:r>
            <w:r w:rsidRPr="00DF5B4D">
              <w:rPr>
                <w:lang w:val="es-ES_tradnl"/>
              </w:rPr>
              <w:t xml:space="preserve"> contribuirán a fortalecer el ecosistema de innovación digital en el país.</w:t>
            </w:r>
            <w:r w:rsidR="00EB3B77" w:rsidRPr="00EB3B77">
              <w:rPr>
                <w:lang w:val="es-ES_tradnl"/>
              </w:rPr>
              <w:t xml:space="preserve"> En 2024 se están realizando o se</w:t>
            </w:r>
            <w:r w:rsidR="000E0F70">
              <w:rPr>
                <w:lang w:val="es-ES_tradnl"/>
              </w:rPr>
              <w:t xml:space="preserve"> ha previsto </w:t>
            </w:r>
            <w:r w:rsidR="00EB3B77" w:rsidRPr="00EB3B77">
              <w:rPr>
                <w:lang w:val="es-ES_tradnl"/>
              </w:rPr>
              <w:t>realizar perfiles</w:t>
            </w:r>
            <w:r w:rsidR="000E0F70">
              <w:rPr>
                <w:lang w:val="es-ES_tradnl"/>
              </w:rPr>
              <w:t xml:space="preserve"> adicionales</w:t>
            </w:r>
            <w:r w:rsidR="00EB3B77" w:rsidRPr="00EB3B77">
              <w:rPr>
                <w:lang w:val="es-ES_tradnl"/>
              </w:rPr>
              <w:t xml:space="preserve"> de innovación en la región.</w:t>
            </w:r>
          </w:p>
          <w:p w14:paraId="5CD1F76C" w14:textId="77777777" w:rsidR="00224990" w:rsidRPr="00DF5B4D" w:rsidRDefault="00224990" w:rsidP="002446F6">
            <w:pPr>
              <w:pStyle w:val="Tabletext"/>
              <w:ind w:left="284" w:hanging="284"/>
              <w:rPr>
                <w:lang w:val="es-ES_tradnl"/>
              </w:rPr>
            </w:pPr>
            <w:r w:rsidRPr="00DF5B4D">
              <w:rPr>
                <w:lang w:val="es-ES_tradnl"/>
              </w:rPr>
              <w:t>•</w:t>
            </w:r>
            <w:r w:rsidRPr="00DF5B4D">
              <w:rPr>
                <w:lang w:val="es-ES_tradnl"/>
              </w:rPr>
              <w:tab/>
              <w:t xml:space="preserve">La Red de Centros de Aceleración, puesta en marcha para desbloquear la innovación para la transformación digital sostenible, tiene como objetivo impulsar la transformación digital a través de un enfoque único de pensamiento ecosistémico, y mejorar las capacidades para impulsar la innovación, el espíritu empresarial y la digitalización de las economías. De los 17 centros puestos en marcha, 6 están situados en África: Gabón, </w:t>
            </w:r>
            <w:proofErr w:type="spellStart"/>
            <w:r w:rsidRPr="00DF5B4D">
              <w:rPr>
                <w:lang w:val="es-ES_tradnl"/>
              </w:rPr>
              <w:t>Kenya</w:t>
            </w:r>
            <w:proofErr w:type="spellEnd"/>
            <w:r w:rsidRPr="00DF5B4D">
              <w:rPr>
                <w:lang w:val="es-ES_tradnl"/>
              </w:rPr>
              <w:t xml:space="preserve">, Malawi, Senegal, Tanzania y </w:t>
            </w:r>
            <w:proofErr w:type="spellStart"/>
            <w:r w:rsidRPr="00DF5B4D">
              <w:rPr>
                <w:lang w:val="es-ES_tradnl"/>
              </w:rPr>
              <w:t>Zimbabwe</w:t>
            </w:r>
            <w:proofErr w:type="spellEnd"/>
            <w:r w:rsidRPr="00DF5B4D">
              <w:rPr>
                <w:lang w:val="es-ES_tradnl"/>
              </w:rPr>
              <w:t>.</w:t>
            </w:r>
          </w:p>
          <w:p w14:paraId="7E0DC365" w14:textId="77777777" w:rsidR="00224990" w:rsidRPr="00DF5B4D" w:rsidRDefault="00224990" w:rsidP="002446F6">
            <w:pPr>
              <w:pStyle w:val="Tabletext"/>
              <w:ind w:left="284" w:hanging="284"/>
              <w:rPr>
                <w:lang w:val="es-ES_tradnl"/>
              </w:rPr>
            </w:pPr>
            <w:r w:rsidRPr="00DF5B4D">
              <w:rPr>
                <w:lang w:val="es-ES_tradnl"/>
              </w:rPr>
              <w:t>•</w:t>
            </w:r>
            <w:r w:rsidRPr="00DF5B4D">
              <w:rPr>
                <w:lang w:val="es-ES_tradnl"/>
              </w:rPr>
              <w:tab/>
              <w:t>Las nuevas bases del proyecto "</w:t>
            </w:r>
            <w:proofErr w:type="spellStart"/>
            <w:r w:rsidRPr="00DF5B4D">
              <w:rPr>
                <w:lang w:val="es-ES_tradnl"/>
              </w:rPr>
              <w:t>VaMoz</w:t>
            </w:r>
            <w:proofErr w:type="spellEnd"/>
            <w:r w:rsidRPr="00DF5B4D">
              <w:rPr>
                <w:lang w:val="es-ES_tradnl"/>
              </w:rPr>
              <w:t xml:space="preserve"> Digital" en Mozambique fue lanzado al final de 2023 con el apoyo de la delegación de la UE en el país. El proyecto tiene una duración de 3,5 años y pretende apoyar la transformación digital centrada en el ser </w:t>
            </w:r>
            <w:r w:rsidRPr="00DF5B4D">
              <w:rPr>
                <w:lang w:val="es-ES_tradnl"/>
              </w:rPr>
              <w:lastRenderedPageBreak/>
              <w:t>humano para el desarrollo sostenible y el crecimiento integrador a través de intervenciones políticas y normativas, reforzar los ecosistemas de innovación digital, la inclusión digital y el desarrollo de capacidades.</w:t>
            </w:r>
          </w:p>
          <w:p w14:paraId="710DFFBC" w14:textId="77777777" w:rsidR="00224990" w:rsidRPr="00DF5B4D" w:rsidRDefault="00224990" w:rsidP="002446F6">
            <w:pPr>
              <w:pStyle w:val="Tabletext"/>
              <w:ind w:left="284" w:hanging="284"/>
              <w:rPr>
                <w:lang w:val="es-ES_tradnl"/>
              </w:rPr>
            </w:pPr>
            <w:r w:rsidRPr="00DF5B4D">
              <w:rPr>
                <w:lang w:val="es-ES_tradnl"/>
              </w:rPr>
              <w:t>•</w:t>
            </w:r>
            <w:r w:rsidRPr="00DF5B4D">
              <w:rPr>
                <w:lang w:val="es-ES_tradnl"/>
              </w:rPr>
              <w:tab/>
              <w:t xml:space="preserve">El nuevo proyecto de competencias digitales para la inclusión digital de las niñas y los jóvenes de África, que cuenta con el apoyo de Qualcomm, está trabajando para desarrollar nuevos contenidos técnicos que alimenten diversas plataformas de formación, incluida la sección de la Academia de la UIT dedicada a los jóvenes y las intervenciones de </w:t>
            </w:r>
            <w:r>
              <w:rPr>
                <w:lang w:val="es-ES_tradnl"/>
              </w:rPr>
              <w:t>"</w:t>
            </w:r>
            <w:proofErr w:type="spellStart"/>
            <w:r w:rsidRPr="00DF5B4D">
              <w:rPr>
                <w:lang w:val="es-ES_tradnl"/>
              </w:rPr>
              <w:t>Girls</w:t>
            </w:r>
            <w:proofErr w:type="spellEnd"/>
            <w:r w:rsidRPr="00DF5B4D">
              <w:rPr>
                <w:lang w:val="es-ES_tradnl"/>
              </w:rPr>
              <w:t xml:space="preserve"> Can </w:t>
            </w:r>
            <w:proofErr w:type="spellStart"/>
            <w:r w:rsidRPr="00DF5B4D">
              <w:rPr>
                <w:lang w:val="es-ES_tradnl"/>
              </w:rPr>
              <w:t>Code</w:t>
            </w:r>
            <w:proofErr w:type="spellEnd"/>
            <w:r>
              <w:rPr>
                <w:lang w:val="es-ES_tradnl"/>
              </w:rPr>
              <w:t>"</w:t>
            </w:r>
            <w:r w:rsidRPr="00DF5B4D">
              <w:rPr>
                <w:lang w:val="es-ES_tradnl"/>
              </w:rPr>
              <w:t xml:space="preserve"> de la región de África.</w:t>
            </w:r>
          </w:p>
          <w:p w14:paraId="4118CDDA" w14:textId="2245B4E6" w:rsidR="00224990" w:rsidRPr="00DF5B4D" w:rsidRDefault="00224990" w:rsidP="002446F6">
            <w:pPr>
              <w:pStyle w:val="Tabletext"/>
              <w:rPr>
                <w:lang w:val="es-ES_tradnl"/>
              </w:rPr>
            </w:pPr>
            <w:r w:rsidRPr="00DF5B4D">
              <w:rPr>
                <w:lang w:val="es-ES_tradnl"/>
              </w:rPr>
              <w:t xml:space="preserve">A través de diversas actividades, la </w:t>
            </w:r>
            <w:r w:rsidR="00EB3B77">
              <w:rPr>
                <w:lang w:val="es-ES_tradnl"/>
              </w:rPr>
              <w:t>BDT</w:t>
            </w:r>
            <w:r w:rsidR="00EB3B77" w:rsidRPr="00DF5B4D">
              <w:rPr>
                <w:lang w:val="es-ES_tradnl"/>
              </w:rPr>
              <w:t xml:space="preserve"> </w:t>
            </w:r>
            <w:r w:rsidRPr="00DF5B4D">
              <w:rPr>
                <w:lang w:val="es-ES_tradnl"/>
              </w:rPr>
              <w:t>también continuó trabajando estrechamente con organizaciones regionales como la Unión Africana de Telecomunicaciones, la Comisión de la Unión Africana, la Secretaría de Smart Africana, las comunidades económicas regionales (CER) y las Asociaciones de Reglamentación regionales. Estas iniciativas incluyen, entre otras, la coordinación con la Comisión de la Unión Africana y los organismos de la ONU para desarrollar el Plan de Acción para África de la iniciativa Alerta Temprana para Todas las Personas (EW4ALL) con el fin de orientar la aplicación de la iniciativa a nivel nacional; el desarrollo del modelo de Plan Nacional de Telecomunicaciones de Emergencia para la región de la Comunidad de Desarrollo del África Meridional (SADC) con el fin de establecer enlaces de telecomunicaciones eficaces para la respuesta y coordinación en caso de catástrofe que puedan ser adaptados y adoptados por otras regiones.</w:t>
            </w:r>
          </w:p>
          <w:p w14:paraId="6F9DF617" w14:textId="77777777" w:rsidR="00224990" w:rsidRPr="00DF5B4D" w:rsidRDefault="00224990" w:rsidP="00EE6B0B">
            <w:pPr>
              <w:pStyle w:val="Tabletext"/>
              <w:ind w:left="284" w:hanging="284"/>
              <w:rPr>
                <w:lang w:val="es-ES_tradnl"/>
              </w:rPr>
            </w:pPr>
            <w:r w:rsidRPr="00DF5B4D">
              <w:rPr>
                <w:lang w:val="es-ES_tradnl"/>
              </w:rPr>
              <w:t>•</w:t>
            </w:r>
            <w:r w:rsidRPr="00DF5B4D">
              <w:rPr>
                <w:lang w:val="es-ES_tradnl"/>
              </w:rPr>
              <w:tab/>
              <w:t>La Coalición de las Naciones Unidas sobre oportunidades y cuestiones concretas (OIBC 3) en el continente, dedicada a la innovación, la digitalización, la juventud y la transformación de la educación, se ha reactivado para responder mejor a las necesidades de los Estados Miembros con acciones conjuntas que reúnan de forma coordinada los conocimientos especializados de los organismos.</w:t>
            </w:r>
          </w:p>
          <w:p w14:paraId="19F6BEA7" w14:textId="4FBC11C6" w:rsidR="00224990" w:rsidRPr="00FC3947" w:rsidRDefault="00224990" w:rsidP="00FC3947">
            <w:pPr>
              <w:pStyle w:val="Tabletext"/>
              <w:ind w:left="284" w:hanging="284"/>
              <w:rPr>
                <w:lang w:val="es-ES_tradnl"/>
              </w:rPr>
            </w:pPr>
            <w:r w:rsidRPr="00DF5B4D">
              <w:rPr>
                <w:lang w:val="es-ES_tradnl"/>
              </w:rPr>
              <w:t>•</w:t>
            </w:r>
            <w:r w:rsidRPr="00DF5B4D">
              <w:rPr>
                <w:lang w:val="es-ES_tradnl"/>
              </w:rPr>
              <w:tab/>
              <w:t xml:space="preserve">La </w:t>
            </w:r>
            <w:r w:rsidR="00EB3B77">
              <w:rPr>
                <w:lang w:val="es-ES_tradnl"/>
              </w:rPr>
              <w:t>BDT</w:t>
            </w:r>
            <w:r w:rsidR="00EB3B77" w:rsidRPr="00DF5B4D">
              <w:rPr>
                <w:lang w:val="es-ES_tradnl"/>
              </w:rPr>
              <w:t xml:space="preserve"> </w:t>
            </w:r>
            <w:r w:rsidRPr="00DF5B4D">
              <w:rPr>
                <w:lang w:val="es-ES_tradnl"/>
              </w:rPr>
              <w:t>contribuyó a los preparativos de la Conferencia Mundial de Radiocomunicaciones (CMR-23), las reuniones preparatorias de la Asamblea Mundial de Normalización de las Telecomunicaciones (AMNT-24) y la 1ª reunión preparatoria de la CMDT-25, en coordinación con la Unión Africana de Telecomunicaciones (UAT) y los Estados Miembros de la UIT.</w:t>
            </w:r>
          </w:p>
          <w:p w14:paraId="29FCCE88" w14:textId="6ECA2784" w:rsidR="00224990" w:rsidRDefault="00224990" w:rsidP="00FC3947">
            <w:pPr>
              <w:pStyle w:val="Tabletext"/>
              <w:spacing w:before="120"/>
              <w:rPr>
                <w:b/>
                <w:bCs/>
                <w:lang w:val="es-ES_tradnl"/>
              </w:rPr>
            </w:pPr>
            <w:r w:rsidRPr="00DF5B4D">
              <w:rPr>
                <w:b/>
                <w:bCs/>
                <w:lang w:val="es-ES_tradnl"/>
              </w:rPr>
              <w:t>Oficina Regional de la UIT para las Américas:</w:t>
            </w:r>
          </w:p>
          <w:p w14:paraId="5C5AE12C" w14:textId="3A686ED7" w:rsidR="00EB3B77" w:rsidRPr="00DF5B4D" w:rsidRDefault="00EB3B77" w:rsidP="000E0F70">
            <w:pPr>
              <w:pStyle w:val="Tabletext"/>
              <w:rPr>
                <w:b/>
                <w:bCs/>
                <w:lang w:val="es-ES_tradnl"/>
              </w:rPr>
            </w:pPr>
            <w:r w:rsidRPr="00EB3B77">
              <w:rPr>
                <w:b/>
                <w:bCs/>
                <w:lang w:val="es-ES_tradnl"/>
              </w:rPr>
              <w:t xml:space="preserve">La Oficina Regional para las Américas ha apoyado activamente a los Estados </w:t>
            </w:r>
            <w:r>
              <w:rPr>
                <w:b/>
                <w:bCs/>
                <w:lang w:val="es-ES_tradnl"/>
              </w:rPr>
              <w:t>M</w:t>
            </w:r>
            <w:r w:rsidRPr="00EB3B77">
              <w:rPr>
                <w:b/>
                <w:bCs/>
                <w:lang w:val="es-ES_tradnl"/>
              </w:rPr>
              <w:t xml:space="preserve">iembros </w:t>
            </w:r>
            <w:r>
              <w:rPr>
                <w:b/>
                <w:bCs/>
                <w:lang w:val="es-ES_tradnl"/>
              </w:rPr>
              <w:t>mediante la ejecución de diversos proyecto</w:t>
            </w:r>
            <w:r w:rsidR="00F85857">
              <w:rPr>
                <w:b/>
                <w:bCs/>
                <w:lang w:val="es-ES_tradnl"/>
              </w:rPr>
              <w:t>s</w:t>
            </w:r>
            <w:r>
              <w:rPr>
                <w:b/>
                <w:bCs/>
                <w:lang w:val="es-ES_tradnl"/>
              </w:rPr>
              <w:t xml:space="preserve"> e iniciativas</w:t>
            </w:r>
            <w:r w:rsidRPr="00EB3B77">
              <w:rPr>
                <w:b/>
                <w:bCs/>
                <w:lang w:val="es-ES_tradnl"/>
              </w:rPr>
              <w:t xml:space="preserve"> en la región</w:t>
            </w:r>
            <w:r>
              <w:rPr>
                <w:b/>
                <w:bCs/>
                <w:lang w:val="es-ES_tradnl"/>
              </w:rPr>
              <w:t>, encaminados al despliegue de</w:t>
            </w:r>
            <w:r w:rsidRPr="00EB3B77">
              <w:rPr>
                <w:b/>
                <w:bCs/>
                <w:lang w:val="es-ES_tradnl"/>
              </w:rPr>
              <w:t xml:space="preserve"> infraestructuras de TIC, </w:t>
            </w:r>
            <w:r>
              <w:rPr>
                <w:b/>
                <w:bCs/>
                <w:lang w:val="es-ES_tradnl"/>
              </w:rPr>
              <w:t xml:space="preserve">la </w:t>
            </w:r>
            <w:r w:rsidRPr="00EB3B77">
              <w:rPr>
                <w:b/>
                <w:bCs/>
                <w:lang w:val="es-ES_tradnl"/>
              </w:rPr>
              <w:t>mejora</w:t>
            </w:r>
            <w:r>
              <w:rPr>
                <w:b/>
                <w:bCs/>
                <w:lang w:val="es-ES_tradnl"/>
              </w:rPr>
              <w:t xml:space="preserve"> de</w:t>
            </w:r>
            <w:r w:rsidRPr="00EB3B77">
              <w:rPr>
                <w:b/>
                <w:bCs/>
                <w:lang w:val="es-ES_tradnl"/>
              </w:rPr>
              <w:t xml:space="preserve"> la inclusión digital y la innovación, </w:t>
            </w:r>
            <w:r>
              <w:rPr>
                <w:b/>
                <w:bCs/>
                <w:lang w:val="es-ES_tradnl"/>
              </w:rPr>
              <w:t>la aceleración de</w:t>
            </w:r>
            <w:r w:rsidRPr="00EB3B77">
              <w:rPr>
                <w:b/>
                <w:bCs/>
                <w:lang w:val="es-ES_tradnl"/>
              </w:rPr>
              <w:t xml:space="preserve"> la transformación digital y</w:t>
            </w:r>
            <w:r>
              <w:rPr>
                <w:b/>
                <w:bCs/>
                <w:lang w:val="es-ES_tradnl"/>
              </w:rPr>
              <w:t xml:space="preserve"> la elaboración de</w:t>
            </w:r>
            <w:r w:rsidRPr="00EB3B77">
              <w:rPr>
                <w:b/>
                <w:bCs/>
                <w:lang w:val="es-ES_tradnl"/>
              </w:rPr>
              <w:t xml:space="preserve"> normativas digitales. </w:t>
            </w:r>
            <w:r w:rsidR="003B3FD5" w:rsidRPr="003A7BE0">
              <w:rPr>
                <w:b/>
                <w:bCs/>
                <w:lang w:val="es-ES_tradnl"/>
              </w:rPr>
              <w:t>Estos</w:t>
            </w:r>
            <w:r w:rsidR="003B3FD5">
              <w:rPr>
                <w:b/>
                <w:bCs/>
                <w:lang w:val="es-ES_tradnl"/>
              </w:rPr>
              <w:t xml:space="preserve"> esfuerzos se enmarcan e</w:t>
            </w:r>
            <w:r w:rsidR="003B3FD5" w:rsidRPr="003A7BE0">
              <w:rPr>
                <w:b/>
                <w:bCs/>
                <w:lang w:val="es-ES_tradnl"/>
              </w:rPr>
              <w:t>n las cuatro iniciativas regionales establecidas en el Plan de Acción de Kigali (P</w:t>
            </w:r>
            <w:r w:rsidR="003B3FD5">
              <w:rPr>
                <w:b/>
                <w:bCs/>
                <w:lang w:val="es-ES_tradnl"/>
              </w:rPr>
              <w:t>AK</w:t>
            </w:r>
            <w:r w:rsidR="003B3FD5" w:rsidRPr="003A7BE0">
              <w:rPr>
                <w:b/>
                <w:bCs/>
                <w:lang w:val="es-ES_tradnl"/>
              </w:rPr>
              <w:t xml:space="preserve">). A continuación se detallan las actividades y </w:t>
            </w:r>
            <w:r w:rsidR="003B3FD5">
              <w:rPr>
                <w:b/>
                <w:bCs/>
                <w:lang w:val="es-ES_tradnl"/>
              </w:rPr>
              <w:t>los logros principales</w:t>
            </w:r>
            <w:r w:rsidR="003B3FD5" w:rsidRPr="003A7BE0">
              <w:rPr>
                <w:b/>
                <w:bCs/>
                <w:lang w:val="es-ES_tradnl"/>
              </w:rPr>
              <w:t xml:space="preserve"> de cada iniciativa regional.</w:t>
            </w:r>
          </w:p>
          <w:p w14:paraId="628C0448" w14:textId="77777777" w:rsidR="00224990" w:rsidRPr="00DF5B4D" w:rsidRDefault="00224990" w:rsidP="00EE6B0B">
            <w:pPr>
              <w:pStyle w:val="Tabletext"/>
              <w:rPr>
                <w:b/>
                <w:bCs/>
                <w:lang w:val="es-ES_tradnl"/>
              </w:rPr>
            </w:pPr>
            <w:r w:rsidRPr="00DF5B4D">
              <w:rPr>
                <w:b/>
                <w:bCs/>
                <w:lang w:val="es-ES_tradnl"/>
              </w:rPr>
              <w:t>AMS1: Despliegue de infraestructuras de telecomunicaciones/tecnologías de la información y la comunicación modernas, resilientes, seguras y sostenibles</w:t>
            </w:r>
          </w:p>
          <w:p w14:paraId="308D25EF" w14:textId="17018956" w:rsidR="00224990" w:rsidRPr="00DF5B4D" w:rsidRDefault="00224990" w:rsidP="00EE6B0B">
            <w:pPr>
              <w:pStyle w:val="Tabletext"/>
              <w:ind w:left="284" w:hanging="284"/>
              <w:rPr>
                <w:lang w:val="es-ES_tradnl"/>
              </w:rPr>
            </w:pPr>
            <w:r w:rsidRPr="00DF5B4D">
              <w:rPr>
                <w:lang w:val="es-ES_tradnl"/>
              </w:rPr>
              <w:t>•</w:t>
            </w:r>
            <w:r w:rsidRPr="00DF5B4D">
              <w:rPr>
                <w:lang w:val="es-ES_tradnl"/>
              </w:rPr>
              <w:tab/>
            </w:r>
            <w:r w:rsidR="003B3FD5">
              <w:rPr>
                <w:lang w:val="es-ES_tradnl"/>
              </w:rPr>
              <w:t>L</w:t>
            </w:r>
            <w:r w:rsidRPr="00DF5B4D">
              <w:rPr>
                <w:lang w:val="es-ES_tradnl"/>
              </w:rPr>
              <w:t xml:space="preserve">a Oficina de Normalización participó en el Seminario sobre Redes Abiertas, celebrado por </w:t>
            </w:r>
            <w:proofErr w:type="spellStart"/>
            <w:r w:rsidRPr="00DF5B4D">
              <w:rPr>
                <w:lang w:val="es-ES_tradnl"/>
              </w:rPr>
              <w:t>Anatel</w:t>
            </w:r>
            <w:proofErr w:type="spellEnd"/>
            <w:r w:rsidRPr="00DF5B4D">
              <w:rPr>
                <w:lang w:val="es-ES_tradnl"/>
              </w:rPr>
              <w:t xml:space="preserve"> el 9 de agosto de 2023 y la Embajada de Japón en Brasil. El Director participó en la sesión "Redes Abiertas: Desglose y virtualización de redes" y habló sobre Redes Abiertas: Perspectivas desde la experiencia de la UIT y de los operadores móviles. Se celebraron varias reuniones bilaterales.</w:t>
            </w:r>
          </w:p>
          <w:p w14:paraId="31F50B41" w14:textId="5F2BACAA" w:rsidR="00224990" w:rsidRPr="00DF5B4D" w:rsidRDefault="00224990" w:rsidP="00EE6B0B">
            <w:pPr>
              <w:pStyle w:val="Tabletext"/>
              <w:ind w:left="284" w:hanging="284"/>
              <w:rPr>
                <w:lang w:val="es-ES_tradnl"/>
              </w:rPr>
            </w:pPr>
            <w:r w:rsidRPr="00DF5B4D">
              <w:rPr>
                <w:lang w:val="es-ES_tradnl"/>
              </w:rPr>
              <w:lastRenderedPageBreak/>
              <w:t>•</w:t>
            </w:r>
            <w:r w:rsidRPr="00DF5B4D">
              <w:rPr>
                <w:lang w:val="es-ES_tradnl"/>
              </w:rPr>
              <w:tab/>
            </w:r>
            <w:r w:rsidR="00113B40">
              <w:rPr>
                <w:lang w:val="es-ES_tradnl"/>
              </w:rPr>
              <w:t>L</w:t>
            </w:r>
            <w:r w:rsidRPr="00DF5B4D">
              <w:rPr>
                <w:lang w:val="es-ES_tradnl"/>
              </w:rPr>
              <w:t xml:space="preserve">a Oficina de Radiocomunicaciones participó activamente en la Conferencia sobre la gestión del espectro en América Latina celebrada en Brasilia, Brasil, del 20 al 21 de febrero de 2024. Esta conferencia, organizada por </w:t>
            </w:r>
            <w:proofErr w:type="spellStart"/>
            <w:r w:rsidRPr="00DF5B4D">
              <w:rPr>
                <w:lang w:val="es-ES_tradnl"/>
              </w:rPr>
              <w:t>Anatel</w:t>
            </w:r>
            <w:proofErr w:type="spellEnd"/>
            <w:r w:rsidRPr="00DF5B4D">
              <w:rPr>
                <w:lang w:val="es-ES_tradnl"/>
              </w:rPr>
              <w:t>, sirvió de plataforma para que las principales partes interesadas deliberaran sobre los productos de la CMR-23.</w:t>
            </w:r>
          </w:p>
          <w:p w14:paraId="20BD96C1" w14:textId="673F5D28" w:rsidR="00224990" w:rsidRPr="00DF5B4D" w:rsidRDefault="00224990" w:rsidP="00EE6B0B">
            <w:pPr>
              <w:pStyle w:val="Tabletext"/>
              <w:ind w:left="284" w:hanging="284"/>
              <w:rPr>
                <w:lang w:val="es-ES_tradnl"/>
              </w:rPr>
            </w:pPr>
            <w:r w:rsidRPr="00DF5B4D">
              <w:rPr>
                <w:lang w:val="es-ES_tradnl"/>
              </w:rPr>
              <w:t>•</w:t>
            </w:r>
            <w:r w:rsidRPr="00DF5B4D">
              <w:rPr>
                <w:lang w:val="es-ES_tradnl"/>
              </w:rPr>
              <w:tab/>
            </w:r>
            <w:r w:rsidR="00113B40">
              <w:rPr>
                <w:lang w:val="es-ES_tradnl"/>
              </w:rPr>
              <w:t>L</w:t>
            </w:r>
            <w:r w:rsidRPr="00DF5B4D">
              <w:rPr>
                <w:lang w:val="es-ES_tradnl"/>
              </w:rPr>
              <w:t>a UIT, UNICEF y la Organización de Estados del Caribe Oriental (OECO) cooperaron y colaboraron en áreas de interés común, incluida</w:t>
            </w:r>
            <w:r w:rsidR="00113B40">
              <w:rPr>
                <w:lang w:val="es-ES_tradnl"/>
              </w:rPr>
              <w:t>s la conectividad escolar y</w:t>
            </w:r>
            <w:r w:rsidRPr="00DF5B4D">
              <w:rPr>
                <w:lang w:val="es-ES_tradnl"/>
              </w:rPr>
              <w:t xml:space="preserve"> la</w:t>
            </w:r>
            <w:r w:rsidR="00113B40">
              <w:rPr>
                <w:lang w:val="es-ES_tradnl"/>
              </w:rPr>
              <w:t xml:space="preserve"> iniciativa </w:t>
            </w:r>
            <w:r w:rsidRPr="00DF5B4D">
              <w:rPr>
                <w:lang w:val="es-ES_tradnl"/>
              </w:rPr>
              <w:t>Giga en la región del Caribe Oriental, mediante el desarrollo de la política y el marco estratégico de protección de la infancia en línea, un estudio piloto en comunidades rurales de Barbados (incluido el suministro de equipos informáticos y formación) y presentaron todo el apoyo a la mejora de la banda ancha de Giga a los Estados Miembros de la Organización de Estados del Caribe Oriental (OECO). En Barbados, se mejoró la banda ancha en 27 escuelas piloto y se beneficiaron más de 18 057 alumnos y 1 382 profesores de todo el país. La BDT y la BR organizaron conjuntamente el Seminario de Radiocomunicaciones para las Américas. Se celebró en mayo de 2023 en La Habana, Cuba. Asistieron casi 100 participantes híbridos, con delegaciones de los 13 Estados Miembros de la UIT de las Américas, así como la participación de la industria y organizaciones internacionales, etc.</w:t>
            </w:r>
          </w:p>
          <w:p w14:paraId="244D314C" w14:textId="035E114C" w:rsidR="00224990" w:rsidRPr="00DF5B4D" w:rsidRDefault="00224990" w:rsidP="00EE6B0B">
            <w:pPr>
              <w:pStyle w:val="Tabletext"/>
              <w:ind w:left="284" w:hanging="284"/>
              <w:rPr>
                <w:lang w:val="es-ES_tradnl"/>
              </w:rPr>
            </w:pPr>
            <w:r w:rsidRPr="00DF5B4D">
              <w:rPr>
                <w:lang w:val="es-ES_tradnl"/>
              </w:rPr>
              <w:t>•</w:t>
            </w:r>
            <w:r w:rsidRPr="00DF5B4D">
              <w:rPr>
                <w:lang w:val="es-ES_tradnl"/>
              </w:rPr>
              <w:tab/>
              <w:t xml:space="preserve">Los talleres sobre telecomunicaciones de emergencia fueron celebrados en Barbados, Antigua y Barbuda, y Guatemala. La </w:t>
            </w:r>
            <w:r w:rsidR="00113B40">
              <w:rPr>
                <w:lang w:val="es-ES_tradnl"/>
              </w:rPr>
              <w:t>BDT</w:t>
            </w:r>
            <w:r w:rsidR="00113B40" w:rsidRPr="00DF5B4D">
              <w:rPr>
                <w:lang w:val="es-ES_tradnl"/>
              </w:rPr>
              <w:t xml:space="preserve"> </w:t>
            </w:r>
            <w:r w:rsidRPr="00DF5B4D">
              <w:rPr>
                <w:lang w:val="es-ES_tradnl"/>
              </w:rPr>
              <w:t>sigue trabajando en un plan de telecomunicaciones de emergencia (PNTE) para Paraguay.</w:t>
            </w:r>
          </w:p>
          <w:p w14:paraId="4068F984" w14:textId="77777777" w:rsidR="00224990" w:rsidRPr="00DF5B4D" w:rsidRDefault="00224990" w:rsidP="00EE6B0B">
            <w:pPr>
              <w:pStyle w:val="Tabletext"/>
              <w:spacing w:before="120"/>
              <w:rPr>
                <w:b/>
                <w:bCs/>
                <w:lang w:val="es-ES_tradnl"/>
              </w:rPr>
            </w:pPr>
            <w:r w:rsidRPr="00DF5B4D">
              <w:rPr>
                <w:b/>
                <w:bCs/>
                <w:lang w:val="es-ES_tradnl"/>
              </w:rPr>
              <w:t>AMS2: Mejora y expansión de la alfabetización digital, las aptitudes digitales y los programas de inclusión digital, especialmente entre las poblaciones vulnerables</w:t>
            </w:r>
          </w:p>
          <w:p w14:paraId="16390CAE" w14:textId="77777777" w:rsidR="00224990" w:rsidRPr="00DF5B4D" w:rsidRDefault="00224990" w:rsidP="00EE6B0B">
            <w:pPr>
              <w:pStyle w:val="Tabletext"/>
              <w:ind w:left="284" w:hanging="284"/>
              <w:rPr>
                <w:lang w:val="es-ES_tradnl"/>
              </w:rPr>
            </w:pPr>
            <w:r w:rsidRPr="00DF5B4D">
              <w:rPr>
                <w:lang w:val="es-ES_tradnl"/>
              </w:rPr>
              <w:t>•</w:t>
            </w:r>
            <w:r w:rsidRPr="00DF5B4D">
              <w:rPr>
                <w:lang w:val="es-ES_tradnl"/>
              </w:rPr>
              <w:tab/>
              <w:t>Fueron aplicados los proyectos que se dirigen al desarrollo de habilidades digitales de personas en situación vulnerable. En asociación con META, el proyecto de las Américas "</w:t>
            </w:r>
            <w:proofErr w:type="spellStart"/>
            <w:r w:rsidRPr="00DF5B4D">
              <w:rPr>
                <w:lang w:val="es-ES_tradnl"/>
              </w:rPr>
              <w:t>Girls</w:t>
            </w:r>
            <w:proofErr w:type="spellEnd"/>
            <w:r w:rsidRPr="00DF5B4D">
              <w:rPr>
                <w:lang w:val="es-ES_tradnl"/>
              </w:rPr>
              <w:t xml:space="preserve"> Can </w:t>
            </w:r>
            <w:proofErr w:type="spellStart"/>
            <w:r w:rsidRPr="00DF5B4D">
              <w:rPr>
                <w:lang w:val="es-ES_tradnl"/>
              </w:rPr>
              <w:t>Code</w:t>
            </w:r>
            <w:proofErr w:type="spellEnd"/>
            <w:r w:rsidRPr="00DF5B4D">
              <w:rPr>
                <w:lang w:val="es-ES_tradnl"/>
              </w:rPr>
              <w:t>" ha reforzado las habilidades digitales de más de 2 300 niñas y prestó apoyo a la estrategia de política de género en Argentina, Brasil, Ecuador y México.</w:t>
            </w:r>
          </w:p>
          <w:p w14:paraId="25A82CE1" w14:textId="77777777" w:rsidR="00224990" w:rsidRPr="00DF5B4D" w:rsidRDefault="00224990" w:rsidP="00EE6B0B">
            <w:pPr>
              <w:pStyle w:val="Tabletext"/>
              <w:ind w:left="284" w:hanging="284"/>
              <w:rPr>
                <w:lang w:val="es-ES_tradnl"/>
              </w:rPr>
            </w:pPr>
            <w:r w:rsidRPr="00DF5B4D">
              <w:rPr>
                <w:lang w:val="es-ES_tradnl"/>
              </w:rPr>
              <w:t>•</w:t>
            </w:r>
            <w:r w:rsidRPr="00DF5B4D">
              <w:rPr>
                <w:lang w:val="es-ES_tradnl"/>
              </w:rPr>
              <w:tab/>
              <w:t>En colaboración con la Fundación Gran Chaco, más de 340 jóvenes y mujeres de comunidades indígenas de Argentina, Bolivia y Paraguay se beneficiaron de las actividades de formación en digitales (proyecto de Inclusión Digital de los Jóvenes).</w:t>
            </w:r>
          </w:p>
          <w:p w14:paraId="3FCE7A05" w14:textId="7CDF1039" w:rsidR="00224990" w:rsidRPr="00DF5B4D" w:rsidRDefault="00224990" w:rsidP="00EE6B0B">
            <w:pPr>
              <w:pStyle w:val="Tabletext"/>
              <w:ind w:left="284" w:hanging="284"/>
              <w:rPr>
                <w:lang w:val="es-ES_tradnl"/>
              </w:rPr>
            </w:pPr>
            <w:r w:rsidRPr="00DF5B4D">
              <w:rPr>
                <w:lang w:val="es-ES_tradnl"/>
              </w:rPr>
              <w:t>•</w:t>
            </w:r>
            <w:r w:rsidRPr="00DF5B4D">
              <w:rPr>
                <w:lang w:val="es-ES_tradnl"/>
              </w:rPr>
              <w:tab/>
              <w:t>La UIT</w:t>
            </w:r>
            <w:r w:rsidR="00113B40">
              <w:rPr>
                <w:lang w:val="es-ES_tradnl"/>
              </w:rPr>
              <w:t>/BDT</w:t>
            </w:r>
            <w:r w:rsidRPr="00DF5B4D">
              <w:rPr>
                <w:lang w:val="es-ES_tradnl"/>
              </w:rPr>
              <w:t xml:space="preserve"> firmó un acuerdo con Huawei para apoyar la aplicación de las iniciativas regionales de la Región de las Américas con fondos para proyectos con un valor de 150 000 USD.</w:t>
            </w:r>
          </w:p>
          <w:p w14:paraId="6F2BFA30" w14:textId="77777777" w:rsidR="00224990" w:rsidRPr="00DF5B4D" w:rsidRDefault="00224990" w:rsidP="00EE6B0B">
            <w:pPr>
              <w:pStyle w:val="Tabletext"/>
              <w:ind w:left="284" w:hanging="284"/>
              <w:rPr>
                <w:lang w:val="es-ES_tradnl"/>
              </w:rPr>
            </w:pPr>
            <w:r w:rsidRPr="00DF5B4D">
              <w:rPr>
                <w:lang w:val="es-ES_tradnl"/>
              </w:rPr>
              <w:t>•</w:t>
            </w:r>
            <w:r w:rsidRPr="00DF5B4D">
              <w:rPr>
                <w:lang w:val="es-ES_tradnl"/>
              </w:rPr>
              <w:tab/>
              <w:t>Se firmó un proyecto de Desarrollo de capacidades con el proveedor de servicios de electricidad y telecomunicaciones (ICE), gestionado por el Gobierno de Costa Rica.</w:t>
            </w:r>
          </w:p>
          <w:p w14:paraId="052A049E" w14:textId="77777777" w:rsidR="00224990" w:rsidRPr="00DF5B4D" w:rsidRDefault="00224990" w:rsidP="00EE6B0B">
            <w:pPr>
              <w:pStyle w:val="Tabletext"/>
              <w:ind w:left="284" w:hanging="284"/>
              <w:rPr>
                <w:lang w:val="es-ES_tradnl"/>
              </w:rPr>
            </w:pPr>
            <w:r w:rsidRPr="00DF5B4D">
              <w:rPr>
                <w:lang w:val="es-ES_tradnl"/>
              </w:rPr>
              <w:t>•</w:t>
            </w:r>
            <w:r w:rsidRPr="00DF5B4D">
              <w:rPr>
                <w:lang w:val="es-ES_tradnl"/>
              </w:rPr>
              <w:tab/>
              <w:t>Países de la región apoyaron las celebraciones del Día Internacional de las Niñas en las TIC. En 2023, la iniciativa fue testigo de un aumento significativo de la participación de niñas de diversos orígenes, lo que refleja el creciente interés y conocimiento de las carreras relacionadas con las TIC entre las mujeres jóvenes. La iniciativa facilitó oportunidades de tutoría para las niñas con mujeres profesionales de éxito en la industria de las TIC.</w:t>
            </w:r>
          </w:p>
          <w:p w14:paraId="37FFDA92" w14:textId="77777777" w:rsidR="00224990" w:rsidRPr="00DF5B4D" w:rsidRDefault="00224990" w:rsidP="00EE6B0B">
            <w:pPr>
              <w:pStyle w:val="Tabletext"/>
              <w:spacing w:before="120"/>
              <w:rPr>
                <w:b/>
                <w:bCs/>
                <w:lang w:val="es-ES_tradnl"/>
              </w:rPr>
            </w:pPr>
            <w:r w:rsidRPr="00DF5B4D">
              <w:rPr>
                <w:b/>
                <w:bCs/>
                <w:lang w:val="es-ES_tradnl"/>
              </w:rPr>
              <w:t>AMS3: Apoyo eficaz a la transformación digital y a los ecosistemas de innovación mediante proyectos de conectividad ampliables. financiados y sostenibles</w:t>
            </w:r>
          </w:p>
          <w:p w14:paraId="6D70DD37" w14:textId="282F307F" w:rsidR="00224990" w:rsidRPr="00DF5B4D" w:rsidRDefault="00224990" w:rsidP="00EE6B0B">
            <w:pPr>
              <w:pStyle w:val="Tabletext"/>
              <w:ind w:left="284" w:hanging="284"/>
              <w:rPr>
                <w:rFonts w:ascii="Calibri" w:eastAsia="Calibri" w:hAnsi="Calibri" w:cs="Calibri"/>
                <w:lang w:val="es-ES_tradnl"/>
              </w:rPr>
            </w:pPr>
            <w:r w:rsidRPr="00DF5B4D">
              <w:rPr>
                <w:rFonts w:ascii="Calibri" w:eastAsia="Calibri" w:hAnsi="Calibri" w:cs="Calibri"/>
                <w:lang w:val="es-ES_tradnl"/>
              </w:rPr>
              <w:t>•</w:t>
            </w:r>
            <w:r w:rsidRPr="00DF5B4D">
              <w:rPr>
                <w:rFonts w:ascii="Calibri" w:eastAsia="Calibri" w:hAnsi="Calibri" w:cs="Calibri"/>
                <w:lang w:val="es-ES_tradnl"/>
              </w:rPr>
              <w:tab/>
            </w:r>
            <w:r w:rsidR="00113B40">
              <w:rPr>
                <w:rFonts w:ascii="Calibri" w:eastAsia="Calibri" w:hAnsi="Calibri" w:cs="Calibri"/>
                <w:lang w:val="es-ES_tradnl"/>
              </w:rPr>
              <w:t>Se desarrolló un</w:t>
            </w:r>
            <w:r w:rsidRPr="00DF5B4D">
              <w:rPr>
                <w:rFonts w:ascii="Calibri" w:eastAsia="Calibri" w:hAnsi="Calibri" w:cs="Calibri"/>
                <w:lang w:val="es-ES_tradnl"/>
              </w:rPr>
              <w:t xml:space="preserve"> Programa de Formación para la Gestión de Redes TIC en Comunicades Indígenas y Rurales en América Latina </w:t>
            </w:r>
            <w:r w:rsidR="000E0F70">
              <w:rPr>
                <w:rFonts w:ascii="Calibri" w:eastAsia="Calibri" w:hAnsi="Calibri" w:cs="Calibri"/>
                <w:lang w:val="es-ES_tradnl"/>
              </w:rPr>
              <w:t>para el curso</w:t>
            </w:r>
            <w:r w:rsidR="000E0F70" w:rsidRPr="00DF5B4D">
              <w:rPr>
                <w:rFonts w:ascii="Calibri" w:eastAsia="Calibri" w:hAnsi="Calibri" w:cs="Calibri"/>
                <w:lang w:val="es-ES_tradnl"/>
              </w:rPr>
              <w:t xml:space="preserve"> </w:t>
            </w:r>
            <w:r w:rsidRPr="00DF5B4D">
              <w:rPr>
                <w:rFonts w:ascii="Calibri" w:eastAsia="Calibri" w:hAnsi="Calibri" w:cs="Calibri"/>
                <w:lang w:val="es-ES_tradnl"/>
              </w:rPr>
              <w:t>2023/2024.</w:t>
            </w:r>
          </w:p>
          <w:p w14:paraId="1DE38071" w14:textId="0A9256F9" w:rsidR="00224990" w:rsidRPr="00DF5B4D" w:rsidRDefault="00224990" w:rsidP="00EE6B0B">
            <w:pPr>
              <w:pStyle w:val="Tabletext"/>
              <w:ind w:left="284" w:hanging="284"/>
              <w:rPr>
                <w:rFonts w:ascii="Calibri" w:eastAsia="Calibri" w:hAnsi="Calibri" w:cs="Calibri"/>
                <w:lang w:val="es-ES_tradnl"/>
              </w:rPr>
            </w:pPr>
            <w:r w:rsidRPr="00DF5B4D">
              <w:rPr>
                <w:rFonts w:ascii="Calibri" w:eastAsia="Calibri" w:hAnsi="Calibri" w:cs="Calibri"/>
                <w:lang w:val="es-ES_tradnl"/>
              </w:rPr>
              <w:lastRenderedPageBreak/>
              <w:t>•</w:t>
            </w:r>
            <w:r w:rsidRPr="00DF5B4D">
              <w:rPr>
                <w:rFonts w:ascii="Calibri" w:eastAsia="Calibri" w:hAnsi="Calibri" w:cs="Calibri"/>
                <w:lang w:val="es-ES_tradnl"/>
              </w:rPr>
              <w:tab/>
              <w:t>La UIT</w:t>
            </w:r>
            <w:r w:rsidR="00113B40">
              <w:rPr>
                <w:rFonts w:ascii="Calibri" w:eastAsia="Calibri" w:hAnsi="Calibri" w:cs="Calibri"/>
                <w:lang w:val="es-ES_tradnl"/>
              </w:rPr>
              <w:t>/BDT</w:t>
            </w:r>
            <w:r w:rsidRPr="00DF5B4D">
              <w:rPr>
                <w:rFonts w:ascii="Calibri" w:eastAsia="Calibri" w:hAnsi="Calibri" w:cs="Calibri"/>
                <w:lang w:val="es-ES_tradnl"/>
              </w:rPr>
              <w:t xml:space="preserve"> participó activamente en el Congreso de transformación digital de América Latina, organizado por ASIET y GSMA, que tuvo lugar del 31 de mayo al 1 de junio de 2023, compartiendo conocimientos y experiencia sobre accesibilidad de las TIC, inclusión digital y entornos normativos propicios en la Región.</w:t>
            </w:r>
          </w:p>
          <w:p w14:paraId="3BC33376" w14:textId="7C8F3135" w:rsidR="00224990" w:rsidRPr="00DF5B4D" w:rsidRDefault="00224990" w:rsidP="00EE6B0B">
            <w:pPr>
              <w:pStyle w:val="Tabletext"/>
              <w:rPr>
                <w:rFonts w:ascii="Calibri" w:eastAsia="Calibri" w:hAnsi="Calibri" w:cs="Calibri"/>
                <w:lang w:val="es-ES_tradnl"/>
              </w:rPr>
            </w:pPr>
            <w:r w:rsidRPr="00DF5B4D">
              <w:rPr>
                <w:rFonts w:ascii="Calibri" w:eastAsia="Calibri" w:hAnsi="Calibri" w:cs="Calibri"/>
                <w:lang w:val="es-ES_tradnl"/>
              </w:rPr>
              <w:t>•</w:t>
            </w:r>
            <w:r w:rsidRPr="00DF5B4D">
              <w:rPr>
                <w:rFonts w:ascii="Calibri" w:eastAsia="Calibri" w:hAnsi="Calibri" w:cs="Calibri"/>
                <w:lang w:val="es-ES_tradnl"/>
              </w:rPr>
              <w:tab/>
            </w:r>
            <w:r w:rsidR="00E638C1">
              <w:rPr>
                <w:rFonts w:ascii="Calibri" w:eastAsia="Calibri" w:hAnsi="Calibri" w:cs="Calibri"/>
                <w:lang w:val="es-ES_tradnl"/>
              </w:rPr>
              <w:t>Se</w:t>
            </w:r>
            <w:r w:rsidRPr="00DF5B4D">
              <w:rPr>
                <w:rFonts w:ascii="Calibri" w:eastAsia="Calibri" w:hAnsi="Calibri" w:cs="Calibri"/>
                <w:lang w:val="es-ES_tradnl"/>
              </w:rPr>
              <w:t xml:space="preserve"> firmó </w:t>
            </w:r>
            <w:r w:rsidR="00E638C1">
              <w:rPr>
                <w:rFonts w:ascii="Calibri" w:eastAsia="Calibri" w:hAnsi="Calibri" w:cs="Calibri"/>
                <w:lang w:val="es-ES_tradnl"/>
              </w:rPr>
              <w:t>un</w:t>
            </w:r>
            <w:r w:rsidRPr="00DF5B4D">
              <w:rPr>
                <w:rFonts w:ascii="Calibri" w:eastAsia="Calibri" w:hAnsi="Calibri" w:cs="Calibri"/>
                <w:lang w:val="es-ES_tradnl"/>
              </w:rPr>
              <w:t xml:space="preserve"> Marco de Cooperación para el Desarrollo Sostenible de las Naciones Unidas (MCNUDS) en Brasil.</w:t>
            </w:r>
          </w:p>
          <w:p w14:paraId="4A9A097D" w14:textId="04E409A2" w:rsidR="00224990" w:rsidRPr="00DF5B4D" w:rsidRDefault="00224990" w:rsidP="00EE6B0B">
            <w:pPr>
              <w:pStyle w:val="Tabletext"/>
              <w:ind w:left="284" w:hanging="284"/>
              <w:rPr>
                <w:rFonts w:ascii="Calibri" w:eastAsia="Calibri" w:hAnsi="Calibri" w:cs="Calibri"/>
                <w:lang w:val="es-ES_tradnl"/>
              </w:rPr>
            </w:pPr>
            <w:r w:rsidRPr="00DF5B4D">
              <w:rPr>
                <w:rFonts w:ascii="Calibri" w:eastAsia="Calibri" w:hAnsi="Calibri" w:cs="Calibri"/>
                <w:lang w:val="es-ES_tradnl"/>
              </w:rPr>
              <w:t>•</w:t>
            </w:r>
            <w:r w:rsidRPr="00DF5B4D">
              <w:rPr>
                <w:rFonts w:ascii="Calibri" w:eastAsia="Calibri" w:hAnsi="Calibri" w:cs="Calibri"/>
                <w:lang w:val="es-ES_tradnl"/>
              </w:rPr>
              <w:tab/>
              <w:t xml:space="preserve">La </w:t>
            </w:r>
            <w:r w:rsidR="00E638C1">
              <w:rPr>
                <w:rFonts w:ascii="Calibri" w:eastAsia="Calibri" w:hAnsi="Calibri" w:cs="Calibri"/>
                <w:lang w:val="es-ES_tradnl"/>
              </w:rPr>
              <w:t>BDT</w:t>
            </w:r>
            <w:r w:rsidR="00E638C1" w:rsidRPr="00DF5B4D">
              <w:rPr>
                <w:rFonts w:ascii="Calibri" w:eastAsia="Calibri" w:hAnsi="Calibri" w:cs="Calibri"/>
                <w:lang w:val="es-ES_tradnl"/>
              </w:rPr>
              <w:t xml:space="preserve"> </w:t>
            </w:r>
            <w:r w:rsidRPr="00DF5B4D">
              <w:rPr>
                <w:rFonts w:ascii="Calibri" w:eastAsia="Calibri" w:hAnsi="Calibri" w:cs="Calibri"/>
                <w:lang w:val="es-ES_tradnl"/>
              </w:rPr>
              <w:t>participó junto con otros organismos, fondos y programas de las Naciones Unidas en la oportunidad de la Ventana Digital del Fondo de los ODS en Colombia y El Salvador. En Colombia, la propuesta de la OIT, la UIT, el PNUD y el UNFPA recibió la totalidad de los fondos, y en El Salvador, la propuesta de la UIT, el UNFPA, el UNICEF y la OMS recibió 250 000 USD como financiación inicial. La UIT, la FAO y la Unión Europea firmaron el proyecto "MERIAN" sobre agricultura 5.0 para El Salvador. El presupuesto total del proyecto es de 5,2 millones de euros, y la UIT empleará 1,09 millones de euros.</w:t>
            </w:r>
          </w:p>
          <w:p w14:paraId="126ACF2A" w14:textId="77777777" w:rsidR="00224990" w:rsidRPr="00DF5B4D" w:rsidRDefault="00224990" w:rsidP="00EE6B0B">
            <w:pPr>
              <w:pStyle w:val="Tabletext"/>
              <w:spacing w:before="120"/>
              <w:rPr>
                <w:b/>
                <w:bCs/>
                <w:lang w:val="es-ES_tradnl"/>
              </w:rPr>
            </w:pPr>
            <w:r w:rsidRPr="00DF5B4D">
              <w:rPr>
                <w:b/>
                <w:bCs/>
                <w:lang w:val="es-ES_tradnl"/>
              </w:rPr>
              <w:t>AMS4: Desarrollo de políticas y marcos reglamentarios propicios a la conexión de quienes no lo están, mediante telecomunicaciones/Tic accesibles y asequibles que apoyen el cumplimiento de los ODS y el progreso hacia la economía digital</w:t>
            </w:r>
          </w:p>
          <w:p w14:paraId="269A2E10" w14:textId="77777777" w:rsidR="00224990" w:rsidRPr="00DF5B4D" w:rsidRDefault="00224990" w:rsidP="00EE6B0B">
            <w:pPr>
              <w:pStyle w:val="Tabletext"/>
              <w:rPr>
                <w:rFonts w:ascii="Calibri" w:eastAsia="Calibri" w:hAnsi="Calibri" w:cs="Calibri"/>
                <w:lang w:val="es-ES_tradnl"/>
              </w:rPr>
            </w:pPr>
            <w:r w:rsidRPr="00DF5B4D">
              <w:rPr>
                <w:rFonts w:ascii="Calibri" w:eastAsia="Calibri" w:hAnsi="Calibri" w:cs="Calibri"/>
                <w:lang w:val="es-ES_tradnl"/>
              </w:rPr>
              <w:t>•</w:t>
            </w:r>
            <w:r w:rsidRPr="00DF5B4D">
              <w:rPr>
                <w:rFonts w:ascii="Calibri" w:eastAsia="Calibri" w:hAnsi="Calibri" w:cs="Calibri"/>
                <w:lang w:val="es-ES_tradnl"/>
              </w:rPr>
              <w:tab/>
              <w:t>En República Dominicana se impartió formación sobre inclusión financiera digital básica (IFD) y servicios financieros digitales.</w:t>
            </w:r>
          </w:p>
          <w:p w14:paraId="03E5F14F" w14:textId="6F6CA52A" w:rsidR="00224990" w:rsidRPr="00DF5B4D" w:rsidRDefault="00224990" w:rsidP="00EE6B0B">
            <w:pPr>
              <w:pStyle w:val="Tabletext"/>
              <w:ind w:left="284" w:hanging="284"/>
              <w:rPr>
                <w:rFonts w:ascii="Calibri" w:eastAsia="Calibri" w:hAnsi="Calibri" w:cs="Calibri"/>
                <w:lang w:val="es-ES_tradnl"/>
              </w:rPr>
            </w:pPr>
            <w:r w:rsidRPr="00DF5B4D">
              <w:rPr>
                <w:rFonts w:ascii="Calibri" w:eastAsia="Calibri" w:hAnsi="Calibri" w:cs="Calibri"/>
                <w:lang w:val="es-ES_tradnl"/>
              </w:rPr>
              <w:t>•</w:t>
            </w:r>
            <w:r w:rsidRPr="00DF5B4D">
              <w:rPr>
                <w:rFonts w:ascii="Calibri" w:eastAsia="Calibri" w:hAnsi="Calibri" w:cs="Calibri"/>
                <w:lang w:val="es-ES_tradnl"/>
              </w:rPr>
              <w:tab/>
              <w:t xml:space="preserve">El </w:t>
            </w:r>
            <w:r w:rsidRPr="00DF5B4D">
              <w:rPr>
                <w:rFonts w:ascii="Calibri" w:eastAsia="Calibri" w:hAnsi="Calibri" w:cs="Calibri"/>
                <w:b/>
                <w:bCs/>
                <w:lang w:val="es-ES_tradnl"/>
              </w:rPr>
              <w:t xml:space="preserve">FDR de la UIT para la Región de las América (FRD-AMS) </w:t>
            </w:r>
            <w:r w:rsidRPr="00DF5B4D">
              <w:rPr>
                <w:rFonts w:ascii="Calibri" w:eastAsia="Calibri" w:hAnsi="Calibri" w:cs="Calibri"/>
                <w:lang w:val="es-ES_tradnl"/>
              </w:rPr>
              <w:t>fue organizado por la UIT</w:t>
            </w:r>
            <w:r w:rsidR="00E638C1">
              <w:rPr>
                <w:rFonts w:ascii="Calibri" w:eastAsia="Calibri" w:hAnsi="Calibri" w:cs="Calibri"/>
                <w:lang w:val="es-ES_tradnl"/>
              </w:rPr>
              <w:t>/BDT</w:t>
            </w:r>
            <w:r w:rsidRPr="00DF5B4D">
              <w:rPr>
                <w:rFonts w:ascii="Calibri" w:eastAsia="Calibri" w:hAnsi="Calibri" w:cs="Calibri"/>
                <w:lang w:val="es-ES_tradnl"/>
              </w:rPr>
              <w:t xml:space="preserve"> y acogido por el Gobierno de El Salvador. El Foro se celebró del 16 al 18 de agosto de 2023 en San Salvador conjuntamente con el Coloquio de la UIT sobre las Nuevas Tecnologías e Internet. Se recibieron 27 contribuciones</w:t>
            </w:r>
            <w:r w:rsidR="00E638C1">
              <w:rPr>
                <w:rFonts w:ascii="Calibri" w:eastAsia="Calibri" w:hAnsi="Calibri" w:cs="Calibri"/>
                <w:lang w:val="es-ES_tradnl"/>
              </w:rPr>
              <w:t>,</w:t>
            </w:r>
            <w:r w:rsidRPr="00DF5B4D">
              <w:rPr>
                <w:rFonts w:ascii="Calibri" w:eastAsia="Calibri" w:hAnsi="Calibri" w:cs="Calibri"/>
                <w:lang w:val="es-ES_tradnl"/>
              </w:rPr>
              <w:t xml:space="preserve"> </w:t>
            </w:r>
            <w:r w:rsidR="00E638C1">
              <w:rPr>
                <w:rFonts w:ascii="Calibri" w:eastAsia="Calibri" w:hAnsi="Calibri" w:cs="Calibri"/>
                <w:lang w:val="es-ES_tradnl"/>
              </w:rPr>
              <w:t>que</w:t>
            </w:r>
            <w:r w:rsidRPr="00DF5B4D">
              <w:rPr>
                <w:rFonts w:ascii="Calibri" w:eastAsia="Calibri" w:hAnsi="Calibri" w:cs="Calibri"/>
                <w:lang w:val="es-ES_tradnl"/>
              </w:rPr>
              <w:t xml:space="preserve"> se agregaron a la plataforma de compromisos de P2C. </w:t>
            </w:r>
            <w:r w:rsidR="00543AC0" w:rsidRPr="00543AC0">
              <w:rPr>
                <w:rFonts w:ascii="Calibri" w:eastAsia="Calibri" w:hAnsi="Calibri" w:cs="Calibri"/>
                <w:lang w:val="es-ES_tradnl"/>
              </w:rPr>
              <w:t>En el FDR</w:t>
            </w:r>
            <w:r w:rsidR="00543AC0">
              <w:rPr>
                <w:rFonts w:ascii="Calibri" w:eastAsia="Calibri" w:hAnsi="Calibri" w:cs="Calibri"/>
                <w:lang w:val="es-ES_tradnl"/>
              </w:rPr>
              <w:t>,</w:t>
            </w:r>
            <w:r w:rsidR="00543AC0" w:rsidRPr="00543AC0">
              <w:rPr>
                <w:rFonts w:ascii="Calibri" w:eastAsia="Calibri" w:hAnsi="Calibri" w:cs="Calibri"/>
                <w:lang w:val="es-ES_tradnl"/>
              </w:rPr>
              <w:t xml:space="preserve"> se anunciaron 147 compromisos P2C, por valor de 9</w:t>
            </w:r>
            <w:r w:rsidR="00543AC0">
              <w:rPr>
                <w:rFonts w:ascii="Calibri" w:eastAsia="Calibri" w:hAnsi="Calibri" w:cs="Calibri"/>
                <w:lang w:val="es-ES_tradnl"/>
              </w:rPr>
              <w:t xml:space="preserve"> </w:t>
            </w:r>
            <w:r w:rsidR="00543AC0" w:rsidRPr="00543AC0">
              <w:rPr>
                <w:rFonts w:ascii="Calibri" w:eastAsia="Calibri" w:hAnsi="Calibri" w:cs="Calibri"/>
                <w:lang w:val="es-ES_tradnl"/>
              </w:rPr>
              <w:t xml:space="preserve">860 millones </w:t>
            </w:r>
            <w:r w:rsidR="00543AC0">
              <w:rPr>
                <w:rFonts w:ascii="Calibri" w:eastAsia="Calibri" w:hAnsi="Calibri" w:cs="Calibri"/>
                <w:lang w:val="es-ES_tradnl"/>
              </w:rPr>
              <w:t>USD</w:t>
            </w:r>
            <w:r w:rsidR="00543AC0" w:rsidRPr="00543AC0">
              <w:rPr>
                <w:rFonts w:ascii="Calibri" w:eastAsia="Calibri" w:hAnsi="Calibri" w:cs="Calibri"/>
                <w:lang w:val="es-ES_tradnl"/>
              </w:rPr>
              <w:t xml:space="preserve">, basados en las promesas que se habían </w:t>
            </w:r>
            <w:r w:rsidR="00543AC0">
              <w:rPr>
                <w:rFonts w:ascii="Calibri" w:eastAsia="Calibri" w:hAnsi="Calibri" w:cs="Calibri"/>
                <w:lang w:val="es-ES_tradnl"/>
              </w:rPr>
              <w:t>contraído</w:t>
            </w:r>
            <w:r w:rsidR="00543AC0" w:rsidRPr="00543AC0">
              <w:rPr>
                <w:rFonts w:ascii="Calibri" w:eastAsia="Calibri" w:hAnsi="Calibri" w:cs="Calibri"/>
                <w:lang w:val="es-ES_tradnl"/>
              </w:rPr>
              <w:t>.</w:t>
            </w:r>
            <w:r w:rsidR="00543AC0" w:rsidRPr="00DF5B4D" w:rsidDel="00543AC0">
              <w:rPr>
                <w:rFonts w:ascii="Calibri" w:eastAsia="Calibri" w:hAnsi="Calibri" w:cs="Calibri"/>
                <w:lang w:val="es-ES_tradnl"/>
              </w:rPr>
              <w:t xml:space="preserve"> </w:t>
            </w:r>
            <w:r w:rsidR="00543AC0">
              <w:rPr>
                <w:rFonts w:ascii="Calibri" w:eastAsia="Calibri" w:hAnsi="Calibri" w:cs="Calibri"/>
                <w:lang w:val="es-ES_tradnl"/>
              </w:rPr>
              <w:t>Estos compromisos fueron asumidos</w:t>
            </w:r>
            <w:r w:rsidRPr="00DF5B4D">
              <w:rPr>
                <w:rFonts w:ascii="Calibri" w:eastAsia="Calibri" w:hAnsi="Calibri" w:cs="Calibri"/>
                <w:lang w:val="es-ES_tradnl"/>
              </w:rPr>
              <w:t xml:space="preserve"> por 91 entidades de 39 países , algunos de los cuales ya se están implementando en la Región de las Américas para ofrecer una conectividad y una transformación digital significativas. El FDR-AMS acogió a 268 participantes de 22 Estados miembros.</w:t>
            </w:r>
          </w:p>
          <w:p w14:paraId="276720D8" w14:textId="290EF232" w:rsidR="00224990" w:rsidRPr="00DF5B4D" w:rsidRDefault="00224990" w:rsidP="00EE6B0B">
            <w:pPr>
              <w:pStyle w:val="Tabletext"/>
              <w:ind w:left="284" w:hanging="284"/>
              <w:rPr>
                <w:rFonts w:ascii="Calibri" w:eastAsia="Calibri" w:hAnsi="Calibri" w:cs="Calibri"/>
                <w:lang w:val="es-ES_tradnl"/>
              </w:rPr>
            </w:pPr>
            <w:r w:rsidRPr="00DF5B4D">
              <w:rPr>
                <w:rFonts w:ascii="Calibri" w:eastAsia="Calibri" w:hAnsi="Calibri" w:cs="Calibri"/>
                <w:lang w:val="es-ES_tradnl"/>
              </w:rPr>
              <w:t>•</w:t>
            </w:r>
            <w:r w:rsidRPr="00DF5B4D">
              <w:rPr>
                <w:rFonts w:ascii="Calibri" w:eastAsia="Calibri" w:hAnsi="Calibri" w:cs="Calibri"/>
                <w:lang w:val="es-ES_tradnl"/>
              </w:rPr>
              <w:tab/>
              <w:t>Durante el Comité Consultivo Permanente I (CCP.I) de la CITEL, la UIT</w:t>
            </w:r>
            <w:r w:rsidR="00543AC0">
              <w:rPr>
                <w:rFonts w:ascii="Calibri" w:eastAsia="Calibri" w:hAnsi="Calibri" w:cs="Calibri"/>
                <w:lang w:val="es-ES_tradnl"/>
              </w:rPr>
              <w:t>/BDT</w:t>
            </w:r>
            <w:r w:rsidRPr="00DF5B4D">
              <w:rPr>
                <w:rFonts w:ascii="Calibri" w:eastAsia="Calibri" w:hAnsi="Calibri" w:cs="Calibri"/>
                <w:lang w:val="es-ES_tradnl"/>
              </w:rPr>
              <w:t xml:space="preserve"> proporcionó apoyo regional al entorno de regulación alternativa y organizó un taller para los países participantes.</w:t>
            </w:r>
          </w:p>
          <w:p w14:paraId="3A63BA56" w14:textId="77777777" w:rsidR="00224990" w:rsidRPr="00DF5B4D" w:rsidRDefault="00224990" w:rsidP="00711BF7">
            <w:pPr>
              <w:pStyle w:val="Tabletext"/>
              <w:spacing w:before="120"/>
              <w:rPr>
                <w:b/>
                <w:bCs/>
                <w:lang w:val="es-ES_tradnl"/>
              </w:rPr>
            </w:pPr>
            <w:r w:rsidRPr="00DF5B4D">
              <w:rPr>
                <w:b/>
                <w:bCs/>
                <w:lang w:val="es-ES_tradnl"/>
              </w:rPr>
              <w:t>Oficina Regional de la UIT para los Estados Árabes:</w:t>
            </w:r>
          </w:p>
          <w:p w14:paraId="1EF0541B" w14:textId="77777777" w:rsidR="00224990" w:rsidRPr="00DF5B4D" w:rsidRDefault="00224990" w:rsidP="00711BF7">
            <w:pPr>
              <w:pStyle w:val="Tabletext"/>
              <w:rPr>
                <w:lang w:val="es-ES_tradnl"/>
              </w:rPr>
            </w:pPr>
            <w:r w:rsidRPr="00DF5B4D">
              <w:rPr>
                <w:lang w:val="es-ES_tradnl"/>
              </w:rPr>
              <w:t>La Oficina Regional para los Estados Árabes ha encabezado activamente diversas iniciativas y proyectos en toda la Región, destinados a acelerar la transformación digital y fomentar una economía digital sostenible. Estos esfuerzos se alinean con las cinco iniciativas regionales con arreglo al Plan de Acción de Kigali (PAK), que se centran en mejorar las economías digitales, garantizar la ciberseguridad, desarrollar ciudades inteligentes, fomentar la innovación, y formular reglamentaciones digitales. A continuación, se exponen las principales actividades y logros en el marco de cada iniciativa regional, que demuestran el compromiso de la UIT con el progreso de las telecomunicaciones y la tecnología en la Región de los Estados Árabes.</w:t>
            </w:r>
          </w:p>
          <w:p w14:paraId="04D741A4" w14:textId="77777777" w:rsidR="00224990" w:rsidRPr="00DF5B4D" w:rsidRDefault="00224990" w:rsidP="00711BF7">
            <w:pPr>
              <w:pStyle w:val="Tabletext"/>
              <w:spacing w:before="120"/>
              <w:rPr>
                <w:b/>
                <w:bCs/>
                <w:lang w:val="es-ES_tradnl"/>
              </w:rPr>
            </w:pPr>
            <w:r w:rsidRPr="00DF5B4D">
              <w:rPr>
                <w:b/>
                <w:bCs/>
                <w:lang w:val="es-ES_tradnl"/>
              </w:rPr>
              <w:t>ARB 1: Iniciativa regional 1: Economía digital sostenible mediante la transformación digital</w:t>
            </w:r>
          </w:p>
          <w:p w14:paraId="50FDDC09" w14:textId="0AB84712" w:rsidR="00224990" w:rsidRPr="00DF5B4D" w:rsidRDefault="00224990" w:rsidP="00711BF7">
            <w:pPr>
              <w:pStyle w:val="Tabletext"/>
              <w:ind w:left="284" w:hanging="284"/>
              <w:rPr>
                <w:lang w:val="es-ES_tradnl"/>
              </w:rPr>
            </w:pPr>
            <w:r w:rsidRPr="00DF5B4D">
              <w:rPr>
                <w:lang w:val="es-ES_tradnl"/>
              </w:rPr>
              <w:t>•</w:t>
            </w:r>
            <w:r w:rsidRPr="00DF5B4D">
              <w:rPr>
                <w:lang w:val="es-ES_tradnl"/>
              </w:rPr>
              <w:tab/>
              <w:t xml:space="preserve">La </w:t>
            </w:r>
            <w:r w:rsidR="00543AC0">
              <w:rPr>
                <w:lang w:val="es-ES_tradnl"/>
              </w:rPr>
              <w:t>BDT</w:t>
            </w:r>
            <w:r w:rsidR="00543AC0" w:rsidRPr="00DF5B4D">
              <w:rPr>
                <w:lang w:val="es-ES_tradnl"/>
              </w:rPr>
              <w:t xml:space="preserve"> </w:t>
            </w:r>
            <w:r w:rsidRPr="00DF5B4D">
              <w:rPr>
                <w:lang w:val="es-ES_tradnl"/>
              </w:rPr>
              <w:t>facilitó el GSR-23 organizado por Egipto, que se centró en la reglamentación para un futuro digital sostenible, lo que subraya el compromiso de Egipto de facilitar debates internacionales sobre telecomunicaciones de gran repercusión.</w:t>
            </w:r>
          </w:p>
          <w:p w14:paraId="35EF2C99"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El logro de Omán al completar su perfil nacional de innovación digital representa un paso significativo hacia la comprensión y mejora de su panorama digital.</w:t>
            </w:r>
          </w:p>
          <w:p w14:paraId="338EAF91" w14:textId="77777777" w:rsidR="00224990" w:rsidRPr="00DF5B4D" w:rsidRDefault="00224990" w:rsidP="00711BF7">
            <w:pPr>
              <w:pStyle w:val="Tabletext"/>
              <w:ind w:left="284" w:hanging="284"/>
              <w:rPr>
                <w:lang w:val="es-ES_tradnl"/>
              </w:rPr>
            </w:pPr>
            <w:r w:rsidRPr="00DF5B4D">
              <w:rPr>
                <w:lang w:val="es-ES_tradnl"/>
              </w:rPr>
              <w:lastRenderedPageBreak/>
              <w:t>•</w:t>
            </w:r>
            <w:r w:rsidRPr="00DF5B4D">
              <w:rPr>
                <w:lang w:val="es-ES_tradnl"/>
              </w:rPr>
              <w:tab/>
              <w:t>Túnez apoyó la innovación y el espíritu empresarial a través de misiones de aterrizaje suave, destacando el potencial de las nuevas empresas emergentes y fomentando la colaboración transfronteriza dentro de la Región de los Estados Árabes.</w:t>
            </w:r>
          </w:p>
          <w:p w14:paraId="03F21A2E" w14:textId="77F3CD7C" w:rsidR="00224990" w:rsidRPr="00DF5B4D" w:rsidRDefault="00224990" w:rsidP="00711BF7">
            <w:pPr>
              <w:pStyle w:val="Tabletext"/>
              <w:ind w:left="284" w:hanging="284"/>
              <w:rPr>
                <w:lang w:val="es-ES_tradnl"/>
              </w:rPr>
            </w:pPr>
            <w:r w:rsidRPr="00DF5B4D">
              <w:rPr>
                <w:lang w:val="es-ES_tradnl"/>
              </w:rPr>
              <w:t>•</w:t>
            </w:r>
            <w:r w:rsidRPr="00DF5B4D">
              <w:rPr>
                <w:lang w:val="es-ES_tradnl"/>
              </w:rPr>
              <w:tab/>
              <w:t xml:space="preserve">La </w:t>
            </w:r>
            <w:r w:rsidR="00543AC0">
              <w:rPr>
                <w:lang w:val="es-ES_tradnl"/>
              </w:rPr>
              <w:t>BDT</w:t>
            </w:r>
            <w:r w:rsidR="00543AC0" w:rsidRPr="00DF5B4D">
              <w:rPr>
                <w:lang w:val="es-ES_tradnl"/>
              </w:rPr>
              <w:t xml:space="preserve"> </w:t>
            </w:r>
            <w:r w:rsidRPr="00DF5B4D">
              <w:rPr>
                <w:lang w:val="es-ES_tradnl"/>
              </w:rPr>
              <w:t>mejoró la capacidad de Jordania para acelerar la transformación digital y el desarrollo económico y social sostenible en el sector de la salud mediante el desarrollo de una estrategia nacional de salud digital en colaboración con la OMS.</w:t>
            </w:r>
          </w:p>
          <w:p w14:paraId="79E31BA4"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También se mejoró la capacidad de Jordania para acelerar la transformación digital y el desarrollo económico y social sostenible mediante la elaboración de un estudio de evaluación sobre el entorno propicio para el ecosistema de las tecnologías inmersivas en colaboración con la Comisión Económica y Social de las Naciones Unidas para Asia Occidental (CESPAO).</w:t>
            </w:r>
          </w:p>
          <w:p w14:paraId="18A866FB" w14:textId="77777777" w:rsidR="00224990" w:rsidRPr="00DF5B4D" w:rsidRDefault="00224990" w:rsidP="00711BF7">
            <w:pPr>
              <w:pStyle w:val="Tabletext"/>
              <w:ind w:left="284" w:hanging="284"/>
              <w:rPr>
                <w:lang w:val="es-ES_tradnl"/>
              </w:rPr>
            </w:pPr>
            <w:r w:rsidRPr="00643D8E">
              <w:rPr>
                <w:lang w:val="es-ES"/>
              </w:rPr>
              <w:t>•</w:t>
            </w:r>
            <w:r w:rsidRPr="00643D8E">
              <w:rPr>
                <w:lang w:val="es-ES"/>
              </w:rPr>
              <w:tab/>
            </w:r>
            <w:r w:rsidRPr="00DF5B4D">
              <w:rPr>
                <w:lang w:val="es-ES_tradnl"/>
              </w:rPr>
              <w:t xml:space="preserve">Se reforzaron la colaboración y las asociaciones sobre soluciones innovadoras de </w:t>
            </w:r>
            <w:proofErr w:type="spellStart"/>
            <w:r w:rsidRPr="00DF5B4D">
              <w:rPr>
                <w:lang w:val="es-ES_tradnl"/>
              </w:rPr>
              <w:t>ciberagricultura</w:t>
            </w:r>
            <w:proofErr w:type="spellEnd"/>
            <w:r w:rsidRPr="00DF5B4D">
              <w:rPr>
                <w:lang w:val="es-ES_tradnl"/>
              </w:rPr>
              <w:t xml:space="preserve"> en el Foro conjunto entre la UIT y la FAO sobre soluciones de </w:t>
            </w:r>
            <w:proofErr w:type="spellStart"/>
            <w:r w:rsidRPr="00DF5B4D">
              <w:rPr>
                <w:lang w:val="es-ES_tradnl"/>
              </w:rPr>
              <w:t>ciberagricultura</w:t>
            </w:r>
            <w:proofErr w:type="spellEnd"/>
            <w:r w:rsidRPr="00DF5B4D">
              <w:rPr>
                <w:lang w:val="es-ES_tradnl"/>
              </w:rPr>
              <w:t>, celebrado en Ammán (Jordania) del 10 al 12 de julio de 2023.</w:t>
            </w:r>
          </w:p>
          <w:p w14:paraId="0F835D2A"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 xml:space="preserve">La Red de Mujeres lanzó su estrategia y Plan de Acción 2024. Como parte de la aplicación del Plan de Acción, tres talleres organizados en colaboración con </w:t>
            </w:r>
            <w:proofErr w:type="spellStart"/>
            <w:r w:rsidRPr="00DF5B4D">
              <w:rPr>
                <w:lang w:val="es-ES_tradnl"/>
              </w:rPr>
              <w:t>Ogero</w:t>
            </w:r>
            <w:proofErr w:type="spellEnd"/>
            <w:r w:rsidRPr="00DF5B4D">
              <w:rPr>
                <w:lang w:val="es-ES_tradnl"/>
              </w:rPr>
              <w:t>-Líbano se centraron en mejorar las capacidades de las mujeres en materia de automotivación, comunicación eficaz y liderazgo en la región de los Estados árabes.</w:t>
            </w:r>
          </w:p>
          <w:p w14:paraId="3D99CDA7"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Ya está disponible en árabe en la plataforma de las Instituciones Académicas de la UIT un curso de formación autodidacta titulado "Más allá de las ciudades inteligentes", cuyo objetivo es promover la accesibilidad digital de las personas con necesidades específicas.</w:t>
            </w:r>
          </w:p>
          <w:p w14:paraId="50735EC0"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La 3ª edición de la región de los Estados Árabes Accesibles, celebrada en noviembre de 2023, aumentó la concienciación y el conocimiento sobre la accesibilidad de las TIC entre los miembros. También reforzó la voluntad política para avanzar en las políticas nacionales en países como Marruecos y Palestina, al tiempo que fortaleció las asociaciones con la CESPAO.</w:t>
            </w:r>
          </w:p>
          <w:p w14:paraId="7506D8D8"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Mediante la organización del Día de las Niñas en las TIC, se reforzaron las asociaciones con los Estados Miembros como Egipto, Mauritania, Somalia y el Estado de Palestina. Estos esfuerzos también fomentaron la colaboración entre las partes interesadas, incluida a la Red de Mujeres, para incrementar en liderazgo de las mujeres en las TIC.</w:t>
            </w:r>
          </w:p>
          <w:p w14:paraId="22B9C24B" w14:textId="0A2364F4" w:rsidR="00224990" w:rsidRPr="00DF5B4D" w:rsidRDefault="00224990" w:rsidP="00711BF7">
            <w:pPr>
              <w:pStyle w:val="Tabletext"/>
              <w:ind w:left="284" w:hanging="284"/>
              <w:rPr>
                <w:lang w:val="es-ES_tradnl"/>
              </w:rPr>
            </w:pPr>
            <w:r w:rsidRPr="00DF5B4D">
              <w:rPr>
                <w:lang w:val="es-ES_tradnl"/>
              </w:rPr>
              <w:t>•</w:t>
            </w:r>
            <w:r w:rsidRPr="00DF5B4D">
              <w:rPr>
                <w:lang w:val="es-ES_tradnl"/>
              </w:rPr>
              <w:tab/>
              <w:t>Se logró incrementar la participación de los jóvenes en las actividades y los procesos de elaboración de políticas de</w:t>
            </w:r>
            <w:r w:rsidR="00543AC0">
              <w:rPr>
                <w:lang w:val="es-ES_tradnl"/>
              </w:rPr>
              <w:t>l</w:t>
            </w:r>
            <w:r w:rsidRPr="00DF5B4D">
              <w:rPr>
                <w:lang w:val="es-ES_tradnl"/>
              </w:rPr>
              <w:t xml:space="preserve"> UIT</w:t>
            </w:r>
            <w:r w:rsidR="00543AC0">
              <w:rPr>
                <w:lang w:val="es-ES_tradnl"/>
              </w:rPr>
              <w:t>-D</w:t>
            </w:r>
            <w:r w:rsidRPr="00DF5B4D">
              <w:rPr>
                <w:lang w:val="es-ES_tradnl"/>
              </w:rPr>
              <w:t xml:space="preserve"> gracias a las oportunidades brindadas a 25 Enviados de la Juventud de </w:t>
            </w:r>
            <w:proofErr w:type="spellStart"/>
            <w:r w:rsidRPr="00DF5B4D">
              <w:rPr>
                <w:lang w:val="es-ES_tradnl"/>
              </w:rPr>
              <w:t>Generation</w:t>
            </w:r>
            <w:proofErr w:type="spellEnd"/>
            <w:r w:rsidRPr="00DF5B4D">
              <w:rPr>
                <w:lang w:val="es-ES_tradnl"/>
              </w:rPr>
              <w:t xml:space="preserve"> </w:t>
            </w:r>
            <w:proofErr w:type="spellStart"/>
            <w:r w:rsidRPr="00DF5B4D">
              <w:rPr>
                <w:lang w:val="es-ES_tradnl"/>
              </w:rPr>
              <w:t>Connect</w:t>
            </w:r>
            <w:proofErr w:type="spellEnd"/>
            <w:r w:rsidRPr="00DF5B4D">
              <w:rPr>
                <w:lang w:val="es-ES_tradnl"/>
              </w:rPr>
              <w:t xml:space="preserve"> procedentes de ocho países. Estos jóvenes contribuyen activamente a configurar el panorama de futuro digital en la Región.</w:t>
            </w:r>
          </w:p>
          <w:p w14:paraId="4B5F7968"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r>
            <w:r w:rsidRPr="00643D8E">
              <w:rPr>
                <w:rStyle w:val="ui-provider"/>
                <w:lang w:val="es-ES"/>
              </w:rPr>
              <w:t xml:space="preserve">Los Enviados de la Juventud de </w:t>
            </w:r>
            <w:proofErr w:type="spellStart"/>
            <w:r w:rsidRPr="00643D8E">
              <w:rPr>
                <w:rStyle w:val="ui-provider"/>
                <w:lang w:val="es-ES"/>
              </w:rPr>
              <w:t>Generation</w:t>
            </w:r>
            <w:proofErr w:type="spellEnd"/>
            <w:r w:rsidRPr="00643D8E">
              <w:rPr>
                <w:rStyle w:val="ui-provider"/>
                <w:lang w:val="es-ES"/>
              </w:rPr>
              <w:t xml:space="preserve"> </w:t>
            </w:r>
            <w:proofErr w:type="spellStart"/>
            <w:r w:rsidRPr="00643D8E">
              <w:rPr>
                <w:rStyle w:val="ui-provider"/>
                <w:lang w:val="es-ES"/>
              </w:rPr>
              <w:t>Connect</w:t>
            </w:r>
            <w:proofErr w:type="spellEnd"/>
            <w:r w:rsidRPr="00643D8E">
              <w:rPr>
                <w:rStyle w:val="ui-provider"/>
                <w:lang w:val="es-ES"/>
              </w:rPr>
              <w:t xml:space="preserve"> recibieron 53 nominaciones de los Estados Árabes. Las aplicaciones fueron examinadas y se seleccionaron 36 enviados de la juventud nuevos de 10 Estados Árabes</w:t>
            </w:r>
            <w:r w:rsidRPr="00DF5B4D">
              <w:rPr>
                <w:lang w:val="es-ES_tradnl"/>
              </w:rPr>
              <w:t>.</w:t>
            </w:r>
          </w:p>
          <w:p w14:paraId="28C17388" w14:textId="77777777" w:rsidR="00224990" w:rsidRPr="00DF5B4D" w:rsidRDefault="00224990" w:rsidP="00711BF7">
            <w:pPr>
              <w:pStyle w:val="Tabletext"/>
              <w:spacing w:before="120"/>
              <w:rPr>
                <w:b/>
                <w:bCs/>
                <w:lang w:val="es-ES_tradnl"/>
              </w:rPr>
            </w:pPr>
            <w:r w:rsidRPr="00DF5B4D">
              <w:rPr>
                <w:b/>
                <w:bCs/>
                <w:lang w:val="es-ES_tradnl"/>
              </w:rPr>
              <w:t>ARB 2: Mejorar la confianza, la seguridad y la privacidad en las telecomunicaciones/TIC</w:t>
            </w:r>
          </w:p>
          <w:p w14:paraId="2079FFB3" w14:textId="09BC47BD" w:rsidR="00224990" w:rsidRPr="00DF5B4D" w:rsidRDefault="00224990" w:rsidP="00154553">
            <w:pPr>
              <w:pStyle w:val="Tabletext"/>
              <w:ind w:left="284" w:hanging="284"/>
              <w:rPr>
                <w:lang w:val="es-ES_tradnl"/>
              </w:rPr>
            </w:pPr>
            <w:r w:rsidRPr="00154553">
              <w:rPr>
                <w:lang w:val="es-ES_tradnl"/>
              </w:rPr>
              <w:t>•</w:t>
            </w:r>
            <w:r>
              <w:rPr>
                <w:lang w:val="es-ES_tradnl"/>
              </w:rPr>
              <w:tab/>
            </w:r>
            <w:r w:rsidRPr="00DF5B4D">
              <w:rPr>
                <w:lang w:val="es-ES_tradnl"/>
              </w:rPr>
              <w:t xml:space="preserve">En colaboración con el Consejo de Ciberseguridad de los Emiratos Árabes Unidos, la </w:t>
            </w:r>
            <w:r w:rsidR="00543AC0">
              <w:rPr>
                <w:lang w:val="es-ES_tradnl"/>
              </w:rPr>
              <w:t>BDT</w:t>
            </w:r>
            <w:r w:rsidR="00543AC0" w:rsidRPr="00DF5B4D">
              <w:rPr>
                <w:lang w:val="es-ES_tradnl"/>
              </w:rPr>
              <w:t xml:space="preserve"> </w:t>
            </w:r>
            <w:r w:rsidRPr="00DF5B4D">
              <w:rPr>
                <w:lang w:val="es-ES_tradnl"/>
              </w:rPr>
              <w:t xml:space="preserve">facilitó la celebración del </w:t>
            </w:r>
            <w:proofErr w:type="spellStart"/>
            <w:r w:rsidRPr="00DF5B4D">
              <w:rPr>
                <w:lang w:val="es-ES_tradnl"/>
              </w:rPr>
              <w:t>cibersimulacro</w:t>
            </w:r>
            <w:proofErr w:type="spellEnd"/>
            <w:r w:rsidRPr="00DF5B4D">
              <w:rPr>
                <w:lang w:val="es-ES_tradnl"/>
              </w:rPr>
              <w:t xml:space="preserve"> mundial del 23 al 25 de abril en Dubái.</w:t>
            </w:r>
          </w:p>
          <w:p w14:paraId="035340F6" w14:textId="68D48B43" w:rsidR="00224990" w:rsidRPr="00DF5B4D" w:rsidRDefault="00224990" w:rsidP="00154553">
            <w:pPr>
              <w:pStyle w:val="Tabletext"/>
              <w:ind w:left="284" w:hanging="284"/>
              <w:rPr>
                <w:lang w:val="es-ES_tradnl"/>
              </w:rPr>
            </w:pPr>
            <w:r w:rsidRPr="00154553">
              <w:rPr>
                <w:lang w:val="es-ES_tradnl"/>
              </w:rPr>
              <w:t>•</w:t>
            </w:r>
            <w:r>
              <w:rPr>
                <w:lang w:val="es-ES_tradnl"/>
              </w:rPr>
              <w:tab/>
            </w:r>
            <w:r w:rsidRPr="00DF5B4D">
              <w:rPr>
                <w:lang w:val="es-ES_tradnl"/>
              </w:rPr>
              <w:t xml:space="preserve">Para fomentar la aplicación efectiva de las prioridades de </w:t>
            </w:r>
            <w:proofErr w:type="spellStart"/>
            <w:r w:rsidRPr="00DF5B4D">
              <w:rPr>
                <w:lang w:val="es-ES_tradnl"/>
              </w:rPr>
              <w:t>cibserseguridad</w:t>
            </w:r>
            <w:proofErr w:type="spellEnd"/>
            <w:r w:rsidRPr="00DF5B4D">
              <w:rPr>
                <w:lang w:val="es-ES_tradnl"/>
              </w:rPr>
              <w:t xml:space="preserve"> de la UIT y las iniciativas regionales de los Estados Árabes, la UIT</w:t>
            </w:r>
            <w:r w:rsidR="00543AC0">
              <w:rPr>
                <w:lang w:val="es-ES_tradnl"/>
              </w:rPr>
              <w:t>/BDT</w:t>
            </w:r>
            <w:r w:rsidRPr="00DF5B4D">
              <w:rPr>
                <w:lang w:val="es-ES_tradnl"/>
              </w:rPr>
              <w:t xml:space="preserve"> colaboró con el Consejo de Ciberseguridad de los Emiratos Árabes Unidos para llevar a cabo ejercicios prácticos sistemáticos y un ejercicio de simulación de incidentes de ciberseguridad. Estas sesiones de desarrollo de capacidades se celebraron en Dubái, Emiratos Árabes Unidos, el 18 de enero de 2024, y contaron con la participación activa de 25 expertos.</w:t>
            </w:r>
          </w:p>
          <w:p w14:paraId="2BEFC30F" w14:textId="77777777" w:rsidR="00224990" w:rsidRPr="00DF5B4D" w:rsidRDefault="00224990" w:rsidP="00154553">
            <w:pPr>
              <w:pStyle w:val="Tabletext"/>
              <w:ind w:left="284" w:hanging="284"/>
              <w:rPr>
                <w:lang w:val="es-ES_tradnl"/>
              </w:rPr>
            </w:pPr>
            <w:r w:rsidRPr="00154553">
              <w:rPr>
                <w:lang w:val="es-ES_tradnl"/>
              </w:rPr>
              <w:lastRenderedPageBreak/>
              <w:t>•</w:t>
            </w:r>
            <w:r>
              <w:rPr>
                <w:lang w:val="es-ES_tradnl"/>
              </w:rPr>
              <w:tab/>
            </w:r>
            <w:r w:rsidRPr="00DF5B4D">
              <w:rPr>
                <w:lang w:val="es-ES_tradnl"/>
              </w:rPr>
              <w:t>En colaboración con el Consejo de Ciberseguridad de los Emiratos Árabes Unidos y el Centro Regional Árabe de Ciberseguridad (ARCC) de Omán, se desarrolló la Semana Regional de Ciberseguridad 2023, del 9 al 12 de octubre de 2023, centrada en la innovación en ciberseguridad y el desarrollo industrial. Esta semana trajo consigo a más de 100 expertos y ponentes de 70 países y 10 organizaciones internacionales.</w:t>
            </w:r>
          </w:p>
          <w:p w14:paraId="281AD7F1" w14:textId="77777777" w:rsidR="00224990" w:rsidRPr="00DF5B4D" w:rsidRDefault="00224990" w:rsidP="00154553">
            <w:pPr>
              <w:pStyle w:val="Tabletext"/>
              <w:ind w:left="284" w:hanging="284"/>
              <w:rPr>
                <w:lang w:val="es-ES_tradnl"/>
              </w:rPr>
            </w:pPr>
            <w:r w:rsidRPr="00154553">
              <w:rPr>
                <w:lang w:val="es-ES_tradnl"/>
              </w:rPr>
              <w:t>•</w:t>
            </w:r>
            <w:r>
              <w:rPr>
                <w:lang w:val="es-ES_tradnl"/>
              </w:rPr>
              <w:tab/>
            </w:r>
            <w:r w:rsidRPr="00DF5B4D">
              <w:rPr>
                <w:lang w:val="es-ES_tradnl"/>
              </w:rPr>
              <w:t xml:space="preserve">En colaboración con el Centro Nacional de Ciberseguridad (NCSC) del Reino de </w:t>
            </w:r>
            <w:proofErr w:type="spellStart"/>
            <w:r w:rsidRPr="00DF5B4D">
              <w:rPr>
                <w:lang w:val="es-ES_tradnl"/>
              </w:rPr>
              <w:t>Bahrein</w:t>
            </w:r>
            <w:proofErr w:type="spellEnd"/>
            <w:r w:rsidRPr="00DF5B4D">
              <w:rPr>
                <w:lang w:val="es-ES_tradnl"/>
              </w:rPr>
              <w:t xml:space="preserve">, se desarrolló un taller regional sobre gestión de la ciberseguridad. El objetivo principal de este taller era enseñar las diferentes funciones y responsabilidades que interviene en la gestión de crisis de ciberataques. </w:t>
            </w:r>
          </w:p>
          <w:p w14:paraId="28DAF997" w14:textId="77777777" w:rsidR="00224990" w:rsidRPr="00DF5B4D" w:rsidRDefault="00224990" w:rsidP="00154553">
            <w:pPr>
              <w:pStyle w:val="Tabletext"/>
              <w:ind w:left="284" w:hanging="284"/>
              <w:rPr>
                <w:lang w:val="es-ES_tradnl"/>
              </w:rPr>
            </w:pPr>
            <w:r w:rsidRPr="00154553">
              <w:rPr>
                <w:lang w:val="es-ES_tradnl"/>
              </w:rPr>
              <w:t>•</w:t>
            </w:r>
            <w:r>
              <w:rPr>
                <w:lang w:val="es-ES_tradnl"/>
              </w:rPr>
              <w:tab/>
            </w:r>
            <w:r w:rsidRPr="00DF5B4D">
              <w:rPr>
                <w:lang w:val="es-ES_tradnl"/>
              </w:rPr>
              <w:t>Asimismo, se proporcionó soporte técnico al Centro Nacional de Ciberseguridad (NCSC) mediante el desarrollo de un taller sobre el índice de Ciberseguridad Global.</w:t>
            </w:r>
          </w:p>
          <w:p w14:paraId="73A5E2CE" w14:textId="77777777" w:rsidR="00224990" w:rsidRPr="00DF5B4D" w:rsidRDefault="00224990" w:rsidP="00154553">
            <w:pPr>
              <w:pStyle w:val="Tabletext"/>
              <w:ind w:left="284" w:hanging="284"/>
              <w:rPr>
                <w:lang w:val="es-ES_tradnl"/>
              </w:rPr>
            </w:pPr>
            <w:r w:rsidRPr="00154553">
              <w:rPr>
                <w:lang w:val="es-ES_tradnl"/>
              </w:rPr>
              <w:t>•</w:t>
            </w:r>
            <w:r>
              <w:rPr>
                <w:lang w:val="es-ES_tradnl"/>
              </w:rPr>
              <w:tab/>
            </w:r>
            <w:r w:rsidRPr="00DF5B4D">
              <w:rPr>
                <w:lang w:val="es-ES_tradnl"/>
              </w:rPr>
              <w:t>En colaboración con la Comisión Económica y Social de las Naciones Unidas para Asia Occidental (CESPAO), la Organización Árabe de Tecnologías de la Información y la Comunicación, y la Sociedad de Internet, se llevó a cabo un taller sobre el fomento de la confianza en los servicios gubernamentales digitales, con el fin de mostrar estrategias prácticas para mejorar la ciberseguridad.</w:t>
            </w:r>
          </w:p>
          <w:p w14:paraId="3DFAE795" w14:textId="77777777" w:rsidR="00224990" w:rsidRPr="00DF5B4D" w:rsidRDefault="00224990" w:rsidP="00154553">
            <w:pPr>
              <w:pStyle w:val="Tabletext"/>
              <w:ind w:left="284" w:hanging="284"/>
              <w:rPr>
                <w:lang w:val="es-ES_tradnl"/>
              </w:rPr>
            </w:pPr>
            <w:r w:rsidRPr="00154553">
              <w:rPr>
                <w:lang w:val="es-ES_tradnl"/>
              </w:rPr>
              <w:t>•</w:t>
            </w:r>
            <w:r>
              <w:rPr>
                <w:lang w:val="es-ES_tradnl"/>
              </w:rPr>
              <w:tab/>
            </w:r>
            <w:r w:rsidRPr="00DF5B4D">
              <w:rPr>
                <w:lang w:val="es-ES_tradnl"/>
              </w:rPr>
              <w:t xml:space="preserve">Se llevaron a cabo </w:t>
            </w:r>
            <w:proofErr w:type="spellStart"/>
            <w:r w:rsidRPr="00DF5B4D">
              <w:rPr>
                <w:lang w:val="es-ES_tradnl"/>
              </w:rPr>
              <w:t>cibersimulacros</w:t>
            </w:r>
            <w:proofErr w:type="spellEnd"/>
            <w:r w:rsidRPr="00DF5B4D">
              <w:rPr>
                <w:lang w:val="es-ES_tradnl"/>
              </w:rPr>
              <w:t xml:space="preserve"> y formación de soporte técnico para reforzar la cultura de la ciberseguridad en todos los Estados Árabes.</w:t>
            </w:r>
          </w:p>
          <w:p w14:paraId="5D930496" w14:textId="6B8E61CE" w:rsidR="00224990" w:rsidRPr="00DF5B4D" w:rsidRDefault="00224990" w:rsidP="00154553">
            <w:pPr>
              <w:pStyle w:val="Tabletext"/>
              <w:ind w:left="284" w:hanging="284"/>
              <w:rPr>
                <w:lang w:val="es-ES_tradnl"/>
              </w:rPr>
            </w:pPr>
            <w:r w:rsidRPr="00154553">
              <w:rPr>
                <w:lang w:val="es-ES_tradnl"/>
              </w:rPr>
              <w:t>•</w:t>
            </w:r>
            <w:r>
              <w:rPr>
                <w:lang w:val="es-ES_tradnl"/>
              </w:rPr>
              <w:tab/>
            </w:r>
            <w:r w:rsidR="00543AC0">
              <w:rPr>
                <w:lang w:val="es-ES_tradnl"/>
              </w:rPr>
              <w:t xml:space="preserve">El </w:t>
            </w:r>
            <w:r w:rsidRPr="00DF5B4D">
              <w:rPr>
                <w:lang w:val="es-ES_tradnl"/>
              </w:rPr>
              <w:t>Reino de Arabia Saudita colabora activamente con la UIT</w:t>
            </w:r>
            <w:r w:rsidR="00543AC0">
              <w:rPr>
                <w:lang w:val="es-ES_tradnl"/>
              </w:rPr>
              <w:t>/BDT</w:t>
            </w:r>
            <w:r w:rsidRPr="00DF5B4D">
              <w:rPr>
                <w:lang w:val="es-ES_tradnl"/>
              </w:rPr>
              <w:t xml:space="preserve"> en iniciativas de ciberseguridad incluyendo la organización de talleres y formación en reglamentación digital y ciberseguridad, fomentando su función en el panorama mundial de las telecomunicaciones.</w:t>
            </w:r>
          </w:p>
          <w:p w14:paraId="6C23D6F1" w14:textId="77777777" w:rsidR="00224990" w:rsidRPr="00DF5B4D" w:rsidRDefault="00224990" w:rsidP="00154553">
            <w:pPr>
              <w:pStyle w:val="Tabletext"/>
              <w:ind w:left="284" w:hanging="284"/>
              <w:rPr>
                <w:lang w:val="es-ES_tradnl"/>
              </w:rPr>
            </w:pPr>
            <w:r w:rsidRPr="00154553">
              <w:rPr>
                <w:lang w:val="es-ES_tradnl"/>
              </w:rPr>
              <w:t>•</w:t>
            </w:r>
            <w:r>
              <w:rPr>
                <w:lang w:val="es-ES_tradnl"/>
              </w:rPr>
              <w:tab/>
            </w:r>
            <w:r w:rsidRPr="00DF5B4D">
              <w:rPr>
                <w:lang w:val="es-ES_tradnl"/>
              </w:rPr>
              <w:t>Marruecos recibió ayuda en el marco del programa mundial de protección de la infancia en línea, que incluyó actividades de capacitación y sensibilización celebradas en Rabat del 18 al 20 de diciembre de 2023. Los talleres se centraron en mejorar el conocimiento y la comprensión de la protección de la infancia en línea entre los funcionarios públicos, los profesionales de las TIC y la sociedad civil. Las sesiones fomentaron debates interactivos sobre los retos y las mejores prácticas, demostrando un compromiso colectivo con esta importante cuestión.</w:t>
            </w:r>
          </w:p>
          <w:p w14:paraId="35F9BD55" w14:textId="320F24EC" w:rsidR="00224990" w:rsidRDefault="00224990" w:rsidP="00154553">
            <w:pPr>
              <w:pStyle w:val="Tabletext"/>
              <w:ind w:left="284" w:hanging="284"/>
              <w:rPr>
                <w:lang w:val="es-ES_tradnl"/>
              </w:rPr>
            </w:pPr>
            <w:r w:rsidRPr="00154553">
              <w:rPr>
                <w:lang w:val="es-ES_tradnl"/>
              </w:rPr>
              <w:t>•</w:t>
            </w:r>
            <w:r>
              <w:rPr>
                <w:lang w:val="es-ES_tradnl"/>
              </w:rPr>
              <w:tab/>
            </w:r>
            <w:r w:rsidRPr="00DF5B4D">
              <w:rPr>
                <w:lang w:val="es-ES_tradnl"/>
              </w:rPr>
              <w:t>Mientras tanto, se están manteniendo conversaciones para ayudar al Líbano a desarrollar su estrategia nacional de protección de la infancia en línea.</w:t>
            </w:r>
          </w:p>
          <w:p w14:paraId="0A0837DF" w14:textId="55A51710" w:rsidR="00543AC0" w:rsidRPr="00EF0E26" w:rsidRDefault="00543AC0" w:rsidP="00EF0E26">
            <w:pPr>
              <w:pStyle w:val="Tabletext"/>
              <w:ind w:left="284" w:hanging="284"/>
              <w:rPr>
                <w:lang w:val="es-ES"/>
              </w:rPr>
            </w:pPr>
            <w:r w:rsidRPr="00543AC0">
              <w:rPr>
                <w:lang w:val="es-ES"/>
              </w:rPr>
              <w:t>•</w:t>
            </w:r>
            <w:r w:rsidRPr="00543AC0">
              <w:rPr>
                <w:lang w:val="es-ES"/>
              </w:rPr>
              <w:tab/>
              <w:t xml:space="preserve">Durante el año 2023, la BDT, </w:t>
            </w:r>
            <w:r w:rsidR="00EF0E26">
              <w:rPr>
                <w:lang w:val="es-ES"/>
              </w:rPr>
              <w:t>en colaboración</w:t>
            </w:r>
            <w:r w:rsidRPr="00543AC0">
              <w:rPr>
                <w:lang w:val="es-ES"/>
              </w:rPr>
              <w:t xml:space="preserve"> con el Consejo de Ciberseguridad de los Emiratos Árabes Unidos, organizó y llevó a cabo </w:t>
            </w:r>
            <w:r w:rsidR="00EF0E26">
              <w:rPr>
                <w:lang w:val="es-ES"/>
              </w:rPr>
              <w:t xml:space="preserve">diversos </w:t>
            </w:r>
            <w:proofErr w:type="spellStart"/>
            <w:r w:rsidR="00EF0E26" w:rsidRPr="00EF0E26">
              <w:rPr>
                <w:lang w:val="es-ES"/>
              </w:rPr>
              <w:t>cibersimulacros</w:t>
            </w:r>
            <w:proofErr w:type="spellEnd"/>
            <w:r w:rsidR="00EF0E26" w:rsidRPr="00EF0E26">
              <w:rPr>
                <w:lang w:val="es-ES"/>
              </w:rPr>
              <w:t xml:space="preserve"> </w:t>
            </w:r>
            <w:r w:rsidR="00EF0E26">
              <w:rPr>
                <w:lang w:val="es-ES"/>
              </w:rPr>
              <w:t>en aras de la creación de</w:t>
            </w:r>
            <w:r w:rsidRPr="00543AC0">
              <w:rPr>
                <w:lang w:val="es-ES"/>
              </w:rPr>
              <w:t xml:space="preserve"> capacidades</w:t>
            </w:r>
            <w:r w:rsidR="00EF0E26">
              <w:rPr>
                <w:lang w:val="es-ES"/>
              </w:rPr>
              <w:t>, que batieron récords en términos de participación de</w:t>
            </w:r>
            <w:r w:rsidRPr="00543AC0">
              <w:rPr>
                <w:lang w:val="es-ES"/>
              </w:rPr>
              <w:t xml:space="preserve"> países. </w:t>
            </w:r>
            <w:r w:rsidR="000E0F70">
              <w:rPr>
                <w:lang w:val="es-ES"/>
              </w:rPr>
              <w:t>En concreto, s</w:t>
            </w:r>
            <w:r w:rsidRPr="00543AC0">
              <w:rPr>
                <w:lang w:val="es-ES"/>
              </w:rPr>
              <w:t xml:space="preserve">e concedieron cinco certificados de récords mundiales del Libro Guinness. En 2024, se celebró con éxito en </w:t>
            </w:r>
            <w:r w:rsidR="00EF0E26" w:rsidRPr="00543AC0">
              <w:rPr>
                <w:lang w:val="es-ES"/>
              </w:rPr>
              <w:t>Dubái</w:t>
            </w:r>
            <w:r w:rsidRPr="00543AC0">
              <w:rPr>
                <w:lang w:val="es-ES"/>
              </w:rPr>
              <w:t xml:space="preserve"> el primer </w:t>
            </w:r>
            <w:proofErr w:type="spellStart"/>
            <w:r w:rsidR="00EF0E26">
              <w:rPr>
                <w:lang w:val="es-ES"/>
              </w:rPr>
              <w:t>c</w:t>
            </w:r>
            <w:r w:rsidRPr="00543AC0">
              <w:rPr>
                <w:lang w:val="es-ES"/>
              </w:rPr>
              <w:t>iber</w:t>
            </w:r>
            <w:r w:rsidR="00EF0E26">
              <w:rPr>
                <w:lang w:val="es-ES"/>
              </w:rPr>
              <w:t>s</w:t>
            </w:r>
            <w:r w:rsidRPr="00543AC0">
              <w:rPr>
                <w:lang w:val="es-ES"/>
              </w:rPr>
              <w:t>imulacro</w:t>
            </w:r>
            <w:proofErr w:type="spellEnd"/>
            <w:r w:rsidRPr="00543AC0">
              <w:rPr>
                <w:lang w:val="es-ES"/>
              </w:rPr>
              <w:t xml:space="preserve"> </w:t>
            </w:r>
            <w:r w:rsidR="00EF0E26">
              <w:rPr>
                <w:lang w:val="es-ES"/>
              </w:rPr>
              <w:t>mundial</w:t>
            </w:r>
            <w:r w:rsidRPr="00543AC0">
              <w:rPr>
                <w:lang w:val="es-ES"/>
              </w:rPr>
              <w:t xml:space="preserve"> con una participación </w:t>
            </w:r>
            <w:r w:rsidR="000E0F70">
              <w:rPr>
                <w:lang w:val="es-ES"/>
              </w:rPr>
              <w:t>inaudita</w:t>
            </w:r>
            <w:r w:rsidRPr="00543AC0">
              <w:rPr>
                <w:lang w:val="es-ES"/>
              </w:rPr>
              <w:t xml:space="preserve"> de más de 104 países</w:t>
            </w:r>
            <w:r w:rsidR="00EF0E26">
              <w:rPr>
                <w:lang w:val="es-ES"/>
              </w:rPr>
              <w:t xml:space="preserve">, </w:t>
            </w:r>
            <w:r w:rsidR="000E0F70">
              <w:rPr>
                <w:lang w:val="es-ES"/>
              </w:rPr>
              <w:t xml:space="preserve">incluidos </w:t>
            </w:r>
            <w:r w:rsidR="00EF0E26">
              <w:rPr>
                <w:lang w:val="es-ES"/>
              </w:rPr>
              <w:t xml:space="preserve">representantes de ministerios, </w:t>
            </w:r>
            <w:r w:rsidRPr="00543AC0">
              <w:rPr>
                <w:lang w:val="es-ES"/>
              </w:rPr>
              <w:t>jefes de</w:t>
            </w:r>
            <w:r w:rsidR="00EF0E26">
              <w:rPr>
                <w:lang w:val="es-ES"/>
              </w:rPr>
              <w:t xml:space="preserve"> la</w:t>
            </w:r>
            <w:r w:rsidRPr="00543AC0">
              <w:rPr>
                <w:lang w:val="es-ES"/>
              </w:rPr>
              <w:t xml:space="preserve"> industria, reguladores y otras partes interesadas. Los simulacros</w:t>
            </w:r>
            <w:r w:rsidR="00EF0E26">
              <w:rPr>
                <w:lang w:val="es-ES"/>
              </w:rPr>
              <w:t xml:space="preserve"> fueron todo un</w:t>
            </w:r>
            <w:r w:rsidRPr="00543AC0">
              <w:rPr>
                <w:lang w:val="es-ES"/>
              </w:rPr>
              <w:t xml:space="preserve"> éxito. </w:t>
            </w:r>
            <w:r w:rsidR="00EF0E26">
              <w:rPr>
                <w:lang w:val="es-ES"/>
              </w:rPr>
              <w:t>De hecho, s</w:t>
            </w:r>
            <w:r w:rsidRPr="00543AC0">
              <w:rPr>
                <w:lang w:val="es-ES"/>
              </w:rPr>
              <w:t xml:space="preserve">e registró un nuevo récord mundial </w:t>
            </w:r>
            <w:r w:rsidR="00EF0E26">
              <w:rPr>
                <w:lang w:val="es-ES"/>
              </w:rPr>
              <w:t xml:space="preserve">en </w:t>
            </w:r>
            <w:r w:rsidRPr="00543AC0">
              <w:rPr>
                <w:lang w:val="es-ES"/>
              </w:rPr>
              <w:t>el Libro Guinness.</w:t>
            </w:r>
          </w:p>
          <w:p w14:paraId="48E1415E" w14:textId="77777777" w:rsidR="00224990" w:rsidRPr="00DF5B4D" w:rsidRDefault="00224990" w:rsidP="00711BF7">
            <w:pPr>
              <w:pStyle w:val="Tabletext"/>
              <w:rPr>
                <w:b/>
                <w:bCs/>
                <w:lang w:val="es-ES_tradnl"/>
              </w:rPr>
            </w:pPr>
            <w:r w:rsidRPr="00DF5B4D">
              <w:rPr>
                <w:b/>
                <w:bCs/>
                <w:lang w:val="es-ES_tradnl"/>
              </w:rPr>
              <w:t>ARB 3: Desarrollar infraestructuras digitales para ciudades y comunidades inteligentes y sostenibles</w:t>
            </w:r>
          </w:p>
          <w:p w14:paraId="049584AD" w14:textId="60BE4C08" w:rsidR="00224990" w:rsidRPr="00DF5B4D" w:rsidRDefault="00224990" w:rsidP="00711BF7">
            <w:pPr>
              <w:pStyle w:val="Tabletext"/>
              <w:ind w:left="284" w:hanging="284"/>
              <w:rPr>
                <w:lang w:val="es-ES_tradnl"/>
              </w:rPr>
            </w:pPr>
            <w:r w:rsidRPr="00DF5B4D">
              <w:rPr>
                <w:lang w:val="es-ES_tradnl"/>
              </w:rPr>
              <w:t>•</w:t>
            </w:r>
            <w:r w:rsidRPr="00DF5B4D">
              <w:rPr>
                <w:lang w:val="es-ES_tradnl"/>
              </w:rPr>
              <w:tab/>
              <w:t xml:space="preserve">En enero de 2024, la colaboración entre la </w:t>
            </w:r>
            <w:r w:rsidR="00EF0E26">
              <w:rPr>
                <w:lang w:val="es-ES_tradnl"/>
              </w:rPr>
              <w:t>BDT</w:t>
            </w:r>
            <w:r w:rsidR="00EF0E26" w:rsidRPr="00DF5B4D">
              <w:rPr>
                <w:lang w:val="es-ES_tradnl"/>
              </w:rPr>
              <w:t xml:space="preserve"> </w:t>
            </w:r>
            <w:r w:rsidRPr="00DF5B4D">
              <w:rPr>
                <w:lang w:val="es-ES_tradnl"/>
              </w:rPr>
              <w:t xml:space="preserve">y la Autoridad de Reglamentación de las Telecomunicaciones (NTRA) de Egipto condujo a la firma de un proyecto centrado en ciudades y comunidades sostenibles inteligentes. El objetivo de esta iniciativa es </w:t>
            </w:r>
            <w:r w:rsidRPr="00DF5B4D">
              <w:rPr>
                <w:lang w:val="es-ES_tradnl"/>
              </w:rPr>
              <w:lastRenderedPageBreak/>
              <w:t>avanzar en el desarrollo de infraestructuras de telecomunicaciones para ciudades y comunidades inteligentes y sostenibles, junto con la formulación de un marco reglamentario y de concesión de licencias adaptado a las ciudades y comunidades inteligentes de Egipto.</w:t>
            </w:r>
          </w:p>
          <w:p w14:paraId="770F85EF"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En colaboración con la OMS se elaboró una estrategia nacional de salud digital para Jordania, que pone de manifiesto la dedicación del país a la integración de las tecnologías digitales en los sistemas sanitarios.</w:t>
            </w:r>
          </w:p>
          <w:p w14:paraId="29921EA8" w14:textId="5F718411" w:rsidR="00224990" w:rsidRPr="00DF5B4D" w:rsidRDefault="00224990" w:rsidP="00711BF7">
            <w:pPr>
              <w:pStyle w:val="Tabletext"/>
              <w:ind w:left="284" w:hanging="284"/>
              <w:rPr>
                <w:lang w:val="es-ES_tradnl"/>
              </w:rPr>
            </w:pPr>
            <w:r w:rsidRPr="00DF5B4D">
              <w:rPr>
                <w:lang w:val="es-ES_tradnl"/>
              </w:rPr>
              <w:t>•</w:t>
            </w:r>
            <w:r w:rsidRPr="00DF5B4D">
              <w:rPr>
                <w:lang w:val="es-ES_tradnl"/>
              </w:rPr>
              <w:tab/>
              <w:t>La exploración por Omán de la colaboración en</w:t>
            </w:r>
            <w:r w:rsidR="00EF0E26">
              <w:rPr>
                <w:lang w:val="es-ES_tradnl"/>
              </w:rPr>
              <w:t xml:space="preserve"> materia de</w:t>
            </w:r>
            <w:r w:rsidRPr="00DF5B4D">
              <w:rPr>
                <w:lang w:val="es-ES_tradnl"/>
              </w:rPr>
              <w:t xml:space="preserve"> ciudades inteligentes</w:t>
            </w:r>
            <w:r w:rsidR="00EF0E26">
              <w:rPr>
                <w:lang w:val="es-ES_tradnl"/>
              </w:rPr>
              <w:t xml:space="preserve"> con la BDT</w:t>
            </w:r>
            <w:r w:rsidRPr="00DF5B4D">
              <w:rPr>
                <w:lang w:val="es-ES_tradnl"/>
              </w:rPr>
              <w:t xml:space="preserve"> pone de relieve el interés del sultanato por aprovechar la tecnología para mejorar el desarrollo urbano y la sostenibilidad.</w:t>
            </w:r>
          </w:p>
          <w:p w14:paraId="65AEDE2F"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En colaboración con la Comisión Reguladora de Telecomunicaciones de Jordania (TRC), del 22 al 26 de octubre de 23 se celebró un curso de formación mixto sobre formación de formadores de la UIT en el programa de formación en calidad de servicio (</w:t>
            </w:r>
            <w:proofErr w:type="spellStart"/>
            <w:r w:rsidRPr="00DF5B4D">
              <w:rPr>
                <w:lang w:val="es-ES_tradnl"/>
              </w:rPr>
              <w:t>QoSTP</w:t>
            </w:r>
            <w:proofErr w:type="spellEnd"/>
            <w:r w:rsidRPr="00DF5B4D">
              <w:rPr>
                <w:lang w:val="es-ES_tradnl"/>
              </w:rPr>
              <w:t>) y el programa de formación sobre gestión del espectro (SMTP), que se impartió tanto en línea a través de la plataforma de la Academia de la UIT como en Ammán, Jordania.</w:t>
            </w:r>
          </w:p>
          <w:p w14:paraId="008E9209" w14:textId="77777777" w:rsidR="00224990" w:rsidRPr="00DF5B4D" w:rsidRDefault="00224990" w:rsidP="00711BF7">
            <w:pPr>
              <w:pStyle w:val="Tabletext"/>
              <w:spacing w:before="120"/>
              <w:rPr>
                <w:b/>
                <w:bCs/>
                <w:lang w:val="es-ES_tradnl"/>
              </w:rPr>
            </w:pPr>
            <w:r w:rsidRPr="00DF5B4D">
              <w:rPr>
                <w:b/>
                <w:bCs/>
                <w:lang w:val="es-ES_tradnl"/>
              </w:rPr>
              <w:t>ARB 4: Crear capacitaciones y fomentar la innovación, el espíritu emprendedor y la visión de futuro digital</w:t>
            </w:r>
          </w:p>
          <w:p w14:paraId="78851864" w14:textId="00D8314F" w:rsidR="00224990" w:rsidRPr="00DF5B4D" w:rsidRDefault="00224990" w:rsidP="00E150B7">
            <w:pPr>
              <w:pStyle w:val="Tabletext"/>
              <w:ind w:left="284" w:hanging="284"/>
              <w:rPr>
                <w:lang w:val="es-ES_tradnl"/>
              </w:rPr>
            </w:pPr>
            <w:r w:rsidRPr="00DF5B4D">
              <w:rPr>
                <w:lang w:val="es-ES_tradnl"/>
              </w:rPr>
              <w:t>•</w:t>
            </w:r>
            <w:r w:rsidRPr="00DF5B4D">
              <w:rPr>
                <w:lang w:val="es-ES_tradnl"/>
              </w:rPr>
              <w:tab/>
              <w:t>El progreso de Omán en la elaboración de su perfil nacional de innovación digital representa un paso importante hacia la comprensión y mejora del panorama digital.</w:t>
            </w:r>
            <w:r w:rsidR="00EF0E26" w:rsidRPr="00EF0E26">
              <w:rPr>
                <w:lang w:val="es-ES"/>
              </w:rPr>
              <w:t xml:space="preserve"> </w:t>
            </w:r>
            <w:r w:rsidR="00EF0E26" w:rsidRPr="00EF0E26">
              <w:rPr>
                <w:lang w:val="es-ES_tradnl"/>
              </w:rPr>
              <w:t>La BDT prestó apoyo al país.</w:t>
            </w:r>
          </w:p>
          <w:p w14:paraId="2505AC37" w14:textId="7F308A1D" w:rsidR="00224990" w:rsidRPr="00DF5B4D" w:rsidRDefault="00224990" w:rsidP="00E150B7">
            <w:pPr>
              <w:pStyle w:val="Tabletext"/>
              <w:ind w:left="284" w:hanging="284"/>
              <w:rPr>
                <w:lang w:val="es-ES_tradnl"/>
              </w:rPr>
            </w:pPr>
            <w:r w:rsidRPr="00DF5B4D">
              <w:rPr>
                <w:lang w:val="es-ES_tradnl"/>
              </w:rPr>
              <w:t>•</w:t>
            </w:r>
            <w:r w:rsidRPr="00DF5B4D">
              <w:rPr>
                <w:lang w:val="es-ES_tradnl"/>
              </w:rPr>
              <w:tab/>
            </w:r>
            <w:r w:rsidR="00EF0E26">
              <w:rPr>
                <w:lang w:val="es-ES_tradnl"/>
              </w:rPr>
              <w:t xml:space="preserve">En colaboración con </w:t>
            </w:r>
            <w:r w:rsidRPr="00DF5B4D">
              <w:rPr>
                <w:lang w:val="es-ES_tradnl"/>
              </w:rPr>
              <w:t>Túnez</w:t>
            </w:r>
            <w:r w:rsidR="00EF0E26">
              <w:rPr>
                <w:lang w:val="es-ES_tradnl"/>
              </w:rPr>
              <w:t>,</w:t>
            </w:r>
            <w:r w:rsidRPr="00DF5B4D">
              <w:rPr>
                <w:lang w:val="es-ES_tradnl"/>
              </w:rPr>
              <w:t xml:space="preserve"> apoy</w:t>
            </w:r>
            <w:r w:rsidR="00EF0E26">
              <w:rPr>
                <w:lang w:val="es-ES_tradnl"/>
              </w:rPr>
              <w:t>amos</w:t>
            </w:r>
            <w:r w:rsidRPr="00DF5B4D">
              <w:rPr>
                <w:lang w:val="es-ES_tradnl"/>
              </w:rPr>
              <w:t xml:space="preserve"> la innovación y el espíritu empresarial mediante misiones de aterrizaje suave, destacando el potencial de las nuevas empresas emergentes y fomentando la colaboración transfronteriza dentro de la región de los Estados Árabes.</w:t>
            </w:r>
          </w:p>
          <w:p w14:paraId="65AC90F8" w14:textId="77777777" w:rsidR="00224990" w:rsidRPr="00DF5B4D" w:rsidRDefault="00224990" w:rsidP="00E150B7">
            <w:pPr>
              <w:pStyle w:val="Tabletext"/>
              <w:ind w:left="284" w:hanging="284"/>
              <w:rPr>
                <w:rFonts w:eastAsia="SimSun" w:cs="Times New Roman"/>
                <w:lang w:val="es-ES_tradnl"/>
              </w:rPr>
            </w:pPr>
            <w:r w:rsidRPr="00DF5B4D">
              <w:rPr>
                <w:lang w:val="es-ES_tradnl"/>
              </w:rPr>
              <w:t>•</w:t>
            </w:r>
            <w:r w:rsidRPr="00DF5B4D">
              <w:rPr>
                <w:lang w:val="es-ES_tradnl"/>
              </w:rPr>
              <w:tab/>
              <w:t>La Red Árabe de Innovación y Creación de Empresas (AIEN) emprendió programas de aterrizaje suave con Argelia, Egipto y Túnez, facilitando la exploración del mercado y las oportunidades de creación de redes para empresas emergentes prometedoras.</w:t>
            </w:r>
          </w:p>
          <w:p w14:paraId="284275E1" w14:textId="77777777" w:rsidR="00224990" w:rsidRPr="00DF5B4D" w:rsidRDefault="00224990" w:rsidP="00E150B7">
            <w:pPr>
              <w:pStyle w:val="Tabletext"/>
              <w:ind w:left="284" w:hanging="284"/>
              <w:rPr>
                <w:lang w:val="es-ES_tradnl"/>
              </w:rPr>
            </w:pPr>
            <w:r w:rsidRPr="00DF5B4D">
              <w:rPr>
                <w:lang w:val="es-ES_tradnl"/>
              </w:rPr>
              <w:t>•</w:t>
            </w:r>
            <w:r w:rsidRPr="00DF5B4D">
              <w:rPr>
                <w:lang w:val="es-ES_tradnl"/>
              </w:rPr>
              <w:tab/>
              <w:t>Fortalecimiento de las asociaciones y la colaboración mediante la ideación de cuatro ideas de proyectos innovadores entre las Naciones Unidas y el Gobierno de Egipto sobre energía, alimentos, agua y transporte utilizando tecnologías digitales en el taller nacional de ideación, celebrado del 26 al 27 de noviembre de 2023 en El Cairo, Egipto.</w:t>
            </w:r>
          </w:p>
          <w:p w14:paraId="18B0EEEA" w14:textId="77777777" w:rsidR="00224990" w:rsidRPr="00DF5B4D" w:rsidRDefault="00224990" w:rsidP="00E150B7">
            <w:pPr>
              <w:pStyle w:val="Tabletext"/>
              <w:ind w:left="284" w:hanging="284"/>
              <w:rPr>
                <w:lang w:val="es-ES_tradnl"/>
              </w:rPr>
            </w:pPr>
            <w:r w:rsidRPr="00DF5B4D">
              <w:rPr>
                <w:lang w:val="es-ES_tradnl"/>
              </w:rPr>
              <w:t>•</w:t>
            </w:r>
            <w:r w:rsidRPr="00DF5B4D">
              <w:rPr>
                <w:lang w:val="es-ES_tradnl"/>
              </w:rPr>
              <w:tab/>
              <w:t xml:space="preserve">En Túnez, unos 200 empleados del sector público recibieron formación sobre una serie de competencias digitales a través de la Academia de la UIT, en el marco de un proyecto conjunto con </w:t>
            </w:r>
            <w:proofErr w:type="spellStart"/>
            <w:r w:rsidRPr="00DF5B4D">
              <w:rPr>
                <w:lang w:val="es-ES_tradnl"/>
              </w:rPr>
              <w:t>GiZ</w:t>
            </w:r>
            <w:proofErr w:type="spellEnd"/>
            <w:r w:rsidRPr="00DF5B4D">
              <w:rPr>
                <w:lang w:val="es-ES_tradnl"/>
              </w:rPr>
              <w:t>.</w:t>
            </w:r>
          </w:p>
          <w:p w14:paraId="56CA46FF" w14:textId="77777777" w:rsidR="00224990" w:rsidRPr="00DF5B4D" w:rsidRDefault="00224990" w:rsidP="00E150B7">
            <w:pPr>
              <w:pStyle w:val="Tabletext"/>
              <w:ind w:left="284" w:hanging="284"/>
              <w:rPr>
                <w:lang w:val="es-ES_tradnl"/>
              </w:rPr>
            </w:pPr>
            <w:r w:rsidRPr="00DF5B4D">
              <w:rPr>
                <w:lang w:val="es-ES_tradnl"/>
              </w:rPr>
              <w:t>•</w:t>
            </w:r>
            <w:r w:rsidRPr="00DF5B4D">
              <w:rPr>
                <w:lang w:val="es-ES_tradnl"/>
              </w:rPr>
              <w:tab/>
              <w:t>En Líbano, con el apoyo significativo y la participación activa de OGERO, se hizo hincapié en la implementación de la protección infantil en línea (Piel), lo que refleja el compromiso de crear un entorno en línea más seguro para la generación más joven.</w:t>
            </w:r>
          </w:p>
          <w:p w14:paraId="2912831F" w14:textId="77777777" w:rsidR="00224990" w:rsidRPr="00DF5B4D" w:rsidRDefault="00224990" w:rsidP="00E150B7">
            <w:pPr>
              <w:pStyle w:val="Tabletext"/>
              <w:spacing w:before="120"/>
              <w:rPr>
                <w:b/>
                <w:bCs/>
                <w:lang w:val="es-ES_tradnl"/>
              </w:rPr>
            </w:pPr>
            <w:r w:rsidRPr="00DF5B4D">
              <w:rPr>
                <w:b/>
                <w:bCs/>
                <w:lang w:val="es-ES_tradnl"/>
              </w:rPr>
              <w:t>ARB 5: Desarrollar medios para la reglamentación digital</w:t>
            </w:r>
          </w:p>
          <w:p w14:paraId="463D17F9" w14:textId="77777777" w:rsidR="00224990" w:rsidRPr="00DF5B4D" w:rsidRDefault="00224990" w:rsidP="00E150B7">
            <w:pPr>
              <w:pStyle w:val="Tabletext"/>
              <w:ind w:left="284" w:hanging="284"/>
              <w:rPr>
                <w:b/>
                <w:bCs/>
                <w:lang w:val="es-ES_tradnl"/>
              </w:rPr>
            </w:pPr>
            <w:r w:rsidRPr="00DF5B4D">
              <w:rPr>
                <w:lang w:val="es-ES_tradnl"/>
              </w:rPr>
              <w:t>•</w:t>
            </w:r>
            <w:r w:rsidRPr="00DF5B4D">
              <w:rPr>
                <w:lang w:val="es-ES_tradnl"/>
              </w:rPr>
              <w:tab/>
              <w:t xml:space="preserve">En colaboración con Arabia Saudita, fue celebrada como un evento paralelo al </w:t>
            </w:r>
            <w:r w:rsidRPr="00DF5B4D">
              <w:rPr>
                <w:b/>
                <w:bCs/>
                <w:lang w:val="es-ES_tradnl"/>
              </w:rPr>
              <w:t>FDR</w:t>
            </w:r>
            <w:r w:rsidRPr="00DF5B4D">
              <w:rPr>
                <w:lang w:val="es-ES_tradnl"/>
              </w:rPr>
              <w:t>, la asistencia en proyectos de telecomunicaciones/TIC hizo hincapié en la formación y la transformación digital, contribuyendo así a los esfuerzos de capacitación de la Región.</w:t>
            </w:r>
          </w:p>
          <w:p w14:paraId="30CD91E3" w14:textId="77777777" w:rsidR="00224990" w:rsidRPr="00DF5B4D" w:rsidRDefault="00224990" w:rsidP="00E150B7">
            <w:pPr>
              <w:pStyle w:val="Tabletext"/>
              <w:ind w:left="284" w:hanging="284"/>
              <w:rPr>
                <w:lang w:val="es-ES_tradnl"/>
              </w:rPr>
            </w:pPr>
            <w:r w:rsidRPr="00DF5B4D">
              <w:rPr>
                <w:lang w:val="es-ES_tradnl"/>
              </w:rPr>
              <w:t>•</w:t>
            </w:r>
            <w:r w:rsidRPr="00DF5B4D">
              <w:rPr>
                <w:lang w:val="es-ES_tradnl"/>
              </w:rPr>
              <w:tab/>
            </w:r>
            <w:proofErr w:type="spellStart"/>
            <w:r w:rsidRPr="00DF5B4D">
              <w:rPr>
                <w:lang w:val="es-ES_tradnl"/>
              </w:rPr>
              <w:t>Bahrein</w:t>
            </w:r>
            <w:proofErr w:type="spellEnd"/>
            <w:r w:rsidRPr="00DF5B4D">
              <w:rPr>
                <w:lang w:val="es-ES_tradnl"/>
              </w:rPr>
              <w:t xml:space="preserve"> acogió al </w:t>
            </w:r>
            <w:r w:rsidRPr="00DF5B4D">
              <w:rPr>
                <w:b/>
                <w:bCs/>
                <w:lang w:val="es-ES_tradnl"/>
              </w:rPr>
              <w:t>FDR de la UIT para los Estados Árabes (FDR-ARB)</w:t>
            </w:r>
            <w:r w:rsidRPr="00DF5B4D">
              <w:rPr>
                <w:lang w:val="es-ES_tradnl"/>
              </w:rPr>
              <w:t xml:space="preserve"> sobre la aceleración del desarrollo digital, que puso de manifiesto el liderazgo de </w:t>
            </w:r>
            <w:proofErr w:type="spellStart"/>
            <w:r w:rsidRPr="00DF5B4D">
              <w:rPr>
                <w:lang w:val="es-ES_tradnl"/>
              </w:rPr>
              <w:t>Bahrein</w:t>
            </w:r>
            <w:proofErr w:type="spellEnd"/>
            <w:r w:rsidRPr="00DF5B4D">
              <w:rPr>
                <w:lang w:val="es-ES_tradnl"/>
              </w:rPr>
              <w:t xml:space="preserve"> en la adopción de la digitalización.</w:t>
            </w:r>
          </w:p>
          <w:p w14:paraId="5962708E" w14:textId="77777777" w:rsidR="00224990" w:rsidRPr="00DF5B4D" w:rsidRDefault="00224990" w:rsidP="00E150B7">
            <w:pPr>
              <w:pStyle w:val="Tabletext"/>
              <w:ind w:left="284" w:hanging="284"/>
              <w:rPr>
                <w:lang w:val="es-ES_tradnl"/>
              </w:rPr>
            </w:pPr>
            <w:r w:rsidRPr="00DF5B4D">
              <w:rPr>
                <w:lang w:val="es-ES_tradnl"/>
              </w:rPr>
              <w:lastRenderedPageBreak/>
              <w:t>•</w:t>
            </w:r>
            <w:r w:rsidRPr="00DF5B4D">
              <w:rPr>
                <w:lang w:val="es-ES_tradnl"/>
              </w:rPr>
              <w:tab/>
              <w:t>La UIT organizó talleres sobre reglamentación digital y sesiones de capacitación en múltiples países, incluidos debates sobre el Rastreador de reglamentación de las TIC y las herramientas del Marco de referencia 5G para mejorar la comprensión y la aplicación de la reglamentación digital.</w:t>
            </w:r>
          </w:p>
          <w:p w14:paraId="3084CF2E" w14:textId="1F7617E5" w:rsidR="00224990" w:rsidRPr="00DF5B4D" w:rsidRDefault="00224990" w:rsidP="00E150B7">
            <w:pPr>
              <w:pStyle w:val="Tabletext"/>
              <w:ind w:left="284" w:hanging="284"/>
              <w:rPr>
                <w:lang w:val="es-ES_tradnl"/>
              </w:rPr>
            </w:pPr>
            <w:r w:rsidRPr="00DF5B4D">
              <w:rPr>
                <w:lang w:val="es-ES_tradnl"/>
              </w:rPr>
              <w:t>•</w:t>
            </w:r>
            <w:r w:rsidRPr="00DF5B4D">
              <w:rPr>
                <w:lang w:val="es-ES_tradnl"/>
              </w:rPr>
              <w:tab/>
              <w:t xml:space="preserve">El proyecto de servicios de asesoramiento de Arabia Saudita </w:t>
            </w:r>
            <w:r w:rsidR="0039515B" w:rsidRPr="0039515B">
              <w:rPr>
                <w:lang w:val="es-ES_tradnl"/>
              </w:rPr>
              <w:t>que gestionamos</w:t>
            </w:r>
            <w:r w:rsidR="0039515B">
              <w:rPr>
                <w:lang w:val="es-ES_tradnl"/>
              </w:rPr>
              <w:t xml:space="preserve"> </w:t>
            </w:r>
            <w:r w:rsidRPr="00DF5B4D">
              <w:rPr>
                <w:lang w:val="es-ES_tradnl"/>
              </w:rPr>
              <w:t>se centró en los servicios de radio espacial y las estrategias de transformación digital, marcando un avance significativo en el desarrollo de medios de regulación digital en toda la Región de los Estados árabes.</w:t>
            </w:r>
          </w:p>
          <w:p w14:paraId="720CD826" w14:textId="535F7D7A" w:rsidR="00224990" w:rsidRPr="00DF5B4D" w:rsidRDefault="00224990" w:rsidP="00E150B7">
            <w:pPr>
              <w:pStyle w:val="Tabletext"/>
              <w:ind w:left="284" w:hanging="284"/>
              <w:rPr>
                <w:lang w:val="es-ES_tradnl"/>
              </w:rPr>
            </w:pPr>
            <w:r w:rsidRPr="00DF5B4D">
              <w:rPr>
                <w:lang w:val="es-ES_tradnl"/>
              </w:rPr>
              <w:t>•</w:t>
            </w:r>
            <w:r w:rsidRPr="00DF5B4D">
              <w:rPr>
                <w:lang w:val="es-ES_tradnl"/>
              </w:rPr>
              <w:tab/>
            </w:r>
            <w:r w:rsidR="0039515B" w:rsidRPr="0039515B">
              <w:rPr>
                <w:lang w:val="es-ES_tradnl"/>
              </w:rPr>
              <w:t xml:space="preserve">Con el apoyo de la Oficina Regional, </w:t>
            </w:r>
            <w:r w:rsidRPr="00DF5B4D">
              <w:rPr>
                <w:lang w:val="es-ES_tradnl"/>
              </w:rPr>
              <w:t>Qatar continuó con sus debates sobre reglamentación digital y acogerá la PP-26, demostrando así su compromiso con el diálogo y la innovación mundial.</w:t>
            </w:r>
          </w:p>
          <w:p w14:paraId="71CD0BBC" w14:textId="659860A3" w:rsidR="00224990" w:rsidRDefault="00224990" w:rsidP="00E150B7">
            <w:pPr>
              <w:pStyle w:val="Tabletext"/>
              <w:spacing w:before="120"/>
              <w:rPr>
                <w:b/>
                <w:bCs/>
                <w:lang w:val="es-ES_tradnl"/>
              </w:rPr>
            </w:pPr>
            <w:r w:rsidRPr="00DF5B4D">
              <w:rPr>
                <w:b/>
                <w:bCs/>
                <w:lang w:val="es-ES_tradnl"/>
              </w:rPr>
              <w:t>Oficina Regional de la UIT para Asia y el Pacífico:</w:t>
            </w:r>
          </w:p>
          <w:p w14:paraId="21C03524" w14:textId="5F193135" w:rsidR="0039515B" w:rsidRPr="00DF5B4D" w:rsidRDefault="0039515B" w:rsidP="005E1C3A">
            <w:pPr>
              <w:pStyle w:val="Tabletext"/>
              <w:spacing w:before="120"/>
              <w:rPr>
                <w:b/>
                <w:bCs/>
                <w:lang w:val="es-ES_tradnl"/>
              </w:rPr>
            </w:pPr>
            <w:r w:rsidRPr="0039515B">
              <w:rPr>
                <w:b/>
                <w:bCs/>
                <w:lang w:val="es-ES_tradnl"/>
              </w:rPr>
              <w:t xml:space="preserve">La Oficina Regional para Asia y el Pacífico ha trabajado activamente en </w:t>
            </w:r>
            <w:r w:rsidR="005E1C3A">
              <w:rPr>
                <w:b/>
                <w:bCs/>
                <w:lang w:val="es-ES_tradnl"/>
              </w:rPr>
              <w:t>la ejecución de diversos proyecto</w:t>
            </w:r>
            <w:r w:rsidR="00F85857">
              <w:rPr>
                <w:b/>
                <w:bCs/>
                <w:lang w:val="es-ES_tradnl"/>
              </w:rPr>
              <w:t>s</w:t>
            </w:r>
            <w:r w:rsidR="005E1C3A">
              <w:rPr>
                <w:b/>
                <w:bCs/>
                <w:lang w:val="es-ES_tradnl"/>
              </w:rPr>
              <w:t xml:space="preserve"> e iniciativas</w:t>
            </w:r>
            <w:r w:rsidR="005E1C3A" w:rsidRPr="00EB3B77">
              <w:rPr>
                <w:b/>
                <w:bCs/>
                <w:lang w:val="es-ES_tradnl"/>
              </w:rPr>
              <w:t xml:space="preserve"> en la región</w:t>
            </w:r>
            <w:r w:rsidR="005E1C3A">
              <w:rPr>
                <w:b/>
                <w:bCs/>
                <w:lang w:val="es-ES_tradnl"/>
              </w:rPr>
              <w:t xml:space="preserve">, en particular, </w:t>
            </w:r>
            <w:r w:rsidRPr="0039515B">
              <w:rPr>
                <w:b/>
                <w:bCs/>
                <w:lang w:val="es-ES_tradnl"/>
              </w:rPr>
              <w:t xml:space="preserve">prestando apoyo a los Estados </w:t>
            </w:r>
            <w:r w:rsidR="005E1C3A">
              <w:rPr>
                <w:b/>
                <w:bCs/>
                <w:lang w:val="es-ES_tradnl"/>
              </w:rPr>
              <w:t>M</w:t>
            </w:r>
            <w:r w:rsidRPr="0039515B">
              <w:rPr>
                <w:b/>
                <w:bCs/>
                <w:lang w:val="es-ES_tradnl"/>
              </w:rPr>
              <w:t xml:space="preserve">iembros a través de la asociación de múltiples partes interesadas para acelerar la transformación digital y la transición </w:t>
            </w:r>
            <w:r w:rsidR="005E1C3A">
              <w:rPr>
                <w:b/>
                <w:bCs/>
                <w:lang w:val="es-ES_tradnl"/>
              </w:rPr>
              <w:t>hacia una</w:t>
            </w:r>
            <w:r w:rsidRPr="0039515B">
              <w:rPr>
                <w:b/>
                <w:bCs/>
                <w:lang w:val="es-ES_tradnl"/>
              </w:rPr>
              <w:t xml:space="preserve"> economía digital, mejorando el desarrollo d</w:t>
            </w:r>
            <w:r w:rsidR="005E1C3A">
              <w:rPr>
                <w:b/>
                <w:bCs/>
                <w:lang w:val="es-ES_tradnl"/>
              </w:rPr>
              <w:t>e</w:t>
            </w:r>
            <w:r w:rsidRPr="0039515B">
              <w:rPr>
                <w:b/>
                <w:bCs/>
                <w:lang w:val="es-ES_tradnl"/>
              </w:rPr>
              <w:t xml:space="preserve"> competencias digitales y fomentando la cooperación</w:t>
            </w:r>
            <w:r w:rsidR="005E1C3A">
              <w:rPr>
                <w:b/>
                <w:bCs/>
                <w:lang w:val="es-ES_tradnl"/>
              </w:rPr>
              <w:t xml:space="preserve"> en </w:t>
            </w:r>
            <w:proofErr w:type="spellStart"/>
            <w:r w:rsidR="005E1C3A">
              <w:rPr>
                <w:b/>
                <w:bCs/>
                <w:lang w:val="es-ES_tradnl"/>
              </w:rPr>
              <w:t>pos</w:t>
            </w:r>
            <w:proofErr w:type="spellEnd"/>
            <w:r w:rsidR="005E1C3A">
              <w:rPr>
                <w:b/>
                <w:bCs/>
                <w:lang w:val="es-ES_tradnl"/>
              </w:rPr>
              <w:t xml:space="preserve"> de l</w:t>
            </w:r>
            <w:r w:rsidRPr="0039515B">
              <w:rPr>
                <w:b/>
                <w:bCs/>
                <w:lang w:val="es-ES_tradnl"/>
              </w:rPr>
              <w:t xml:space="preserve">a conectividad. </w:t>
            </w:r>
            <w:r w:rsidR="005E1C3A" w:rsidRPr="003A7BE0">
              <w:rPr>
                <w:b/>
                <w:bCs/>
                <w:lang w:val="es-ES_tradnl"/>
              </w:rPr>
              <w:t>Estos</w:t>
            </w:r>
            <w:r w:rsidR="005E1C3A">
              <w:rPr>
                <w:b/>
                <w:bCs/>
                <w:lang w:val="es-ES_tradnl"/>
              </w:rPr>
              <w:t xml:space="preserve"> esfuerzos se enmarcan e</w:t>
            </w:r>
            <w:r w:rsidR="005E1C3A" w:rsidRPr="003A7BE0">
              <w:rPr>
                <w:b/>
                <w:bCs/>
                <w:lang w:val="es-ES_tradnl"/>
              </w:rPr>
              <w:t>n las iniciativas regionales establecidas en el Plan de Acción de Kigali (P</w:t>
            </w:r>
            <w:r w:rsidR="005E1C3A">
              <w:rPr>
                <w:b/>
                <w:bCs/>
                <w:lang w:val="es-ES_tradnl"/>
              </w:rPr>
              <w:t>AK</w:t>
            </w:r>
            <w:r w:rsidR="005E1C3A" w:rsidRPr="003A7BE0">
              <w:rPr>
                <w:b/>
                <w:bCs/>
                <w:lang w:val="es-ES_tradnl"/>
              </w:rPr>
              <w:t xml:space="preserve">). A continuación se detallan las actividades y </w:t>
            </w:r>
            <w:r w:rsidR="005E1C3A">
              <w:rPr>
                <w:b/>
                <w:bCs/>
                <w:lang w:val="es-ES_tradnl"/>
              </w:rPr>
              <w:t>los logros principales</w:t>
            </w:r>
            <w:r w:rsidRPr="0039515B">
              <w:rPr>
                <w:b/>
                <w:bCs/>
                <w:lang w:val="es-ES_tradnl"/>
              </w:rPr>
              <w:t>.</w:t>
            </w:r>
          </w:p>
          <w:p w14:paraId="624814B8" w14:textId="4CB5EFAE" w:rsidR="00224990" w:rsidRPr="00DF5B4D" w:rsidRDefault="00224990" w:rsidP="00E150B7">
            <w:pPr>
              <w:pStyle w:val="Tabletext"/>
              <w:ind w:left="284" w:hanging="284"/>
              <w:rPr>
                <w:rFonts w:eastAsiaTheme="minorEastAsia"/>
                <w:lang w:val="es-ES_tradnl"/>
              </w:rPr>
            </w:pPr>
            <w:r w:rsidRPr="00DF5B4D">
              <w:rPr>
                <w:lang w:val="es-ES_tradnl"/>
              </w:rPr>
              <w:t>•</w:t>
            </w:r>
            <w:r w:rsidRPr="00DF5B4D">
              <w:rPr>
                <w:lang w:val="es-ES_tradnl"/>
              </w:rPr>
              <w:tab/>
              <w:t xml:space="preserve">En la Región de Asia y el Pacífico, la </w:t>
            </w:r>
            <w:r w:rsidR="005E1C3A">
              <w:rPr>
                <w:lang w:val="es-ES_tradnl"/>
              </w:rPr>
              <w:t>BDT</w:t>
            </w:r>
            <w:r w:rsidR="005E1C3A" w:rsidRPr="00DF5B4D">
              <w:rPr>
                <w:lang w:val="es-ES_tradnl"/>
              </w:rPr>
              <w:t xml:space="preserve"> </w:t>
            </w:r>
            <w:r w:rsidRPr="00DF5B4D">
              <w:rPr>
                <w:lang w:val="es-ES_tradnl"/>
              </w:rPr>
              <w:t>continúa trabajando estrechamente con los Equipos de Países de las Naciones Unidas y la Oficina de Coordinación para el Desarrollo de las Naciones Unidas (UNCDO) en 2023 y colaborando en iniciativas para la digitalización. Como resultado, se reforzaron los componentes de transformación digital dentro de los Marcos de Cooperación de las Naciones Unidas para el Desarrollo Sostenible [</w:t>
            </w:r>
            <w:hyperlink r:id="rId79">
              <w:r w:rsidRPr="00DF5B4D">
                <w:rPr>
                  <w:rStyle w:val="Hyperlink"/>
                  <w:lang w:val="es-ES_tradnl"/>
                </w:rPr>
                <w:t>9669_UNSDF_pacific_A4_01.05.23_versión WEB _LR_3.pdf]</w:t>
              </w:r>
            </w:hyperlink>
            <w:r w:rsidRPr="00DF5B4D">
              <w:rPr>
                <w:rStyle w:val="Hyperlink"/>
                <w:u w:val="none"/>
                <w:lang w:val="es-ES_tradnl"/>
              </w:rPr>
              <w:t xml:space="preserve"> </w:t>
            </w:r>
            <w:r w:rsidRPr="00DF5B4D">
              <w:rPr>
                <w:rStyle w:val="Hyperlink"/>
                <w:color w:val="auto"/>
                <w:u w:val="none"/>
                <w:lang w:val="es-ES_tradnl"/>
              </w:rPr>
              <w:t xml:space="preserve">de los que la UIT es signataria. La UIT sigue ejecutando programas conjuntos en el Pacífico. Acelerar el logro de los ODS mediante la transformación digital para reforzar la resiliencia de las comunidades en Micronesia; y promover los ODS mejorando los medios de subsistencia y la resiliencia a través de la diversificación económica y la transformación digital. Estas iniciativas de programas conjuntos contribuyeron a la apertura de la ventanilla digital del fondo de los ODS de la ONU. Los componentes de transformación digital se reforzaron en el </w:t>
            </w:r>
            <w:hyperlink r:id="rId80" w:history="1">
              <w:r w:rsidRPr="00DF5B4D">
                <w:rPr>
                  <w:rStyle w:val="Hyperlink"/>
                  <w:lang w:val="es-ES_tradnl"/>
                </w:rPr>
                <w:t>Marco de Cooperación de las Naciones Unidas para el Desarrollo Sostenible (UNSDCF) 2022-2026 en Tailandia</w:t>
              </w:r>
            </w:hyperlink>
            <w:r w:rsidRPr="00DF5B4D">
              <w:rPr>
                <w:rStyle w:val="Hyperlink"/>
                <w:color w:val="auto"/>
                <w:u w:val="none"/>
                <w:lang w:val="es-ES_tradnl"/>
              </w:rPr>
              <w:t xml:space="preserve">, del que la UIT es signataria. La UIT sigue contribuyendo a la aplicación del Producto 2 sobre capital humano y fortalecimiento de las instituciones, las asociaciones y la capacitación de las personas. En este marco, se celebraron conjuntamente con organismos de las Naciones Unidas actividades como el Día de las Niñas en las TIC, la evaluación de las competencias digitales de los migrantes en Tailandia y el compromiso estratégico para aplicar </w:t>
            </w:r>
            <w:proofErr w:type="spellStart"/>
            <w:r w:rsidRPr="00DF5B4D">
              <w:rPr>
                <w:rStyle w:val="Hyperlink"/>
                <w:color w:val="auto"/>
                <w:u w:val="none"/>
                <w:lang w:val="es-ES_tradnl"/>
              </w:rPr>
              <w:t>mAgeing</w:t>
            </w:r>
            <w:proofErr w:type="spellEnd"/>
            <w:r w:rsidRPr="00DF5B4D">
              <w:rPr>
                <w:rStyle w:val="Hyperlink"/>
                <w:color w:val="auto"/>
                <w:u w:val="none"/>
                <w:lang w:val="es-ES_tradnl"/>
              </w:rPr>
              <w:t>.</w:t>
            </w:r>
          </w:p>
          <w:p w14:paraId="024FC691" w14:textId="77777777" w:rsidR="00224990" w:rsidRPr="00DF5B4D" w:rsidRDefault="00224990" w:rsidP="00E150B7">
            <w:pPr>
              <w:pStyle w:val="Tabletext"/>
              <w:ind w:left="284" w:hanging="284"/>
              <w:rPr>
                <w:lang w:val="es-ES_tradnl"/>
              </w:rPr>
            </w:pPr>
            <w:r w:rsidRPr="00DF5B4D">
              <w:rPr>
                <w:lang w:val="es-ES_tradnl"/>
              </w:rPr>
              <w:t>•</w:t>
            </w:r>
            <w:r w:rsidRPr="00DF5B4D">
              <w:rPr>
                <w:lang w:val="es-ES_tradnl"/>
              </w:rPr>
              <w:tab/>
              <w:t>La UIT forma parte de la recién constituida asociación de múltiples partes interesadas para promover actividades en el ámbito de las competencias digitales, la seguridad digital, la cultura digital y la ética digital en Indonesia. La asociación está formada por la UNESCO, la FAO, el CCI, el PNUD, el UNICEF, la ONUDI, la OMS, la RCO, el Gobierno de Indonesia, la Red Universitaria Nacional de Indonesia y la APDI, y tiene por objeto crear sinergias y lograr repercusiones.</w:t>
            </w:r>
          </w:p>
          <w:p w14:paraId="4981557C" w14:textId="77777777" w:rsidR="00224990" w:rsidRPr="00DF5B4D" w:rsidRDefault="00224990" w:rsidP="00E150B7">
            <w:pPr>
              <w:pStyle w:val="Tabletext"/>
              <w:ind w:left="284" w:hanging="284"/>
              <w:rPr>
                <w:lang w:val="es-ES_tradnl"/>
              </w:rPr>
            </w:pPr>
            <w:r w:rsidRPr="00DF5B4D">
              <w:rPr>
                <w:lang w:val="es-ES_tradnl"/>
              </w:rPr>
              <w:t>•</w:t>
            </w:r>
            <w:r w:rsidRPr="00DF5B4D">
              <w:rPr>
                <w:lang w:val="es-ES_tradnl"/>
              </w:rPr>
              <w:tab/>
              <w:t xml:space="preserve">En el </w:t>
            </w:r>
            <w:r w:rsidRPr="00DF5B4D">
              <w:rPr>
                <w:b/>
                <w:bCs/>
                <w:lang w:val="es-ES_tradnl"/>
              </w:rPr>
              <w:t xml:space="preserve">FDR de la UIT para Asia y el Pacífico (FDR-ASP) </w:t>
            </w:r>
            <w:r w:rsidRPr="00DF5B4D">
              <w:rPr>
                <w:lang w:val="es-ES_tradnl"/>
              </w:rPr>
              <w:t xml:space="preserve">celebrado en Tailandia en septiembre de 2023, 20 países y organizaciones asociadas de toda la región se reunieron para debatir las iniciativas regionales de Asia y el Pacífico y el Plan de Acción de Kigali, las necesidades de la región y los países candidatos para su implementación. El Foro propició una mayor concienciación y un </w:t>
            </w:r>
            <w:r w:rsidRPr="00DF5B4D">
              <w:rPr>
                <w:lang w:val="es-ES_tradnl"/>
              </w:rPr>
              <w:lastRenderedPageBreak/>
              <w:t xml:space="preserve">compromiso de alto nivel por parte de los Estados Miembros de la UIT en la región Asia-Pacífico y reforzó la cooperación y la colaboración con la UNDCO, el UNCT y organismos como el FNUDC y la OMM. El aumento de los compromisos financieros quedó de manifiesto en las nuevas promesas realizadas durante las sesiones de emparejamiento de la mesa redonda P2C; se anunciaron 11 nuevas promesas y compromisos P2C, y se firmaron varias declaraciones conjuntas, entre ellas las de Huawei, </w:t>
            </w:r>
            <w:proofErr w:type="spellStart"/>
            <w:r w:rsidRPr="00DF5B4D">
              <w:rPr>
                <w:lang w:val="es-ES_tradnl"/>
              </w:rPr>
              <w:t>Indosat</w:t>
            </w:r>
            <w:proofErr w:type="spellEnd"/>
            <w:r w:rsidRPr="00DF5B4D">
              <w:rPr>
                <w:lang w:val="es-ES_tradnl"/>
              </w:rPr>
              <w:t xml:space="preserve"> e IICF, que aportaron más recursos y experiencia para la ejecución de las iniciativas regionales.</w:t>
            </w:r>
          </w:p>
          <w:p w14:paraId="01B9415B" w14:textId="3F594F74" w:rsidR="00224990" w:rsidRPr="00DF5B4D" w:rsidRDefault="00224990" w:rsidP="00E150B7">
            <w:pPr>
              <w:pStyle w:val="Tabletext"/>
              <w:ind w:left="284" w:hanging="284"/>
              <w:rPr>
                <w:lang w:val="es-ES_tradnl"/>
              </w:rPr>
            </w:pPr>
            <w:r w:rsidRPr="00DF5B4D">
              <w:rPr>
                <w:lang w:val="es-ES_tradnl"/>
              </w:rPr>
              <w:t>•</w:t>
            </w:r>
            <w:r w:rsidRPr="00DF5B4D">
              <w:rPr>
                <w:lang w:val="es-ES_tradnl"/>
              </w:rPr>
              <w:tab/>
              <w:t xml:space="preserve">La </w:t>
            </w:r>
            <w:r w:rsidR="005E1C3A">
              <w:rPr>
                <w:lang w:val="es-ES_tradnl"/>
              </w:rPr>
              <w:t>BDT</w:t>
            </w:r>
            <w:r w:rsidR="005E1C3A" w:rsidRPr="00DF5B4D">
              <w:rPr>
                <w:lang w:val="es-ES_tradnl"/>
              </w:rPr>
              <w:t xml:space="preserve"> </w:t>
            </w:r>
            <w:r w:rsidRPr="00DF5B4D">
              <w:rPr>
                <w:lang w:val="es-ES_tradnl"/>
              </w:rPr>
              <w:t xml:space="preserve">aumentó la concienciación y los compromisos de alto nivel para acelerar la transformación digital en el primer Diálogo Ministerial Digital sobre las TIC en el Pacífico, celebrado el 28 de agosto de 2023 en Papúa Nueva Guinea. La </w:t>
            </w:r>
            <w:hyperlink r:id="rId81" w:history="1">
              <w:r w:rsidRPr="00DF5B4D">
                <w:rPr>
                  <w:rStyle w:val="Hyperlink"/>
                  <w:rFonts w:eastAsiaTheme="minorEastAsia"/>
                  <w:lang w:val="es-ES_tradnl"/>
                </w:rPr>
                <w:t>Declaración</w:t>
              </w:r>
            </w:hyperlink>
            <w:r w:rsidRPr="00DF5B4D">
              <w:rPr>
                <w:lang w:val="es-ES_tradnl"/>
              </w:rPr>
              <w:t xml:space="preserve"> de </w:t>
            </w:r>
            <w:proofErr w:type="spellStart"/>
            <w:r w:rsidRPr="00DF5B4D">
              <w:rPr>
                <w:lang w:val="es-ES_tradnl"/>
              </w:rPr>
              <w:t>Lagatoi</w:t>
            </w:r>
            <w:proofErr w:type="spellEnd"/>
            <w:r w:rsidRPr="00DF5B4D">
              <w:rPr>
                <w:lang w:val="es-ES_tradnl"/>
              </w:rPr>
              <w:t>, adoptada durante la reunión, insta a la UIT y a otros socios para el desarrollo a reforzar su presencia regional en el Pacífico. Tras la reunión ministerial, en 2024 se puso en marcha un proyecto de la UIT de dos años de duración que llevará a cabo un estudio de viabilidad destinado a abordar las necesidades especiales de desarrollo de las telecomunicaciones/TIC en los pequeños Estados insulares en desarrollo del Pacífico, financiado por el Departamento de Infraestructuras, Transporte, Desarrollo Regional, Comunicaciones y Artes (DITRDCA) de Australia y la UIT.</w:t>
            </w:r>
          </w:p>
          <w:p w14:paraId="3B0CF93B" w14:textId="1B7EDEB1" w:rsidR="00224990" w:rsidRPr="00DF5B4D" w:rsidRDefault="00224990" w:rsidP="00E150B7">
            <w:pPr>
              <w:pStyle w:val="Tabletext"/>
              <w:ind w:left="284" w:hanging="284"/>
              <w:rPr>
                <w:lang w:val="es-ES_tradnl"/>
              </w:rPr>
            </w:pPr>
            <w:r w:rsidRPr="00DF5B4D">
              <w:rPr>
                <w:lang w:val="es-ES_tradnl"/>
              </w:rPr>
              <w:t>•</w:t>
            </w:r>
            <w:r w:rsidRPr="00DF5B4D">
              <w:rPr>
                <w:lang w:val="es-ES_tradnl"/>
              </w:rPr>
              <w:tab/>
              <w:t xml:space="preserve">La </w:t>
            </w:r>
            <w:r w:rsidR="005E1C3A">
              <w:rPr>
                <w:lang w:val="es-ES_tradnl"/>
              </w:rPr>
              <w:t>BDT</w:t>
            </w:r>
            <w:r w:rsidR="005E1C3A" w:rsidRPr="00DF5B4D">
              <w:rPr>
                <w:lang w:val="es-ES_tradnl"/>
              </w:rPr>
              <w:t xml:space="preserve"> </w:t>
            </w:r>
            <w:r w:rsidRPr="00DF5B4D">
              <w:rPr>
                <w:lang w:val="es-ES_tradnl"/>
              </w:rPr>
              <w:t xml:space="preserve">también continúa trabajando estrechamente con la </w:t>
            </w:r>
            <w:proofErr w:type="spellStart"/>
            <w:r w:rsidRPr="00DF5B4D">
              <w:rPr>
                <w:lang w:val="es-ES_tradnl"/>
              </w:rPr>
              <w:t>Telecomunidad</w:t>
            </w:r>
            <w:proofErr w:type="spellEnd"/>
            <w:r w:rsidRPr="00DF5B4D">
              <w:rPr>
                <w:lang w:val="es-ES_tradnl"/>
              </w:rPr>
              <w:t xml:space="preserve"> de Asia y el Pacífico (APT) para mejorar la capacidad y la alineación estratégica de las actividades. La </w:t>
            </w:r>
            <w:r w:rsidR="005E1C3A">
              <w:rPr>
                <w:lang w:val="es-ES_tradnl"/>
              </w:rPr>
              <w:t>BDT</w:t>
            </w:r>
            <w:r w:rsidR="005E1C3A" w:rsidRPr="00DF5B4D">
              <w:rPr>
                <w:lang w:val="es-ES_tradnl"/>
              </w:rPr>
              <w:t xml:space="preserve"> </w:t>
            </w:r>
            <w:r w:rsidRPr="00DF5B4D">
              <w:rPr>
                <w:lang w:val="es-ES_tradnl"/>
              </w:rPr>
              <w:t xml:space="preserve">compartió su experiencia y mejoró la participación de los Estados Miembros en eventos clave de la APT y la UIT, como el Simposio de la APT sobre "Conectividad inclusiva" y el </w:t>
            </w:r>
            <w:r w:rsidRPr="005C2E6E">
              <w:rPr>
                <w:b/>
                <w:bCs/>
                <w:lang w:val="es-ES_tradnl"/>
              </w:rPr>
              <w:t>FDR-ASP</w:t>
            </w:r>
            <w:r w:rsidRPr="00DF5B4D">
              <w:rPr>
                <w:lang w:val="es-ES_tradnl"/>
              </w:rPr>
              <w:t>, mediante la coordinación de expertos y becas para los participantes.</w:t>
            </w:r>
          </w:p>
          <w:p w14:paraId="7BC2169D" w14:textId="77777777" w:rsidR="00224990" w:rsidRPr="00DF5B4D" w:rsidRDefault="00224990" w:rsidP="00E150B7">
            <w:pPr>
              <w:pStyle w:val="Tabletext"/>
              <w:ind w:left="284" w:hanging="284"/>
              <w:rPr>
                <w:lang w:val="es-ES_tradnl"/>
              </w:rPr>
            </w:pPr>
            <w:r w:rsidRPr="00DF5B4D">
              <w:rPr>
                <w:rFonts w:ascii="Calibri" w:eastAsia="Calibri" w:hAnsi="Calibri" w:cs="Calibri"/>
                <w:lang w:val="es-ES_tradnl"/>
              </w:rPr>
              <w:t>•</w:t>
            </w:r>
            <w:r w:rsidRPr="00DF5B4D">
              <w:rPr>
                <w:rFonts w:ascii="Calibri" w:eastAsia="Calibri" w:hAnsi="Calibri" w:cs="Calibri"/>
                <w:lang w:val="es-ES_tradnl"/>
              </w:rPr>
              <w:tab/>
              <w:t xml:space="preserve">También se consolidó una sólida presencia regional con la inauguración de la Oficina Zonal para Asia Meridional y Centro de innovación de la UIT en Nueva Delhi, India, en marzo de 2023. La nueva Oficina Zonal empezó a producir productos tangibles, como la mejora de los conocimientos técnicos de expertos de 10 países mediante la impartición de </w:t>
            </w:r>
            <w:proofErr w:type="spellStart"/>
            <w:r w:rsidRPr="00DF5B4D">
              <w:rPr>
                <w:rFonts w:ascii="Calibri" w:eastAsia="Calibri" w:hAnsi="Calibri" w:cs="Calibri"/>
                <w:lang w:val="es-ES_tradnl"/>
              </w:rPr>
              <w:t>G</w:t>
            </w:r>
            <w:r>
              <w:rPr>
                <w:rFonts w:ascii="Calibri" w:eastAsia="Calibri" w:hAnsi="Calibri" w:cs="Calibri"/>
                <w:lang w:val="es-ES_tradnl"/>
              </w:rPr>
              <w:t>o</w:t>
            </w:r>
            <w:r w:rsidRPr="00DF5B4D">
              <w:rPr>
                <w:rFonts w:ascii="Calibri" w:eastAsia="Calibri" w:hAnsi="Calibri" w:cs="Calibri"/>
                <w:lang w:val="es-ES_tradnl"/>
              </w:rPr>
              <w:t>vStack</w:t>
            </w:r>
            <w:proofErr w:type="spellEnd"/>
            <w:r w:rsidRPr="00DF5B4D">
              <w:rPr>
                <w:rFonts w:ascii="Calibri" w:eastAsia="Calibri" w:hAnsi="Calibri" w:cs="Calibri"/>
                <w:lang w:val="es-ES_tradnl"/>
              </w:rPr>
              <w:t xml:space="preserve"> y una formación sobre el enfoque de todo el gobierno. Además, la Oficina logró aumentar la capacidad mediante la formación SMS4DC para 20 expertos del Ministerio de Comunicaciones de la India, enfocado en la gestión del espectro y el uso competente de las herramientas.</w:t>
            </w:r>
          </w:p>
          <w:p w14:paraId="5FEA6F22" w14:textId="1A8903B2" w:rsidR="00224990" w:rsidRPr="00DF5B4D" w:rsidRDefault="00224990" w:rsidP="00E150B7">
            <w:pPr>
              <w:pStyle w:val="Tabletext"/>
              <w:ind w:left="284" w:hanging="284"/>
              <w:rPr>
                <w:lang w:val="es-ES_tradnl"/>
              </w:rPr>
            </w:pPr>
            <w:r w:rsidRPr="00DF5B4D">
              <w:rPr>
                <w:rFonts w:ascii="Calibri" w:eastAsia="Calibri" w:hAnsi="Calibri" w:cs="Calibri"/>
                <w:lang w:val="es-ES_tradnl"/>
              </w:rPr>
              <w:t>•</w:t>
            </w:r>
            <w:r w:rsidRPr="00DF5B4D">
              <w:rPr>
                <w:rFonts w:ascii="Calibri" w:eastAsia="Calibri" w:hAnsi="Calibri" w:cs="Calibri"/>
                <w:lang w:val="es-ES_tradnl"/>
              </w:rPr>
              <w:tab/>
              <w:t xml:space="preserve">En materia de innovación, los esfuerzos de la </w:t>
            </w:r>
            <w:r w:rsidR="005E1C3A">
              <w:rPr>
                <w:rFonts w:ascii="Calibri" w:eastAsia="Calibri" w:hAnsi="Calibri" w:cs="Calibri"/>
                <w:lang w:val="es-ES_tradnl"/>
              </w:rPr>
              <w:t>BDT</w:t>
            </w:r>
            <w:r w:rsidR="005E1C3A" w:rsidRPr="00DF5B4D">
              <w:rPr>
                <w:rFonts w:ascii="Calibri" w:eastAsia="Calibri" w:hAnsi="Calibri" w:cs="Calibri"/>
                <w:lang w:val="es-ES_tradnl"/>
              </w:rPr>
              <w:t xml:space="preserve"> </w:t>
            </w:r>
            <w:r w:rsidRPr="00DF5B4D">
              <w:rPr>
                <w:rFonts w:ascii="Calibri" w:eastAsia="Calibri" w:hAnsi="Calibri" w:cs="Calibri"/>
                <w:lang w:val="es-ES_tradnl"/>
              </w:rPr>
              <w:t>han fortalecido las capacidades de los Estados Miembros. Esto se hizo evidente por medio del éxito del Foro Regional de Innovación, el Taller de cibersanidad e innovación y el emprendimiento para los ODS. Esta asistencia se extiende hacia los gobiernos, los actores de la industria, las instituciones académicas y los emprendedores contribuyendo significativamente a su en las distintas etapas del camino de la innovación.</w:t>
            </w:r>
          </w:p>
          <w:p w14:paraId="3FB64CFC" w14:textId="3CE68D49" w:rsidR="00224990" w:rsidRPr="00DF5B4D" w:rsidRDefault="00224990" w:rsidP="00E150B7">
            <w:pPr>
              <w:pStyle w:val="Tabletext"/>
              <w:ind w:left="284" w:hanging="284"/>
              <w:rPr>
                <w:lang w:val="es-ES_tradnl"/>
              </w:rPr>
            </w:pPr>
            <w:r w:rsidRPr="00DF5B4D">
              <w:rPr>
                <w:rFonts w:ascii="Calibri" w:eastAsia="Calibri" w:hAnsi="Calibri" w:cs="Calibri"/>
                <w:color w:val="000000" w:themeColor="text1"/>
                <w:lang w:val="es-ES_tradnl"/>
              </w:rPr>
              <w:t>•</w:t>
            </w:r>
            <w:r w:rsidRPr="00DF5B4D">
              <w:rPr>
                <w:rFonts w:ascii="Calibri" w:eastAsia="Calibri" w:hAnsi="Calibri" w:cs="Calibri"/>
                <w:color w:val="000000" w:themeColor="text1"/>
                <w:lang w:val="es-ES_tradnl"/>
              </w:rPr>
              <w:tab/>
              <w:t xml:space="preserve">En el transcurso de este periodo, la </w:t>
            </w:r>
            <w:r w:rsidR="005E1C3A">
              <w:rPr>
                <w:rFonts w:ascii="Calibri" w:eastAsia="Calibri" w:hAnsi="Calibri" w:cs="Calibri"/>
                <w:color w:val="000000" w:themeColor="text1"/>
                <w:lang w:val="es-ES_tradnl"/>
              </w:rPr>
              <w:t>BDT</w:t>
            </w:r>
            <w:r w:rsidR="005E1C3A" w:rsidRPr="00DF5B4D">
              <w:rPr>
                <w:rFonts w:ascii="Calibri" w:eastAsia="Calibri" w:hAnsi="Calibri" w:cs="Calibri"/>
                <w:color w:val="000000" w:themeColor="text1"/>
                <w:lang w:val="es-ES_tradnl"/>
              </w:rPr>
              <w:t xml:space="preserve"> </w:t>
            </w:r>
            <w:r w:rsidRPr="00DF5B4D">
              <w:rPr>
                <w:rFonts w:ascii="Calibri" w:eastAsia="Calibri" w:hAnsi="Calibri" w:cs="Calibri"/>
                <w:color w:val="000000" w:themeColor="text1"/>
                <w:lang w:val="es-ES_tradnl"/>
              </w:rPr>
              <w:t xml:space="preserve">ha firmado ocho acuerdos con un valor de más de 3,1 millones USD para nuevos proyectos extrapresupuestarios y contribuciones voluntarias para la Región de Asia y el Pacífico como producto concreto del soporte técnico, el análisis y el desarrollo de capacidades de la </w:t>
            </w:r>
            <w:r w:rsidR="005E1C3A">
              <w:rPr>
                <w:rFonts w:ascii="Calibri" w:eastAsia="Calibri" w:hAnsi="Calibri" w:cs="Calibri"/>
                <w:color w:val="000000" w:themeColor="text1"/>
                <w:lang w:val="es-ES_tradnl"/>
              </w:rPr>
              <w:t>BDT</w:t>
            </w:r>
            <w:r w:rsidRPr="00DF5B4D">
              <w:rPr>
                <w:rFonts w:ascii="Calibri" w:eastAsia="Calibri" w:hAnsi="Calibri" w:cs="Calibri"/>
                <w:color w:val="000000" w:themeColor="text1"/>
                <w:lang w:val="es-ES_tradnl"/>
              </w:rPr>
              <w:t>.</w:t>
            </w:r>
          </w:p>
          <w:p w14:paraId="4FB42D06" w14:textId="39CFB466" w:rsidR="00224990" w:rsidRPr="00DF5B4D" w:rsidRDefault="00224990" w:rsidP="00E150B7">
            <w:pPr>
              <w:pStyle w:val="Tabletext"/>
              <w:ind w:left="284" w:hanging="284"/>
              <w:rPr>
                <w:rStyle w:val="ui-provider"/>
                <w:rFonts w:ascii="Times New Roman" w:eastAsia="Times New Roman" w:hAnsi="Times New Roman"/>
                <w:lang w:val="es-ES_tradnl" w:eastAsia="zh-CN"/>
              </w:rPr>
            </w:pPr>
            <w:r w:rsidRPr="00DF5B4D">
              <w:rPr>
                <w:lang w:val="es-ES_tradnl"/>
              </w:rPr>
              <w:t>•</w:t>
            </w:r>
            <w:r w:rsidRPr="00DF5B4D">
              <w:rPr>
                <w:lang w:val="es-ES_tradnl"/>
              </w:rPr>
              <w:tab/>
              <w:t xml:space="preserve">La UIT continuó su duradera asociación con el Ministerio de Industria y Tecnología de la Información (MIIT) China a través de la organización conjunta de un evento anual de alto nivel. En 2023, el evento fue organizado bajo el tema </w:t>
            </w:r>
            <w:r>
              <w:rPr>
                <w:lang w:val="es-ES_tradnl"/>
              </w:rPr>
              <w:t>"</w:t>
            </w:r>
            <w:r w:rsidRPr="00DF5B4D">
              <w:rPr>
                <w:b/>
                <w:bCs/>
                <w:lang w:val="es-ES_tradnl"/>
              </w:rPr>
              <w:t>Construyendo un futuro digital para todos</w:t>
            </w:r>
            <w:r>
              <w:rPr>
                <w:b/>
                <w:bCs/>
                <w:lang w:val="es-ES_tradnl"/>
              </w:rPr>
              <w:t>"</w:t>
            </w:r>
            <w:r w:rsidRPr="00DF5B4D">
              <w:rPr>
                <w:b/>
                <w:bCs/>
                <w:lang w:val="es-ES_tradnl"/>
              </w:rPr>
              <w:t xml:space="preserve"> </w:t>
            </w:r>
            <w:r w:rsidRPr="00DF5B4D">
              <w:rPr>
                <w:lang w:val="es-ES_tradnl"/>
              </w:rPr>
              <w:t>(</w:t>
            </w:r>
            <w:proofErr w:type="spellStart"/>
            <w:r w:rsidRPr="00DF5B4D">
              <w:rPr>
                <w:lang w:val="es-ES_tradnl"/>
              </w:rPr>
              <w:t>Building</w:t>
            </w:r>
            <w:proofErr w:type="spellEnd"/>
            <w:r w:rsidRPr="00DF5B4D">
              <w:rPr>
                <w:lang w:val="es-ES_tradnl"/>
              </w:rPr>
              <w:t xml:space="preserve"> a Digital Future </w:t>
            </w:r>
            <w:proofErr w:type="spellStart"/>
            <w:r w:rsidRPr="00DF5B4D">
              <w:rPr>
                <w:lang w:val="es-ES_tradnl"/>
              </w:rPr>
              <w:t>for</w:t>
            </w:r>
            <w:proofErr w:type="spellEnd"/>
            <w:r w:rsidRPr="00DF5B4D">
              <w:rPr>
                <w:lang w:val="es-ES_tradnl"/>
              </w:rPr>
              <w:t xml:space="preserve"> </w:t>
            </w:r>
            <w:proofErr w:type="spellStart"/>
            <w:r w:rsidRPr="00DF5B4D">
              <w:rPr>
                <w:lang w:val="es-ES_tradnl"/>
              </w:rPr>
              <w:t>All</w:t>
            </w:r>
            <w:proofErr w:type="spellEnd"/>
            <w:r w:rsidRPr="00DF5B4D">
              <w:rPr>
                <w:lang w:val="es-ES_tradnl"/>
              </w:rPr>
              <w:t>, en inglés).</w:t>
            </w:r>
            <w:r w:rsidRPr="00DF5B4D">
              <w:rPr>
                <w:lang w:val="es-ES_tradnl"/>
              </w:rPr>
              <w:br/>
            </w:r>
            <w:r w:rsidRPr="00DF5B4D">
              <w:rPr>
                <w:rStyle w:val="ui-provider"/>
                <w:lang w:val="es-ES_tradnl"/>
              </w:rPr>
              <w:t xml:space="preserve">La </w:t>
            </w:r>
            <w:r w:rsidR="005E1C3A">
              <w:rPr>
                <w:rStyle w:val="ui-provider"/>
                <w:lang w:val="es-ES_tradnl"/>
              </w:rPr>
              <w:t>B</w:t>
            </w:r>
            <w:r w:rsidR="005E1C3A" w:rsidRPr="00B17E5B">
              <w:rPr>
                <w:rStyle w:val="ui-provider"/>
                <w:lang w:val="es-ES"/>
              </w:rPr>
              <w:t>DT</w:t>
            </w:r>
            <w:r w:rsidR="005E1C3A" w:rsidRPr="00DF5B4D">
              <w:rPr>
                <w:rStyle w:val="ui-provider"/>
                <w:lang w:val="es-ES_tradnl"/>
              </w:rPr>
              <w:t xml:space="preserve"> </w:t>
            </w:r>
            <w:r w:rsidRPr="00DF5B4D">
              <w:rPr>
                <w:rStyle w:val="ui-provider"/>
                <w:lang w:val="es-ES_tradnl"/>
              </w:rPr>
              <w:t xml:space="preserve">inició la cooperación con el </w:t>
            </w:r>
            <w:hyperlink r:id="rId82" w:history="1">
              <w:r w:rsidRPr="00DF5B4D">
                <w:rPr>
                  <w:rStyle w:val="Hyperlink"/>
                  <w:lang w:val="es-ES_tradnl"/>
                </w:rPr>
                <w:t>Centro de Estudios Internacional para Países en Desarrollo sin Litoral (ITTLLDC)</w:t>
              </w:r>
            </w:hyperlink>
            <w:r w:rsidRPr="00DF5B4D">
              <w:rPr>
                <w:rStyle w:val="ui-provider"/>
                <w:lang w:val="es-ES_tradnl"/>
              </w:rPr>
              <w:t xml:space="preserve"> y organizó conjuntamente un evento enfocado en los desafíos comunes de los países en desarrollo sin litoral de Asia y el Pacífico y la </w:t>
            </w:r>
            <w:r w:rsidRPr="00DF5B4D">
              <w:rPr>
                <w:rStyle w:val="ui-provider"/>
                <w:lang w:val="es-ES_tradnl"/>
              </w:rPr>
              <w:lastRenderedPageBreak/>
              <w:t xml:space="preserve">Comunidad de Estados Independientes (CEI) para la elaboración de políticas eficientes en el sector digital en continuo crecimiento. El ITTLLDC solicitó ser </w:t>
            </w:r>
            <w:r w:rsidR="00644171" w:rsidRPr="00DF5B4D">
              <w:rPr>
                <w:rStyle w:val="ui-provider"/>
                <w:lang w:val="es-ES_tradnl"/>
              </w:rPr>
              <w:t>Miembro</w:t>
            </w:r>
            <w:r w:rsidR="00644171">
              <w:rPr>
                <w:rStyle w:val="ui-provider"/>
                <w:lang w:val="es-ES_tradnl"/>
              </w:rPr>
              <w:t xml:space="preserve"> </w:t>
            </w:r>
            <w:r w:rsidR="00644171" w:rsidRPr="00B17E5B">
              <w:rPr>
                <w:rStyle w:val="ui-provider"/>
                <w:lang w:val="es-ES"/>
              </w:rPr>
              <w:t>de Sector</w:t>
            </w:r>
            <w:r w:rsidR="00644171" w:rsidRPr="00DF5B4D">
              <w:rPr>
                <w:rStyle w:val="ui-provider"/>
                <w:lang w:val="es-ES_tradnl"/>
              </w:rPr>
              <w:t xml:space="preserve"> </w:t>
            </w:r>
            <w:r w:rsidRPr="00DF5B4D">
              <w:rPr>
                <w:rStyle w:val="ui-provider"/>
                <w:lang w:val="es-ES_tradnl"/>
              </w:rPr>
              <w:t>de</w:t>
            </w:r>
            <w:r w:rsidR="00644171">
              <w:rPr>
                <w:rStyle w:val="ui-provider"/>
                <w:lang w:val="es-ES_tradnl"/>
              </w:rPr>
              <w:t>l</w:t>
            </w:r>
            <w:r w:rsidRPr="00DF5B4D">
              <w:rPr>
                <w:rStyle w:val="ui-provider"/>
                <w:lang w:val="es-ES_tradnl"/>
              </w:rPr>
              <w:t xml:space="preserve"> UIT</w:t>
            </w:r>
            <w:r w:rsidR="00644171">
              <w:rPr>
                <w:rStyle w:val="ui-provider"/>
                <w:lang w:val="es-ES_tradnl"/>
              </w:rPr>
              <w:t>-</w:t>
            </w:r>
            <w:r w:rsidR="00644171" w:rsidRPr="00B17E5B">
              <w:rPr>
                <w:rStyle w:val="ui-provider"/>
                <w:lang w:val="es-ES"/>
              </w:rPr>
              <w:t>D</w:t>
            </w:r>
            <w:r w:rsidRPr="00DF5B4D">
              <w:rPr>
                <w:rStyle w:val="ui-provider"/>
                <w:lang w:val="es-ES_tradnl"/>
              </w:rPr>
              <w:t xml:space="preserve"> en 2024.</w:t>
            </w:r>
          </w:p>
          <w:p w14:paraId="4E3011FA" w14:textId="24326682" w:rsidR="00224990" w:rsidRPr="00DF5B4D" w:rsidRDefault="00224990" w:rsidP="00E150B7">
            <w:pPr>
              <w:pStyle w:val="Tabletext"/>
              <w:ind w:left="284" w:hanging="284"/>
              <w:rPr>
                <w:rStyle w:val="ui-provider"/>
                <w:lang w:val="es-ES_tradnl"/>
              </w:rPr>
            </w:pPr>
            <w:r w:rsidRPr="00DF5B4D">
              <w:rPr>
                <w:lang w:val="es-ES_tradnl"/>
              </w:rPr>
              <w:t>•</w:t>
            </w:r>
            <w:r w:rsidRPr="00DF5B4D">
              <w:rPr>
                <w:lang w:val="es-ES_tradnl"/>
              </w:rPr>
              <w:tab/>
              <w:t xml:space="preserve">La </w:t>
            </w:r>
            <w:r w:rsidR="005E1C3A">
              <w:rPr>
                <w:lang w:val="es-ES_tradnl"/>
              </w:rPr>
              <w:t>BDT</w:t>
            </w:r>
            <w:r w:rsidR="005E1C3A" w:rsidRPr="00DF5B4D">
              <w:rPr>
                <w:lang w:val="es-ES_tradnl"/>
              </w:rPr>
              <w:t xml:space="preserve"> </w:t>
            </w:r>
            <w:r w:rsidRPr="00DF5B4D">
              <w:rPr>
                <w:lang w:val="es-ES_tradnl"/>
              </w:rPr>
              <w:t xml:space="preserve">junto con coorganizadores y asociados, organizó ocho celebraciones del Día de las Niñas en las TIC en diversos países, incluidos </w:t>
            </w:r>
            <w:proofErr w:type="spellStart"/>
            <w:r w:rsidRPr="00DF5B4D">
              <w:rPr>
                <w:lang w:val="es-ES_tradnl"/>
              </w:rPr>
              <w:t>Fiji</w:t>
            </w:r>
            <w:proofErr w:type="spellEnd"/>
            <w:r w:rsidRPr="00DF5B4D">
              <w:rPr>
                <w:lang w:val="es-ES_tradnl"/>
              </w:rPr>
              <w:t>, Kiribati, Micronesia, Nauru, Pakistán, Filipinas, Tailandia, Timor-Leste, Tonga, y los países miembros de la ASEAN, que ayudaron a impartir programas de formación en competencias digitales y otras actividades conexas destinadas a beneficiar a las niñas y a las jóvenes de la Región. Los encuentros atrajeron a más de 2 200 participantes, incluidas niñas, mujeres jóvenes, y profesoras, que participaron en 63 programas de formación en competencias digitales y actividades conexas como parte de Niñas en las TIC de la Región ASP del 27 de abril al 17 de noviembre de 2023. Asimismo, estas actividades en Asia y el Pacífico involucraron el compromiso con los coordinadores de género en los 11 países mencionados, así como la colaboración con más de 100 asociados de los gobiernos, organismos de las Naciones Unidas, industrias, instituciones académicas, y organizaciones de la sociedad civil.</w:t>
            </w:r>
          </w:p>
          <w:p w14:paraId="252E72A6" w14:textId="1225F3E9" w:rsidR="00224990" w:rsidRDefault="00224990" w:rsidP="00E150B7">
            <w:pPr>
              <w:pStyle w:val="Tabletext"/>
              <w:spacing w:before="120"/>
              <w:rPr>
                <w:b/>
                <w:bCs/>
                <w:lang w:val="es-ES_tradnl"/>
              </w:rPr>
            </w:pPr>
            <w:r w:rsidRPr="00DF5B4D">
              <w:rPr>
                <w:b/>
                <w:bCs/>
                <w:lang w:val="es-ES_tradnl"/>
              </w:rPr>
              <w:t>La Oficina Regional para la Comunidad de Estados Independientes:</w:t>
            </w:r>
          </w:p>
          <w:p w14:paraId="550AEE69" w14:textId="63F2A16F" w:rsidR="00644171" w:rsidRPr="00DF5B4D" w:rsidRDefault="00644171" w:rsidP="00E150B7">
            <w:pPr>
              <w:pStyle w:val="Tabletext"/>
              <w:spacing w:before="120"/>
              <w:rPr>
                <w:b/>
                <w:bCs/>
                <w:lang w:val="es-ES_tradnl"/>
              </w:rPr>
            </w:pPr>
            <w:r w:rsidRPr="00644171">
              <w:rPr>
                <w:b/>
                <w:bCs/>
                <w:lang w:val="es-ES_tradnl"/>
              </w:rPr>
              <w:t xml:space="preserve">La Oficina Regional para la Comunidad de Estados Independientes </w:t>
            </w:r>
            <w:r w:rsidRPr="0039515B">
              <w:rPr>
                <w:b/>
                <w:bCs/>
                <w:lang w:val="es-ES_tradnl"/>
              </w:rPr>
              <w:t xml:space="preserve">ha trabajado activamente en </w:t>
            </w:r>
            <w:r>
              <w:rPr>
                <w:b/>
                <w:bCs/>
                <w:lang w:val="es-ES_tradnl"/>
              </w:rPr>
              <w:t>la ejecución de diversos proyecto</w:t>
            </w:r>
            <w:r w:rsidR="00F85857">
              <w:rPr>
                <w:b/>
                <w:bCs/>
                <w:lang w:val="es-ES_tradnl"/>
              </w:rPr>
              <w:t>s</w:t>
            </w:r>
            <w:r>
              <w:rPr>
                <w:b/>
                <w:bCs/>
                <w:lang w:val="es-ES_tradnl"/>
              </w:rPr>
              <w:t xml:space="preserve"> e iniciativas</w:t>
            </w:r>
            <w:r w:rsidRPr="00EB3B77">
              <w:rPr>
                <w:b/>
                <w:bCs/>
                <w:lang w:val="es-ES_tradnl"/>
              </w:rPr>
              <w:t xml:space="preserve"> en la región</w:t>
            </w:r>
            <w:r>
              <w:rPr>
                <w:b/>
                <w:bCs/>
                <w:lang w:val="es-ES_tradnl"/>
              </w:rPr>
              <w:t xml:space="preserve">, en particular, </w:t>
            </w:r>
            <w:r w:rsidRPr="0039515B">
              <w:rPr>
                <w:b/>
                <w:bCs/>
                <w:lang w:val="es-ES_tradnl"/>
              </w:rPr>
              <w:t xml:space="preserve">prestando </w:t>
            </w:r>
            <w:r w:rsidRPr="00644171">
              <w:rPr>
                <w:b/>
                <w:bCs/>
                <w:lang w:val="es-ES_tradnl"/>
              </w:rPr>
              <w:t xml:space="preserve">apoyo a los Estados </w:t>
            </w:r>
            <w:r>
              <w:rPr>
                <w:b/>
                <w:bCs/>
                <w:lang w:val="es-ES_tradnl"/>
              </w:rPr>
              <w:t>M</w:t>
            </w:r>
            <w:r w:rsidRPr="00644171">
              <w:rPr>
                <w:b/>
                <w:bCs/>
                <w:lang w:val="es-ES_tradnl"/>
              </w:rPr>
              <w:t xml:space="preserve">iembros </w:t>
            </w:r>
            <w:r>
              <w:rPr>
                <w:b/>
                <w:bCs/>
                <w:lang w:val="es-ES_tradnl"/>
              </w:rPr>
              <w:t>a efectos de la</w:t>
            </w:r>
            <w:r w:rsidRPr="00644171">
              <w:rPr>
                <w:b/>
                <w:bCs/>
                <w:lang w:val="es-ES_tradnl"/>
              </w:rPr>
              <w:t xml:space="preserve"> </w:t>
            </w:r>
            <w:r>
              <w:rPr>
                <w:b/>
                <w:bCs/>
                <w:lang w:val="es-ES_tradnl"/>
              </w:rPr>
              <w:t>ampliación de sus</w:t>
            </w:r>
            <w:r w:rsidRPr="00644171">
              <w:rPr>
                <w:b/>
                <w:bCs/>
                <w:lang w:val="es-ES_tradnl"/>
              </w:rPr>
              <w:t xml:space="preserve"> conocimiento</w:t>
            </w:r>
            <w:r>
              <w:rPr>
                <w:b/>
                <w:bCs/>
                <w:lang w:val="es-ES_tradnl"/>
              </w:rPr>
              <w:t>s</w:t>
            </w:r>
            <w:r w:rsidRPr="00644171">
              <w:rPr>
                <w:b/>
                <w:bCs/>
                <w:lang w:val="es-ES_tradnl"/>
              </w:rPr>
              <w:t xml:space="preserve"> sobre las tecnologías 5G y su despliegue, la mejora de la regla</w:t>
            </w:r>
            <w:r>
              <w:rPr>
                <w:b/>
                <w:bCs/>
                <w:lang w:val="es-ES_tradnl"/>
              </w:rPr>
              <w:t>mentación</w:t>
            </w:r>
            <w:r w:rsidRPr="00644171">
              <w:rPr>
                <w:b/>
                <w:bCs/>
                <w:lang w:val="es-ES_tradnl"/>
              </w:rPr>
              <w:t xml:space="preserve"> digital y los datos </w:t>
            </w:r>
            <w:r>
              <w:rPr>
                <w:b/>
                <w:bCs/>
                <w:lang w:val="es-ES_tradnl"/>
              </w:rPr>
              <w:t>relativos a</w:t>
            </w:r>
            <w:r w:rsidRPr="00644171">
              <w:rPr>
                <w:b/>
                <w:bCs/>
                <w:lang w:val="es-ES_tradnl"/>
              </w:rPr>
              <w:t xml:space="preserve"> las TIC, </w:t>
            </w:r>
            <w:r>
              <w:rPr>
                <w:b/>
                <w:bCs/>
                <w:lang w:val="es-ES_tradnl"/>
              </w:rPr>
              <w:t>el refuerzo de su</w:t>
            </w:r>
            <w:r w:rsidRPr="00644171">
              <w:rPr>
                <w:b/>
                <w:bCs/>
                <w:lang w:val="es-ES_tradnl"/>
              </w:rPr>
              <w:t xml:space="preserve"> respuesta </w:t>
            </w:r>
            <w:r>
              <w:rPr>
                <w:b/>
                <w:bCs/>
                <w:lang w:val="es-ES_tradnl"/>
              </w:rPr>
              <w:t>en caso de</w:t>
            </w:r>
            <w:r w:rsidRPr="00644171">
              <w:rPr>
                <w:b/>
                <w:bCs/>
                <w:lang w:val="es-ES_tradnl"/>
              </w:rPr>
              <w:t xml:space="preserve"> incidente de ciberseguridad y la aceleración del proceso </w:t>
            </w:r>
            <w:r>
              <w:rPr>
                <w:b/>
                <w:bCs/>
                <w:lang w:val="es-ES_tradnl"/>
              </w:rPr>
              <w:t>de</w:t>
            </w:r>
            <w:r w:rsidRPr="00644171">
              <w:rPr>
                <w:b/>
                <w:bCs/>
                <w:lang w:val="es-ES_tradnl"/>
              </w:rPr>
              <w:t xml:space="preserve"> transformación digital. </w:t>
            </w:r>
            <w:r w:rsidRPr="003A7BE0">
              <w:rPr>
                <w:b/>
                <w:bCs/>
                <w:lang w:val="es-ES_tradnl"/>
              </w:rPr>
              <w:t>Estos</w:t>
            </w:r>
            <w:r>
              <w:rPr>
                <w:b/>
                <w:bCs/>
                <w:lang w:val="es-ES_tradnl"/>
              </w:rPr>
              <w:t xml:space="preserve"> esfuerzos se enmarcan e</w:t>
            </w:r>
            <w:r w:rsidRPr="003A7BE0">
              <w:rPr>
                <w:b/>
                <w:bCs/>
                <w:lang w:val="es-ES_tradnl"/>
              </w:rPr>
              <w:t>n las iniciativas regionales establecidas en el Plan de Acción de Kigali (P</w:t>
            </w:r>
            <w:r>
              <w:rPr>
                <w:b/>
                <w:bCs/>
                <w:lang w:val="es-ES_tradnl"/>
              </w:rPr>
              <w:t>AK</w:t>
            </w:r>
            <w:r w:rsidRPr="003A7BE0">
              <w:rPr>
                <w:b/>
                <w:bCs/>
                <w:lang w:val="es-ES_tradnl"/>
              </w:rPr>
              <w:t>).</w:t>
            </w:r>
          </w:p>
          <w:p w14:paraId="01F10115" w14:textId="03C02D24" w:rsidR="00224990" w:rsidRPr="00DF5B4D" w:rsidRDefault="00224990" w:rsidP="00A874E9">
            <w:pPr>
              <w:pStyle w:val="Tabletext"/>
              <w:ind w:left="284" w:hanging="284"/>
              <w:rPr>
                <w:lang w:val="es-ES_tradnl"/>
              </w:rPr>
            </w:pPr>
            <w:r w:rsidRPr="00DF5B4D">
              <w:rPr>
                <w:lang w:val="es-ES_tradnl"/>
              </w:rPr>
              <w:t>•</w:t>
            </w:r>
            <w:r w:rsidRPr="00DF5B4D">
              <w:rPr>
                <w:lang w:val="es-ES_tradnl"/>
              </w:rPr>
              <w:tab/>
              <w:t xml:space="preserve">Las prioridades regionales se abordan a través de la asistencia técnica y especializada, el desarrollo de capacidades, y el intercambio de conocimientos en la región, en sintonía con las iniciativas regionales: CEI 1 sobre redes e infraestructuras; CEI 2 sobre ciberseguridad; CEI 3 sobre medidas políticas y reglamentarias para apoyar la transformación digital; CEI 4 sobre competencias digitales para todos, incluidas las personas con discapacidad; CEI 5 sobre ciudades inteligentes. Estas iniciativas también se complementan por medio de programas e iniciativas mundiales, como la protección de la infancia en línea, </w:t>
            </w:r>
            <w:proofErr w:type="spellStart"/>
            <w:r w:rsidRPr="00DF5B4D">
              <w:rPr>
                <w:lang w:val="es-ES_tradnl"/>
              </w:rPr>
              <w:t>GovStack</w:t>
            </w:r>
            <w:proofErr w:type="spellEnd"/>
            <w:r w:rsidRPr="00DF5B4D">
              <w:rPr>
                <w:lang w:val="es-ES_tradnl"/>
              </w:rPr>
              <w:t xml:space="preserve">, C2R, Alianza sobre Innovación e Iniciativa Empresarial en aras del Desarrollo Digital y </w:t>
            </w:r>
            <w:proofErr w:type="spellStart"/>
            <w:r w:rsidRPr="00DF5B4D">
              <w:rPr>
                <w:lang w:val="es-ES_tradnl"/>
              </w:rPr>
              <w:t>Generation</w:t>
            </w:r>
            <w:proofErr w:type="spellEnd"/>
            <w:r w:rsidRPr="00DF5B4D">
              <w:rPr>
                <w:lang w:val="es-ES_tradnl"/>
              </w:rPr>
              <w:t xml:space="preserve"> </w:t>
            </w:r>
            <w:proofErr w:type="spellStart"/>
            <w:r w:rsidRPr="00DF5B4D">
              <w:rPr>
                <w:lang w:val="es-ES_tradnl"/>
              </w:rPr>
              <w:t>Connect</w:t>
            </w:r>
            <w:proofErr w:type="spellEnd"/>
            <w:r w:rsidRPr="00DF5B4D">
              <w:rPr>
                <w:lang w:val="es-ES_tradnl"/>
              </w:rPr>
              <w:t>.</w:t>
            </w:r>
            <w:r w:rsidR="00184F35" w:rsidRPr="00B17E5B">
              <w:rPr>
                <w:lang w:val="es-ES"/>
              </w:rPr>
              <w:t xml:space="preserve"> </w:t>
            </w:r>
            <w:r w:rsidR="00184F35" w:rsidRPr="00184F35">
              <w:rPr>
                <w:lang w:val="es-ES_tradnl"/>
              </w:rPr>
              <w:t>A continuación se enumeran las principales actividades emprendidas</w:t>
            </w:r>
            <w:r w:rsidR="00184F35">
              <w:rPr>
                <w:lang w:val="es-ES_tradnl"/>
              </w:rPr>
              <w:t>.</w:t>
            </w:r>
          </w:p>
          <w:p w14:paraId="15C32DA4" w14:textId="0E3F8B85" w:rsidR="00224990" w:rsidRPr="00DF5B4D" w:rsidRDefault="00224990" w:rsidP="00A874E9">
            <w:pPr>
              <w:pStyle w:val="Tabletext"/>
              <w:ind w:left="284" w:hanging="284"/>
              <w:rPr>
                <w:lang w:val="es-ES_tradnl"/>
              </w:rPr>
            </w:pPr>
            <w:r w:rsidRPr="00DF5B4D">
              <w:rPr>
                <w:lang w:val="es-ES_tradnl"/>
              </w:rPr>
              <w:t>•</w:t>
            </w:r>
            <w:r w:rsidRPr="00DF5B4D">
              <w:rPr>
                <w:lang w:val="es-ES_tradnl"/>
              </w:rPr>
              <w:tab/>
              <w:t xml:space="preserve">En el ámbito de las infraestructuras digitales, más de 700 representantes del sector público de Armenia, Tayikistán y Turkmenistán recibieron formación sobre las tecnologías 5G y su despliegue. En Tayikistán, así como en otros 15 países del mundo, la </w:t>
            </w:r>
            <w:r w:rsidR="00184F35">
              <w:rPr>
                <w:lang w:val="es-ES_tradnl"/>
              </w:rPr>
              <w:t>BDT</w:t>
            </w:r>
            <w:r w:rsidR="00184F35" w:rsidRPr="00DF5B4D">
              <w:rPr>
                <w:lang w:val="es-ES_tradnl"/>
              </w:rPr>
              <w:t xml:space="preserve"> </w:t>
            </w:r>
            <w:r w:rsidRPr="00DF5B4D">
              <w:rPr>
                <w:lang w:val="es-ES_tradnl"/>
              </w:rPr>
              <w:t>lanzó la iniciativa Alertas Tempranas para Todos. Se puso en marcha un nuevo proyecto sobre redes comunitarias conjuntamente con la Unión de Operadores de Armenia y otros asociados con el objetivo de conectar cinco comunidades remotas y montañosas con más de 1 500 hogares.</w:t>
            </w:r>
          </w:p>
          <w:p w14:paraId="7BBAAA18" w14:textId="77777777" w:rsidR="00224990" w:rsidRPr="00DF5B4D" w:rsidRDefault="00224990" w:rsidP="00A874E9">
            <w:pPr>
              <w:pStyle w:val="Tabletext"/>
              <w:ind w:left="284" w:hanging="284"/>
              <w:rPr>
                <w:lang w:val="es-ES_tradnl"/>
              </w:rPr>
            </w:pPr>
            <w:r w:rsidRPr="00DF5B4D">
              <w:rPr>
                <w:lang w:val="es-ES_tradnl"/>
              </w:rPr>
              <w:t>•</w:t>
            </w:r>
            <w:r w:rsidRPr="00DF5B4D">
              <w:rPr>
                <w:lang w:val="es-ES_tradnl"/>
              </w:rPr>
              <w:tab/>
              <w:t xml:space="preserve">En materia de competencias digitales y accesibilidad, más de 120 estudiantes universitarios recibieron formación sobre creación y aceleración de nuevas empresas en Armenia, Kazajistán y Rusia. Se llevó a cabo una investigación sobre las competencias digitales de las personas con discapacidad, en la que se evaluó la situación actual y las necesidades de formación para que estas personas puedan aprovechar la tecnología digital en su vida cotidiana. Los productos de la investigación se presentaron en la mesa redonda regional de diciembre de 2023. Se prestó asistencia técnica a tres centros de formación en </w:t>
            </w:r>
            <w:r w:rsidRPr="00DF5B4D">
              <w:rPr>
                <w:lang w:val="es-ES_tradnl"/>
              </w:rPr>
              <w:lastRenderedPageBreak/>
              <w:t xml:space="preserve">competencias digitales para personas con discapacidad de Armenia, </w:t>
            </w:r>
            <w:proofErr w:type="spellStart"/>
            <w:r w:rsidRPr="00DF5B4D">
              <w:rPr>
                <w:lang w:val="es-ES_tradnl"/>
              </w:rPr>
              <w:t>Belarús</w:t>
            </w:r>
            <w:proofErr w:type="spellEnd"/>
            <w:r w:rsidRPr="00DF5B4D">
              <w:rPr>
                <w:lang w:val="es-ES_tradnl"/>
              </w:rPr>
              <w:t xml:space="preserve"> y Kirguistán para mejorar los equipos y programas informáticos utilizados en la formación en TIC.</w:t>
            </w:r>
          </w:p>
          <w:p w14:paraId="431C506E" w14:textId="69E657B9" w:rsidR="00224990" w:rsidRPr="00DF5B4D" w:rsidRDefault="00224990" w:rsidP="00A874E9">
            <w:pPr>
              <w:pStyle w:val="Tabletext"/>
              <w:ind w:left="284" w:hanging="284"/>
              <w:rPr>
                <w:lang w:val="es-ES_tradnl"/>
              </w:rPr>
            </w:pPr>
            <w:r w:rsidRPr="00DF5B4D">
              <w:rPr>
                <w:lang w:val="es-ES_tradnl"/>
              </w:rPr>
              <w:t>•</w:t>
            </w:r>
            <w:r w:rsidRPr="00DF5B4D">
              <w:rPr>
                <w:lang w:val="es-ES_tradnl"/>
              </w:rPr>
              <w:tab/>
              <w:t xml:space="preserve">Para apoyar la transformación digital de los Estados Miembros en el ámbito de la reglamentación digital y los datos sobre las TIC, la </w:t>
            </w:r>
            <w:r w:rsidR="00184F35">
              <w:rPr>
                <w:lang w:val="es-ES_tradnl"/>
              </w:rPr>
              <w:t>BDT</w:t>
            </w:r>
            <w:r w:rsidR="00184F35" w:rsidRPr="00DF5B4D">
              <w:rPr>
                <w:lang w:val="es-ES_tradnl"/>
              </w:rPr>
              <w:t xml:space="preserve"> </w:t>
            </w:r>
            <w:r w:rsidRPr="00DF5B4D">
              <w:rPr>
                <w:lang w:val="es-ES_tradnl"/>
              </w:rPr>
              <w:t>ayudó a racionalizar las estadísticas nacionales y los sistemas de datos sobre las TIC con las normas de la UIT en Azerbaiyán. A continuación, se llevó a cabo una evaluación de las competencias digitales, que incluyó una encuesta a 34 500 personas de todo el país, así como a estudiantes universitarios y personal académico, sector privado y sector público. El informe de productos se finalizará en 2024 y contribuirá al desarrollo de un enfoque estratégico global para fomentar la alfabetización digital y las competencias digitales en todo el país.</w:t>
            </w:r>
          </w:p>
          <w:p w14:paraId="30467397" w14:textId="77777777" w:rsidR="00224990" w:rsidRPr="00DF5B4D" w:rsidRDefault="00224990" w:rsidP="00A874E9">
            <w:pPr>
              <w:pStyle w:val="Tabletext"/>
              <w:ind w:left="284" w:hanging="284"/>
              <w:rPr>
                <w:lang w:val="es-ES_tradnl"/>
              </w:rPr>
            </w:pPr>
            <w:r w:rsidRPr="00DF5B4D">
              <w:rPr>
                <w:lang w:val="es-ES_tradnl"/>
              </w:rPr>
              <w:t>•</w:t>
            </w:r>
            <w:r w:rsidRPr="00DF5B4D">
              <w:rPr>
                <w:lang w:val="es-ES_tradnl"/>
              </w:rPr>
              <w:tab/>
              <w:t>Tras Armenia y Kazajstán, en Kirguistán se completó una evaluación C2R de la resiliencia digital, en la que se analizaron los sistemas de datos de las TIC y se formularon recomendaciones políticas a las autoridades.</w:t>
            </w:r>
          </w:p>
          <w:p w14:paraId="19CD235A" w14:textId="77777777" w:rsidR="00224990" w:rsidRPr="00DF5B4D" w:rsidRDefault="00224990" w:rsidP="00A874E9">
            <w:pPr>
              <w:pStyle w:val="Tabletext"/>
              <w:ind w:left="284" w:hanging="284"/>
              <w:rPr>
                <w:lang w:val="es-ES_tradnl"/>
              </w:rPr>
            </w:pPr>
            <w:r w:rsidRPr="00DF5B4D">
              <w:rPr>
                <w:lang w:val="es-ES_tradnl"/>
              </w:rPr>
              <w:t>•</w:t>
            </w:r>
            <w:r w:rsidRPr="00DF5B4D">
              <w:rPr>
                <w:lang w:val="es-ES_tradnl"/>
              </w:rPr>
              <w:tab/>
              <w:t xml:space="preserve">En el ámbito del gobierno digital y los servicios digitales, más de 60 profesionales se dieron cita en el </w:t>
            </w:r>
            <w:hyperlink r:id="rId83" w:history="1">
              <w:r w:rsidRPr="00DF5B4D">
                <w:rPr>
                  <w:rStyle w:val="Hyperlink"/>
                  <w:lang w:val="es-ES_tradnl"/>
                </w:rPr>
                <w:t>F</w:t>
              </w:r>
              <w:r w:rsidRPr="00DF5B4D">
                <w:rPr>
                  <w:rStyle w:val="Hyperlink"/>
                  <w:rFonts w:eastAsiaTheme="minorEastAsia"/>
                  <w:lang w:val="es-ES_tradnl"/>
                </w:rPr>
                <w:t>oro Regional sobre Gobierno Digital</w:t>
              </w:r>
            </w:hyperlink>
            <w:r w:rsidRPr="00DF5B4D">
              <w:rPr>
                <w:lang w:val="es-ES_tradnl"/>
              </w:rPr>
              <w:t xml:space="preserve"> para explorar las herramientas y servicios que ofrece la iniciativa </w:t>
            </w:r>
            <w:proofErr w:type="spellStart"/>
            <w:r w:rsidRPr="00DF5B4D">
              <w:rPr>
                <w:lang w:val="es-ES_tradnl"/>
              </w:rPr>
              <w:t>GovStack</w:t>
            </w:r>
            <w:proofErr w:type="spellEnd"/>
            <w:r w:rsidRPr="00DF5B4D">
              <w:rPr>
                <w:lang w:val="es-ES_tradnl"/>
              </w:rPr>
              <w:t xml:space="preserve">, debatir sobre la implantación de servicios de gobierno electrónico, los retos y las posibles vías para resolverlos mediante la cooperación en el marco de la iniciativa </w:t>
            </w:r>
            <w:proofErr w:type="spellStart"/>
            <w:r w:rsidRPr="00DF5B4D">
              <w:rPr>
                <w:lang w:val="es-ES_tradnl"/>
              </w:rPr>
              <w:t>GovStack</w:t>
            </w:r>
            <w:proofErr w:type="spellEnd"/>
            <w:r w:rsidRPr="00DF5B4D">
              <w:rPr>
                <w:lang w:val="es-ES_tradnl"/>
              </w:rPr>
              <w:t xml:space="preserve">. Se trata del primer gran evento de cooperación regional </w:t>
            </w:r>
            <w:proofErr w:type="spellStart"/>
            <w:r w:rsidRPr="00DF5B4D">
              <w:rPr>
                <w:lang w:val="es-ES_tradnl"/>
              </w:rPr>
              <w:t>GovStack</w:t>
            </w:r>
            <w:proofErr w:type="spellEnd"/>
            <w:r w:rsidRPr="00DF5B4D">
              <w:rPr>
                <w:lang w:val="es-ES_tradnl"/>
              </w:rPr>
              <w:t>, lanzado en octubre de 2023 conjuntamente con Kazajstán para Asia Central y los países del Grupo.</w:t>
            </w:r>
          </w:p>
          <w:p w14:paraId="6DD1EFB6" w14:textId="77777777" w:rsidR="00224990" w:rsidRPr="00DF5B4D" w:rsidRDefault="00224990" w:rsidP="00A874E9">
            <w:pPr>
              <w:pStyle w:val="Tabletext"/>
              <w:ind w:left="284" w:hanging="284"/>
              <w:rPr>
                <w:lang w:val="es-ES_tradnl"/>
              </w:rPr>
            </w:pPr>
            <w:r w:rsidRPr="00DF5B4D">
              <w:rPr>
                <w:lang w:val="es-ES_tradnl"/>
              </w:rPr>
              <w:t>•</w:t>
            </w:r>
            <w:r w:rsidRPr="00DF5B4D">
              <w:rPr>
                <w:lang w:val="es-ES_tradnl"/>
              </w:rPr>
              <w:tab/>
              <w:t>En materia de ciberseguridad, se llevó a cabo una evaluación del grado de preparación de los EIII. Está en curso un proyecto para crear un EIII en Kirguistán. Se realizaron esfuerzos continuos para mejorar las capacidades humanas, mediante sesiones de formación, ejercicios cibernéticos y debates políticos en actos nacionales y regionales.</w:t>
            </w:r>
          </w:p>
          <w:p w14:paraId="29E605EA" w14:textId="5F7F9985" w:rsidR="00224990" w:rsidRPr="00DF5B4D" w:rsidRDefault="00224990" w:rsidP="00A874E9">
            <w:pPr>
              <w:pStyle w:val="Tabletext"/>
              <w:ind w:left="284" w:hanging="284"/>
              <w:rPr>
                <w:lang w:val="es-ES_tradnl"/>
              </w:rPr>
            </w:pPr>
            <w:r w:rsidRPr="00DF5B4D">
              <w:rPr>
                <w:lang w:val="es-ES_tradnl"/>
              </w:rPr>
              <w:t>•</w:t>
            </w:r>
            <w:r w:rsidRPr="00DF5B4D">
              <w:rPr>
                <w:lang w:val="es-ES_tradnl"/>
              </w:rPr>
              <w:tab/>
              <w:t xml:space="preserve">La protección de la infancia en línea es un área de interés. En Armenia, la </w:t>
            </w:r>
            <w:r w:rsidR="00184F35">
              <w:rPr>
                <w:lang w:val="es-ES_tradnl"/>
              </w:rPr>
              <w:t>BDT</w:t>
            </w:r>
            <w:r w:rsidR="00184F35" w:rsidRPr="00DF5B4D">
              <w:rPr>
                <w:lang w:val="es-ES_tradnl"/>
              </w:rPr>
              <w:t xml:space="preserve"> </w:t>
            </w:r>
            <w:r w:rsidRPr="00DF5B4D">
              <w:rPr>
                <w:lang w:val="es-ES_tradnl"/>
              </w:rPr>
              <w:t>apoyó la formación de más de 340 educadores, padres y estudiantes, y una campaña que alcanzó a más de 23 000 espectadores. Un amplio estudio se llevó a cabo entre 7 805 estudiantes a través de Armenia para entender cómo los niños utilizaban Internet, identificaban los problemas y evaluaban el nivel de conocimiento acerca de las amenazas relacionadas con el uso seguro del Internet. Un sólido diálogo político con la participación de unas 15 autoridades gubernamentales y organizaciones dio lugar a la elaboración de un plan nacional para mejorar las políticas pertinentes relacionadas con la protección de la infancia en línea.</w:t>
            </w:r>
          </w:p>
          <w:p w14:paraId="787DB1F4" w14:textId="68D828FA" w:rsidR="00224990" w:rsidRPr="00DF5B4D" w:rsidRDefault="00224990" w:rsidP="00A874E9">
            <w:pPr>
              <w:pStyle w:val="Tabletext"/>
              <w:ind w:left="284" w:hanging="284"/>
              <w:rPr>
                <w:lang w:val="es-ES_tradnl"/>
              </w:rPr>
            </w:pPr>
            <w:r w:rsidRPr="00DF5B4D">
              <w:rPr>
                <w:lang w:val="es-ES_tradnl"/>
              </w:rPr>
              <w:t>•</w:t>
            </w:r>
            <w:r w:rsidRPr="00DF5B4D">
              <w:rPr>
                <w:lang w:val="es-ES_tradnl"/>
              </w:rPr>
              <w:tab/>
              <w:t xml:space="preserve">En Uzbekistán se llevó a cabo un curso sobre seguridad de la información para educadores. Se impartieron sesiones de formación para 305 capacitadores de 14 regiones de Uzbekistán sobre medidas de seguridad y riesgos, y los medios para abordar estos aspectos con los niños fuera de línea. En Kirguistán, de forma similar, la </w:t>
            </w:r>
            <w:r w:rsidR="00184F35">
              <w:rPr>
                <w:lang w:val="es-ES_tradnl"/>
              </w:rPr>
              <w:t>BDT</w:t>
            </w:r>
            <w:r w:rsidR="00184F35" w:rsidRPr="00DF5B4D">
              <w:rPr>
                <w:lang w:val="es-ES_tradnl"/>
              </w:rPr>
              <w:t xml:space="preserve"> </w:t>
            </w:r>
            <w:r w:rsidRPr="00DF5B4D">
              <w:rPr>
                <w:lang w:val="es-ES_tradnl"/>
              </w:rPr>
              <w:t>apoyó el desarrollo de formaciones en lenguas locales y puso en marcha programas de formación para 86 profesores de informática de escuelas y centros educativos de siete regiones y de la capital de Kirguistán, seguidos de la formación de 516 profesores de zonas rurales, y de una campaña de información sobre directrices de protección de la infancia en línea para más de 2 500 padres y profesores.</w:t>
            </w:r>
          </w:p>
          <w:p w14:paraId="0920D694" w14:textId="77777777" w:rsidR="00224990" w:rsidRPr="00DF5B4D" w:rsidRDefault="00224990" w:rsidP="00A874E9">
            <w:pPr>
              <w:pStyle w:val="Tabletext"/>
              <w:ind w:left="284" w:hanging="284"/>
              <w:rPr>
                <w:lang w:val="es-ES_tradnl"/>
              </w:rPr>
            </w:pPr>
            <w:r w:rsidRPr="00DF5B4D">
              <w:rPr>
                <w:lang w:val="es-ES_tradnl"/>
              </w:rPr>
              <w:t>•</w:t>
            </w:r>
            <w:r w:rsidRPr="00DF5B4D">
              <w:rPr>
                <w:lang w:val="es-ES_tradnl"/>
              </w:rPr>
              <w:tab/>
              <w:t xml:space="preserve">En materia de ciudades inteligentes, más de 550 representantes de las administraciones municipales y regionales en </w:t>
            </w:r>
            <w:proofErr w:type="spellStart"/>
            <w:r w:rsidRPr="00DF5B4D">
              <w:rPr>
                <w:lang w:val="es-ES_tradnl"/>
              </w:rPr>
              <w:t>Belarús</w:t>
            </w:r>
            <w:proofErr w:type="spellEnd"/>
            <w:r w:rsidRPr="00DF5B4D">
              <w:rPr>
                <w:lang w:val="es-ES_tradnl"/>
              </w:rPr>
              <w:t xml:space="preserve"> mejoraron su conocimiento sobre la aplicación de soluciones inteligentes, el fomento de la alfabetización digital y la facilitación de la interacción entre ciudadanos, empresas y gobierno mediante la tecnología. </w:t>
            </w:r>
          </w:p>
          <w:p w14:paraId="4BD4A5D6" w14:textId="552F54C8" w:rsidR="00224990" w:rsidRPr="00DF5B4D" w:rsidRDefault="00224990" w:rsidP="00A874E9">
            <w:pPr>
              <w:pStyle w:val="Tabletext"/>
              <w:ind w:left="284" w:hanging="284"/>
              <w:rPr>
                <w:lang w:val="es-ES_tradnl"/>
              </w:rPr>
            </w:pPr>
            <w:r w:rsidRPr="00DF5B4D">
              <w:rPr>
                <w:lang w:val="es-ES_tradnl"/>
              </w:rPr>
              <w:lastRenderedPageBreak/>
              <w:t>•</w:t>
            </w:r>
            <w:r w:rsidRPr="00DF5B4D">
              <w:rPr>
                <w:lang w:val="es-ES_tradnl"/>
              </w:rPr>
              <w:tab/>
              <w:t xml:space="preserve">Prosiguió la colaboración con los Equipos de Países de las Naciones Unidas (UNCT), los organismos de las Naciones Unidas y las Comisiones Económicas a escala regional y nacional. La UIT es miembro de los Equipos de Países de las Naciones Unidas en </w:t>
            </w:r>
            <w:proofErr w:type="spellStart"/>
            <w:r w:rsidRPr="00DF5B4D">
              <w:rPr>
                <w:lang w:val="es-ES_tradnl"/>
              </w:rPr>
              <w:t>Belarús</w:t>
            </w:r>
            <w:proofErr w:type="spellEnd"/>
            <w:r w:rsidRPr="00DF5B4D">
              <w:rPr>
                <w:lang w:val="es-ES_tradnl"/>
              </w:rPr>
              <w:t xml:space="preserve">, Kazajstán, Kirguistán, Rusia y Uzbekistán y apoya el diálogo con los coordinadores residentes de las Naciones Unidas en otros países de la región. Los proyectos de asistencia técnica y los eventos de creación de capacidades de la </w:t>
            </w:r>
            <w:r w:rsidR="00184F35">
              <w:rPr>
                <w:lang w:val="es-ES_tradnl"/>
              </w:rPr>
              <w:t>BDT</w:t>
            </w:r>
            <w:r w:rsidR="00184F35" w:rsidRPr="00DF5B4D">
              <w:rPr>
                <w:lang w:val="es-ES_tradnl"/>
              </w:rPr>
              <w:t xml:space="preserve"> </w:t>
            </w:r>
            <w:r w:rsidRPr="00DF5B4D">
              <w:rPr>
                <w:lang w:val="es-ES_tradnl"/>
              </w:rPr>
              <w:t>se reflejan en el portal de datos sobre los ODS de las Naciones Unidas. La UIT participa en los ejercicios de planificación y presentación de informes de los equipos de países, y los productos estadísticos y los estudios nacionales de la UIT se están incorporando a sus informes analíticos.</w:t>
            </w:r>
          </w:p>
          <w:p w14:paraId="37EAD3D1" w14:textId="77777777" w:rsidR="00224990" w:rsidRPr="00DF5B4D" w:rsidRDefault="00224990" w:rsidP="00A874E9">
            <w:pPr>
              <w:pStyle w:val="Tabletext"/>
              <w:ind w:left="284" w:hanging="284"/>
              <w:rPr>
                <w:lang w:val="es-ES_tradnl"/>
              </w:rPr>
            </w:pPr>
            <w:r w:rsidRPr="00DF5B4D">
              <w:rPr>
                <w:lang w:val="es-ES_tradnl"/>
              </w:rPr>
              <w:t>•</w:t>
            </w:r>
            <w:r w:rsidRPr="00DF5B4D">
              <w:rPr>
                <w:lang w:val="es-ES_tradnl"/>
              </w:rPr>
              <w:tab/>
              <w:t>Junto con la Oficina Regional de la UIT para Europa y la Comisión Económica de las Naciones Unidas para Europa (CEPE), la Oficina Regional de la UIT para los países de la CEI coordina los trabajos del Grupo de Transformación Digital de las Naciones Unidas para Europa y Asia Central (UNDTG4ECA). Durante los foros regionales de desarrollo sostenible de la CEPE, el grupo organizó mesas redondas relacionadas con el ODS 9 y el ODS 17.</w:t>
            </w:r>
          </w:p>
          <w:p w14:paraId="46CCC0EF" w14:textId="1E195BB2" w:rsidR="00224990" w:rsidRPr="00DF5B4D" w:rsidRDefault="00224990" w:rsidP="00A874E9">
            <w:pPr>
              <w:pStyle w:val="Tabletext"/>
              <w:ind w:left="284" w:hanging="284"/>
              <w:rPr>
                <w:b/>
                <w:bCs/>
                <w:color w:val="000000" w:themeColor="text1"/>
                <w:lang w:val="es-ES_tradnl"/>
              </w:rPr>
            </w:pPr>
            <w:r w:rsidRPr="00DF5B4D">
              <w:rPr>
                <w:b/>
                <w:bCs/>
                <w:color w:val="000000" w:themeColor="text1"/>
                <w:lang w:val="es-ES_tradnl"/>
              </w:rPr>
              <w:t>•</w:t>
            </w:r>
            <w:r w:rsidRPr="00DF5B4D">
              <w:rPr>
                <w:b/>
                <w:bCs/>
                <w:color w:val="000000" w:themeColor="text1"/>
                <w:lang w:val="es-ES_tradnl"/>
              </w:rPr>
              <w:tab/>
              <w:t xml:space="preserve">El FDR de la UIT para la CEI </w:t>
            </w:r>
            <w:hyperlink r:id="rId84" w:history="1">
              <w:r w:rsidRPr="00DF5B4D">
                <w:rPr>
                  <w:rStyle w:val="Hyperlink"/>
                  <w:rFonts w:eastAsiaTheme="minorEastAsia"/>
                  <w:lang w:val="es-ES_tradnl"/>
                </w:rPr>
                <w:t>(FDR-CEI 2024),</w:t>
              </w:r>
            </w:hyperlink>
            <w:r w:rsidRPr="00DF5B4D">
              <w:rPr>
                <w:color w:val="000000" w:themeColor="text1"/>
                <w:lang w:val="es-ES_tradnl"/>
              </w:rPr>
              <w:t xml:space="preserve"> celebrado en marzo de 2024, proporcionó una plataforma para intercambiar opiniones entre los Estados Miembros de la UIT, los Miembros de Sector, los socios y otras partes interesadas en relación con las prioridades de los miembros. La </w:t>
            </w:r>
            <w:r w:rsidR="00184F35">
              <w:rPr>
                <w:color w:val="000000" w:themeColor="text1"/>
                <w:lang w:val="es-ES_tradnl"/>
              </w:rPr>
              <w:t>BDT</w:t>
            </w:r>
            <w:r w:rsidR="00184F35" w:rsidRPr="00DF5B4D">
              <w:rPr>
                <w:color w:val="000000" w:themeColor="text1"/>
                <w:lang w:val="es-ES_tradnl"/>
              </w:rPr>
              <w:t xml:space="preserve"> </w:t>
            </w:r>
            <w:r w:rsidRPr="00DF5B4D">
              <w:rPr>
                <w:color w:val="000000" w:themeColor="text1"/>
                <w:lang w:val="es-ES_tradnl"/>
              </w:rPr>
              <w:t xml:space="preserve">informó sobre los progresos realizados hasta la fecha en la aplicación de los productos de la </w:t>
            </w:r>
            <w:hyperlink r:id="rId85" w:history="1">
              <w:r w:rsidRPr="00DF5B4D">
                <w:rPr>
                  <w:rStyle w:val="Hyperlink"/>
                  <w:rFonts w:eastAsiaTheme="minorEastAsia"/>
                  <w:lang w:val="es-ES_tradnl"/>
                </w:rPr>
                <w:t>Conferencia Mundial de Desarrollo de las Telecomunicaciones 2022 (CMDT-22)</w:t>
              </w:r>
            </w:hyperlink>
            <w:r w:rsidRPr="00DF5B4D">
              <w:rPr>
                <w:color w:val="000000" w:themeColor="text1"/>
                <w:lang w:val="es-ES_tradnl"/>
              </w:rPr>
              <w:t xml:space="preserve">, incluidas las </w:t>
            </w:r>
            <w:hyperlink r:id="rId86" w:history="1">
              <w:r w:rsidRPr="00DF5B4D">
                <w:rPr>
                  <w:rStyle w:val="Hyperlink"/>
                  <w:rFonts w:eastAsiaTheme="minorEastAsia"/>
                  <w:lang w:val="es-ES_tradnl"/>
                </w:rPr>
                <w:t>iniciativas regionales para la región de la CEI</w:t>
              </w:r>
            </w:hyperlink>
            <w:r w:rsidRPr="00DF5B4D">
              <w:rPr>
                <w:color w:val="000000" w:themeColor="text1"/>
                <w:lang w:val="es-ES_tradnl"/>
              </w:rPr>
              <w:t xml:space="preserve">. Un segmento del FDR se dedicó a las mesas redondas de establecimiento de contactos de la </w:t>
            </w:r>
            <w:hyperlink r:id="rId87" w:history="1">
              <w:r w:rsidRPr="00DF5B4D">
                <w:rPr>
                  <w:rStyle w:val="Hyperlink"/>
                  <w:rFonts w:eastAsiaTheme="minorEastAsia"/>
                  <w:lang w:val="es-ES_tradnl"/>
                </w:rPr>
                <w:t>Coalición Digital P2C</w:t>
              </w:r>
            </w:hyperlink>
            <w:r w:rsidRPr="00DF5B4D">
              <w:rPr>
                <w:color w:val="000000" w:themeColor="text1"/>
                <w:lang w:val="es-ES_tradnl"/>
              </w:rPr>
              <w:t>, en las que los miembros y las partes interesadas expresaron sus compromisos basados en contribuciones o promesas destinadas a abordar las necesidades prioritarias de los países de la región de la CEI, con el objetivo de avanzar en el desarrollo digital y la aplicación de las iniciativas regionales.</w:t>
            </w:r>
          </w:p>
          <w:p w14:paraId="381259A8" w14:textId="4863F151" w:rsidR="00224990" w:rsidRDefault="00224990" w:rsidP="00A874E9">
            <w:pPr>
              <w:pStyle w:val="Tabletext"/>
              <w:spacing w:before="120"/>
              <w:rPr>
                <w:b/>
                <w:bCs/>
                <w:lang w:val="es-ES_tradnl"/>
              </w:rPr>
            </w:pPr>
            <w:r w:rsidRPr="00DF5B4D">
              <w:rPr>
                <w:b/>
                <w:bCs/>
                <w:lang w:val="es-ES_tradnl"/>
              </w:rPr>
              <w:t>Oficina Regional de la UIT para Europa</w:t>
            </w:r>
            <w:r w:rsidR="00184F35">
              <w:rPr>
                <w:b/>
                <w:bCs/>
                <w:lang w:val="es-ES_tradnl"/>
              </w:rPr>
              <w:t>:</w:t>
            </w:r>
          </w:p>
          <w:p w14:paraId="2F8CA019" w14:textId="4FC6853D" w:rsidR="00184F35" w:rsidRPr="00DF5B4D" w:rsidRDefault="00184F35" w:rsidP="00A874E9">
            <w:pPr>
              <w:pStyle w:val="Tabletext"/>
              <w:spacing w:before="120"/>
              <w:rPr>
                <w:b/>
                <w:bCs/>
                <w:lang w:val="es-ES_tradnl"/>
              </w:rPr>
            </w:pPr>
            <w:r w:rsidRPr="00184F35">
              <w:rPr>
                <w:b/>
                <w:bCs/>
                <w:lang w:val="es-ES_tradnl"/>
              </w:rPr>
              <w:t xml:space="preserve">La Oficina Regional de la UIT para Europa ha participado en diversas actividades de coordinación regional </w:t>
            </w:r>
            <w:r w:rsidR="00571EB7">
              <w:rPr>
                <w:b/>
                <w:bCs/>
                <w:lang w:val="es-ES_tradnl"/>
              </w:rPr>
              <w:t>mediante la prestación de</w:t>
            </w:r>
            <w:r w:rsidRPr="00184F35">
              <w:rPr>
                <w:b/>
                <w:bCs/>
                <w:lang w:val="es-ES_tradnl"/>
              </w:rPr>
              <w:t xml:space="preserve"> apoyo a Estados </w:t>
            </w:r>
            <w:r w:rsidR="00571EB7">
              <w:rPr>
                <w:b/>
                <w:bCs/>
                <w:lang w:val="es-ES_tradnl"/>
              </w:rPr>
              <w:t>M</w:t>
            </w:r>
            <w:r w:rsidRPr="00184F35">
              <w:rPr>
                <w:b/>
                <w:bCs/>
                <w:lang w:val="es-ES_tradnl"/>
              </w:rPr>
              <w:t xml:space="preserve">iembros, </w:t>
            </w:r>
            <w:r w:rsidR="00571EB7">
              <w:rPr>
                <w:b/>
                <w:bCs/>
                <w:lang w:val="es-ES_tradnl"/>
              </w:rPr>
              <w:t>en especial, pa</w:t>
            </w:r>
            <w:r w:rsidRPr="00184F35">
              <w:rPr>
                <w:b/>
                <w:bCs/>
                <w:lang w:val="es-ES_tradnl"/>
              </w:rPr>
              <w:t xml:space="preserve">ra facilitar el desarrollo digital, </w:t>
            </w:r>
            <w:r w:rsidR="00571EB7">
              <w:rPr>
                <w:b/>
                <w:bCs/>
                <w:lang w:val="es-ES_tradnl"/>
              </w:rPr>
              <w:t xml:space="preserve">ampliando así </w:t>
            </w:r>
            <w:r w:rsidRPr="00184F35">
              <w:rPr>
                <w:b/>
                <w:bCs/>
                <w:lang w:val="es-ES_tradnl"/>
              </w:rPr>
              <w:t>las oportunidades de cooperación en el ámbito de la ciberseguridad, la inclusión digital, la regla</w:t>
            </w:r>
            <w:r w:rsidR="00571EB7">
              <w:rPr>
                <w:b/>
                <w:bCs/>
                <w:lang w:val="es-ES_tradnl"/>
              </w:rPr>
              <w:t>menta</w:t>
            </w:r>
            <w:r w:rsidRPr="00184F35">
              <w:rPr>
                <w:b/>
                <w:bCs/>
                <w:lang w:val="es-ES_tradnl"/>
              </w:rPr>
              <w:t xml:space="preserve">ción y el desarrollo de competencias digitales. </w:t>
            </w:r>
            <w:r w:rsidR="00571EB7" w:rsidRPr="003A7BE0">
              <w:rPr>
                <w:b/>
                <w:bCs/>
                <w:lang w:val="es-ES_tradnl"/>
              </w:rPr>
              <w:t>Estos</w:t>
            </w:r>
            <w:r w:rsidR="00571EB7">
              <w:rPr>
                <w:b/>
                <w:bCs/>
                <w:lang w:val="es-ES_tradnl"/>
              </w:rPr>
              <w:t xml:space="preserve"> esfuerzos se enmarcan e</w:t>
            </w:r>
            <w:r w:rsidR="00571EB7" w:rsidRPr="003A7BE0">
              <w:rPr>
                <w:b/>
                <w:bCs/>
                <w:lang w:val="es-ES_tradnl"/>
              </w:rPr>
              <w:t>n las iniciativas regionales establecidas en el Plan de Acción de Kigali (P</w:t>
            </w:r>
            <w:r w:rsidR="00571EB7">
              <w:rPr>
                <w:b/>
                <w:bCs/>
                <w:lang w:val="es-ES_tradnl"/>
              </w:rPr>
              <w:t>AK</w:t>
            </w:r>
            <w:r w:rsidR="00571EB7" w:rsidRPr="003A7BE0">
              <w:rPr>
                <w:b/>
                <w:bCs/>
                <w:lang w:val="es-ES_tradnl"/>
              </w:rPr>
              <w:t>).</w:t>
            </w:r>
          </w:p>
          <w:p w14:paraId="33064ACA" w14:textId="77777777" w:rsidR="00224990" w:rsidRPr="00DF5B4D" w:rsidRDefault="00224990" w:rsidP="00A874E9">
            <w:pPr>
              <w:keepNext/>
              <w:rPr>
                <w:sz w:val="22"/>
                <w:lang w:val="es-ES_tradnl"/>
              </w:rPr>
            </w:pPr>
            <w:r w:rsidRPr="00DF5B4D">
              <w:rPr>
                <w:sz w:val="22"/>
                <w:lang w:val="es-ES_tradnl"/>
              </w:rPr>
              <w:t xml:space="preserve">La </w:t>
            </w:r>
            <w:hyperlink r:id="rId88" w:history="1">
              <w:r w:rsidRPr="00DF5B4D">
                <w:rPr>
                  <w:rStyle w:val="Hyperlink"/>
                  <w:sz w:val="22"/>
                  <w:lang w:val="es-ES_tradnl"/>
                </w:rPr>
                <w:t>Oficina Regional de la UIT para Europa</w:t>
              </w:r>
            </w:hyperlink>
            <w:r w:rsidRPr="00DF5B4D">
              <w:rPr>
                <w:sz w:val="22"/>
                <w:lang w:val="es-ES_tradnl"/>
              </w:rPr>
              <w:t xml:space="preserve"> ha participado en diversas actividades de coordinación regional:</w:t>
            </w:r>
          </w:p>
          <w:p w14:paraId="136FE92C" w14:textId="77777777" w:rsidR="00224990" w:rsidRPr="00DF5B4D" w:rsidRDefault="00224990" w:rsidP="003B541B">
            <w:pPr>
              <w:pStyle w:val="Tabletext"/>
              <w:ind w:left="284" w:hanging="284"/>
              <w:rPr>
                <w:lang w:val="es-ES_tradnl"/>
              </w:rPr>
            </w:pPr>
            <w:r w:rsidRPr="00DF5B4D">
              <w:rPr>
                <w:lang w:val="es-ES_tradnl"/>
              </w:rPr>
              <w:t>•</w:t>
            </w:r>
            <w:r w:rsidRPr="00DF5B4D">
              <w:rPr>
                <w:lang w:val="es-ES_tradnl"/>
              </w:rPr>
              <w:tab/>
              <w:t xml:space="preserve">Se ha reforzado la colaboración con una serie de instituciones europeas, entre ellas la Comisión Europea, el Organismo de Reguladores Europeos de las Comunicaciones Electrónicas (ORECE), </w:t>
            </w:r>
            <w:proofErr w:type="spellStart"/>
            <w:r w:rsidRPr="00DF5B4D">
              <w:rPr>
                <w:lang w:val="es-ES_tradnl"/>
              </w:rPr>
              <w:t>EaPeReg</w:t>
            </w:r>
            <w:proofErr w:type="spellEnd"/>
            <w:r w:rsidRPr="00DF5B4D">
              <w:rPr>
                <w:lang w:val="es-ES_tradnl"/>
              </w:rPr>
              <w:t xml:space="preserve"> y EMERG. Se ha firmado un Memorando de </w:t>
            </w:r>
            <w:proofErr w:type="spellStart"/>
            <w:r w:rsidRPr="00DF5B4D">
              <w:rPr>
                <w:lang w:val="es-ES_tradnl"/>
              </w:rPr>
              <w:t>Entendimiendo</w:t>
            </w:r>
            <w:proofErr w:type="spellEnd"/>
            <w:r w:rsidRPr="00DF5B4D">
              <w:rPr>
                <w:lang w:val="es-ES_tradnl"/>
              </w:rPr>
              <w:t xml:space="preserve"> con EMERG, que allana el camino hacia una serie de acciones concretas. Se han identificado oportunidades de financiación, facilitando la </w:t>
            </w:r>
            <w:proofErr w:type="spellStart"/>
            <w:r w:rsidRPr="00DF5B4D">
              <w:rPr>
                <w:lang w:val="es-ES_tradnl"/>
              </w:rPr>
              <w:t>cocreación</w:t>
            </w:r>
            <w:proofErr w:type="spellEnd"/>
            <w:r w:rsidRPr="00DF5B4D">
              <w:rPr>
                <w:lang w:val="es-ES_tradnl"/>
              </w:rPr>
              <w:t xml:space="preserve"> de nuevos proyectos globales y regionales. Éstos están financiados por la Comisión Europea con un presupuesto de 25 millones de euros.</w:t>
            </w:r>
          </w:p>
          <w:p w14:paraId="475102E4" w14:textId="77777777" w:rsidR="00224990" w:rsidRPr="00DF5B4D" w:rsidRDefault="00224990" w:rsidP="00A874E9">
            <w:pPr>
              <w:pStyle w:val="Tabletext"/>
              <w:ind w:left="284" w:hanging="284"/>
              <w:rPr>
                <w:lang w:val="es-ES_tradnl"/>
              </w:rPr>
            </w:pPr>
            <w:r w:rsidRPr="00DF5B4D">
              <w:rPr>
                <w:b/>
                <w:bCs/>
                <w:lang w:val="es-ES_tradnl"/>
              </w:rPr>
              <w:t>•</w:t>
            </w:r>
            <w:r w:rsidRPr="00DF5B4D">
              <w:rPr>
                <w:b/>
                <w:bCs/>
                <w:lang w:val="es-ES_tradnl"/>
              </w:rPr>
              <w:tab/>
              <w:t>El FDR de la UIT para Europa (FDR-EUR)</w:t>
            </w:r>
            <w:r w:rsidRPr="00DF5B4D">
              <w:rPr>
                <w:lang w:val="es-ES_tradnl"/>
              </w:rPr>
              <w:t>, celebrado los días 22 y 23 de mayo de 2023 en Rumania, coincidiendo con la reunión del Comisión para la Política de la UIT (</w:t>
            </w:r>
            <w:proofErr w:type="spellStart"/>
            <w:r w:rsidRPr="00DF5B4D">
              <w:rPr>
                <w:lang w:val="es-ES_tradnl"/>
              </w:rPr>
              <w:t>Com</w:t>
            </w:r>
            <w:proofErr w:type="spellEnd"/>
            <w:r w:rsidRPr="00DF5B4D">
              <w:rPr>
                <w:lang w:val="es-ES_tradnl"/>
              </w:rPr>
              <w:t xml:space="preserve">-ITU) de la CEPT, contó con más de 200 participantes (95 de ellos </w:t>
            </w:r>
            <w:r w:rsidRPr="00DF5B4D">
              <w:rPr>
                <w:i/>
                <w:iCs/>
                <w:lang w:val="es-ES_tradnl"/>
              </w:rPr>
              <w:t>in situ</w:t>
            </w:r>
            <w:r w:rsidRPr="00DF5B4D">
              <w:rPr>
                <w:lang w:val="es-ES_tradnl"/>
              </w:rPr>
              <w:t xml:space="preserve">), en representación de 40 Estados Miembros, 5 organizaciones regionales y 7 organismos especializados de las Naciones Unidas. El </w:t>
            </w:r>
            <w:r w:rsidRPr="00DF5B4D">
              <w:rPr>
                <w:lang w:val="es-ES_tradnl"/>
              </w:rPr>
              <w:lastRenderedPageBreak/>
              <w:t xml:space="preserve">resultado de la reunión fue el plan de ejecución 2023-2024 de las iniciativas regionales para Europa y el anuncio de 109 contribuciones </w:t>
            </w:r>
            <w:r w:rsidRPr="003B541B">
              <w:rPr>
                <w:lang w:val="es-ES_tradnl"/>
              </w:rPr>
              <w:t>EUR</w:t>
            </w:r>
            <w:r w:rsidRPr="00DF5B4D">
              <w:rPr>
                <w:lang w:val="es-ES_tradnl"/>
              </w:rPr>
              <w:t xml:space="preserve"> convertidas en compromisos P2Connect. Entre los anuncios especiales cabe destacar una declaración sobre la creación de capacidades en materia de ciberseguridad y la inclusión de la perspectiva de género en la ciberseguridad en los Balcanes Occidentales, firmada con el Gobierno de Eslovenia, en representación también de Francia y Montenegro; una asociación con 5G </w:t>
            </w:r>
            <w:proofErr w:type="spellStart"/>
            <w:r w:rsidRPr="00DF5B4D">
              <w:rPr>
                <w:lang w:val="es-ES_tradnl"/>
              </w:rPr>
              <w:t>Techritory</w:t>
            </w:r>
            <w:proofErr w:type="spellEnd"/>
            <w:r w:rsidRPr="00DF5B4D">
              <w:rPr>
                <w:lang w:val="es-ES_tradnl"/>
              </w:rPr>
              <w:t xml:space="preserve"> para hacer avanzar las tecnologías 5G en Europa y en el mundo; y el lanzamiento regional del nuevo proyecto financiado por la EU sobre conectividad universal significativa para Europa.</w:t>
            </w:r>
          </w:p>
          <w:p w14:paraId="09E8D0BA" w14:textId="22F4AE86" w:rsidR="00224990" w:rsidRPr="00DF5B4D" w:rsidRDefault="00224990" w:rsidP="00A874E9">
            <w:pPr>
              <w:pStyle w:val="Tabletext"/>
              <w:ind w:left="284" w:hanging="284"/>
              <w:rPr>
                <w:lang w:val="es-ES_tradnl"/>
              </w:rPr>
            </w:pPr>
            <w:r w:rsidRPr="00DF5B4D">
              <w:rPr>
                <w:b/>
                <w:bCs/>
                <w:lang w:val="es-ES_tradnl"/>
              </w:rPr>
              <w:t>•</w:t>
            </w:r>
            <w:r w:rsidRPr="00DF5B4D">
              <w:rPr>
                <w:b/>
                <w:bCs/>
                <w:lang w:val="es-ES_tradnl"/>
              </w:rPr>
              <w:tab/>
              <w:t>En respuesta a las promesas elaboradas en el FDR-EUR</w:t>
            </w:r>
            <w:r w:rsidRPr="00DF5B4D">
              <w:rPr>
                <w:lang w:val="es-ES_tradnl"/>
              </w:rPr>
              <w:t>,</w:t>
            </w:r>
            <w:r w:rsidR="00571EB7" w:rsidRPr="00571EB7">
              <w:rPr>
                <w:lang w:val="es-ES"/>
              </w:rPr>
              <w:t xml:space="preserve"> </w:t>
            </w:r>
            <w:r w:rsidR="00571EB7">
              <w:rPr>
                <w:lang w:val="es-ES_tradnl"/>
              </w:rPr>
              <w:t>l</w:t>
            </w:r>
            <w:r w:rsidR="00571EB7" w:rsidRPr="00571EB7">
              <w:rPr>
                <w:lang w:val="es-ES_tradnl"/>
              </w:rPr>
              <w:t>a BDT está facilitando la</w:t>
            </w:r>
            <w:r w:rsidR="00571EB7">
              <w:rPr>
                <w:lang w:val="es-ES_tradnl"/>
              </w:rPr>
              <w:t xml:space="preserve"> ejecución </w:t>
            </w:r>
            <w:r w:rsidR="00571EB7" w:rsidRPr="00571EB7">
              <w:rPr>
                <w:lang w:val="es-ES_tradnl"/>
              </w:rPr>
              <w:t>de los compromisos contraídos en los países beneficiarios</w:t>
            </w:r>
            <w:r w:rsidRPr="00DF5B4D">
              <w:rPr>
                <w:lang w:val="es-ES_tradnl"/>
              </w:rPr>
              <w:t>.</w:t>
            </w:r>
          </w:p>
          <w:p w14:paraId="439C38A0" w14:textId="5C26F09F" w:rsidR="00224990" w:rsidRPr="00DF5B4D" w:rsidRDefault="00224990" w:rsidP="00A874E9">
            <w:pPr>
              <w:pStyle w:val="Tabletext"/>
              <w:ind w:left="284" w:hanging="284"/>
              <w:rPr>
                <w:lang w:val="es-ES_tradnl"/>
              </w:rPr>
            </w:pPr>
            <w:r w:rsidRPr="00DF5B4D">
              <w:rPr>
                <w:rFonts w:eastAsiaTheme="minorEastAsia"/>
                <w:lang w:val="es-ES_tradnl"/>
              </w:rPr>
              <w:t>•</w:t>
            </w:r>
            <w:r w:rsidRPr="00DF5B4D">
              <w:rPr>
                <w:rFonts w:eastAsiaTheme="minorEastAsia"/>
                <w:lang w:val="es-ES_tradnl"/>
              </w:rPr>
              <w:tab/>
              <w:t>Las prioridades regionales se abordaron mediante la aplicación de diversas acciones en el marco de las iniciativas regionales de</w:t>
            </w:r>
            <w:r w:rsidR="00571EB7">
              <w:rPr>
                <w:rFonts w:eastAsiaTheme="minorEastAsia"/>
                <w:lang w:val="es-ES_tradnl"/>
              </w:rPr>
              <w:t>l</w:t>
            </w:r>
            <w:r w:rsidRPr="00DF5B4D">
              <w:rPr>
                <w:rFonts w:eastAsiaTheme="minorEastAsia"/>
                <w:lang w:val="es-ES_tradnl"/>
              </w:rPr>
              <w:t xml:space="preserve"> UIT</w:t>
            </w:r>
            <w:r w:rsidR="00571EB7">
              <w:rPr>
                <w:rFonts w:eastAsiaTheme="minorEastAsia"/>
                <w:lang w:val="es-ES_tradnl"/>
              </w:rPr>
              <w:t>-D</w:t>
            </w:r>
            <w:r w:rsidRPr="00DF5B4D">
              <w:rPr>
                <w:rFonts w:eastAsiaTheme="minorEastAsia"/>
                <w:lang w:val="es-ES_tradnl"/>
              </w:rPr>
              <w:t>. Se ha proporcionado una serie de asistencia técnica a nueve países en materia de conectividad, resiliencia digital, habilidades digitales, inclusión digital, protección de la infancia en línea, entre otras.</w:t>
            </w:r>
          </w:p>
          <w:p w14:paraId="5B352FC9" w14:textId="77777777" w:rsidR="00224990" w:rsidRPr="00DF5B4D" w:rsidRDefault="00224990" w:rsidP="00A874E9">
            <w:pPr>
              <w:pStyle w:val="Tabletext"/>
              <w:ind w:left="284" w:hanging="284"/>
              <w:rPr>
                <w:lang w:val="es-ES_tradnl"/>
              </w:rPr>
            </w:pPr>
            <w:r w:rsidRPr="00DF5B4D">
              <w:rPr>
                <w:lang w:val="es-ES_tradnl"/>
              </w:rPr>
              <w:t>•</w:t>
            </w:r>
            <w:r w:rsidRPr="00DF5B4D">
              <w:rPr>
                <w:lang w:val="es-ES_tradnl"/>
              </w:rPr>
              <w:tab/>
              <w:t>También se proporcionó asistencia especial a Ucrania en respuesta a la Resolución 1408 del Consejo de la UIT. La asistencia técnica a Ucrania se refiere al restablecimiento de 40 estaciones de radiodifusión afectadas por la guerra. Se está llevando a cabo la evaluación de las 10 primeras emisoras para dar cobertura a más de 10 millones de ciudadanos.</w:t>
            </w:r>
          </w:p>
          <w:p w14:paraId="22770DCF" w14:textId="77777777" w:rsidR="00224990" w:rsidRPr="00DF5B4D" w:rsidRDefault="00224990" w:rsidP="00A874E9">
            <w:pPr>
              <w:pStyle w:val="Tabletext"/>
              <w:ind w:left="284" w:hanging="284"/>
              <w:rPr>
                <w:rFonts w:eastAsiaTheme="minorEastAsia"/>
                <w:lang w:val="es-ES_tradnl"/>
              </w:rPr>
            </w:pPr>
            <w:r w:rsidRPr="00DF5B4D">
              <w:rPr>
                <w:rFonts w:eastAsiaTheme="minorEastAsia"/>
                <w:lang w:val="es-ES_tradnl"/>
              </w:rPr>
              <w:t>•</w:t>
            </w:r>
            <w:r w:rsidRPr="00DF5B4D">
              <w:rPr>
                <w:rFonts w:eastAsiaTheme="minorEastAsia"/>
                <w:lang w:val="es-ES_tradnl"/>
              </w:rPr>
              <w:tab/>
              <w:t xml:space="preserve">Se establecieron importantes plataformas regionales e interregionales de intercambio de conocimientos y mejores prácticas, enfocándose en temas prioritarios, tales como "Europa accesible – TIC para TODOS" con más de 400 partes interesadas de 50 países y un </w:t>
            </w:r>
            <w:proofErr w:type="spellStart"/>
            <w:r w:rsidRPr="00DF5B4D">
              <w:rPr>
                <w:rFonts w:eastAsiaTheme="minorEastAsia"/>
                <w:lang w:val="es-ES_tradnl"/>
              </w:rPr>
              <w:t>cibersimulacro</w:t>
            </w:r>
            <w:proofErr w:type="spellEnd"/>
            <w:r w:rsidRPr="00DF5B4D">
              <w:rPr>
                <w:rFonts w:eastAsiaTheme="minorEastAsia"/>
                <w:lang w:val="es-ES_tradnl"/>
              </w:rPr>
              <w:t xml:space="preserve"> interregional con más de 200 participantes de 40 países de Europa y de la Región de Asia y el Pacífico.</w:t>
            </w:r>
          </w:p>
          <w:p w14:paraId="4C59853B" w14:textId="29C242F2" w:rsidR="00224990" w:rsidRPr="00DF5B4D" w:rsidRDefault="00224990" w:rsidP="00A874E9">
            <w:pPr>
              <w:pStyle w:val="Tabletext"/>
              <w:rPr>
                <w:lang w:val="es-ES_tradnl"/>
              </w:rPr>
            </w:pPr>
            <w:r w:rsidRPr="00DF5B4D">
              <w:rPr>
                <w:lang w:val="es-ES_tradnl"/>
              </w:rPr>
              <w:t>•</w:t>
            </w:r>
            <w:r w:rsidRPr="00DF5B4D">
              <w:rPr>
                <w:lang w:val="es-ES_tradnl"/>
              </w:rPr>
              <w:tab/>
              <w:t xml:space="preserve">La </w:t>
            </w:r>
            <w:r w:rsidR="00571EB7">
              <w:rPr>
                <w:lang w:val="es-ES_tradnl"/>
              </w:rPr>
              <w:t>BDT</w:t>
            </w:r>
            <w:r w:rsidR="00571EB7" w:rsidRPr="00DF5B4D">
              <w:rPr>
                <w:lang w:val="es-ES_tradnl"/>
              </w:rPr>
              <w:t xml:space="preserve"> </w:t>
            </w:r>
            <w:r w:rsidRPr="00DF5B4D">
              <w:rPr>
                <w:lang w:val="es-ES_tradnl"/>
              </w:rPr>
              <w:t xml:space="preserve">se comprometió con varias nuevas partes interesadas europeas que se han convertido en </w:t>
            </w:r>
            <w:r w:rsidR="00571EB7" w:rsidRPr="00DF5B4D">
              <w:rPr>
                <w:lang w:val="es-ES_tradnl"/>
              </w:rPr>
              <w:t xml:space="preserve">Miembros </w:t>
            </w:r>
            <w:r w:rsidR="00571EB7" w:rsidRPr="00571EB7">
              <w:rPr>
                <w:lang w:val="es-ES_tradnl"/>
              </w:rPr>
              <w:t xml:space="preserve">de Sector </w:t>
            </w:r>
            <w:r w:rsidRPr="00DF5B4D">
              <w:rPr>
                <w:lang w:val="es-ES_tradnl"/>
              </w:rPr>
              <w:t>de la UIT.</w:t>
            </w:r>
          </w:p>
          <w:p w14:paraId="215909C5" w14:textId="633B7B11" w:rsidR="00224990" w:rsidRPr="00DF5B4D" w:rsidRDefault="00224990" w:rsidP="00A874E9">
            <w:pPr>
              <w:pStyle w:val="Tabletext"/>
              <w:ind w:left="284" w:hanging="284"/>
              <w:rPr>
                <w:lang w:val="es-ES_tradnl"/>
              </w:rPr>
            </w:pPr>
            <w:r w:rsidRPr="00DF5B4D">
              <w:rPr>
                <w:lang w:val="es-ES_tradnl"/>
              </w:rPr>
              <w:t>•</w:t>
            </w:r>
            <w:r w:rsidRPr="00DF5B4D">
              <w:rPr>
                <w:lang w:val="es-ES_tradnl"/>
              </w:rPr>
              <w:tab/>
              <w:t xml:space="preserve">La </w:t>
            </w:r>
            <w:r w:rsidR="00571EB7">
              <w:rPr>
                <w:lang w:val="es-ES_tradnl"/>
              </w:rPr>
              <w:t>BDT</w:t>
            </w:r>
            <w:r w:rsidR="00571EB7" w:rsidRPr="00DF5B4D">
              <w:rPr>
                <w:lang w:val="es-ES_tradnl"/>
              </w:rPr>
              <w:t xml:space="preserve"> </w:t>
            </w:r>
            <w:r w:rsidRPr="00DF5B4D">
              <w:rPr>
                <w:lang w:val="es-ES_tradnl"/>
              </w:rPr>
              <w:t>también siguió colaborando estrechamente con la Conferencia Europea de Administraciones de Correos y Telecomunicaciones, proporcionando regularmente coordinación, informes, asistencia o cocreando algunas de las acciones a nivel regional.</w:t>
            </w:r>
          </w:p>
          <w:p w14:paraId="6FD87C2B" w14:textId="77777777" w:rsidR="00224990" w:rsidRPr="00DF5B4D" w:rsidRDefault="00224990" w:rsidP="00A874E9">
            <w:pPr>
              <w:pStyle w:val="Tabletext"/>
              <w:ind w:left="284" w:hanging="284"/>
              <w:rPr>
                <w:lang w:val="es-ES_tradnl"/>
              </w:rPr>
            </w:pPr>
            <w:r w:rsidRPr="00DF5B4D">
              <w:rPr>
                <w:lang w:val="es-ES_tradnl"/>
              </w:rPr>
              <w:t>•</w:t>
            </w:r>
            <w:r w:rsidRPr="00DF5B4D">
              <w:rPr>
                <w:lang w:val="es-ES_tradnl"/>
              </w:rPr>
              <w:tab/>
              <w:t>Se reforzó aún más la colaboración estratégica con los organismos de las Naciones Unidas, situando a la UIT en el centro de todos los mecanismos de coordinación para el desarrollo digital, lo que incluyó la copresidencia a nivel regional del Grupo de Transformación Digital de las Naciones Unidas para Europa y Europa Central, la copresidencia del Grupo de Trabajo de Bruselas de las Naciones Unidas sobre Digitalización para el Desarrollo Sostenible y, a nivel nacional, la copresidencia de los Equipos de Tareas de Transición Digital en el marco de los Equipos de Países de las Naciones Unidas.</w:t>
            </w:r>
          </w:p>
          <w:p w14:paraId="5F2060E6" w14:textId="77777777" w:rsidR="00224990" w:rsidRPr="00DF5B4D" w:rsidRDefault="00224990" w:rsidP="00A874E9">
            <w:pPr>
              <w:pStyle w:val="Tabletext"/>
              <w:ind w:left="284" w:hanging="284"/>
              <w:rPr>
                <w:lang w:val="es-ES_tradnl"/>
              </w:rPr>
            </w:pPr>
            <w:r w:rsidRPr="00DF5B4D">
              <w:rPr>
                <w:lang w:val="es-ES_tradnl"/>
              </w:rPr>
              <w:t>•</w:t>
            </w:r>
            <w:r w:rsidRPr="00DF5B4D">
              <w:rPr>
                <w:lang w:val="es-ES_tradnl"/>
              </w:rPr>
              <w:tab/>
              <w:t xml:space="preserve">La Mesa Redonda sobre el ODS 17 "Construyendo asociaciones efectivas para la transformación digital" fue organizada en el </w:t>
            </w:r>
            <w:hyperlink r:id="rId89" w:history="1">
              <w:r w:rsidRPr="00DF5B4D">
                <w:rPr>
                  <w:rStyle w:val="Hyperlink"/>
                  <w:rFonts w:eastAsiaTheme="minorEastAsia"/>
                  <w:lang w:val="es-ES_tradnl"/>
                </w:rPr>
                <w:t>Foro Regional sobre desarrollo sostenible para la región de la CEPE</w:t>
              </w:r>
            </w:hyperlink>
            <w:r w:rsidRPr="00DF5B4D">
              <w:rPr>
                <w:lang w:val="es-ES_tradnl"/>
              </w:rPr>
              <w:t>, con dos eventos paralelos adicionales "Enfoque centrado en los seres humanos a la transformación digital" y el lanzamiento de la reunión de la UIT-FAO "Cumplimiento de los requisitos de la agricultura digital de la UE. Un compendio para los países en preadhesión", que sirvieron como insumos para la Mesa Redonda sobre el ODS 17.</w:t>
            </w:r>
          </w:p>
          <w:p w14:paraId="78324B51" w14:textId="77777777" w:rsidR="00224990" w:rsidRPr="00DF5B4D" w:rsidRDefault="00224990" w:rsidP="00A874E9">
            <w:pPr>
              <w:pStyle w:val="Tabletext"/>
              <w:ind w:left="284" w:hanging="284"/>
              <w:rPr>
                <w:lang w:val="es-ES_tradnl"/>
              </w:rPr>
            </w:pPr>
            <w:r w:rsidRPr="00DF5B4D">
              <w:rPr>
                <w:lang w:val="es-ES_tradnl"/>
              </w:rPr>
              <w:t>•</w:t>
            </w:r>
            <w:r w:rsidRPr="00DF5B4D">
              <w:rPr>
                <w:lang w:val="es-ES_tradnl"/>
              </w:rPr>
              <w:tab/>
              <w:t>Se han elaborado diversos productos interinstitucionales, incluida la Herramienta de Desarrollo Digital de las Naciones Unidas, nueve perfiles de países de Herramientas de Desarrollo Digital de las Naciones Unidas, el compendio de agricultura digital UIT-</w:t>
            </w:r>
            <w:r w:rsidRPr="00DF5B4D">
              <w:rPr>
                <w:lang w:val="es-ES_tradnl"/>
              </w:rPr>
              <w:lastRenderedPageBreak/>
              <w:t>FAO para los países en fase de preadhesión de la UE y el Monitor Regional de residuos electrónicos de los Balcanes Occidentales UIT-PNUMA-UNITAR.</w:t>
            </w:r>
          </w:p>
          <w:p w14:paraId="3C80549E" w14:textId="77777777" w:rsidR="00224990" w:rsidRPr="00DF5B4D" w:rsidRDefault="00224990" w:rsidP="00A874E9">
            <w:pPr>
              <w:pStyle w:val="Tabletext"/>
              <w:ind w:left="284" w:hanging="284"/>
              <w:rPr>
                <w:lang w:val="es-ES_tradnl"/>
              </w:rPr>
            </w:pPr>
            <w:r w:rsidRPr="00DF5B4D">
              <w:rPr>
                <w:lang w:val="es-ES_tradnl"/>
              </w:rPr>
              <w:t>•</w:t>
            </w:r>
            <w:r w:rsidRPr="00DF5B4D">
              <w:rPr>
                <w:lang w:val="es-ES_tradnl"/>
              </w:rPr>
              <w:tab/>
              <w:t>Se han creado conjuntamente tres proyectos que han sido aceptados en el marco de la Ventana Digital del Fondo Conjunto para los ODS, entre ellos el proyecto UIT-UNOPS (Ciudades Inteligentes) en Montenegro, el proyecto UIT-FAO-OIT (Agricultura Digital) en Albania y el proyecto UIT-PNUD-FAO (Digitalización de los Servicios Públicos) en Serbia. Se han puesto a prueba nuevos mecanismos de financiación, como la Ventana Digital del Fondo Conjunto para los ODS (Montenegro y Serbia) y el Fondo Conjunto de Aceleración en Montenegro.</w:t>
            </w:r>
          </w:p>
        </w:tc>
        <w:tc>
          <w:tcPr>
            <w:tcW w:w="2970" w:type="dxa"/>
            <w:shd w:val="clear" w:color="auto" w:fill="auto"/>
          </w:tcPr>
          <w:p w14:paraId="223B0459" w14:textId="77777777" w:rsidR="00224990" w:rsidRPr="00DF5B4D" w:rsidRDefault="00224990" w:rsidP="00186A47">
            <w:pPr>
              <w:pStyle w:val="Tabletext"/>
              <w:rPr>
                <w:b/>
                <w:bCs/>
                <w:lang w:val="es-ES_tradnl"/>
              </w:rPr>
            </w:pPr>
            <w:r w:rsidRPr="00DF5B4D">
              <w:rPr>
                <w:b/>
                <w:bCs/>
                <w:lang w:val="es-ES_tradnl"/>
              </w:rPr>
              <w:lastRenderedPageBreak/>
              <w:t>África:</w:t>
            </w:r>
          </w:p>
          <w:p w14:paraId="4D2280BB" w14:textId="283AE16F" w:rsidR="00224990" w:rsidRPr="00DF5B4D" w:rsidRDefault="00224990" w:rsidP="00186A47">
            <w:pPr>
              <w:pStyle w:val="Tabletext"/>
              <w:ind w:left="284" w:hanging="284"/>
              <w:rPr>
                <w:lang w:val="es-ES_tradnl"/>
              </w:rPr>
            </w:pPr>
            <w:r w:rsidRPr="00DF5B4D">
              <w:rPr>
                <w:b/>
                <w:bCs/>
                <w:lang w:val="es-ES_tradnl"/>
              </w:rPr>
              <w:t>•</w:t>
            </w:r>
            <w:r w:rsidRPr="00DF5B4D">
              <w:rPr>
                <w:b/>
                <w:bCs/>
                <w:lang w:val="es-ES_tradnl"/>
              </w:rPr>
              <w:tab/>
            </w:r>
            <w:hyperlink r:id="rId90" w:history="1">
              <w:r w:rsidRPr="00571EB7">
                <w:rPr>
                  <w:rStyle w:val="Hyperlink"/>
                  <w:b/>
                  <w:bCs/>
                  <w:lang w:val="es-ES_tradnl"/>
                </w:rPr>
                <w:t>FDR-AFR</w:t>
              </w:r>
            </w:hyperlink>
            <w:r w:rsidRPr="00DF5B4D">
              <w:rPr>
                <w:b/>
                <w:bCs/>
                <w:lang w:val="es-ES_tradnl"/>
              </w:rPr>
              <w:t>:</w:t>
            </w:r>
            <w:r w:rsidRPr="00DF5B4D">
              <w:rPr>
                <w:lang w:val="es-ES_tradnl"/>
              </w:rPr>
              <w:t xml:space="preserve"> Acelerar los ODS. 20 compromisos P2C y 800 promesas P2C</w:t>
            </w:r>
          </w:p>
          <w:p w14:paraId="3FB15AD4" w14:textId="77777777" w:rsidR="00224990" w:rsidRPr="00DF5B4D" w:rsidRDefault="00224990" w:rsidP="00186A47">
            <w:pPr>
              <w:pStyle w:val="Tabletext"/>
              <w:ind w:left="284" w:hanging="284"/>
              <w:rPr>
                <w:lang w:val="es-ES_tradnl"/>
              </w:rPr>
            </w:pPr>
            <w:r w:rsidRPr="00DF5B4D">
              <w:rPr>
                <w:lang w:val="es-ES_tradnl"/>
              </w:rPr>
              <w:t>•</w:t>
            </w:r>
            <w:r w:rsidRPr="00DF5B4D">
              <w:rPr>
                <w:lang w:val="es-ES_tradnl"/>
              </w:rPr>
              <w:tab/>
              <w:t>Colaboración estratégica en el marco de MCNUDS en Cabo Verde, Malawi, Mauricio, Seychelles.</w:t>
            </w:r>
          </w:p>
          <w:p w14:paraId="11F64924" w14:textId="77777777" w:rsidR="00224990" w:rsidRPr="00DF5B4D" w:rsidRDefault="00224990" w:rsidP="00186A47">
            <w:pPr>
              <w:pStyle w:val="Tabletext"/>
              <w:ind w:left="284" w:hanging="284"/>
              <w:rPr>
                <w:lang w:val="es-ES_tradnl"/>
              </w:rPr>
            </w:pPr>
            <w:r w:rsidRPr="00DF5B4D">
              <w:rPr>
                <w:lang w:val="es-ES_tradnl"/>
              </w:rPr>
              <w:t>•</w:t>
            </w:r>
            <w:r w:rsidRPr="00DF5B4D">
              <w:rPr>
                <w:lang w:val="es-ES_tradnl"/>
              </w:rPr>
              <w:tab/>
              <w:t xml:space="preserve">La recopilación de datos del proyecto de evaluación comparative de las TIC en África Central en los 11 países beneficiarios para la elaboración de recomendaciones y </w:t>
            </w:r>
            <w:r w:rsidRPr="00DF5B4D">
              <w:rPr>
                <w:lang w:val="es-ES_tradnl"/>
              </w:rPr>
              <w:lastRenderedPageBreak/>
              <w:t>programas de desarrollo de capacidades.</w:t>
            </w:r>
          </w:p>
          <w:p w14:paraId="3060A08D" w14:textId="6409F466" w:rsidR="00224990" w:rsidRPr="00DF5B4D" w:rsidRDefault="00224990" w:rsidP="00186A47">
            <w:pPr>
              <w:pStyle w:val="Tabletext"/>
              <w:ind w:left="284" w:hanging="284"/>
              <w:rPr>
                <w:lang w:val="es-ES_tradnl"/>
              </w:rPr>
            </w:pPr>
            <w:r w:rsidRPr="00DF5B4D">
              <w:rPr>
                <w:lang w:val="es-ES_tradnl"/>
              </w:rPr>
              <w:t>•</w:t>
            </w:r>
            <w:r w:rsidRPr="00DF5B4D">
              <w:rPr>
                <w:lang w:val="es-ES_tradnl"/>
              </w:rPr>
              <w:tab/>
              <w:t xml:space="preserve">De los 17 centros de aceleración de la UIT puestos en marcha, 6 se encuentran en África: Gabón, </w:t>
            </w:r>
            <w:proofErr w:type="spellStart"/>
            <w:r w:rsidR="00D57BEC" w:rsidRPr="00DF5B4D">
              <w:rPr>
                <w:lang w:val="es-ES_tradnl"/>
              </w:rPr>
              <w:t>Ken</w:t>
            </w:r>
            <w:r w:rsidR="00D57BEC">
              <w:rPr>
                <w:lang w:val="es-ES_tradnl"/>
              </w:rPr>
              <w:t>y</w:t>
            </w:r>
            <w:r w:rsidR="00D57BEC" w:rsidRPr="00DF5B4D">
              <w:rPr>
                <w:lang w:val="es-ES_tradnl"/>
              </w:rPr>
              <w:t>a</w:t>
            </w:r>
            <w:proofErr w:type="spellEnd"/>
            <w:r w:rsidRPr="00DF5B4D">
              <w:rPr>
                <w:lang w:val="es-ES_tradnl"/>
              </w:rPr>
              <w:t xml:space="preserve">, Malawi, Senegal, Tanzania y </w:t>
            </w:r>
            <w:proofErr w:type="spellStart"/>
            <w:r w:rsidRPr="00DF5B4D">
              <w:rPr>
                <w:lang w:val="es-ES_tradnl"/>
              </w:rPr>
              <w:t>Zimbabwe</w:t>
            </w:r>
            <w:proofErr w:type="spellEnd"/>
            <w:r w:rsidRPr="00DF5B4D">
              <w:rPr>
                <w:lang w:val="es-ES_tradnl"/>
              </w:rPr>
              <w:t>.</w:t>
            </w:r>
          </w:p>
          <w:p w14:paraId="05FC1D17" w14:textId="77777777" w:rsidR="00224990" w:rsidRPr="00DF5B4D" w:rsidRDefault="00224990" w:rsidP="00186A47">
            <w:pPr>
              <w:pStyle w:val="Tabletext"/>
              <w:ind w:left="284" w:hanging="284"/>
              <w:rPr>
                <w:lang w:val="es-ES_tradnl"/>
              </w:rPr>
            </w:pPr>
            <w:r w:rsidRPr="00DF5B4D">
              <w:rPr>
                <w:lang w:val="es-ES_tradnl"/>
              </w:rPr>
              <w:t>•</w:t>
            </w:r>
            <w:r w:rsidRPr="00DF5B4D">
              <w:rPr>
                <w:lang w:val="es-ES_tradnl"/>
              </w:rPr>
              <w:tab/>
              <w:t xml:space="preserve">La UIT brindó ayuda a Chad y </w:t>
            </w:r>
            <w:proofErr w:type="spellStart"/>
            <w:r w:rsidRPr="00DF5B4D">
              <w:rPr>
                <w:lang w:val="es-ES_tradnl"/>
              </w:rPr>
              <w:t>Rwanda</w:t>
            </w:r>
            <w:proofErr w:type="spellEnd"/>
            <w:r w:rsidRPr="00DF5B4D">
              <w:rPr>
                <w:lang w:val="es-ES_tradnl"/>
              </w:rPr>
              <w:t xml:space="preserve"> a desarrollar estrategia nacional global de ciberseguridad.</w:t>
            </w:r>
          </w:p>
          <w:p w14:paraId="33F4A2FE" w14:textId="77777777" w:rsidR="00224990" w:rsidRPr="00DF5B4D" w:rsidRDefault="00224990" w:rsidP="002446F6">
            <w:pPr>
              <w:pStyle w:val="Tabletext"/>
              <w:rPr>
                <w:b/>
                <w:bCs/>
                <w:lang w:val="es-ES_tradnl"/>
              </w:rPr>
            </w:pPr>
            <w:r w:rsidRPr="00DF5B4D">
              <w:rPr>
                <w:b/>
                <w:bCs/>
                <w:lang w:val="es-ES_tradnl"/>
              </w:rPr>
              <w:t>Américas:</w:t>
            </w:r>
          </w:p>
          <w:p w14:paraId="4B1DC77C" w14:textId="043E6147" w:rsidR="00224990" w:rsidRPr="00DF5B4D" w:rsidRDefault="00224990" w:rsidP="002446F6">
            <w:pPr>
              <w:pStyle w:val="Tabletext"/>
              <w:ind w:left="284" w:hanging="284"/>
              <w:rPr>
                <w:lang w:val="es-ES_tradnl"/>
              </w:rPr>
            </w:pPr>
            <w:r w:rsidRPr="00DF5B4D">
              <w:rPr>
                <w:b/>
                <w:bCs/>
                <w:lang w:val="es-ES_tradnl"/>
              </w:rPr>
              <w:t>•</w:t>
            </w:r>
            <w:r w:rsidRPr="00DF5B4D">
              <w:rPr>
                <w:b/>
                <w:bCs/>
                <w:lang w:val="es-ES_tradnl"/>
              </w:rPr>
              <w:tab/>
            </w:r>
            <w:hyperlink r:id="rId91" w:history="1">
              <w:r w:rsidRPr="00571EB7">
                <w:rPr>
                  <w:rStyle w:val="Hyperlink"/>
                  <w:b/>
                  <w:bCs/>
                  <w:lang w:val="es-ES_tradnl"/>
                </w:rPr>
                <w:t>FDR-AMS</w:t>
              </w:r>
            </w:hyperlink>
            <w:r w:rsidRPr="00DF5B4D">
              <w:rPr>
                <w:lang w:val="es-ES_tradnl"/>
              </w:rPr>
              <w:t xml:space="preserve">: 147 compromisos P2C, </w:t>
            </w:r>
            <w:r w:rsidR="001A5926">
              <w:rPr>
                <w:lang w:val="es-ES_tradnl"/>
              </w:rPr>
              <w:t>por</w:t>
            </w:r>
            <w:r w:rsidRPr="00DF5B4D">
              <w:rPr>
                <w:lang w:val="es-ES_tradnl"/>
              </w:rPr>
              <w:t xml:space="preserve"> valor de 9</w:t>
            </w:r>
            <w:r w:rsidR="001A5926">
              <w:rPr>
                <w:lang w:val="es-ES_tradnl"/>
              </w:rPr>
              <w:t xml:space="preserve"> </w:t>
            </w:r>
            <w:r w:rsidRPr="00DF5B4D">
              <w:rPr>
                <w:lang w:val="es-ES_tradnl"/>
              </w:rPr>
              <w:t>86</w:t>
            </w:r>
            <w:r w:rsidR="001A5926">
              <w:rPr>
                <w:lang w:val="es-ES_tradnl"/>
              </w:rPr>
              <w:t>0</w:t>
            </w:r>
            <w:r w:rsidRPr="00DF5B4D">
              <w:rPr>
                <w:lang w:val="es-ES_tradnl"/>
              </w:rPr>
              <w:t xml:space="preserve"> millones USD realizados por 91 entidades de 39 países.</w:t>
            </w:r>
          </w:p>
          <w:p w14:paraId="507AB863" w14:textId="77777777" w:rsidR="00224990" w:rsidRPr="00DF5B4D" w:rsidRDefault="00224990" w:rsidP="002446F6">
            <w:pPr>
              <w:pStyle w:val="Tabletext"/>
              <w:ind w:left="284" w:hanging="284"/>
              <w:rPr>
                <w:lang w:val="es-ES_tradnl"/>
              </w:rPr>
            </w:pPr>
            <w:r w:rsidRPr="00DF5B4D">
              <w:rPr>
                <w:lang w:val="es-ES_tradnl"/>
              </w:rPr>
              <w:t>•</w:t>
            </w:r>
            <w:r w:rsidRPr="00DF5B4D">
              <w:rPr>
                <w:lang w:val="es-ES_tradnl"/>
              </w:rPr>
              <w:tab/>
              <w:t>Estrecha colaboración con el Sector de Radiocomunicaciones de la UIT: Seminario de Radiocomunicaciones para las Américas y Conferencia sobre la gestión del espectro en América Latina. Estrecha colaboración con el Sector de Normalización de la UIT: Seminario sobre Redes Abiertas en Brasil.</w:t>
            </w:r>
          </w:p>
          <w:p w14:paraId="0F008DBA" w14:textId="77777777" w:rsidR="00224990" w:rsidRPr="00DF5B4D" w:rsidRDefault="00224990" w:rsidP="002446F6">
            <w:pPr>
              <w:pStyle w:val="Tabletext"/>
              <w:ind w:left="284" w:hanging="284"/>
              <w:rPr>
                <w:lang w:val="es-ES_tradnl"/>
              </w:rPr>
            </w:pPr>
            <w:r w:rsidRPr="00DF5B4D">
              <w:rPr>
                <w:lang w:val="es-ES_tradnl"/>
              </w:rPr>
              <w:lastRenderedPageBreak/>
              <w:t>•</w:t>
            </w:r>
            <w:r w:rsidRPr="00DF5B4D">
              <w:rPr>
                <w:lang w:val="es-ES_tradnl"/>
              </w:rPr>
              <w:tab/>
              <w:t>Colaboración estratégica dentro del MCNUDS en Brasil. La UIT y la FAO firmaron el proyecto conjunto "</w:t>
            </w:r>
            <w:proofErr w:type="spellStart"/>
            <w:r w:rsidRPr="00DF5B4D">
              <w:rPr>
                <w:lang w:val="es-ES_tradnl"/>
              </w:rPr>
              <w:t>Merian</w:t>
            </w:r>
            <w:proofErr w:type="spellEnd"/>
            <w:r w:rsidRPr="00DF5B4D">
              <w:rPr>
                <w:lang w:val="es-ES_tradnl"/>
              </w:rPr>
              <w:t>" sobre agricultura 5.0 con la Unión Europea para El Salvador – presupuesto total de 5,2 millones de euros.</w:t>
            </w:r>
          </w:p>
          <w:p w14:paraId="2349D14B" w14:textId="77777777" w:rsidR="00224990" w:rsidRPr="00DF5B4D" w:rsidRDefault="00224990" w:rsidP="002446F6">
            <w:pPr>
              <w:pStyle w:val="Tabletext"/>
              <w:ind w:left="284" w:hanging="284"/>
              <w:rPr>
                <w:lang w:val="es-ES_tradnl"/>
              </w:rPr>
            </w:pPr>
            <w:r w:rsidRPr="00DF5B4D">
              <w:rPr>
                <w:lang w:val="es-ES_tradnl"/>
              </w:rPr>
              <w:t>•</w:t>
            </w:r>
            <w:r w:rsidRPr="00DF5B4D">
              <w:rPr>
                <w:lang w:val="es-ES_tradnl"/>
              </w:rPr>
              <w:tab/>
              <w:t xml:space="preserve">Más de 2 300 niñas y mujeres se beneficiaron de las actividades de capacitación digital del proyecto </w:t>
            </w:r>
            <w:proofErr w:type="spellStart"/>
            <w:r w:rsidRPr="00DF5B4D">
              <w:rPr>
                <w:lang w:val="es-ES_tradnl"/>
              </w:rPr>
              <w:t>Girls</w:t>
            </w:r>
            <w:proofErr w:type="spellEnd"/>
            <w:r w:rsidRPr="00DF5B4D">
              <w:rPr>
                <w:lang w:val="es-ES_tradnl"/>
              </w:rPr>
              <w:t xml:space="preserve"> Can </w:t>
            </w:r>
            <w:proofErr w:type="spellStart"/>
            <w:r w:rsidRPr="00DF5B4D">
              <w:rPr>
                <w:lang w:val="es-ES_tradnl"/>
              </w:rPr>
              <w:t>Code</w:t>
            </w:r>
            <w:proofErr w:type="spellEnd"/>
            <w:r w:rsidRPr="00DF5B4D">
              <w:rPr>
                <w:lang w:val="es-ES_tradnl"/>
              </w:rPr>
              <w:t xml:space="preserve"> de la Región de las Américas. </w:t>
            </w:r>
          </w:p>
          <w:p w14:paraId="61EEF0FA" w14:textId="77777777" w:rsidR="00224990" w:rsidRPr="00DF5B4D" w:rsidRDefault="00224990" w:rsidP="002446F6">
            <w:pPr>
              <w:pStyle w:val="Tabletext"/>
              <w:ind w:left="284" w:hanging="284"/>
              <w:rPr>
                <w:lang w:val="es-ES_tradnl"/>
              </w:rPr>
            </w:pPr>
            <w:r w:rsidRPr="00DF5B4D">
              <w:rPr>
                <w:lang w:val="es-ES_tradnl"/>
              </w:rPr>
              <w:t>•</w:t>
            </w:r>
            <w:r w:rsidRPr="00DF5B4D">
              <w:rPr>
                <w:lang w:val="es-ES_tradnl"/>
              </w:rPr>
              <w:tab/>
              <w:t>Más de 340 jóvenes y mujeres de comunidades remotas reforzaron sus competencias digitales a través del proyecto Inclusión Digital de los Jóvenes.</w:t>
            </w:r>
          </w:p>
          <w:p w14:paraId="269F92A5" w14:textId="77777777" w:rsidR="00224990" w:rsidRPr="00DF5B4D" w:rsidRDefault="00224990" w:rsidP="002446F6">
            <w:pPr>
              <w:pStyle w:val="Tabletext"/>
              <w:ind w:left="284" w:hanging="284"/>
              <w:rPr>
                <w:lang w:val="es-ES_tradnl"/>
              </w:rPr>
            </w:pPr>
            <w:r w:rsidRPr="00DF5B4D">
              <w:rPr>
                <w:lang w:val="es-ES_tradnl"/>
              </w:rPr>
              <w:t>•</w:t>
            </w:r>
            <w:r w:rsidRPr="00DF5B4D">
              <w:rPr>
                <w:lang w:val="es-ES_tradnl"/>
              </w:rPr>
              <w:tab/>
              <w:t>GIGA OECO: Barbados – mejora de la banda ancha en 27 escuelas piloto, más de 18 057 alumnos y 1 382 profesores beneficiados.</w:t>
            </w:r>
          </w:p>
          <w:p w14:paraId="5CA04FC3" w14:textId="19282B37" w:rsidR="00571EB7" w:rsidRDefault="00571EB7" w:rsidP="00EE6B0B">
            <w:pPr>
              <w:pStyle w:val="Tabletext"/>
              <w:rPr>
                <w:b/>
                <w:bCs/>
                <w:lang w:val="es-ES_tradnl"/>
              </w:rPr>
            </w:pPr>
            <w:r>
              <w:rPr>
                <w:b/>
                <w:bCs/>
                <w:lang w:val="es-ES_tradnl"/>
              </w:rPr>
              <w:t>CEI:</w:t>
            </w:r>
          </w:p>
          <w:p w14:paraId="5C80B730" w14:textId="36F516B4" w:rsidR="00571EB7" w:rsidRPr="00DF5B4D" w:rsidRDefault="00571EB7" w:rsidP="00571EB7">
            <w:pPr>
              <w:pStyle w:val="Tabletext"/>
              <w:ind w:left="284" w:hanging="284"/>
              <w:rPr>
                <w:rFonts w:eastAsia="Calibri" w:cs="Times New Roman"/>
                <w:lang w:val="es-ES_tradnl"/>
              </w:rPr>
            </w:pPr>
            <w:r w:rsidRPr="00DF5B4D">
              <w:rPr>
                <w:rFonts w:eastAsiaTheme="minorEastAsia"/>
                <w:lang w:val="es-ES_tradnl"/>
              </w:rPr>
              <w:t>•</w:t>
            </w:r>
            <w:r w:rsidRPr="00DF5B4D">
              <w:rPr>
                <w:rFonts w:eastAsiaTheme="minorEastAsia"/>
                <w:lang w:val="es-ES_tradnl"/>
              </w:rPr>
              <w:tab/>
            </w:r>
            <w:hyperlink r:id="rId92" w:history="1">
              <w:r w:rsidRPr="00571EB7">
                <w:rPr>
                  <w:rStyle w:val="Hyperlink"/>
                  <w:rFonts w:eastAsiaTheme="minorEastAsia"/>
                  <w:lang w:val="es-ES_tradnl"/>
                </w:rPr>
                <w:t>FDR-CEI</w:t>
              </w:r>
            </w:hyperlink>
            <w:r w:rsidRPr="00DF5B4D">
              <w:rPr>
                <w:rFonts w:eastAsiaTheme="minorEastAsia"/>
                <w:lang w:val="es-ES_tradnl"/>
              </w:rPr>
              <w:t>: Desarrollo digital avanzado y aplicación de las iniciativas regionales.</w:t>
            </w:r>
          </w:p>
          <w:p w14:paraId="350E97F3" w14:textId="500BD78E" w:rsidR="00571EB7" w:rsidRPr="00571EB7" w:rsidRDefault="00571EB7" w:rsidP="00571EB7">
            <w:pPr>
              <w:pStyle w:val="Tabletext"/>
              <w:ind w:left="284" w:hanging="284"/>
              <w:rPr>
                <w:rFonts w:eastAsia="Calibri" w:cs="Times New Roman"/>
                <w:lang w:val="es-ES_tradnl"/>
              </w:rPr>
            </w:pPr>
            <w:r w:rsidRPr="00DF5B4D">
              <w:rPr>
                <w:rFonts w:eastAsia="Calibri"/>
                <w:lang w:val="es-ES_tradnl"/>
              </w:rPr>
              <w:t>•</w:t>
            </w:r>
            <w:r w:rsidRPr="00DF5B4D">
              <w:rPr>
                <w:rFonts w:eastAsia="Calibri" w:cs="Times New Roman"/>
                <w:lang w:val="es-ES_tradnl"/>
              </w:rPr>
              <w:tab/>
            </w:r>
            <w:r w:rsidRPr="00430F75">
              <w:rPr>
                <w:rFonts w:eastAsia="Calibri"/>
                <w:lang w:val="es-ES_tradnl"/>
              </w:rPr>
              <w:t xml:space="preserve">Más de 700 representantes del sector público de Armenia, Tayikistán y </w:t>
            </w:r>
            <w:r w:rsidRPr="00430F75">
              <w:rPr>
                <w:rFonts w:eastAsia="Calibri"/>
                <w:lang w:val="es-ES_tradnl"/>
              </w:rPr>
              <w:lastRenderedPageBreak/>
              <w:t>Turkmenistán recibieron formación sobre las tecnologías 5G y su despliegue.</w:t>
            </w:r>
          </w:p>
          <w:p w14:paraId="52C98607" w14:textId="22316945" w:rsidR="00224990" w:rsidRPr="00DF5B4D" w:rsidRDefault="00224990" w:rsidP="00EE6B0B">
            <w:pPr>
              <w:pStyle w:val="Tabletext"/>
              <w:rPr>
                <w:b/>
                <w:bCs/>
                <w:lang w:val="es-ES_tradnl"/>
              </w:rPr>
            </w:pPr>
            <w:r w:rsidRPr="00DF5B4D">
              <w:rPr>
                <w:b/>
                <w:bCs/>
                <w:lang w:val="es-ES_tradnl"/>
              </w:rPr>
              <w:t>Estados Árabes:</w:t>
            </w:r>
          </w:p>
          <w:p w14:paraId="18279C54" w14:textId="27CF402F" w:rsidR="00224990" w:rsidRPr="00DF5B4D" w:rsidRDefault="00224990" w:rsidP="00EE6B0B">
            <w:pPr>
              <w:pStyle w:val="Tabletext"/>
              <w:ind w:left="284" w:hanging="284"/>
              <w:rPr>
                <w:rFonts w:eastAsia="Calibri" w:cs="Times New Roman"/>
                <w:lang w:val="es-ES_tradnl"/>
              </w:rPr>
            </w:pPr>
            <w:r w:rsidRPr="00DF5B4D">
              <w:rPr>
                <w:rFonts w:eastAsia="Calibri"/>
                <w:lang w:val="es-ES_tradnl"/>
              </w:rPr>
              <w:t>•</w:t>
            </w:r>
            <w:r w:rsidRPr="00DF5B4D">
              <w:rPr>
                <w:rFonts w:eastAsia="Calibri" w:cs="Times New Roman"/>
                <w:lang w:val="es-ES_tradnl"/>
              </w:rPr>
              <w:tab/>
            </w:r>
            <w:hyperlink r:id="rId93" w:history="1">
              <w:r w:rsidRPr="00571EB7">
                <w:rPr>
                  <w:rStyle w:val="Hyperlink"/>
                  <w:rFonts w:eastAsia="Calibri" w:cs="Times New Roman"/>
                  <w:lang w:val="es-ES_tradnl"/>
                </w:rPr>
                <w:t>FDR-ARB</w:t>
              </w:r>
            </w:hyperlink>
            <w:r w:rsidRPr="00DF5B4D">
              <w:rPr>
                <w:rFonts w:eastAsia="Calibri" w:cs="Times New Roman"/>
                <w:lang w:val="es-ES_tradnl"/>
              </w:rPr>
              <w:t>: Participación active de representantes de 19 Estados Miembros y del Estado de Palestina para debatir la aplicación de las cinco iniciativas regionales para la región de los Estados Árabes, así como otras actividades en el marco de las cinco áreas temáticas prioritarias adoptadas en la CMDT-22. Se presentaron 28 contribuciones escritas, incluidos nuevas promesas para lograr una conectividad significativa y una transformación digital sostenible en la región.</w:t>
            </w:r>
          </w:p>
          <w:p w14:paraId="42A4F791" w14:textId="77777777" w:rsidR="00224990" w:rsidRPr="00DF5B4D" w:rsidRDefault="00224990" w:rsidP="00EE6B0B">
            <w:pPr>
              <w:pStyle w:val="Tabletext"/>
              <w:ind w:left="284" w:hanging="284"/>
              <w:rPr>
                <w:lang w:val="es-ES_tradnl"/>
              </w:rPr>
            </w:pPr>
            <w:r w:rsidRPr="00DF5B4D">
              <w:rPr>
                <w:lang w:val="es-ES_tradnl"/>
              </w:rPr>
              <w:t>•</w:t>
            </w:r>
            <w:r w:rsidRPr="00DF5B4D">
              <w:rPr>
                <w:lang w:val="es-ES_tradnl"/>
              </w:rPr>
              <w:tab/>
              <w:t>Colaboración con la CESPAO y la Liga de Estados Árabes para desarrollar la estrategia regional en materia de TIC.</w:t>
            </w:r>
          </w:p>
          <w:p w14:paraId="4DBA403B" w14:textId="77777777" w:rsidR="00224990" w:rsidRPr="00DF5B4D" w:rsidRDefault="00224990" w:rsidP="00EE6B0B">
            <w:pPr>
              <w:pStyle w:val="Tabletext"/>
              <w:ind w:left="284" w:hanging="284"/>
              <w:rPr>
                <w:lang w:val="es-ES_tradnl"/>
              </w:rPr>
            </w:pPr>
            <w:r w:rsidRPr="00DF5B4D">
              <w:rPr>
                <w:lang w:val="es-ES_tradnl"/>
              </w:rPr>
              <w:t>•</w:t>
            </w:r>
            <w:r w:rsidRPr="00DF5B4D">
              <w:rPr>
                <w:lang w:val="es-ES_tradnl"/>
              </w:rPr>
              <w:tab/>
              <w:t>Colaboración estratégica para apoyar el desarrollo de varios MCNUDS en la Región.</w:t>
            </w:r>
          </w:p>
          <w:p w14:paraId="7D3EE701" w14:textId="77777777" w:rsidR="00224990" w:rsidRPr="00DF5B4D" w:rsidRDefault="00224990" w:rsidP="00056B55">
            <w:pPr>
              <w:rPr>
                <w:b/>
                <w:bCs/>
                <w:color w:val="0070C0"/>
                <w:sz w:val="22"/>
                <w:lang w:val="es-ES_tradnl"/>
              </w:rPr>
            </w:pPr>
            <w:r w:rsidRPr="00DF5B4D">
              <w:rPr>
                <w:b/>
                <w:bCs/>
                <w:color w:val="0070C0"/>
                <w:sz w:val="22"/>
                <w:lang w:val="es-ES_tradnl"/>
              </w:rPr>
              <w:t>Asia-Pacífico:</w:t>
            </w:r>
          </w:p>
          <w:p w14:paraId="71310DD1" w14:textId="17AF7C65" w:rsidR="00224990" w:rsidRPr="00DF5B4D" w:rsidRDefault="00224990" w:rsidP="00EE6B0B">
            <w:pPr>
              <w:pStyle w:val="Tabletext"/>
              <w:ind w:left="284" w:hanging="284"/>
              <w:rPr>
                <w:lang w:val="es-ES_tradnl"/>
              </w:rPr>
            </w:pPr>
            <w:r w:rsidRPr="00DF5B4D">
              <w:rPr>
                <w:b/>
                <w:bCs/>
                <w:lang w:val="es-ES_tradnl"/>
              </w:rPr>
              <w:lastRenderedPageBreak/>
              <w:t>•</w:t>
            </w:r>
            <w:r w:rsidRPr="00DF5B4D">
              <w:rPr>
                <w:b/>
                <w:bCs/>
                <w:lang w:val="es-ES_tradnl"/>
              </w:rPr>
              <w:tab/>
            </w:r>
            <w:hyperlink r:id="rId94" w:history="1">
              <w:r w:rsidRPr="00571EB7">
                <w:rPr>
                  <w:rStyle w:val="Hyperlink"/>
                  <w:b/>
                  <w:bCs/>
                  <w:lang w:val="es-ES_tradnl"/>
                </w:rPr>
                <w:t>FDR-ASP</w:t>
              </w:r>
            </w:hyperlink>
            <w:r w:rsidRPr="00DF5B4D">
              <w:rPr>
                <w:b/>
                <w:bCs/>
                <w:lang w:val="es-ES_tradnl"/>
              </w:rPr>
              <w:t>:</w:t>
            </w:r>
            <w:r w:rsidRPr="00DF5B4D">
              <w:rPr>
                <w:lang w:val="es-ES_tradnl"/>
              </w:rPr>
              <w:t xml:space="preserve"> Se anunciaron 11 nuevas promesas y compromisos P2C y se firmaron varias declaraciones conjuntas con la FDR-ASP.</w:t>
            </w:r>
          </w:p>
          <w:p w14:paraId="01EBFFE5" w14:textId="77777777" w:rsidR="00224990" w:rsidRPr="00DF5B4D" w:rsidRDefault="00224990" w:rsidP="00EE6B0B">
            <w:pPr>
              <w:pStyle w:val="Tabletext"/>
              <w:ind w:left="284" w:hanging="284"/>
              <w:rPr>
                <w:rFonts w:cs="Times New Roman"/>
                <w:lang w:val="es-ES_tradnl"/>
              </w:rPr>
            </w:pPr>
            <w:r w:rsidRPr="00DF5B4D">
              <w:rPr>
                <w:lang w:val="es-ES_tradnl"/>
              </w:rPr>
              <w:t>•</w:t>
            </w:r>
            <w:r w:rsidRPr="00DF5B4D">
              <w:rPr>
                <w:rFonts w:cs="Times New Roman"/>
                <w:lang w:val="es-ES_tradnl"/>
              </w:rPr>
              <w:tab/>
              <w:t>Firmó 8 acuerdos con un valor de más de 3,1 millones USD para asistencia técnica, análisis y desarrollo de capacidades.</w:t>
            </w:r>
          </w:p>
          <w:p w14:paraId="55C49622" w14:textId="77777777" w:rsidR="00224990" w:rsidRPr="00DF5B4D" w:rsidRDefault="00224990" w:rsidP="00EE6B0B">
            <w:pPr>
              <w:pStyle w:val="Tabletext"/>
              <w:ind w:left="284" w:hanging="284"/>
              <w:rPr>
                <w:rFonts w:cs="Times New Roman"/>
                <w:lang w:val="es-ES_tradnl"/>
              </w:rPr>
            </w:pPr>
            <w:r w:rsidRPr="00DF5B4D">
              <w:rPr>
                <w:lang w:val="es-ES_tradnl"/>
              </w:rPr>
              <w:t>•</w:t>
            </w:r>
            <w:r w:rsidRPr="00DF5B4D">
              <w:rPr>
                <w:rFonts w:cs="Times New Roman"/>
                <w:lang w:val="es-ES_tradnl"/>
              </w:rPr>
              <w:tab/>
              <w:t xml:space="preserve">Mejora de los conocimientos técnicos de 10 países mediante la impartición de </w:t>
            </w:r>
            <w:proofErr w:type="spellStart"/>
            <w:r w:rsidRPr="00DF5B4D">
              <w:rPr>
                <w:rFonts w:cs="Times New Roman"/>
                <w:lang w:val="es-ES_tradnl"/>
              </w:rPr>
              <w:t>GovStack</w:t>
            </w:r>
            <w:proofErr w:type="spellEnd"/>
            <w:r w:rsidRPr="00DF5B4D">
              <w:rPr>
                <w:rFonts w:cs="Times New Roman"/>
                <w:lang w:val="es-ES_tradnl"/>
              </w:rPr>
              <w:t xml:space="preserve"> y formación sobre el enfoque de todo el gobierno.</w:t>
            </w:r>
          </w:p>
          <w:p w14:paraId="71C07B0E" w14:textId="77777777" w:rsidR="00224990" w:rsidRPr="00DF5B4D" w:rsidRDefault="00224990" w:rsidP="00EE6B0B">
            <w:pPr>
              <w:pStyle w:val="Tabletext"/>
              <w:ind w:left="284" w:hanging="284"/>
              <w:rPr>
                <w:lang w:val="es-ES_tradnl"/>
              </w:rPr>
            </w:pPr>
            <w:r w:rsidRPr="00DF5B4D">
              <w:rPr>
                <w:lang w:val="es-ES_tradnl"/>
              </w:rPr>
              <w:t>•</w:t>
            </w:r>
            <w:r w:rsidRPr="00DF5B4D">
              <w:rPr>
                <w:lang w:val="es-ES_tradnl"/>
              </w:rPr>
              <w:tab/>
              <w:t xml:space="preserve">La UIT reforzó los compromisos de alto nivel para acelerar la transformación digital durante el primero Diálogo Ministerial Digital sobre las TIC en el Pacífico (Declaración de </w:t>
            </w:r>
            <w:proofErr w:type="spellStart"/>
            <w:r w:rsidRPr="00DF5B4D">
              <w:rPr>
                <w:lang w:val="es-ES_tradnl"/>
              </w:rPr>
              <w:t>Lagatoi</w:t>
            </w:r>
            <w:proofErr w:type="spellEnd"/>
            <w:r w:rsidRPr="00DF5B4D">
              <w:rPr>
                <w:lang w:val="es-ES_tradnl"/>
              </w:rPr>
              <w:t xml:space="preserve">) </w:t>
            </w:r>
          </w:p>
          <w:p w14:paraId="003DBDBA" w14:textId="77777777" w:rsidR="00224990" w:rsidRPr="00DF5B4D" w:rsidRDefault="00224990" w:rsidP="00EE6B0B">
            <w:pPr>
              <w:pStyle w:val="Tabletext"/>
              <w:ind w:left="284" w:hanging="284"/>
              <w:rPr>
                <w:lang w:val="es-ES_tradnl"/>
              </w:rPr>
            </w:pPr>
            <w:r w:rsidRPr="00DF5B4D">
              <w:rPr>
                <w:lang w:val="es-ES_tradnl"/>
              </w:rPr>
              <w:t>•</w:t>
            </w:r>
            <w:r w:rsidRPr="00DF5B4D">
              <w:rPr>
                <w:lang w:val="es-ES_tradnl"/>
              </w:rPr>
              <w:tab/>
              <w:t>Asociación de múltiples partes interesadas para promover actividades en el ámbito de las competencias digitales, la seguridad digital, la cultura digital y la ética digital en Indonesia.</w:t>
            </w:r>
          </w:p>
          <w:p w14:paraId="5BA442F0" w14:textId="77777777" w:rsidR="00224990" w:rsidRPr="00DF5B4D" w:rsidRDefault="00224990" w:rsidP="00EE6B0B">
            <w:pPr>
              <w:pStyle w:val="Tabletext"/>
              <w:ind w:left="284" w:hanging="284"/>
              <w:rPr>
                <w:szCs w:val="20"/>
                <w:lang w:val="es-ES_tradnl"/>
              </w:rPr>
            </w:pPr>
            <w:r w:rsidRPr="00DF5B4D">
              <w:rPr>
                <w:lang w:val="es-ES_tradnl"/>
              </w:rPr>
              <w:lastRenderedPageBreak/>
              <w:t>•</w:t>
            </w:r>
            <w:r w:rsidRPr="00DF5B4D">
              <w:rPr>
                <w:lang w:val="es-ES_tradnl"/>
              </w:rPr>
              <w:tab/>
              <w:t>La UIT sigue ejecutando programas conjuntos en Asia y el Pacífico: Acelerar los logros de los ODS a través de la transformación digital para reforzar la resiliencia de las comunidades en Micronesia; y promover los ODS mejorando los medios de subsistencia y la resiliencia a través de la diversificación económica y la transformación digital.</w:t>
            </w:r>
          </w:p>
          <w:p w14:paraId="47A8DE22" w14:textId="77777777" w:rsidR="00224990" w:rsidRPr="00DF5B4D" w:rsidRDefault="00224990" w:rsidP="00711BF7">
            <w:pPr>
              <w:pStyle w:val="Tabletext"/>
              <w:rPr>
                <w:lang w:val="es-ES_tradnl"/>
              </w:rPr>
            </w:pPr>
            <w:r w:rsidRPr="00DF5B4D">
              <w:rPr>
                <w:b/>
                <w:bCs/>
                <w:lang w:val="es-ES_tradnl"/>
              </w:rPr>
              <w:t>CEI:</w:t>
            </w:r>
          </w:p>
          <w:p w14:paraId="43AEF973" w14:textId="252DF2AB" w:rsidR="00224990" w:rsidRPr="00DF5B4D" w:rsidRDefault="00430F75" w:rsidP="00711BF7">
            <w:pPr>
              <w:pStyle w:val="Tabletext"/>
              <w:ind w:left="284" w:hanging="284"/>
              <w:rPr>
                <w:rFonts w:eastAsia="Calibri" w:cs="Times New Roman"/>
                <w:lang w:val="es-ES_tradnl"/>
              </w:rPr>
            </w:pPr>
            <w:r w:rsidRPr="00430F75">
              <w:rPr>
                <w:rFonts w:eastAsia="Calibri"/>
                <w:lang w:val="es-ES_tradnl"/>
              </w:rPr>
              <w:t>•</w:t>
            </w:r>
            <w:r w:rsidR="00224990" w:rsidRPr="00DF5B4D">
              <w:rPr>
                <w:rFonts w:eastAsia="Calibri" w:cs="Times New Roman"/>
                <w:lang w:val="es-ES_tradnl"/>
              </w:rPr>
              <w:tab/>
              <w:t>Más de 120 estudiantes universitarios recibieron formación sobre creación y aceleración de empresas emergentes en Armenia, Kazajstán y Rusia.</w:t>
            </w:r>
          </w:p>
          <w:p w14:paraId="2AA48E70"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Protección de la infancia en línea en Armenia: apoyo a la formación de más de 340 educadores, padres y estudiantes, campaña con más de 23 000 espectadores, 7 805 estudiantes encuestados, diálogo político que desembocó en la elaboración de un plan nacional.</w:t>
            </w:r>
          </w:p>
          <w:p w14:paraId="05F93A7B"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 xml:space="preserve">La UIT es miembro de los Equipos de Países las </w:t>
            </w:r>
            <w:r w:rsidRPr="00DF5B4D">
              <w:rPr>
                <w:lang w:val="es-ES_tradnl"/>
              </w:rPr>
              <w:lastRenderedPageBreak/>
              <w:t xml:space="preserve">Naciones Unidas en </w:t>
            </w:r>
            <w:proofErr w:type="spellStart"/>
            <w:r w:rsidRPr="00DF5B4D">
              <w:rPr>
                <w:lang w:val="es-ES_tradnl"/>
              </w:rPr>
              <w:t>Belarús</w:t>
            </w:r>
            <w:proofErr w:type="spellEnd"/>
            <w:r w:rsidRPr="00DF5B4D">
              <w:rPr>
                <w:lang w:val="es-ES_tradnl"/>
              </w:rPr>
              <w:t>, Kazajstán, Kirguistán, Rusia y Uzbekistán. Los proyectos de asistencia técnica y los eventos de desarrollo de capacidades de la UIT se reflejan en el portal de datos de los ODS de las Naciones Unidas.</w:t>
            </w:r>
          </w:p>
          <w:p w14:paraId="4545215A"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 xml:space="preserve">550 representantes de administraciones municipales y regionales de </w:t>
            </w:r>
            <w:proofErr w:type="spellStart"/>
            <w:r w:rsidRPr="00DF5B4D">
              <w:rPr>
                <w:lang w:val="es-ES_tradnl"/>
              </w:rPr>
              <w:t>Belarús</w:t>
            </w:r>
            <w:proofErr w:type="spellEnd"/>
            <w:r w:rsidRPr="00DF5B4D">
              <w:rPr>
                <w:lang w:val="es-ES_tradnl"/>
              </w:rPr>
              <w:t xml:space="preserve"> mejoraron sus competencias en la aplicación de soluciones inteligentes para ciudades inteligentes.</w:t>
            </w:r>
          </w:p>
          <w:p w14:paraId="081D5B08" w14:textId="77777777" w:rsidR="00224990" w:rsidRPr="00DF5B4D" w:rsidRDefault="00224990" w:rsidP="00711BF7">
            <w:pPr>
              <w:pStyle w:val="Tabletext"/>
              <w:rPr>
                <w:b/>
                <w:bCs/>
                <w:lang w:val="es-ES_tradnl"/>
              </w:rPr>
            </w:pPr>
            <w:r w:rsidRPr="00DF5B4D">
              <w:rPr>
                <w:b/>
                <w:bCs/>
                <w:lang w:val="es-ES_tradnl"/>
              </w:rPr>
              <w:t>Europa:</w:t>
            </w:r>
          </w:p>
          <w:p w14:paraId="6939F382" w14:textId="1DB9D9A7" w:rsidR="00224990" w:rsidRPr="00DF5B4D" w:rsidRDefault="00224990" w:rsidP="00711BF7">
            <w:pPr>
              <w:pStyle w:val="Tabletext"/>
              <w:ind w:left="284" w:hanging="284"/>
              <w:rPr>
                <w:lang w:val="es-ES_tradnl"/>
              </w:rPr>
            </w:pPr>
            <w:r w:rsidRPr="00DF5B4D">
              <w:rPr>
                <w:b/>
                <w:bCs/>
                <w:lang w:val="es-ES_tradnl"/>
              </w:rPr>
              <w:t>•</w:t>
            </w:r>
            <w:r w:rsidRPr="00DF5B4D">
              <w:rPr>
                <w:b/>
                <w:bCs/>
                <w:lang w:val="es-ES_tradnl"/>
              </w:rPr>
              <w:tab/>
            </w:r>
            <w:hyperlink r:id="rId95" w:history="1">
              <w:r w:rsidRPr="0098281B">
                <w:rPr>
                  <w:rStyle w:val="Hyperlink"/>
                  <w:b/>
                  <w:bCs/>
                  <w:lang w:val="es-ES_tradnl"/>
                </w:rPr>
                <w:t>FDR-EUR</w:t>
              </w:r>
            </w:hyperlink>
            <w:r w:rsidRPr="00DF5B4D">
              <w:rPr>
                <w:lang w:val="es-ES_tradnl"/>
              </w:rPr>
              <w:t>: anuncio de 109 contribuciones EUR convertidas en P2C.</w:t>
            </w:r>
          </w:p>
          <w:p w14:paraId="6F3FA581"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 xml:space="preserve">Refuerzo de la colaboración con la Comisión Europea, ORECE, </w:t>
            </w:r>
            <w:proofErr w:type="spellStart"/>
            <w:r w:rsidRPr="00DF5B4D">
              <w:rPr>
                <w:lang w:val="es-ES_tradnl"/>
              </w:rPr>
              <w:t>EaPeReg</w:t>
            </w:r>
            <w:proofErr w:type="spellEnd"/>
            <w:r w:rsidRPr="00DF5B4D">
              <w:rPr>
                <w:lang w:val="es-ES_tradnl"/>
              </w:rPr>
              <w:t xml:space="preserve"> y EMERG</w:t>
            </w:r>
          </w:p>
          <w:p w14:paraId="77BD398D"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Asistencia técnica a nueve países.</w:t>
            </w:r>
          </w:p>
          <w:p w14:paraId="3155C172"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Asistencia especial a Ucrania en respuesta a la Resolución 1408 del Consejo de la UIT.</w:t>
            </w:r>
          </w:p>
          <w:p w14:paraId="41EB098E"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 xml:space="preserve">Copresidencia del Grupo de Transformación Digital de las Naciones Unidas </w:t>
            </w:r>
            <w:r w:rsidRPr="00DF5B4D">
              <w:rPr>
                <w:lang w:val="es-ES_tradnl"/>
              </w:rPr>
              <w:lastRenderedPageBreak/>
              <w:t>para Europa y Europa Central, Copresidencia del Grupo de Trabajo de Bruselas de las Naciones Unidas sobre Digitalización para el Desarrollo Sostenible y Copresidencia de los Equipos de Trabajo sobre Transición Digital en el marco de los Equipos de Países de las Naciones Unidas.</w:t>
            </w:r>
          </w:p>
          <w:p w14:paraId="70DA6FF0" w14:textId="77777777" w:rsidR="00224990" w:rsidRPr="00DF5B4D" w:rsidRDefault="00224990" w:rsidP="00711BF7">
            <w:pPr>
              <w:pStyle w:val="Tabletext"/>
              <w:ind w:left="284" w:hanging="284"/>
              <w:rPr>
                <w:lang w:val="es-ES_tradnl"/>
              </w:rPr>
            </w:pPr>
            <w:r w:rsidRPr="00DF5B4D">
              <w:rPr>
                <w:lang w:val="es-ES_tradnl"/>
              </w:rPr>
              <w:t>•</w:t>
            </w:r>
            <w:r w:rsidRPr="00DF5B4D">
              <w:rPr>
                <w:lang w:val="es-ES_tradnl"/>
              </w:rPr>
              <w:tab/>
              <w:t>Europa Accesible: TIC para TODOS – 400 partes interesadas de 50 países.</w:t>
            </w:r>
          </w:p>
          <w:p w14:paraId="070544D9" w14:textId="77777777" w:rsidR="00224990" w:rsidRPr="00DF5B4D" w:rsidRDefault="00224990" w:rsidP="00056B55">
            <w:pPr>
              <w:rPr>
                <w:b/>
                <w:bCs/>
                <w:sz w:val="22"/>
                <w:lang w:val="es-ES_tradnl"/>
              </w:rPr>
            </w:pPr>
          </w:p>
        </w:tc>
      </w:tr>
      <w:tr w:rsidR="00224990" w:rsidRPr="00DF5B4D" w14:paraId="73E2553C" w14:textId="77777777" w:rsidTr="00056B55">
        <w:tc>
          <w:tcPr>
            <w:tcW w:w="2790" w:type="dxa"/>
          </w:tcPr>
          <w:p w14:paraId="552C0D5A" w14:textId="77777777" w:rsidR="00224990" w:rsidRPr="00DF5B4D" w:rsidRDefault="00224990" w:rsidP="00A874E9">
            <w:pPr>
              <w:pStyle w:val="Tabletext"/>
              <w:rPr>
                <w:rFonts w:ascii="Avenir Next LT Pro" w:hAnsi="Avenir Next LT Pro" w:cs="Calibri"/>
                <w:b/>
                <w:bCs/>
                <w:i/>
                <w:iCs/>
                <w:color w:val="000000"/>
                <w:lang w:val="es-ES_tradnl"/>
              </w:rPr>
            </w:pPr>
            <w:r w:rsidRPr="00DF5B4D">
              <w:rPr>
                <w:b/>
                <w:bCs/>
                <w:lang w:val="es-ES_tradnl"/>
              </w:rPr>
              <w:lastRenderedPageBreak/>
              <w:t>Contribución a las metas de los ODS</w:t>
            </w:r>
          </w:p>
        </w:tc>
        <w:tc>
          <w:tcPr>
            <w:tcW w:w="12060" w:type="dxa"/>
            <w:gridSpan w:val="2"/>
          </w:tcPr>
          <w:p w14:paraId="16090A71" w14:textId="77777777" w:rsidR="00224990" w:rsidRPr="00DF5B4D" w:rsidRDefault="00224990" w:rsidP="00A874E9">
            <w:pPr>
              <w:pStyle w:val="Tabletext"/>
              <w:rPr>
                <w:lang w:val="es-ES_tradnl"/>
              </w:rPr>
            </w:pPr>
            <w:r w:rsidRPr="00DF5B4D">
              <w:rPr>
                <w:lang w:val="es-ES_tradnl"/>
              </w:rPr>
              <w:t>ODS 1, 3, 4, 5, 8, 9, 10, 11, 16, 17</w:t>
            </w:r>
          </w:p>
        </w:tc>
      </w:tr>
      <w:tr w:rsidR="00224990" w:rsidRPr="00DF5B4D" w14:paraId="0DE3C754" w14:textId="77777777" w:rsidTr="00056B55">
        <w:tc>
          <w:tcPr>
            <w:tcW w:w="2790" w:type="dxa"/>
          </w:tcPr>
          <w:p w14:paraId="4CECC3E0" w14:textId="77777777" w:rsidR="00224990" w:rsidRPr="00DF5B4D" w:rsidRDefault="00224990" w:rsidP="00A874E9">
            <w:pPr>
              <w:pStyle w:val="Tabletext"/>
              <w:rPr>
                <w:b/>
                <w:bCs/>
                <w:lang w:val="es-ES_tradnl"/>
              </w:rPr>
            </w:pPr>
            <w:r w:rsidRPr="00DF5B4D">
              <w:rPr>
                <w:b/>
                <w:bCs/>
                <w:lang w:val="es-ES_tradnl"/>
              </w:rPr>
              <w:t>Líneas de Acción de la CMSI</w:t>
            </w:r>
          </w:p>
        </w:tc>
        <w:tc>
          <w:tcPr>
            <w:tcW w:w="12060" w:type="dxa"/>
            <w:gridSpan w:val="2"/>
          </w:tcPr>
          <w:p w14:paraId="32234390" w14:textId="77777777" w:rsidR="00224990" w:rsidRPr="00DF5B4D" w:rsidRDefault="00224990" w:rsidP="00A874E9">
            <w:pPr>
              <w:pStyle w:val="Tabletext"/>
              <w:rPr>
                <w:lang w:val="es-ES_tradnl"/>
              </w:rPr>
            </w:pPr>
            <w:r w:rsidRPr="00DF5B4D">
              <w:rPr>
                <w:lang w:val="es-ES_tradnl"/>
              </w:rPr>
              <w:t>C1, C2, C3, C4, C5, C6, C7, C11</w:t>
            </w:r>
          </w:p>
        </w:tc>
      </w:tr>
      <w:tr w:rsidR="00224990" w:rsidRPr="00DF5B4D" w14:paraId="4070A364" w14:textId="77777777" w:rsidTr="00056B55">
        <w:tc>
          <w:tcPr>
            <w:tcW w:w="2790" w:type="dxa"/>
          </w:tcPr>
          <w:p w14:paraId="76629716" w14:textId="77777777" w:rsidR="00224990" w:rsidRPr="00DF5B4D" w:rsidRDefault="00224990" w:rsidP="00A874E9">
            <w:pPr>
              <w:pStyle w:val="Tabletext"/>
              <w:rPr>
                <w:b/>
                <w:bCs/>
                <w:lang w:val="es-ES_tradnl"/>
              </w:rPr>
            </w:pPr>
            <w:r w:rsidRPr="00DF5B4D">
              <w:rPr>
                <w:b/>
                <w:bCs/>
                <w:lang w:val="es-ES_tradnl"/>
              </w:rPr>
              <w:t>Resoluciones:</w:t>
            </w:r>
          </w:p>
        </w:tc>
        <w:tc>
          <w:tcPr>
            <w:tcW w:w="12060" w:type="dxa"/>
            <w:gridSpan w:val="2"/>
          </w:tcPr>
          <w:p w14:paraId="3F4B2253" w14:textId="77777777" w:rsidR="00224990" w:rsidRPr="00DF5B4D" w:rsidRDefault="00224990" w:rsidP="00A874E9">
            <w:pPr>
              <w:pStyle w:val="Tabletext"/>
              <w:rPr>
                <w:lang w:val="es-ES_tradnl"/>
              </w:rPr>
            </w:pPr>
            <w:r w:rsidRPr="00DF5B4D">
              <w:rPr>
                <w:lang w:val="es-ES_tradnl"/>
              </w:rPr>
              <w:t>CMDT 16</w:t>
            </w:r>
          </w:p>
        </w:tc>
      </w:tr>
    </w:tbl>
    <w:p w14:paraId="3C3919FB" w14:textId="77777777" w:rsidR="00224990" w:rsidRPr="00DF5B4D" w:rsidRDefault="00224990" w:rsidP="003847BE">
      <w:pPr>
        <w:rPr>
          <w:lang w:val="es-ES_tradnl"/>
        </w:rPr>
      </w:pPr>
    </w:p>
    <w:tbl>
      <w:tblPr>
        <w:tblStyle w:val="TableGrid9"/>
        <w:tblW w:w="15030" w:type="dxa"/>
        <w:tblInd w:w="-5" w:type="dxa"/>
        <w:tblLayout w:type="fixed"/>
        <w:tblLook w:val="04A0" w:firstRow="1" w:lastRow="0" w:firstColumn="1" w:lastColumn="0" w:noHBand="0" w:noVBand="1"/>
      </w:tblPr>
      <w:tblGrid>
        <w:gridCol w:w="2790"/>
        <w:gridCol w:w="9360"/>
        <w:gridCol w:w="2880"/>
      </w:tblGrid>
      <w:tr w:rsidR="00224990" w:rsidRPr="00B6045A" w14:paraId="27FEA81D" w14:textId="77777777" w:rsidTr="00056B55">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75A6862D" w14:textId="77777777" w:rsidR="00224990" w:rsidRPr="00DF5B4D" w:rsidRDefault="00224990" w:rsidP="003D1FB0">
            <w:pPr>
              <w:pStyle w:val="Tablehead"/>
              <w:rPr>
                <w:lang w:val="es-ES_tradnl"/>
              </w:rPr>
            </w:pPr>
            <w:r w:rsidRPr="00DF5B4D">
              <w:rPr>
                <w:lang w:val="es-ES_tradnl"/>
              </w:rPr>
              <w:t>Factor habilitador 3 de la UIT-D: Diversidad e inclusión</w:t>
            </w:r>
          </w:p>
          <w:p w14:paraId="10765DF1" w14:textId="5686035B" w:rsidR="00224990" w:rsidRPr="00DF5B4D" w:rsidRDefault="00224990" w:rsidP="003D1FB0">
            <w:pPr>
              <w:pStyle w:val="Tablehead"/>
              <w:rPr>
                <w:i/>
                <w:iCs/>
                <w:lang w:val="es-ES_tradnl"/>
              </w:rPr>
            </w:pPr>
            <w:r w:rsidRPr="00DF5B4D">
              <w:rPr>
                <w:i/>
                <w:iCs/>
                <w:lang w:val="es-ES_tradnl"/>
              </w:rPr>
              <w:t xml:space="preserve">Desarrollo de estrategias y soluciones </w:t>
            </w:r>
            <w:r w:rsidR="0098281B" w:rsidRPr="0098281B">
              <w:rPr>
                <w:i/>
                <w:iCs/>
                <w:lang w:val="es-ES_tradnl"/>
              </w:rPr>
              <w:t>en materia de inclusión digital</w:t>
            </w:r>
          </w:p>
        </w:tc>
      </w:tr>
      <w:tr w:rsidR="00224990" w:rsidRPr="00B6045A" w14:paraId="3E616AD1" w14:textId="77777777" w:rsidTr="00056B55">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6F8437E6" w14:textId="77777777" w:rsidR="00224990" w:rsidRPr="00DF5B4D" w:rsidRDefault="00224990" w:rsidP="003D1FB0">
            <w:pPr>
              <w:pStyle w:val="Tabletext"/>
              <w:rPr>
                <w:b/>
                <w:bCs/>
                <w:i/>
                <w:iCs/>
                <w:color w:val="FFFFFF" w:themeColor="background1"/>
                <w:lang w:val="es-ES_tradnl"/>
              </w:rPr>
            </w:pPr>
            <w:r w:rsidRPr="00DF5B4D">
              <w:rPr>
                <w:b/>
                <w:bCs/>
                <w:i/>
                <w:iCs/>
                <w:lang w:val="es-ES_tradnl"/>
              </w:rPr>
              <w:t xml:space="preserve">Realización: </w:t>
            </w:r>
            <w:r w:rsidRPr="00DF5B4D">
              <w:rPr>
                <w:i/>
                <w:iCs/>
                <w:lang w:val="es-ES_tradnl"/>
              </w:rPr>
              <w:t>Refuerzo de la capacidad de los miembros de la UIT para elaborar estrategias, políticas y prácticas que favorezcan la inclusión digital y la equidad, en particular el empoderamiento de las mujeres y las niñas, las personas con discapacidad y las personas con necesidades especiales y los hogares con bajos ingresos</w:t>
            </w:r>
          </w:p>
        </w:tc>
      </w:tr>
      <w:tr w:rsidR="00224990" w:rsidRPr="00DF5B4D" w14:paraId="6E4F3DC9" w14:textId="77777777" w:rsidTr="00056B55">
        <w:tc>
          <w:tcPr>
            <w:tcW w:w="12150" w:type="dxa"/>
            <w:gridSpan w:val="2"/>
            <w:tcBorders>
              <w:top w:val="dotted" w:sz="4" w:space="0" w:color="0070C0"/>
              <w:left w:val="dotted" w:sz="4" w:space="0" w:color="0070C0"/>
              <w:bottom w:val="dotted" w:sz="4" w:space="0" w:color="0070C0"/>
              <w:right w:val="dotted" w:sz="4" w:space="0" w:color="0070C0"/>
            </w:tcBorders>
          </w:tcPr>
          <w:p w14:paraId="3A4B9BEF" w14:textId="77777777" w:rsidR="00224990" w:rsidRPr="00DF5B4D" w:rsidRDefault="00224990" w:rsidP="003D1FB0">
            <w:pPr>
              <w:pStyle w:val="Tablehead"/>
              <w:rPr>
                <w:rFonts w:cs="Times New Roman"/>
                <w:lang w:val="es-ES_tradnl"/>
              </w:rPr>
            </w:pPr>
            <w:r w:rsidRPr="00DF5B4D">
              <w:rPr>
                <w:lang w:val="es-ES_tradnl"/>
              </w:rPr>
              <w:t>Productos</w:t>
            </w:r>
          </w:p>
        </w:tc>
        <w:tc>
          <w:tcPr>
            <w:tcW w:w="2880" w:type="dxa"/>
            <w:tcBorders>
              <w:top w:val="dotted" w:sz="4" w:space="0" w:color="0070C0"/>
              <w:left w:val="dotted" w:sz="4" w:space="0" w:color="0070C0"/>
              <w:bottom w:val="dotted" w:sz="4" w:space="0" w:color="0070C0"/>
              <w:right w:val="dotted" w:sz="4" w:space="0" w:color="0070C0"/>
            </w:tcBorders>
          </w:tcPr>
          <w:p w14:paraId="01A9E8A9" w14:textId="77777777" w:rsidR="00224990" w:rsidRPr="00DF5B4D" w:rsidRDefault="00224990" w:rsidP="003D1FB0">
            <w:pPr>
              <w:pStyle w:val="Tablehead"/>
              <w:rPr>
                <w:rFonts w:cs="Times New Roman"/>
                <w:lang w:val="es-ES_tradnl"/>
              </w:rPr>
            </w:pPr>
            <w:r w:rsidRPr="00DF5B4D">
              <w:rPr>
                <w:lang w:val="es-ES_tradnl"/>
              </w:rPr>
              <w:t xml:space="preserve">Datos destacados </w:t>
            </w:r>
          </w:p>
        </w:tc>
      </w:tr>
      <w:tr w:rsidR="00224990" w:rsidRPr="00B6045A" w14:paraId="65789BC2" w14:textId="77777777" w:rsidTr="00056B55">
        <w:tc>
          <w:tcPr>
            <w:tcW w:w="12150" w:type="dxa"/>
            <w:gridSpan w:val="2"/>
            <w:tcBorders>
              <w:top w:val="dotted" w:sz="4" w:space="0" w:color="0070C0"/>
              <w:left w:val="dotted" w:sz="4" w:space="0" w:color="0070C0"/>
              <w:bottom w:val="dotted" w:sz="4" w:space="0" w:color="0070C0"/>
              <w:right w:val="dotted" w:sz="4" w:space="0" w:color="0070C0"/>
            </w:tcBorders>
          </w:tcPr>
          <w:p w14:paraId="7102302B" w14:textId="77777777" w:rsidR="00224990" w:rsidRPr="00DF5B4D" w:rsidRDefault="00224990" w:rsidP="003D1FB0">
            <w:pPr>
              <w:pStyle w:val="Tabletext"/>
              <w:rPr>
                <w:lang w:val="es-ES_tradnl"/>
              </w:rPr>
            </w:pPr>
            <w:r w:rsidRPr="00DF5B4D">
              <w:rPr>
                <w:lang w:val="es-ES_tradnl"/>
              </w:rPr>
              <w:t xml:space="preserve">A nivel político, </w:t>
            </w:r>
            <w:r w:rsidRPr="00DF5B4D">
              <w:rPr>
                <w:b/>
                <w:bCs/>
                <w:lang w:val="es-ES_tradnl"/>
              </w:rPr>
              <w:t>se reforzó la capacidad de los Estados Miembros y los responsables políticos para diseñar y aplicar políticas, así como estrategias de inclusión digital</w:t>
            </w:r>
            <w:r w:rsidRPr="00DF5B4D">
              <w:rPr>
                <w:lang w:val="es-ES_tradnl"/>
              </w:rPr>
              <w:t>; se organizaron talleres sobre la integración de la perspectiva de género en las políticas digitales, de los que se beneficiaron 28 países y 370 responsables políticos. En abril de 2024, se puso en marcha una formación a su propio ritmo en la Academia de la UIT, así como un micrositio.</w:t>
            </w:r>
          </w:p>
          <w:p w14:paraId="7BFED96E" w14:textId="26AC0117" w:rsidR="00224990" w:rsidRPr="00DF5B4D" w:rsidRDefault="00224990" w:rsidP="003D1FB0">
            <w:pPr>
              <w:pStyle w:val="Tabletext"/>
              <w:rPr>
                <w:lang w:val="es-ES_tradnl"/>
              </w:rPr>
            </w:pPr>
            <w:r w:rsidRPr="00DF5B4D">
              <w:rPr>
                <w:lang w:val="es-ES_tradnl"/>
              </w:rPr>
              <w:t xml:space="preserve">Las </w:t>
            </w:r>
            <w:r w:rsidRPr="00DF5B4D">
              <w:rPr>
                <w:b/>
                <w:bCs/>
                <w:lang w:val="es-ES_tradnl"/>
              </w:rPr>
              <w:t>celebraciones de las niñas en las TIC</w:t>
            </w:r>
            <w:r w:rsidRPr="00DF5B4D">
              <w:rPr>
                <w:lang w:val="es-ES_tradnl"/>
              </w:rPr>
              <w:t xml:space="preserve"> se extendieron por todo el mundo y culminaron en noviembre de 2023 en las islas del Pacífico. Este año, Filipinas acogió la celebración internacional el 25 de abril bajo el tema de</w:t>
            </w:r>
            <w:r w:rsidR="0098281B">
              <w:rPr>
                <w:lang w:val="es-ES_tradnl"/>
              </w:rPr>
              <w:t>l</w:t>
            </w:r>
            <w:r w:rsidRPr="00DF5B4D">
              <w:rPr>
                <w:lang w:val="es-ES_tradnl"/>
              </w:rPr>
              <w:t xml:space="preserve"> </w:t>
            </w:r>
            <w:r>
              <w:rPr>
                <w:lang w:val="es-ES_tradnl"/>
              </w:rPr>
              <w:t>"</w:t>
            </w:r>
            <w:r w:rsidRPr="00DF5B4D">
              <w:rPr>
                <w:lang w:val="es-ES_tradnl"/>
              </w:rPr>
              <w:t>Liderazgo</w:t>
            </w:r>
            <w:r>
              <w:rPr>
                <w:lang w:val="es-ES_tradnl"/>
              </w:rPr>
              <w:t>"</w:t>
            </w:r>
            <w:r w:rsidRPr="00DF5B4D">
              <w:rPr>
                <w:lang w:val="es-ES_tradnl"/>
              </w:rPr>
              <w:t xml:space="preserve"> y se celebró un taller sobre las Niñas en las TIC en Ginebra durante las reuniones del Grupo de Relator de la Comisión de Estudio 1 del UIT-D, del 15 al 26 de abril de 2024.</w:t>
            </w:r>
            <w:r w:rsidR="0098281B" w:rsidRPr="0098281B">
              <w:rPr>
                <w:lang w:val="es-ES"/>
              </w:rPr>
              <w:t xml:space="preserve"> </w:t>
            </w:r>
            <w:r w:rsidR="0098281B" w:rsidRPr="0098281B">
              <w:rPr>
                <w:lang w:val="es-ES_tradnl"/>
              </w:rPr>
              <w:t xml:space="preserve">También se celebraron </w:t>
            </w:r>
            <w:r w:rsidR="0098281B">
              <w:rPr>
                <w:lang w:val="es-ES_tradnl"/>
              </w:rPr>
              <w:t>eventos</w:t>
            </w:r>
            <w:r w:rsidR="0098281B" w:rsidRPr="0098281B">
              <w:rPr>
                <w:lang w:val="es-ES_tradnl"/>
              </w:rPr>
              <w:t xml:space="preserve"> nacionales </w:t>
            </w:r>
            <w:r w:rsidR="00F85857" w:rsidRPr="0098281B">
              <w:rPr>
                <w:lang w:val="es-ES_tradnl"/>
              </w:rPr>
              <w:t xml:space="preserve">y regionales </w:t>
            </w:r>
            <w:r w:rsidR="0098281B" w:rsidRPr="0098281B">
              <w:rPr>
                <w:lang w:val="es-ES_tradnl"/>
              </w:rPr>
              <w:t>en todo el mundo</w:t>
            </w:r>
            <w:r w:rsidRPr="00DF5B4D">
              <w:rPr>
                <w:lang w:val="es-ES_tradnl"/>
              </w:rPr>
              <w:t xml:space="preserve">. En 2024, la Red de Mujeres </w:t>
            </w:r>
            <w:r w:rsidR="0098281B">
              <w:rPr>
                <w:lang w:val="es-ES_tradnl"/>
              </w:rPr>
              <w:t>d</w:t>
            </w:r>
            <w:r w:rsidRPr="00DF5B4D">
              <w:rPr>
                <w:lang w:val="es-ES_tradnl"/>
              </w:rPr>
              <w:t xml:space="preserve">el UIT-D </w:t>
            </w:r>
            <w:r w:rsidR="0098281B" w:rsidRPr="0098281B">
              <w:rPr>
                <w:lang w:val="es-ES_tradnl"/>
              </w:rPr>
              <w:t xml:space="preserve">seguirá reuniéndose e intercambiando </w:t>
            </w:r>
            <w:r w:rsidR="0098281B">
              <w:rPr>
                <w:lang w:val="es-ES_tradnl"/>
              </w:rPr>
              <w:t>puntos de vista</w:t>
            </w:r>
            <w:r w:rsidR="0098281B" w:rsidRPr="0098281B">
              <w:rPr>
                <w:lang w:val="es-ES_tradnl"/>
              </w:rPr>
              <w:t xml:space="preserve"> sobre el género </w:t>
            </w:r>
            <w:r w:rsidR="0098281B">
              <w:rPr>
                <w:lang w:val="es-ES_tradnl"/>
              </w:rPr>
              <w:t xml:space="preserve">con el objetivo de reducir </w:t>
            </w:r>
            <w:r w:rsidR="0098281B" w:rsidRPr="0098281B">
              <w:rPr>
                <w:lang w:val="es-ES_tradnl"/>
              </w:rPr>
              <w:t>la brecha digital de género, principalmente</w:t>
            </w:r>
            <w:r w:rsidR="0098281B">
              <w:rPr>
                <w:lang w:val="es-ES_tradnl"/>
              </w:rPr>
              <w:t>,</w:t>
            </w:r>
            <w:r w:rsidR="0098281B" w:rsidRPr="0098281B">
              <w:rPr>
                <w:lang w:val="es-ES_tradnl"/>
              </w:rPr>
              <w:t xml:space="preserve"> en el </w:t>
            </w:r>
            <w:r w:rsidR="0098281B">
              <w:rPr>
                <w:lang w:val="es-ES_tradnl"/>
              </w:rPr>
              <w:t xml:space="preserve">marco del </w:t>
            </w:r>
            <w:r w:rsidR="0098281B" w:rsidRPr="0098281B">
              <w:rPr>
                <w:lang w:val="es-ES_tradnl"/>
              </w:rPr>
              <w:t>GADT-24 y el GSR-24</w:t>
            </w:r>
            <w:r w:rsidRPr="00DF5B4D">
              <w:rPr>
                <w:lang w:val="es-ES_tradnl"/>
              </w:rPr>
              <w:t>.</w:t>
            </w:r>
          </w:p>
          <w:p w14:paraId="7AE83BE1" w14:textId="4A24189D" w:rsidR="00224990" w:rsidRPr="00DF5B4D" w:rsidRDefault="00224990" w:rsidP="003D1FB0">
            <w:pPr>
              <w:pStyle w:val="Tabletext"/>
              <w:rPr>
                <w:lang w:val="es-ES_tradnl"/>
              </w:rPr>
            </w:pPr>
            <w:r w:rsidRPr="00DF5B4D">
              <w:rPr>
                <w:lang w:val="es-ES_tradnl"/>
              </w:rPr>
              <w:t xml:space="preserve">La </w:t>
            </w:r>
            <w:r w:rsidR="0098281B">
              <w:rPr>
                <w:lang w:val="es-ES_tradnl"/>
              </w:rPr>
              <w:t>BDT</w:t>
            </w:r>
            <w:r w:rsidR="0098281B" w:rsidRPr="00DF5B4D">
              <w:rPr>
                <w:lang w:val="es-ES_tradnl"/>
              </w:rPr>
              <w:t xml:space="preserve"> </w:t>
            </w:r>
            <w:r w:rsidRPr="00DF5B4D">
              <w:rPr>
                <w:lang w:val="es-ES_tradnl"/>
              </w:rPr>
              <w:t xml:space="preserve">contribuyó a </w:t>
            </w:r>
            <w:r w:rsidRPr="00DF5B4D">
              <w:rPr>
                <w:b/>
                <w:bCs/>
                <w:lang w:val="es-ES_tradnl"/>
              </w:rPr>
              <w:t>aumentar la capacidad de los usuarios finales y las personas a través de sesiones de formación sobre inclusión digital relacionadas con el género, la protección de la infancia en línea, la accesibilidad digital/de las TIC, las personas mayores y las comunidades remotas e indígenas</w:t>
            </w:r>
            <w:r w:rsidRPr="00DF5B4D">
              <w:rPr>
                <w:lang w:val="es-ES_tradnl"/>
              </w:rPr>
              <w:t xml:space="preserve">. En total, se desarrollaron 13 cursos de formación a través de la Academia de la UIT, y se impartieron 11 talleres y sesiones de tutoría en el marco de la iniciativa EQUALS </w:t>
            </w:r>
            <w:proofErr w:type="spellStart"/>
            <w:r w:rsidRPr="00DF5B4D">
              <w:rPr>
                <w:lang w:val="es-ES_tradnl"/>
              </w:rPr>
              <w:t>HerDigitalSkills</w:t>
            </w:r>
            <w:proofErr w:type="spellEnd"/>
            <w:r w:rsidRPr="00DF5B4D">
              <w:rPr>
                <w:lang w:val="es-ES_tradnl"/>
              </w:rPr>
              <w:t xml:space="preserve">, de los que se beneficiaron 664 niñas </w:t>
            </w:r>
            <w:r w:rsidRPr="00DF5B4D">
              <w:rPr>
                <w:lang w:val="es-ES_tradnl"/>
              </w:rPr>
              <w:lastRenderedPageBreak/>
              <w:t xml:space="preserve">y mujeres jóvenes. El marco educativo de competencias digitales transformadoras de género EQUALS, publicado en marzo de 2024, pretende abordar las normas y estereotipos de género en la formación en competencias digitales. Además, en el marco de la iniciativa </w:t>
            </w:r>
            <w:proofErr w:type="spellStart"/>
            <w:r w:rsidRPr="00DF5B4D">
              <w:rPr>
                <w:lang w:val="es-ES_tradnl"/>
              </w:rPr>
              <w:t>African</w:t>
            </w:r>
            <w:proofErr w:type="spellEnd"/>
            <w:r w:rsidRPr="00DF5B4D">
              <w:rPr>
                <w:lang w:val="es-ES_tradnl"/>
              </w:rPr>
              <w:t xml:space="preserve"> </w:t>
            </w:r>
            <w:proofErr w:type="spellStart"/>
            <w:r w:rsidRPr="00DF5B4D">
              <w:rPr>
                <w:lang w:val="es-ES_tradnl"/>
              </w:rPr>
              <w:t>Girls</w:t>
            </w:r>
            <w:proofErr w:type="spellEnd"/>
            <w:r w:rsidRPr="00DF5B4D">
              <w:rPr>
                <w:lang w:val="es-ES_tradnl"/>
              </w:rPr>
              <w:t xml:space="preserve"> Can </w:t>
            </w:r>
            <w:proofErr w:type="spellStart"/>
            <w:r w:rsidRPr="00DF5B4D">
              <w:rPr>
                <w:lang w:val="es-ES_tradnl"/>
              </w:rPr>
              <w:t>Code</w:t>
            </w:r>
            <w:proofErr w:type="spellEnd"/>
            <w:r w:rsidRPr="00DF5B4D">
              <w:rPr>
                <w:lang w:val="es-ES_tradnl"/>
              </w:rPr>
              <w:t xml:space="preserve"> se ha creado un curso autodidáctico en la Academia de la UIT con 14 módulos sobre competencias técnicas y sociales. El marco educativo de competencias digitales transformadoras de género EQUALS, publicado en marzo de 2024, pretende abordar las normas y estereotipos de género en la formación en competencias digitales. Además, en el marco de la iniciativa "Las niñas africanas pueden codificar", se ha creado un curso autodidáctico en la Academia de la UIT con 14 módulos sobre competencias técnicas y sociales. Además, en el marco de la iniciativa </w:t>
            </w:r>
            <w:proofErr w:type="spellStart"/>
            <w:r w:rsidRPr="00DF5B4D">
              <w:rPr>
                <w:lang w:val="es-ES_tradnl"/>
              </w:rPr>
              <w:t>African</w:t>
            </w:r>
            <w:proofErr w:type="spellEnd"/>
            <w:r w:rsidRPr="00DF5B4D">
              <w:rPr>
                <w:lang w:val="es-ES_tradnl"/>
              </w:rPr>
              <w:t xml:space="preserve"> </w:t>
            </w:r>
            <w:proofErr w:type="spellStart"/>
            <w:r w:rsidRPr="00DF5B4D">
              <w:rPr>
                <w:lang w:val="es-ES_tradnl"/>
              </w:rPr>
              <w:t>Girls</w:t>
            </w:r>
            <w:proofErr w:type="spellEnd"/>
            <w:r w:rsidRPr="00DF5B4D">
              <w:rPr>
                <w:lang w:val="es-ES_tradnl"/>
              </w:rPr>
              <w:t xml:space="preserve"> Can </w:t>
            </w:r>
            <w:proofErr w:type="spellStart"/>
            <w:r w:rsidRPr="00DF5B4D">
              <w:rPr>
                <w:lang w:val="es-ES_tradnl"/>
              </w:rPr>
              <w:t>Code</w:t>
            </w:r>
            <w:proofErr w:type="spellEnd"/>
            <w:r w:rsidRPr="00DF5B4D">
              <w:rPr>
                <w:lang w:val="es-ES_tradnl"/>
              </w:rPr>
              <w:t xml:space="preserve"> se creó un curso autodidáctico, organizado en la Academia de la UIT, con 14 módulos sobre competencias generales y técnicas. Además, se impartieron sesiones de formación a formadores de 11 países (</w:t>
            </w:r>
            <w:r w:rsidRPr="00DF5B4D">
              <w:rPr>
                <w:b/>
                <w:bCs/>
                <w:lang w:val="es-ES_tradnl"/>
              </w:rPr>
              <w:t xml:space="preserve">Burundi, República Democrática del Congo, </w:t>
            </w:r>
            <w:proofErr w:type="spellStart"/>
            <w:r w:rsidRPr="00DF5B4D">
              <w:rPr>
                <w:b/>
                <w:bCs/>
                <w:lang w:val="es-ES_tradnl"/>
              </w:rPr>
              <w:t>Kenya</w:t>
            </w:r>
            <w:proofErr w:type="spellEnd"/>
            <w:r w:rsidRPr="00DF5B4D">
              <w:rPr>
                <w:b/>
                <w:bCs/>
                <w:lang w:val="es-ES_tradnl"/>
              </w:rPr>
              <w:t xml:space="preserve">, Malí, Mozambique, Níger, </w:t>
            </w:r>
            <w:proofErr w:type="spellStart"/>
            <w:r w:rsidRPr="00DF5B4D">
              <w:rPr>
                <w:b/>
                <w:bCs/>
                <w:lang w:val="es-ES_tradnl"/>
              </w:rPr>
              <w:t>Rwanda</w:t>
            </w:r>
            <w:proofErr w:type="spellEnd"/>
            <w:r w:rsidRPr="00DF5B4D">
              <w:rPr>
                <w:b/>
                <w:bCs/>
                <w:lang w:val="es-ES_tradnl"/>
              </w:rPr>
              <w:t xml:space="preserve">, Senegal, Sudafricana (Rep.), </w:t>
            </w:r>
            <w:proofErr w:type="spellStart"/>
            <w:r w:rsidRPr="00DF5B4D">
              <w:rPr>
                <w:b/>
                <w:bCs/>
                <w:lang w:val="es-ES_tradnl"/>
              </w:rPr>
              <w:t>Tanzanía</w:t>
            </w:r>
            <w:proofErr w:type="spellEnd"/>
            <w:r w:rsidRPr="00DF5B4D">
              <w:rPr>
                <w:b/>
                <w:bCs/>
                <w:lang w:val="es-ES_tradnl"/>
              </w:rPr>
              <w:t xml:space="preserve"> y Uganda</w:t>
            </w:r>
            <w:r w:rsidRPr="00DF5B4D">
              <w:rPr>
                <w:lang w:val="es-ES_tradnl"/>
              </w:rPr>
              <w:t>) para concienciarlos sobre los contenidos de formación disponibles y dotarlos de las competencias necesarias para facilitar los campamentos nacionales de codificación.</w:t>
            </w:r>
          </w:p>
          <w:p w14:paraId="3A4E2EBC" w14:textId="48FAB736" w:rsidR="00224990" w:rsidRPr="00DF5B4D" w:rsidRDefault="00224990" w:rsidP="003D1FB0">
            <w:pPr>
              <w:pStyle w:val="Tabletext"/>
              <w:rPr>
                <w:lang w:val="es-ES_tradnl"/>
              </w:rPr>
            </w:pPr>
            <w:r w:rsidRPr="00DF5B4D">
              <w:rPr>
                <w:lang w:val="es-ES_tradnl"/>
              </w:rPr>
              <w:t xml:space="preserve">Se convocaron dos grupos de trabajo del Consejo sobre protección de la infancia en línea, con más de 300 participantes. En el marco del programa mundial de protección de la infancia en línea, los países recibieron apoyo a través de programas de capacitación impartidos en persona y en línea. Estos cursos de formación están disponibles en el sitio web de la UIT sobre protección de la infancia en línea y en la plataforma de la Academia de la UIT. Además, en el marco de la iniciativa de protección de la infancia en línea, la </w:t>
            </w:r>
            <w:r w:rsidR="0098281B">
              <w:rPr>
                <w:lang w:val="es-ES_tradnl"/>
              </w:rPr>
              <w:t>BDT</w:t>
            </w:r>
            <w:r w:rsidR="0098281B" w:rsidRPr="00DF5B4D">
              <w:rPr>
                <w:lang w:val="es-ES_tradnl"/>
              </w:rPr>
              <w:t xml:space="preserve"> </w:t>
            </w:r>
            <w:r w:rsidRPr="00DF5B4D">
              <w:rPr>
                <w:lang w:val="es-ES_tradnl"/>
              </w:rPr>
              <w:t>lanzó un juego y una aplicación para niños.</w:t>
            </w:r>
          </w:p>
          <w:p w14:paraId="6463AFD9" w14:textId="01005228" w:rsidR="00224990" w:rsidRPr="00DF5B4D" w:rsidRDefault="00224990" w:rsidP="003D1FB0">
            <w:pPr>
              <w:pStyle w:val="Tabletext"/>
              <w:rPr>
                <w:lang w:val="es-ES_tradnl"/>
              </w:rPr>
            </w:pPr>
            <w:r w:rsidRPr="00DF5B4D">
              <w:rPr>
                <w:lang w:val="es-ES_tradnl"/>
              </w:rPr>
              <w:t xml:space="preserve">Se celebró en Madrid </w:t>
            </w:r>
            <w:r w:rsidR="0098281B">
              <w:rPr>
                <w:lang w:val="es-ES_tradnl"/>
              </w:rPr>
              <w:t>(</w:t>
            </w:r>
            <w:r w:rsidRPr="00DF5B4D">
              <w:rPr>
                <w:lang w:val="es-ES_tradnl"/>
              </w:rPr>
              <w:t>España</w:t>
            </w:r>
            <w:r w:rsidR="0098281B">
              <w:rPr>
                <w:lang w:val="es-ES_tradnl"/>
              </w:rPr>
              <w:t>)</w:t>
            </w:r>
            <w:r w:rsidRPr="00DF5B4D">
              <w:rPr>
                <w:lang w:val="es-ES_tradnl"/>
              </w:rPr>
              <w:t xml:space="preserve"> una reunión mundial de asociados de la colaboración para la investigación sobre la protección mediante participación en línea (POP). Codirigida por la Oficina del Representante Especial de la Secretaria General sobre la violencia contra la infancia, la reunión congregó a partes interesadas de diversos sectores, incluidos los principales agentes de la industria de las TIC. Está previsto que los productos preliminares de la investigación se publiquen este año.</w:t>
            </w:r>
            <w:r w:rsidR="0098281B" w:rsidRPr="0098281B">
              <w:rPr>
                <w:lang w:val="es-ES_tradnl"/>
              </w:rPr>
              <w:t xml:space="preserve"> </w:t>
            </w:r>
            <w:r w:rsidR="0098281B">
              <w:rPr>
                <w:lang w:val="es-ES_tradnl"/>
              </w:rPr>
              <w:t>Según lo indicado anteriormente</w:t>
            </w:r>
            <w:r w:rsidR="0098281B" w:rsidRPr="0098281B">
              <w:rPr>
                <w:lang w:val="es-ES_tradnl"/>
              </w:rPr>
              <w:t>,</w:t>
            </w:r>
            <w:r w:rsidR="00F85857">
              <w:rPr>
                <w:lang w:val="es-ES_tradnl"/>
              </w:rPr>
              <w:t xml:space="preserve"> el país anfitrión y organizador de</w:t>
            </w:r>
            <w:r w:rsidR="0098281B" w:rsidRPr="0098281B">
              <w:rPr>
                <w:lang w:val="es-ES_tradnl"/>
              </w:rPr>
              <w:t xml:space="preserve"> la celebración del Día Mundial de las Niñas en las TIC de 2024</w:t>
            </w:r>
            <w:r w:rsidR="00F85857">
              <w:rPr>
                <w:lang w:val="es-ES_tradnl"/>
              </w:rPr>
              <w:t xml:space="preserve">, dedicado al </w:t>
            </w:r>
            <w:r w:rsidR="00B6045A">
              <w:rPr>
                <w:lang w:val="es-ES_tradnl"/>
              </w:rPr>
              <w:t>"</w:t>
            </w:r>
            <w:r w:rsidR="0098281B" w:rsidRPr="0098281B">
              <w:rPr>
                <w:lang w:val="es-ES_tradnl"/>
              </w:rPr>
              <w:t>Liderazgo</w:t>
            </w:r>
            <w:r w:rsidR="00B6045A">
              <w:rPr>
                <w:lang w:val="es-ES_tradnl"/>
              </w:rPr>
              <w:t>"</w:t>
            </w:r>
            <w:r w:rsidR="00F85857">
              <w:rPr>
                <w:lang w:val="es-ES_tradnl"/>
              </w:rPr>
              <w:t>,</w:t>
            </w:r>
            <w:r w:rsidR="00687575">
              <w:rPr>
                <w:lang w:val="es-ES_tradnl"/>
              </w:rPr>
              <w:t xml:space="preserve"> </w:t>
            </w:r>
            <w:r w:rsidR="00F85857">
              <w:rPr>
                <w:lang w:val="es-ES_tradnl"/>
              </w:rPr>
              <w:t>fue</w:t>
            </w:r>
            <w:r w:rsidR="00F85857" w:rsidRPr="0098281B">
              <w:rPr>
                <w:lang w:val="es-ES_tradnl"/>
              </w:rPr>
              <w:t xml:space="preserve"> Filipinas</w:t>
            </w:r>
            <w:r w:rsidR="00F85857">
              <w:rPr>
                <w:lang w:val="es-ES_tradnl"/>
              </w:rPr>
              <w:t>.</w:t>
            </w:r>
            <w:r w:rsidR="00F85857" w:rsidRPr="0098281B">
              <w:rPr>
                <w:lang w:val="es-ES_tradnl"/>
              </w:rPr>
              <w:t xml:space="preserve"> </w:t>
            </w:r>
            <w:r w:rsidR="00F85857">
              <w:rPr>
                <w:lang w:val="es-ES_tradnl"/>
              </w:rPr>
              <w:t>Al evento asistieron numerosos participantes.</w:t>
            </w:r>
          </w:p>
          <w:p w14:paraId="5F5DF198" w14:textId="77777777" w:rsidR="00224990" w:rsidRPr="00DF5B4D" w:rsidRDefault="00224990" w:rsidP="003D1FB0">
            <w:pPr>
              <w:pStyle w:val="Tabletext"/>
              <w:rPr>
                <w:lang w:val="es-ES_tradnl"/>
              </w:rPr>
            </w:pPr>
            <w:r w:rsidRPr="00DF5B4D">
              <w:rPr>
                <w:b/>
                <w:bCs/>
                <w:lang w:val="es-ES_tradnl"/>
              </w:rPr>
              <w:t xml:space="preserve">En Asia-Pacífico, </w:t>
            </w:r>
            <w:r w:rsidRPr="00DF5B4D">
              <w:rPr>
                <w:lang w:val="es-ES_tradnl"/>
              </w:rPr>
              <w:t xml:space="preserve">la participación en la iniciativa del Día de las Niñas en las TIC de la UIT se extendió por toda la región a lo largo de 2023, con actos en </w:t>
            </w:r>
            <w:proofErr w:type="spellStart"/>
            <w:r w:rsidRPr="00DF5B4D">
              <w:rPr>
                <w:lang w:val="es-ES_tradnl"/>
              </w:rPr>
              <w:t>Fiji</w:t>
            </w:r>
            <w:proofErr w:type="spellEnd"/>
            <w:r w:rsidRPr="00DF5B4D">
              <w:rPr>
                <w:lang w:val="es-ES_tradnl"/>
              </w:rPr>
              <w:t xml:space="preserve">, Indonesia, Kiribati, Micronesia, Nauru, Pakistán, Filipinas, </w:t>
            </w:r>
            <w:proofErr w:type="spellStart"/>
            <w:r w:rsidRPr="00DF5B4D">
              <w:rPr>
                <w:lang w:val="es-ES_tradnl"/>
              </w:rPr>
              <w:t>Papua</w:t>
            </w:r>
            <w:proofErr w:type="spellEnd"/>
            <w:r w:rsidRPr="00DF5B4D">
              <w:rPr>
                <w:lang w:val="es-ES_tradnl"/>
              </w:rPr>
              <w:t xml:space="preserve"> Nueva Guinea, Samoa, Tailandia, Timor-Leste, Tonga y los países miembros de ASEAN. Los actos fomentaron una sólida red comunitaria, empoderando a las participantes mediante el intercambio de conocimientos y la promoción de las TIC. El resultado fue un incremento en el interés en la iniciativa por parte de otros países y partes interesadas, lo que pone de relieve la expansión de su alcance y el potencial de futuras asociaciones. Las conversaciones con asociados clave como la Oficina del NBTC, Tailandia y el DITRDCA de Australia también han abierto vías para garantizar la financiación, asegurando una repercusión sostenida y la expansión de la iniciativa del Día de las Niñas en las TIC en 2024 y años posteriores. Este esfuerzo de colaboración no solo </w:t>
            </w:r>
            <w:r w:rsidRPr="00DF5B4D">
              <w:rPr>
                <w:b/>
                <w:bCs/>
                <w:lang w:val="es-ES_tradnl"/>
              </w:rPr>
              <w:t>ha fortalecido la comunidad de las Niñas en las TIC en la Región, sino que también ha sentado una base sólida para aumentar el compromiso y el apoyo en los próximos años</w:t>
            </w:r>
            <w:r w:rsidRPr="00DF5B4D">
              <w:rPr>
                <w:lang w:val="es-ES_tradnl"/>
              </w:rPr>
              <w:t>.</w:t>
            </w:r>
          </w:p>
          <w:p w14:paraId="320A4549" w14:textId="77777777" w:rsidR="00224990" w:rsidRPr="00DF5B4D" w:rsidRDefault="00224990" w:rsidP="00056B55">
            <w:pPr>
              <w:spacing w:after="120"/>
              <w:rPr>
                <w:rFonts w:ascii="Calibri" w:eastAsia="Calibri" w:hAnsi="Calibri" w:cs="Calibri"/>
                <w:b/>
                <w:bCs/>
                <w:sz w:val="22"/>
                <w:lang w:val="es-ES_tradnl"/>
              </w:rPr>
            </w:pPr>
            <w:r w:rsidRPr="00DF5B4D">
              <w:rPr>
                <w:rFonts w:ascii="Calibri" w:eastAsia="Calibri" w:hAnsi="Calibri" w:cs="Calibri"/>
                <w:sz w:val="22"/>
                <w:lang w:val="es-ES_tradnl"/>
              </w:rPr>
              <w:t xml:space="preserve">A través de asociaciones con gobiernos, organismos de la ONU, la Asociación de Telecomunicaciones de las Islas del Pacífico (PITA) y el Consejo de Telecomunicaciones del Pacífico (CTP), se ha aumentado la concienciación y las habilidades de más de 1 000 niñas y mujeres jóvenes de </w:t>
            </w:r>
            <w:proofErr w:type="spellStart"/>
            <w:r w:rsidRPr="00DF5B4D">
              <w:rPr>
                <w:rFonts w:ascii="Calibri" w:eastAsia="Calibri" w:hAnsi="Calibri" w:cs="Calibri"/>
                <w:sz w:val="22"/>
                <w:lang w:val="es-ES_tradnl"/>
              </w:rPr>
              <w:t>Fiji</w:t>
            </w:r>
            <w:proofErr w:type="spellEnd"/>
            <w:r w:rsidRPr="00DF5B4D">
              <w:rPr>
                <w:rFonts w:ascii="Calibri" w:eastAsia="Calibri" w:hAnsi="Calibri" w:cs="Calibri"/>
                <w:sz w:val="22"/>
                <w:lang w:val="es-ES_tradnl"/>
              </w:rPr>
              <w:t xml:space="preserve">, Kiribati, Micronesia, Nauru y Tonga mediante una serie de cursos de formación en ciberseguridad (seguridad </w:t>
            </w:r>
            <w:r w:rsidRPr="00DF5B4D">
              <w:rPr>
                <w:rFonts w:ascii="Calibri" w:eastAsia="Calibri" w:hAnsi="Calibri" w:cs="Calibri"/>
                <w:sz w:val="22"/>
                <w:lang w:val="es-ES_tradnl"/>
              </w:rPr>
              <w:lastRenderedPageBreak/>
              <w:t xml:space="preserve">en línea y estafas en línea), codificación, tecnologías emergentes, telecomunicaciones, liderazgo, desarrollo profesional y alfabetización financiera digital. Los programas </w:t>
            </w:r>
            <w:r w:rsidRPr="00DF5B4D">
              <w:rPr>
                <w:rFonts w:ascii="Calibri" w:eastAsia="Calibri" w:hAnsi="Calibri" w:cs="Calibri"/>
                <w:b/>
                <w:bCs/>
                <w:sz w:val="22"/>
                <w:lang w:val="es-ES_tradnl"/>
              </w:rPr>
              <w:t xml:space="preserve">reforzaron las asociaciones y la colaboración para la inclusión digital entre las principales partes interesadas y asociados, incluidos los gobiernos, los Equipos de Países de las Naciones Unidas, las organizaciones regionales, la sociedad civil </w:t>
            </w:r>
            <w:r w:rsidRPr="00D30DF2">
              <w:rPr>
                <w:rFonts w:ascii="Calibri" w:eastAsia="Calibri" w:hAnsi="Calibri" w:cs="Calibri"/>
                <w:b/>
                <w:bCs/>
                <w:sz w:val="22"/>
                <w:lang w:val="es-ES_tradnl"/>
              </w:rPr>
              <w:t>y las instituciones académicas.</w:t>
            </w:r>
          </w:p>
          <w:p w14:paraId="4F10DF08" w14:textId="77777777" w:rsidR="00224990" w:rsidRPr="00DF5B4D" w:rsidRDefault="00224990" w:rsidP="00D30DF2">
            <w:pPr>
              <w:pStyle w:val="Tabletext"/>
              <w:spacing w:before="120"/>
              <w:rPr>
                <w:b/>
                <w:bCs/>
                <w:lang w:val="es-ES_tradnl"/>
              </w:rPr>
            </w:pPr>
            <w:r w:rsidRPr="00DF5B4D">
              <w:rPr>
                <w:b/>
                <w:bCs/>
                <w:lang w:val="es-ES_tradnl"/>
              </w:rPr>
              <w:t>En el marco de TIC/accesibilidad digital, personas mayores, poblaciones remotas e indígenas, y actividades y proyectos para jóvenes:</w:t>
            </w:r>
          </w:p>
          <w:p w14:paraId="554903C1" w14:textId="047133D2" w:rsidR="00224990" w:rsidRPr="00DF5B4D" w:rsidRDefault="00224990" w:rsidP="004B03C2">
            <w:pPr>
              <w:pStyle w:val="Tabletext"/>
              <w:rPr>
                <w:lang w:val="es-ES_tradnl"/>
              </w:rPr>
            </w:pPr>
            <w:r w:rsidRPr="00DF5B4D">
              <w:rPr>
                <w:b/>
                <w:bCs/>
                <w:lang w:val="es-ES_tradnl"/>
              </w:rPr>
              <w:t>Desarrollo de conocimientos para responsables políticos:</w:t>
            </w:r>
            <w:r w:rsidRPr="00DF5B4D">
              <w:rPr>
                <w:lang w:val="es-ES_tradnl"/>
              </w:rPr>
              <w:t xml:space="preserve"> </w:t>
            </w:r>
            <w:r w:rsidRPr="00D30DF2">
              <w:rPr>
                <w:b/>
                <w:bCs/>
                <w:lang w:val="es-ES_tradnl"/>
              </w:rPr>
              <w:t>Aumento de la capacidad sobre la accesibilidad de las TIC para integrar la inclusión digital de todas las personas a más de 4 100 responsables políticos y de la toma de decisiones</w:t>
            </w:r>
            <w:r w:rsidRPr="00DF5B4D">
              <w:rPr>
                <w:lang w:val="es-ES_tradnl"/>
              </w:rPr>
              <w:t xml:space="preserve"> en la formulación y aplicación de políticas y estrategias de inclusión digital y permitir una participación más amplia de todos sus ciudadanos en la sociedad y la economía digitales. Este logro fue posible a través </w:t>
            </w:r>
            <w:r w:rsidRPr="005D2A6B">
              <w:rPr>
                <w:b/>
                <w:bCs/>
                <w:lang w:val="es-ES_tradnl"/>
              </w:rPr>
              <w:t>de intervenciones y sesiones de formación, llevadas a cabo en 46 eventos (34 en línea y 12 en persona) celebrados en todo el mundo</w:t>
            </w:r>
            <w:r w:rsidRPr="00DF5B4D">
              <w:rPr>
                <w:lang w:val="es-ES_tradnl"/>
              </w:rPr>
              <w:t xml:space="preserve"> (incluyendo: Conferencia de las Partes en la Convención de las Naciones Unidas sobre los Derechos de las Personas con Discapacidad; Iniciativa Mundial de las Naciones Unidas para la Integración de los Conocimientos sobre el Envejecimiento; sesiones de la CMSI; DAN dirigido por Miembros de la UIT (SG Q7/1); </w:t>
            </w:r>
            <w:r w:rsidRPr="005D2A6B">
              <w:rPr>
                <w:b/>
                <w:bCs/>
                <w:lang w:val="es-ES_tradnl"/>
              </w:rPr>
              <w:t>y a nivel regional</w:t>
            </w:r>
            <w:r w:rsidRPr="00DF5B4D">
              <w:rPr>
                <w:lang w:val="es-ES_tradnl"/>
              </w:rPr>
              <w:t xml:space="preserve"> (incluyendo eventos de la UIT sobre TIC Accesibles para Todos en las regiones de América, Estados Árabes y Europa); Sesión de Información sobre Envejecimiento Saludable en Tailandia a través de las TIC (con el Ministerio de Economía y Sociedad Digital -MDES y la OMS). Además, </w:t>
            </w:r>
            <w:r w:rsidRPr="005D2A6B">
              <w:rPr>
                <w:b/>
                <w:bCs/>
                <w:lang w:val="es-ES_tradnl"/>
              </w:rPr>
              <w:t>más de 1 200 participantes de 98 países</w:t>
            </w:r>
            <w:r w:rsidRPr="00DF5B4D">
              <w:rPr>
                <w:lang w:val="es-ES_tradnl"/>
              </w:rPr>
              <w:t xml:space="preserve"> se inscribieron en c</w:t>
            </w:r>
            <w:r w:rsidRPr="005D2A6B">
              <w:rPr>
                <w:b/>
                <w:bCs/>
                <w:lang w:val="es-ES_tradnl"/>
              </w:rPr>
              <w:t>ursos autodidácticos de formación en línea y dirigidos por tutores sobre temas de accesibilidad de las TIC, personas de edad y pueblos indígenas</w:t>
            </w:r>
            <w:r w:rsidRPr="00DF5B4D">
              <w:rPr>
                <w:lang w:val="es-ES_tradnl"/>
              </w:rPr>
              <w:t xml:space="preserve"> impartidos a través de la Academia de la UIT.</w:t>
            </w:r>
          </w:p>
          <w:p w14:paraId="6D21F8C0" w14:textId="2B6026E9" w:rsidR="00224990" w:rsidRPr="00DF5B4D" w:rsidRDefault="00224990" w:rsidP="004B03C2">
            <w:pPr>
              <w:pStyle w:val="Tabletext"/>
              <w:rPr>
                <w:lang w:val="es-ES_tradnl"/>
              </w:rPr>
            </w:pPr>
            <w:r w:rsidRPr="00DF5B4D">
              <w:rPr>
                <w:b/>
                <w:bCs/>
                <w:lang w:val="es-ES_tradnl"/>
              </w:rPr>
              <w:t>Recursos: Aumento del número de herramientas y recursos existentes (más de 70) para apoyar los esfuerzos de los Miembros de la UIT en el proceso de implementación de la inclusión digital con seis materiales de conocimiento adicionales,</w:t>
            </w:r>
            <w:r w:rsidRPr="00DF5B4D">
              <w:rPr>
                <w:lang w:val="es-ES_tradnl"/>
              </w:rPr>
              <w:t xml:space="preserve"> incluido el nuevo curso de formación en línea de la UIT</w:t>
            </w:r>
            <w:r w:rsidR="00687575">
              <w:rPr>
                <w:lang w:val="es-ES_tradnl"/>
              </w:rPr>
              <w:t>/BDT</w:t>
            </w:r>
            <w:r w:rsidRPr="00DF5B4D">
              <w:rPr>
                <w:lang w:val="es-ES_tradnl"/>
              </w:rPr>
              <w:t xml:space="preserve"> "Gestores de Redes Tic en Comunidades Indígenas y Rurales en América Latina "; el curso de formación en línea autodidáctico "Más allá de las ciudades inteligentes" en árabe y ruso; la guía práctica sobre "Accesibilidad digital/de las TIC para expertos u organismos implicados en el desarrollo y la ejecución del programa Aldeas Inteligentes e Islas Inteligentes" pertinente para la Región ASP y directrices y videotutorial en Integración de la accesibilidad de las TIC para una transformación digital integradora. Se está elaborando un plan de formación a medida adaptado a la Región del África subsahariana con el fin de formar gestores de redes de TIC en comunidades rurales y remotas.</w:t>
            </w:r>
          </w:p>
          <w:p w14:paraId="4B50BE55" w14:textId="2A580AFB" w:rsidR="00224990" w:rsidRPr="00DF5B4D" w:rsidRDefault="00224990" w:rsidP="004B03C2">
            <w:pPr>
              <w:pStyle w:val="Tabletext"/>
              <w:rPr>
                <w:lang w:val="es-ES_tradnl"/>
              </w:rPr>
            </w:pPr>
            <w:r w:rsidRPr="00DF5B4D">
              <w:rPr>
                <w:b/>
                <w:bCs/>
                <w:lang w:val="es-ES_tradnl"/>
              </w:rPr>
              <w:t>Participación de los jóvenes:</w:t>
            </w:r>
            <w:r w:rsidRPr="00DF5B4D">
              <w:rPr>
                <w:lang w:val="es-ES_tradnl"/>
              </w:rPr>
              <w:t xml:space="preserve"> </w:t>
            </w:r>
            <w:r w:rsidRPr="005D2A6B">
              <w:rPr>
                <w:b/>
                <w:bCs/>
                <w:lang w:val="es-ES_tradnl"/>
              </w:rPr>
              <w:t xml:space="preserve">La </w:t>
            </w:r>
            <w:r w:rsidR="00687575">
              <w:rPr>
                <w:b/>
                <w:bCs/>
                <w:lang w:val="es-ES_tradnl"/>
              </w:rPr>
              <w:t>BDT</w:t>
            </w:r>
            <w:r w:rsidR="00687575" w:rsidRPr="005D2A6B">
              <w:rPr>
                <w:b/>
                <w:bCs/>
                <w:lang w:val="es-ES_tradnl"/>
              </w:rPr>
              <w:t xml:space="preserve"> </w:t>
            </w:r>
            <w:r w:rsidRPr="005D2A6B">
              <w:rPr>
                <w:b/>
                <w:bCs/>
                <w:lang w:val="es-ES_tradnl"/>
              </w:rPr>
              <w:t xml:space="preserve">facilitó la participación y las presentaciones de los Enviados de la Juventud de </w:t>
            </w:r>
            <w:proofErr w:type="spellStart"/>
            <w:r w:rsidRPr="005D2A6B">
              <w:rPr>
                <w:b/>
                <w:bCs/>
                <w:lang w:val="es-ES_tradnl"/>
              </w:rPr>
              <w:t>Generation</w:t>
            </w:r>
            <w:proofErr w:type="spellEnd"/>
            <w:r w:rsidRPr="005D2A6B">
              <w:rPr>
                <w:b/>
                <w:bCs/>
                <w:lang w:val="es-ES_tradnl"/>
              </w:rPr>
              <w:t xml:space="preserve"> </w:t>
            </w:r>
            <w:proofErr w:type="spellStart"/>
            <w:r w:rsidRPr="005D2A6B">
              <w:rPr>
                <w:b/>
                <w:bCs/>
                <w:lang w:val="es-ES_tradnl"/>
              </w:rPr>
              <w:t>Connect</w:t>
            </w:r>
            <w:proofErr w:type="spellEnd"/>
            <w:r w:rsidRPr="005D2A6B">
              <w:rPr>
                <w:b/>
                <w:bCs/>
                <w:lang w:val="es-ES_tradnl"/>
              </w:rPr>
              <w:t xml:space="preserve"> en diversas actividades de la </w:t>
            </w:r>
            <w:r w:rsidR="00687575">
              <w:rPr>
                <w:b/>
                <w:bCs/>
                <w:lang w:val="es-ES_tradnl"/>
              </w:rPr>
              <w:t>BDT</w:t>
            </w:r>
            <w:r w:rsidRPr="005D2A6B">
              <w:rPr>
                <w:b/>
                <w:bCs/>
                <w:lang w:val="es-ES_tradnl"/>
              </w:rPr>
              <w:t>, que incluyeron más de 20 reuniones y eventos. Esta participación proporcionó oportunidades tangibles para que los jóvenes evolucionen como agentes del cambio digital</w:t>
            </w:r>
            <w:r w:rsidRPr="00DF5B4D">
              <w:rPr>
                <w:lang w:val="es-ES_tradnl"/>
              </w:rPr>
              <w:t xml:space="preserve">, incluidas becas para que cinco Enviados de la Juventud asistieran a la escuela de verano sobre ODS de la Universidad de Ginebra, becas para que dos mujeres jóvenes participaran en los Premios "EQUALS in </w:t>
            </w:r>
            <w:proofErr w:type="spellStart"/>
            <w:r w:rsidRPr="00DF5B4D">
              <w:rPr>
                <w:lang w:val="es-ES_tradnl"/>
              </w:rPr>
              <w:t>Tech</w:t>
            </w:r>
            <w:proofErr w:type="spellEnd"/>
            <w:r w:rsidRPr="00DF5B4D">
              <w:rPr>
                <w:lang w:val="es-ES_tradnl"/>
              </w:rPr>
              <w:t xml:space="preserve">", y la designación de seis Enviados de la Juventud de </w:t>
            </w:r>
            <w:proofErr w:type="spellStart"/>
            <w:r w:rsidRPr="00DF5B4D">
              <w:rPr>
                <w:lang w:val="es-ES_tradnl"/>
              </w:rPr>
              <w:t>Generation</w:t>
            </w:r>
            <w:proofErr w:type="spellEnd"/>
            <w:r w:rsidRPr="00DF5B4D">
              <w:rPr>
                <w:lang w:val="es-ES_tradnl"/>
              </w:rPr>
              <w:t xml:space="preserve"> </w:t>
            </w:r>
            <w:proofErr w:type="spellStart"/>
            <w:r w:rsidRPr="00DF5B4D">
              <w:rPr>
                <w:lang w:val="es-ES_tradnl"/>
              </w:rPr>
              <w:t>Connect</w:t>
            </w:r>
            <w:proofErr w:type="spellEnd"/>
            <w:r w:rsidRPr="00DF5B4D">
              <w:rPr>
                <w:lang w:val="es-ES_tradnl"/>
              </w:rPr>
              <w:t xml:space="preserve"> como Líderes Mundiales de la Juventud WIC en China. Se seleccionó un nuevo Grupo de Enviados de la Juventud </w:t>
            </w:r>
            <w:proofErr w:type="spellStart"/>
            <w:r w:rsidRPr="00DF5B4D">
              <w:rPr>
                <w:lang w:val="es-ES_tradnl"/>
              </w:rPr>
              <w:t>Generation</w:t>
            </w:r>
            <w:proofErr w:type="spellEnd"/>
            <w:r w:rsidRPr="00DF5B4D">
              <w:rPr>
                <w:lang w:val="es-ES_tradnl"/>
              </w:rPr>
              <w:t xml:space="preserve"> </w:t>
            </w:r>
            <w:proofErr w:type="spellStart"/>
            <w:r w:rsidRPr="00DF5B4D">
              <w:rPr>
                <w:lang w:val="es-ES_tradnl"/>
              </w:rPr>
              <w:t>Connect</w:t>
            </w:r>
            <w:proofErr w:type="spellEnd"/>
            <w:r w:rsidRPr="00DF5B4D">
              <w:rPr>
                <w:lang w:val="es-ES_tradnl"/>
              </w:rPr>
              <w:t xml:space="preserve"> sobre la base de las candidaturas recibidas de más de 60 Estados miembros. Estas personas recibirán tutoría y formación para contribuir a los </w:t>
            </w:r>
            <w:r w:rsidRPr="00DF5B4D">
              <w:rPr>
                <w:lang w:val="es-ES_tradnl"/>
              </w:rPr>
              <w:lastRenderedPageBreak/>
              <w:t xml:space="preserve">esfuerzos de la </w:t>
            </w:r>
            <w:r w:rsidR="00687575">
              <w:rPr>
                <w:lang w:val="es-ES_tradnl"/>
              </w:rPr>
              <w:t>BDT</w:t>
            </w:r>
            <w:r w:rsidR="00687575" w:rsidRPr="00DF5B4D">
              <w:rPr>
                <w:lang w:val="es-ES_tradnl"/>
              </w:rPr>
              <w:t xml:space="preserve"> </w:t>
            </w:r>
            <w:r w:rsidRPr="00DF5B4D">
              <w:rPr>
                <w:lang w:val="es-ES_tradnl"/>
              </w:rPr>
              <w:t>por capacitar a los jóvenes a través de las TIC. La organización de la Cumbre Mundial de la Juventud está en fase de desarrollo.</w:t>
            </w:r>
          </w:p>
          <w:p w14:paraId="73A2A1F6" w14:textId="05F8EA4E" w:rsidR="00224990" w:rsidRPr="00DF5B4D" w:rsidRDefault="00224990" w:rsidP="004B03C2">
            <w:pPr>
              <w:pStyle w:val="Tabletext"/>
              <w:rPr>
                <w:lang w:val="es-ES_tradnl"/>
              </w:rPr>
            </w:pPr>
            <w:r w:rsidRPr="00DF5B4D">
              <w:rPr>
                <w:b/>
                <w:bCs/>
                <w:lang w:val="es-ES_tradnl"/>
              </w:rPr>
              <w:t>Proyectos: El UIT-D ha desarroll</w:t>
            </w:r>
            <w:r w:rsidR="00687575">
              <w:rPr>
                <w:b/>
                <w:bCs/>
                <w:lang w:val="es-ES_tradnl"/>
              </w:rPr>
              <w:t>ad</w:t>
            </w:r>
            <w:r w:rsidRPr="00DF5B4D">
              <w:rPr>
                <w:b/>
                <w:bCs/>
                <w:lang w:val="es-ES_tradnl"/>
              </w:rPr>
              <w:t>o proyectos a medida en la Región del Gran Chaco (las Américas)</w:t>
            </w:r>
            <w:r w:rsidRPr="00DF5B4D">
              <w:rPr>
                <w:lang w:val="es-ES_tradnl"/>
              </w:rPr>
              <w:t xml:space="preserve"> para jóvenes de comunidades remotas e indígenas. </w:t>
            </w:r>
            <w:r w:rsidRPr="00DF5B4D">
              <w:rPr>
                <w:b/>
                <w:bCs/>
                <w:lang w:val="es-ES_tradnl"/>
              </w:rPr>
              <w:t>En África</w:t>
            </w:r>
            <w:r w:rsidRPr="00DF5B4D">
              <w:rPr>
                <w:lang w:val="es-ES_tradnl"/>
              </w:rPr>
              <w:t xml:space="preserve">, en el marco de la Iniciativa Mundial sobre Trabajo Decente para los Jóvenes, y a escala mundial, se puso en marcha un Programa de jóvenes líderes de la iniciativa </w:t>
            </w:r>
            <w:proofErr w:type="spellStart"/>
            <w:r w:rsidRPr="00DF5B4D">
              <w:rPr>
                <w:lang w:val="es-ES_tradnl"/>
              </w:rPr>
              <w:t>Generation</w:t>
            </w:r>
            <w:proofErr w:type="spellEnd"/>
            <w:r w:rsidRPr="00DF5B4D">
              <w:rPr>
                <w:lang w:val="es-ES_tradnl"/>
              </w:rPr>
              <w:t xml:space="preserve"> </w:t>
            </w:r>
            <w:proofErr w:type="spellStart"/>
            <w:r w:rsidRPr="00DF5B4D">
              <w:rPr>
                <w:lang w:val="es-ES_tradnl"/>
              </w:rPr>
              <w:t>Connect</w:t>
            </w:r>
            <w:proofErr w:type="spellEnd"/>
            <w:r w:rsidRPr="00DF5B4D">
              <w:rPr>
                <w:lang w:val="es-ES_tradnl"/>
              </w:rPr>
              <w:t xml:space="preserve">, de tres años de duración, en colaboración </w:t>
            </w:r>
            <w:r w:rsidRPr="00DF5B4D">
              <w:rPr>
                <w:b/>
                <w:bCs/>
                <w:lang w:val="es-ES_tradnl"/>
              </w:rPr>
              <w:t>con Huawei en 2024</w:t>
            </w:r>
            <w:r w:rsidRPr="00DF5B4D">
              <w:rPr>
                <w:lang w:val="es-ES_tradnl"/>
              </w:rPr>
              <w:t>.</w:t>
            </w:r>
          </w:p>
          <w:p w14:paraId="412C4777" w14:textId="77777777" w:rsidR="00224990" w:rsidRPr="00DF5B4D" w:rsidRDefault="00224990" w:rsidP="004B03C2">
            <w:pPr>
              <w:pStyle w:val="Tabletext"/>
              <w:rPr>
                <w:lang w:val="es-ES_tradnl"/>
              </w:rPr>
            </w:pPr>
            <w:r w:rsidRPr="00DF5B4D">
              <w:rPr>
                <w:b/>
                <w:bCs/>
                <w:lang w:val="es-ES_tradnl"/>
              </w:rPr>
              <w:t xml:space="preserve">Asesoramiento de expertos: El UIT-D abogó por el contenido y las contribuciones de expertos sobre temas de inclusión digital </w:t>
            </w:r>
            <w:r w:rsidRPr="00DF5B4D">
              <w:rPr>
                <w:lang w:val="es-ES_tradnl"/>
              </w:rPr>
              <w:t>(incluida la accesibilidad a las TIC, la inclusión digital de las personas mayores, las cuestiones de género y el empoderamiento digital de los jóvenes) para apoyar el trabajo de las Comisiones de Estudio de la UIT, las reuniones y eventos temáticos regionales y mundiales, así como a través de contribuciones e informes en todo el sistema de las Naciones Unidas dentro del trabajo intersectorial de las Naciones Unidas.</w:t>
            </w:r>
          </w:p>
          <w:p w14:paraId="5ABE65B0" w14:textId="20D05918" w:rsidR="00224990" w:rsidRPr="00DF5B4D" w:rsidRDefault="00224990" w:rsidP="00056B55">
            <w:pPr>
              <w:widowControl w:val="0"/>
              <w:tabs>
                <w:tab w:val="clear" w:pos="794"/>
                <w:tab w:val="clear" w:pos="1191"/>
                <w:tab w:val="clear" w:pos="1588"/>
                <w:tab w:val="clear" w:pos="1985"/>
              </w:tabs>
              <w:overflowPunct/>
              <w:spacing w:before="0"/>
              <w:textAlignment w:val="auto"/>
              <w:rPr>
                <w:rFonts w:ascii="Calibri" w:hAnsi="Calibri" w:cs="Calibri"/>
                <w:sz w:val="22"/>
                <w:lang w:val="es-ES_tradnl" w:eastAsia="zh-CN"/>
              </w:rPr>
            </w:pPr>
            <w:r w:rsidRPr="00DF5B4D">
              <w:rPr>
                <w:rFonts w:ascii="Calibri" w:hAnsi="Calibri" w:cs="Calibri"/>
                <w:sz w:val="22"/>
                <w:lang w:val="es-ES_tradnl" w:eastAsia="zh-CN"/>
              </w:rPr>
              <w:t xml:space="preserve">En el marco del programa de </w:t>
            </w:r>
            <w:r w:rsidRPr="00DF5B4D">
              <w:rPr>
                <w:rFonts w:ascii="Calibri" w:hAnsi="Calibri" w:cs="Calibri"/>
                <w:b/>
                <w:bCs/>
                <w:sz w:val="22"/>
                <w:lang w:val="es-ES_tradnl" w:eastAsia="zh-CN"/>
              </w:rPr>
              <w:t>Accesibilidad Digital</w:t>
            </w:r>
            <w:r w:rsidRPr="00DF5B4D">
              <w:rPr>
                <w:rFonts w:ascii="Calibri" w:hAnsi="Calibri" w:cs="Calibri"/>
                <w:sz w:val="22"/>
                <w:lang w:val="es-ES_tradnl" w:eastAsia="zh-CN"/>
              </w:rPr>
              <w:t xml:space="preserve">, la </w:t>
            </w:r>
            <w:r w:rsidR="00687575">
              <w:rPr>
                <w:rFonts w:ascii="Calibri" w:hAnsi="Calibri" w:cs="Calibri"/>
                <w:sz w:val="22"/>
                <w:lang w:val="es-ES_tradnl" w:eastAsia="zh-CN"/>
              </w:rPr>
              <w:t>BDT</w:t>
            </w:r>
            <w:r w:rsidR="00687575" w:rsidRPr="00DF5B4D">
              <w:rPr>
                <w:rFonts w:ascii="Calibri" w:hAnsi="Calibri" w:cs="Calibri"/>
                <w:sz w:val="22"/>
                <w:lang w:val="es-ES_tradnl" w:eastAsia="zh-CN"/>
              </w:rPr>
              <w:t xml:space="preserve"> </w:t>
            </w:r>
            <w:r w:rsidRPr="00DF5B4D">
              <w:rPr>
                <w:rFonts w:ascii="Calibri" w:hAnsi="Calibri" w:cs="Calibri"/>
                <w:sz w:val="22"/>
                <w:lang w:val="es-ES_tradnl" w:eastAsia="zh-CN"/>
              </w:rPr>
              <w:t xml:space="preserve">contribuyó a </w:t>
            </w:r>
            <w:r w:rsidRPr="00DF5B4D">
              <w:rPr>
                <w:rFonts w:ascii="Calibri" w:hAnsi="Calibri" w:cs="Calibri"/>
                <w:b/>
                <w:bCs/>
                <w:sz w:val="22"/>
                <w:lang w:val="es-ES_tradnl" w:eastAsia="zh-CN"/>
              </w:rPr>
              <w:t>aumentar la concienciación sobre la accesibilidad digital y las competencias en toda la Región de Asia y el Pacífico</w:t>
            </w:r>
            <w:r w:rsidRPr="00DF5B4D">
              <w:rPr>
                <w:rFonts w:ascii="Calibri" w:hAnsi="Calibri" w:cs="Calibri"/>
                <w:sz w:val="22"/>
                <w:lang w:val="es-ES_tradnl" w:eastAsia="zh-CN"/>
              </w:rPr>
              <w:t xml:space="preserve">. Esto se logró a través de esfuerzos de colaboración y conocimientos de expertos expuestos en el Simposio Internacional para la Inclusión Digital organizado por la Comisión Nacional de Radiodifusión y Telecomunicaciones de Tailandia (NBTC). La </w:t>
            </w:r>
            <w:r w:rsidR="00687575">
              <w:rPr>
                <w:rFonts w:ascii="Calibri" w:hAnsi="Calibri" w:cs="Calibri"/>
                <w:sz w:val="22"/>
                <w:lang w:val="es-ES_tradnl" w:eastAsia="zh-CN"/>
              </w:rPr>
              <w:t>BDT</w:t>
            </w:r>
            <w:r w:rsidR="00687575" w:rsidRPr="00DF5B4D">
              <w:rPr>
                <w:rFonts w:ascii="Calibri" w:hAnsi="Calibri" w:cs="Calibri"/>
                <w:sz w:val="22"/>
                <w:lang w:val="es-ES_tradnl" w:eastAsia="zh-CN"/>
              </w:rPr>
              <w:t xml:space="preserve"> </w:t>
            </w:r>
            <w:r w:rsidRPr="00DF5B4D">
              <w:rPr>
                <w:rFonts w:ascii="Calibri" w:hAnsi="Calibri" w:cs="Calibri"/>
                <w:sz w:val="22"/>
                <w:lang w:val="es-ES_tradnl" w:eastAsia="zh-CN"/>
              </w:rPr>
              <w:t>promovió recursos y herramientas de conocimiento sobre accesibilidad digital, junto con iniciativas de competencias digitales en apoyo de las personas con discapacidad. Estos esfuerzos reforzaron la asociación de la UIT con la NBTC y aumentaron la concienciación entre las TIC y las organizaciones de la sociedad civil (OSC), así como la organización de las comunidades de personas con discapacidad en Tailandia. Esto sentó las bases para futuras iniciativas en materia de accesibilidad digital. Además, en el marco de la iniciativa «Aldeas e Islas Inteligentes» se elaboró una guía para mejorar la accesibilidad digital, que incluía principios de diseño universal para la prestación de servicios y aplicaciones digitales, en particular a través de dispositivos móviles. Estaba dirigida a los responsables políticos, la industria, las agencias de desarrollo y las organizaciones de la sociedad civil.</w:t>
            </w:r>
          </w:p>
          <w:p w14:paraId="554FF963" w14:textId="77777777" w:rsidR="00224990" w:rsidRPr="00DF5B4D" w:rsidRDefault="00224990" w:rsidP="00056B55">
            <w:pPr>
              <w:widowControl w:val="0"/>
              <w:tabs>
                <w:tab w:val="clear" w:pos="794"/>
                <w:tab w:val="clear" w:pos="1191"/>
                <w:tab w:val="clear" w:pos="1588"/>
                <w:tab w:val="clear" w:pos="1985"/>
              </w:tabs>
              <w:overflowPunct/>
              <w:spacing w:before="0"/>
              <w:textAlignment w:val="auto"/>
              <w:rPr>
                <w:rFonts w:ascii="Calibri" w:hAnsi="Calibri" w:cs="Calibri"/>
                <w:sz w:val="22"/>
                <w:lang w:val="es-ES_tradnl" w:eastAsia="zh-CN"/>
              </w:rPr>
            </w:pPr>
            <w:r w:rsidRPr="00DF5B4D">
              <w:rPr>
                <w:rFonts w:ascii="Calibri" w:hAnsi="Calibri" w:cs="Calibri"/>
                <w:sz w:val="22"/>
                <w:lang w:val="es-ES_tradnl" w:eastAsia="zh-CN"/>
              </w:rPr>
              <w:t>En colaboración con el Ministerio de Economía y Sociedad Digital (MDES) y la OMS, la UIT organizó una sesión informativa sobre el envejecimiento saludable en Tailandia a través de las TIC. Esta sesión sensibilizó sobre los retos y oportunidades de la inclusión digital y el envejecimiento saludable, fomentando la colaboración entre las partes interesadas. Al reunir a las partes interesadas nacionales, incluidos los ministerios, el mundo académico y los organismos de las Naciones Unidas, la iniciativa tenía como objetivo apoyar a la población de edad avanzada de Tailandia en la era digital, haciendo hincapié en la importancia de un enfoque colaborativo y basado en pruebas para el desarrollo de estrategias.</w:t>
            </w:r>
          </w:p>
          <w:p w14:paraId="781F2CBE" w14:textId="48D1BFFA" w:rsidR="00224990" w:rsidRPr="00DF5B4D" w:rsidRDefault="00224990" w:rsidP="00056B55">
            <w:pPr>
              <w:spacing w:before="0"/>
              <w:rPr>
                <w:rFonts w:ascii="Calibri" w:eastAsia="Calibri" w:hAnsi="Calibri" w:cs="Calibri"/>
                <w:sz w:val="22"/>
                <w:lang w:val="es-ES_tradnl"/>
              </w:rPr>
            </w:pPr>
            <w:r w:rsidRPr="00DF5B4D">
              <w:rPr>
                <w:b/>
                <w:bCs/>
                <w:sz w:val="22"/>
                <w:lang w:val="es-ES_tradnl"/>
              </w:rPr>
              <w:t>En las Américas</w:t>
            </w:r>
            <w:r w:rsidRPr="00DF5B4D">
              <w:rPr>
                <w:sz w:val="22"/>
                <w:lang w:val="es-ES_tradnl"/>
              </w:rPr>
              <w:t xml:space="preserve">, durante América Accesible en noviembre de 2023, la </w:t>
            </w:r>
            <w:r w:rsidR="00687575">
              <w:rPr>
                <w:sz w:val="22"/>
                <w:lang w:val="es-ES_tradnl"/>
              </w:rPr>
              <w:t>BDT</w:t>
            </w:r>
            <w:r w:rsidR="00687575" w:rsidRPr="00DF5B4D">
              <w:rPr>
                <w:sz w:val="22"/>
                <w:lang w:val="es-ES_tradnl"/>
              </w:rPr>
              <w:t xml:space="preserve"> </w:t>
            </w:r>
            <w:r w:rsidRPr="00DF5B4D">
              <w:rPr>
                <w:sz w:val="22"/>
                <w:lang w:val="es-ES_tradnl"/>
              </w:rPr>
              <w:t xml:space="preserve">impartió formación ejecutiva, contribuyendo a </w:t>
            </w:r>
            <w:r w:rsidRPr="00DF5B4D">
              <w:rPr>
                <w:b/>
                <w:bCs/>
                <w:sz w:val="22"/>
                <w:lang w:val="es-ES_tradnl"/>
              </w:rPr>
              <w:t>aumentar la concienciación entre los Estados Miembros sobre la inclusión digital y la accesibilidad de las TIC. Prueba de ello fue su compromiso de adoptar políticas y estrategias de accesibilidad a las TIC a escala nacional</w:t>
            </w:r>
            <w:r w:rsidRPr="00DF5B4D">
              <w:rPr>
                <w:sz w:val="22"/>
                <w:lang w:val="es-ES_tradnl"/>
              </w:rPr>
              <w:t>. Américas Accesible brindó a los Estados Miembros la oportunidad de compartir prácticas sobre políticas digitales en materia de TIC y promover la inclusión digital. Además, se impartió una sesión de formación sobre capacidades de gestión de proyectos y mantenimiento de redes TIC para comunidades indígenas y remotas de América Latina. La formación, a la que asistieron 37 participantes de 10 países, hizo hincapié en la aplicación práctica de los conocimientos para capacitar a las personas de las comunidades indígenas y rurales.</w:t>
            </w:r>
          </w:p>
          <w:p w14:paraId="5F0476CC" w14:textId="77777777" w:rsidR="00224990" w:rsidRPr="00DF5B4D" w:rsidRDefault="00224990" w:rsidP="00056B55">
            <w:pPr>
              <w:spacing w:before="0"/>
              <w:rPr>
                <w:rFonts w:eastAsia="Times New Roman"/>
                <w:sz w:val="22"/>
                <w:lang w:val="es-ES_tradnl"/>
              </w:rPr>
            </w:pPr>
            <w:r w:rsidRPr="00DF5B4D">
              <w:rPr>
                <w:rFonts w:eastAsia="Times New Roman"/>
                <w:b/>
                <w:bCs/>
                <w:sz w:val="22"/>
                <w:lang w:val="es-ES_tradnl"/>
              </w:rPr>
              <w:lastRenderedPageBreak/>
              <w:t>En la Región de Europa</w:t>
            </w:r>
            <w:r w:rsidRPr="00DF5B4D">
              <w:rPr>
                <w:rFonts w:eastAsia="Times New Roman"/>
                <w:sz w:val="22"/>
                <w:lang w:val="es-ES_tradnl"/>
              </w:rPr>
              <w:t>, el Foro Regional para Europa, "</w:t>
            </w:r>
            <w:r w:rsidRPr="00DF5B4D">
              <w:rPr>
                <w:rFonts w:eastAsia="Times New Roman"/>
                <w:b/>
                <w:bCs/>
                <w:sz w:val="22"/>
                <w:lang w:val="es-ES_tradnl"/>
              </w:rPr>
              <w:t>Europa Accesible: TIC para TODOS"</w:t>
            </w:r>
            <w:r w:rsidRPr="00DF5B4D">
              <w:rPr>
                <w:rFonts w:eastAsia="Times New Roman"/>
                <w:sz w:val="22"/>
                <w:lang w:val="es-ES_tradnl"/>
              </w:rPr>
              <w:t xml:space="preserve"> se organizó en colaboración con la CE y el Centro de Recursos </w:t>
            </w:r>
            <w:proofErr w:type="spellStart"/>
            <w:r w:rsidRPr="00DF5B4D">
              <w:rPr>
                <w:rFonts w:eastAsia="Times New Roman"/>
                <w:sz w:val="22"/>
                <w:lang w:val="es-ES_tradnl"/>
              </w:rPr>
              <w:t>AccessibleEU</w:t>
            </w:r>
            <w:proofErr w:type="spellEnd"/>
            <w:r w:rsidRPr="00DF5B4D">
              <w:rPr>
                <w:rFonts w:eastAsia="Times New Roman"/>
                <w:sz w:val="22"/>
                <w:lang w:val="es-ES_tradnl"/>
              </w:rPr>
              <w:t>. Reunió a más de 400 partes interesadas de 50 países y brindó a todas ellas la oportunidad de reforzar sus conocimientos, identificar oportunidades de asociación, aunar fuerzas, compartir buenas prácticas y establecer una base sólida para la futura cooperación en el avance de la accesibilidad digital.</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494E6107" w14:textId="77777777" w:rsidR="00224990" w:rsidRPr="00DF5B4D" w:rsidRDefault="00224990" w:rsidP="003D1FB0">
            <w:pPr>
              <w:pStyle w:val="Tabletext"/>
              <w:ind w:left="284" w:hanging="284"/>
              <w:rPr>
                <w:rFonts w:cs="Times New Roman"/>
                <w:lang w:val="es-ES_tradnl"/>
              </w:rPr>
            </w:pPr>
            <w:r w:rsidRPr="00DF5B4D">
              <w:rPr>
                <w:lang w:val="es-ES_tradnl"/>
              </w:rPr>
              <w:lastRenderedPageBreak/>
              <w:t>•</w:t>
            </w:r>
            <w:r w:rsidRPr="00DF5B4D">
              <w:rPr>
                <w:lang w:val="es-ES_tradnl"/>
              </w:rPr>
              <w:tab/>
              <w:t>Grupos vulnerables y comunidades marginadas y empoderadas.</w:t>
            </w:r>
          </w:p>
          <w:p w14:paraId="5EED191E" w14:textId="77777777" w:rsidR="00224990" w:rsidRPr="00DF5B4D" w:rsidRDefault="00224990" w:rsidP="003D1FB0">
            <w:pPr>
              <w:pStyle w:val="Tabletext"/>
              <w:ind w:left="284" w:hanging="284"/>
              <w:rPr>
                <w:rFonts w:cs="Times New Roman"/>
                <w:lang w:val="es-ES_tradnl"/>
              </w:rPr>
            </w:pPr>
            <w:r w:rsidRPr="00DF5B4D">
              <w:rPr>
                <w:lang w:val="es-ES_tradnl"/>
              </w:rPr>
              <w:t>•</w:t>
            </w:r>
            <w:r w:rsidRPr="00DF5B4D">
              <w:rPr>
                <w:lang w:val="es-ES_tradnl"/>
              </w:rPr>
              <w:tab/>
              <w:t>Refuerzo de la capacidad de los responsables políticos.</w:t>
            </w:r>
          </w:p>
          <w:p w14:paraId="48E969FE" w14:textId="77777777" w:rsidR="00224990" w:rsidRPr="00DF5B4D" w:rsidRDefault="00224990" w:rsidP="003D1FB0">
            <w:pPr>
              <w:pStyle w:val="Tabletext"/>
              <w:ind w:left="284" w:hanging="284"/>
              <w:rPr>
                <w:rFonts w:cs="Times New Roman"/>
                <w:lang w:val="es-ES_tradnl"/>
              </w:rPr>
            </w:pPr>
            <w:r w:rsidRPr="00DF5B4D">
              <w:rPr>
                <w:lang w:val="es-ES_tradnl"/>
              </w:rPr>
              <w:t>•</w:t>
            </w:r>
            <w:r w:rsidRPr="00DF5B4D">
              <w:rPr>
                <w:lang w:val="es-ES_tradnl"/>
              </w:rPr>
              <w:tab/>
              <w:t xml:space="preserve">Mayor acceso a herramientas y recursos de inclusión digital. </w:t>
            </w:r>
          </w:p>
          <w:p w14:paraId="3D9403CC" w14:textId="77777777" w:rsidR="00224990" w:rsidRPr="00DF5B4D" w:rsidRDefault="00224990" w:rsidP="003D1FB0">
            <w:pPr>
              <w:pStyle w:val="Tabletext"/>
              <w:ind w:left="284" w:hanging="284"/>
              <w:rPr>
                <w:rFonts w:cs="Times New Roman"/>
                <w:lang w:val="es-ES_tradnl"/>
              </w:rPr>
            </w:pPr>
            <w:r w:rsidRPr="00DF5B4D">
              <w:rPr>
                <w:lang w:val="es-ES_tradnl"/>
              </w:rPr>
              <w:t>•</w:t>
            </w:r>
            <w:r w:rsidRPr="00DF5B4D">
              <w:rPr>
                <w:lang w:val="es-ES_tradnl"/>
              </w:rPr>
              <w:tab/>
              <w:t>Fortalecimiento de las asociaciones para la inclusión digital.</w:t>
            </w:r>
          </w:p>
          <w:p w14:paraId="726290BC" w14:textId="77777777" w:rsidR="00224990" w:rsidRPr="00DF5B4D" w:rsidRDefault="00224990" w:rsidP="003D1FB0">
            <w:pPr>
              <w:pStyle w:val="Tabletext"/>
              <w:ind w:left="284" w:hanging="284"/>
              <w:rPr>
                <w:rFonts w:cs="Times New Roman"/>
                <w:lang w:val="es-ES_tradnl"/>
              </w:rPr>
            </w:pPr>
            <w:r w:rsidRPr="00DF5B4D">
              <w:rPr>
                <w:lang w:val="es-ES_tradnl"/>
              </w:rPr>
              <w:lastRenderedPageBreak/>
              <w:t>•</w:t>
            </w:r>
            <w:r w:rsidRPr="00DF5B4D">
              <w:rPr>
                <w:lang w:val="es-ES_tradnl"/>
              </w:rPr>
              <w:tab/>
              <w:t>La iniciativa "Las niñas en las TIC" se extiende a todas las regiones.</w:t>
            </w:r>
          </w:p>
          <w:p w14:paraId="4A575E27" w14:textId="77777777" w:rsidR="00224990" w:rsidRPr="00DF5B4D" w:rsidRDefault="00224990" w:rsidP="003D1FB0">
            <w:pPr>
              <w:pStyle w:val="Tabletext"/>
              <w:ind w:left="284" w:hanging="284"/>
              <w:rPr>
                <w:lang w:val="es-ES_tradnl"/>
              </w:rPr>
            </w:pPr>
            <w:r w:rsidRPr="00DF5B4D">
              <w:rPr>
                <w:b/>
                <w:bCs/>
                <w:lang w:val="es-ES_tradnl"/>
              </w:rPr>
              <w:t>•</w:t>
            </w:r>
            <w:r w:rsidRPr="00DF5B4D">
              <w:rPr>
                <w:b/>
                <w:bCs/>
                <w:lang w:val="es-ES_tradnl"/>
              </w:rPr>
              <w:tab/>
              <w:t xml:space="preserve">África: </w:t>
            </w:r>
            <w:r w:rsidRPr="00DF5B4D">
              <w:rPr>
                <w:lang w:val="es-ES_tradnl"/>
              </w:rPr>
              <w:t xml:space="preserve">Burundi, República Democrática del Congo, </w:t>
            </w:r>
            <w:proofErr w:type="spellStart"/>
            <w:r w:rsidRPr="00DF5B4D">
              <w:rPr>
                <w:lang w:val="es-ES_tradnl"/>
              </w:rPr>
              <w:t>Kenya</w:t>
            </w:r>
            <w:proofErr w:type="spellEnd"/>
            <w:r w:rsidRPr="00DF5B4D">
              <w:rPr>
                <w:lang w:val="es-ES_tradnl"/>
              </w:rPr>
              <w:t xml:space="preserve">, Mali, Mozambique, Níger, </w:t>
            </w:r>
            <w:proofErr w:type="spellStart"/>
            <w:r w:rsidRPr="00DF5B4D">
              <w:rPr>
                <w:lang w:val="es-ES_tradnl"/>
              </w:rPr>
              <w:t>Rwanda</w:t>
            </w:r>
            <w:proofErr w:type="spellEnd"/>
            <w:r w:rsidRPr="00DF5B4D">
              <w:rPr>
                <w:lang w:val="es-ES_tradnl"/>
              </w:rPr>
              <w:t>, Senegal, Sudafricana (Rep.), Tanzania y Uganda.</w:t>
            </w:r>
          </w:p>
          <w:p w14:paraId="14C3E0B4" w14:textId="77777777" w:rsidR="00224990" w:rsidRPr="00DF5B4D" w:rsidRDefault="00224990" w:rsidP="003D1FB0">
            <w:pPr>
              <w:pStyle w:val="Tabletext"/>
              <w:ind w:left="284" w:hanging="284"/>
              <w:rPr>
                <w:lang w:val="es-ES_tradnl"/>
              </w:rPr>
            </w:pPr>
            <w:r w:rsidRPr="00DF5B4D">
              <w:rPr>
                <w:b/>
                <w:lang w:val="es-ES_tradnl"/>
              </w:rPr>
              <w:t>•</w:t>
            </w:r>
            <w:r w:rsidRPr="00DF5B4D">
              <w:rPr>
                <w:b/>
                <w:lang w:val="es-ES_tradnl"/>
              </w:rPr>
              <w:tab/>
              <w:t xml:space="preserve">Asia y el Pacífico: </w:t>
            </w:r>
            <w:proofErr w:type="spellStart"/>
            <w:r w:rsidRPr="00DF5B4D">
              <w:rPr>
                <w:lang w:val="es-ES_tradnl"/>
              </w:rPr>
              <w:t>Bhután</w:t>
            </w:r>
            <w:proofErr w:type="spellEnd"/>
            <w:r w:rsidRPr="00DF5B4D">
              <w:rPr>
                <w:lang w:val="es-ES_tradnl"/>
              </w:rPr>
              <w:t xml:space="preserve">, </w:t>
            </w:r>
            <w:proofErr w:type="spellStart"/>
            <w:r w:rsidRPr="00DF5B4D">
              <w:rPr>
                <w:lang w:val="es-ES_tradnl"/>
              </w:rPr>
              <w:t>Fiji</w:t>
            </w:r>
            <w:proofErr w:type="spellEnd"/>
            <w:r w:rsidRPr="00DF5B4D">
              <w:rPr>
                <w:lang w:val="es-ES_tradnl"/>
              </w:rPr>
              <w:t xml:space="preserve">, Indonesia, Kiribati, Micronesia, Nauru, Pakistán, </w:t>
            </w:r>
            <w:proofErr w:type="spellStart"/>
            <w:r w:rsidRPr="00DF5B4D">
              <w:rPr>
                <w:lang w:val="es-ES_tradnl"/>
              </w:rPr>
              <w:t>Papua</w:t>
            </w:r>
            <w:proofErr w:type="spellEnd"/>
            <w:r w:rsidRPr="00DF5B4D">
              <w:rPr>
                <w:lang w:val="es-ES_tradnl"/>
              </w:rPr>
              <w:t xml:space="preserve"> Nueva Guinea, Filipinas, Samoa, Tailandia, Timor-Leste, Tonga y los países miembros de ASEAN.</w:t>
            </w:r>
          </w:p>
          <w:p w14:paraId="39900766" w14:textId="77777777" w:rsidR="00224990" w:rsidRPr="00DF5B4D" w:rsidRDefault="00224990" w:rsidP="00056B55">
            <w:pPr>
              <w:rPr>
                <w:sz w:val="22"/>
                <w:lang w:val="es-ES_tradnl"/>
              </w:rPr>
            </w:pPr>
          </w:p>
        </w:tc>
      </w:tr>
      <w:tr w:rsidR="00224990" w:rsidRPr="00DF5B4D" w14:paraId="0AFEB802" w14:textId="77777777" w:rsidTr="00056B55">
        <w:tc>
          <w:tcPr>
            <w:tcW w:w="2790" w:type="dxa"/>
            <w:tcBorders>
              <w:top w:val="dotted" w:sz="4" w:space="0" w:color="0070C0"/>
              <w:left w:val="dotted" w:sz="4" w:space="0" w:color="0070C0"/>
              <w:bottom w:val="dotted" w:sz="4" w:space="0" w:color="0070C0"/>
              <w:right w:val="dotted" w:sz="4" w:space="0" w:color="0070C0"/>
            </w:tcBorders>
          </w:tcPr>
          <w:p w14:paraId="5EFC5B29" w14:textId="77777777" w:rsidR="00224990" w:rsidRPr="00DF5B4D" w:rsidRDefault="00224990" w:rsidP="004B03C2">
            <w:pPr>
              <w:pStyle w:val="Tabletext"/>
              <w:rPr>
                <w:rFonts w:ascii="Avenir Next LT Pro" w:hAnsi="Avenir Next LT Pro" w:cs="Calibri"/>
                <w:b/>
                <w:bCs/>
                <w:i/>
                <w:iCs/>
                <w:color w:val="000000"/>
                <w:lang w:val="es-ES_tradnl"/>
              </w:rPr>
            </w:pPr>
            <w:r w:rsidRPr="00DF5B4D">
              <w:rPr>
                <w:b/>
                <w:bCs/>
                <w:lang w:val="es-ES_tradnl"/>
              </w:rPr>
              <w:lastRenderedPageBreak/>
              <w:t>Contribución a las metas de los ODS</w:t>
            </w:r>
          </w:p>
        </w:tc>
        <w:tc>
          <w:tcPr>
            <w:tcW w:w="12240" w:type="dxa"/>
            <w:gridSpan w:val="2"/>
            <w:tcBorders>
              <w:top w:val="dotted" w:sz="4" w:space="0" w:color="0070C0"/>
              <w:left w:val="dotted" w:sz="4" w:space="0" w:color="0070C0"/>
              <w:bottom w:val="dotted" w:sz="4" w:space="0" w:color="0070C0"/>
              <w:right w:val="dotted" w:sz="4" w:space="0" w:color="0070C0"/>
            </w:tcBorders>
          </w:tcPr>
          <w:p w14:paraId="12420D23" w14:textId="77777777" w:rsidR="00224990" w:rsidRPr="00DF5B4D" w:rsidRDefault="00224990" w:rsidP="004B03C2">
            <w:pPr>
              <w:pStyle w:val="Tabletext"/>
              <w:rPr>
                <w:lang w:val="es-ES_tradnl"/>
              </w:rPr>
            </w:pPr>
            <w:r w:rsidRPr="00DF5B4D">
              <w:rPr>
                <w:lang w:val="es-ES_tradnl"/>
              </w:rPr>
              <w:t>ODS 1, 3, 4, 5, 8, 9, 10, 11, 16, 17</w:t>
            </w:r>
          </w:p>
        </w:tc>
      </w:tr>
      <w:tr w:rsidR="00224990" w:rsidRPr="00DF5B4D" w14:paraId="1C416E3C" w14:textId="77777777" w:rsidTr="00056B55">
        <w:tc>
          <w:tcPr>
            <w:tcW w:w="2790" w:type="dxa"/>
            <w:tcBorders>
              <w:top w:val="dotted" w:sz="4" w:space="0" w:color="0070C0"/>
              <w:left w:val="dotted" w:sz="4" w:space="0" w:color="0070C0"/>
              <w:bottom w:val="dotted" w:sz="4" w:space="0" w:color="0070C0"/>
              <w:right w:val="dotted" w:sz="4" w:space="0" w:color="0070C0"/>
            </w:tcBorders>
          </w:tcPr>
          <w:p w14:paraId="68E5D25B" w14:textId="77777777" w:rsidR="00224990" w:rsidRPr="00DF5B4D" w:rsidRDefault="00224990" w:rsidP="004B03C2">
            <w:pPr>
              <w:pStyle w:val="Tabletext"/>
              <w:rPr>
                <w:b/>
                <w:bCs/>
                <w:lang w:val="es-ES_tradnl"/>
              </w:rPr>
            </w:pPr>
            <w:r w:rsidRPr="00DF5B4D">
              <w:rPr>
                <w:b/>
                <w:bCs/>
                <w:lang w:val="es-ES_tradnl"/>
              </w:rPr>
              <w:t>Líneas de Acción de la CMSI</w:t>
            </w:r>
          </w:p>
        </w:tc>
        <w:tc>
          <w:tcPr>
            <w:tcW w:w="12240" w:type="dxa"/>
            <w:gridSpan w:val="2"/>
            <w:tcBorders>
              <w:top w:val="dotted" w:sz="4" w:space="0" w:color="0070C0"/>
              <w:left w:val="dotted" w:sz="4" w:space="0" w:color="0070C0"/>
              <w:bottom w:val="dotted" w:sz="4" w:space="0" w:color="0070C0"/>
              <w:right w:val="dotted" w:sz="4" w:space="0" w:color="0070C0"/>
            </w:tcBorders>
          </w:tcPr>
          <w:p w14:paraId="53C3DEA6" w14:textId="77777777" w:rsidR="00224990" w:rsidRPr="00DF5B4D" w:rsidRDefault="00224990" w:rsidP="004B03C2">
            <w:pPr>
              <w:pStyle w:val="Tabletext"/>
              <w:rPr>
                <w:lang w:val="es-ES_tradnl"/>
              </w:rPr>
            </w:pPr>
            <w:r w:rsidRPr="00DF5B4D">
              <w:rPr>
                <w:lang w:val="es-ES_tradnl"/>
              </w:rPr>
              <w:t>C1, C2, C3, C4, C5, C6, C7, C11</w:t>
            </w:r>
          </w:p>
        </w:tc>
      </w:tr>
      <w:tr w:rsidR="00224990" w:rsidRPr="00DF5B4D" w14:paraId="5D1AEA71" w14:textId="77777777" w:rsidTr="00056B55">
        <w:tc>
          <w:tcPr>
            <w:tcW w:w="2790" w:type="dxa"/>
            <w:tcBorders>
              <w:top w:val="dotted" w:sz="4" w:space="0" w:color="0070C0"/>
              <w:left w:val="dotted" w:sz="4" w:space="0" w:color="0070C0"/>
              <w:bottom w:val="dotted" w:sz="4" w:space="0" w:color="0070C0"/>
              <w:right w:val="dotted" w:sz="4" w:space="0" w:color="0070C0"/>
            </w:tcBorders>
          </w:tcPr>
          <w:p w14:paraId="152EA4CE" w14:textId="77777777" w:rsidR="00224990" w:rsidRPr="00DF5B4D" w:rsidRDefault="00224990" w:rsidP="004B03C2">
            <w:pPr>
              <w:pStyle w:val="Tabletext"/>
              <w:rPr>
                <w:b/>
                <w:bCs/>
                <w:lang w:val="es-ES_tradnl"/>
              </w:rPr>
            </w:pPr>
            <w:r w:rsidRPr="00DF5B4D">
              <w:rPr>
                <w:b/>
                <w:bCs/>
                <w:lang w:val="es-ES_tradnl"/>
              </w:rPr>
              <w:t>Resoluciones:</w:t>
            </w:r>
          </w:p>
        </w:tc>
        <w:tc>
          <w:tcPr>
            <w:tcW w:w="12240" w:type="dxa"/>
            <w:gridSpan w:val="2"/>
            <w:tcBorders>
              <w:top w:val="dotted" w:sz="4" w:space="0" w:color="0070C0"/>
              <w:left w:val="dotted" w:sz="4" w:space="0" w:color="0070C0"/>
              <w:bottom w:val="dotted" w:sz="4" w:space="0" w:color="0070C0"/>
              <w:right w:val="dotted" w:sz="4" w:space="0" w:color="0070C0"/>
            </w:tcBorders>
          </w:tcPr>
          <w:p w14:paraId="39751E5F" w14:textId="77777777" w:rsidR="00224990" w:rsidRPr="00DF5B4D" w:rsidRDefault="00224990" w:rsidP="004B03C2">
            <w:pPr>
              <w:pStyle w:val="Tabletext"/>
              <w:rPr>
                <w:lang w:val="es-ES_tradnl"/>
              </w:rPr>
            </w:pPr>
            <w:r w:rsidRPr="00DF5B4D">
              <w:rPr>
                <w:lang w:val="es-ES_tradnl"/>
              </w:rPr>
              <w:t>PP 70, 175, 179, 184, 198; CMDT 46, 55, 58, 67, 76; SGQ 7/1</w:t>
            </w:r>
          </w:p>
        </w:tc>
      </w:tr>
    </w:tbl>
    <w:p w14:paraId="6CA0D946" w14:textId="77777777" w:rsidR="00224990" w:rsidRPr="00DF5B4D" w:rsidRDefault="00224990" w:rsidP="003847BE">
      <w:pPr>
        <w:spacing w:before="0" w:after="120"/>
        <w:rPr>
          <w:sz w:val="20"/>
          <w:lang w:val="es-ES_tradnl"/>
        </w:rPr>
      </w:pPr>
    </w:p>
    <w:tbl>
      <w:tblPr>
        <w:tblStyle w:val="TableGrid10"/>
        <w:tblW w:w="15030" w:type="dxa"/>
        <w:tblInd w:w="-5" w:type="dxa"/>
        <w:tblLook w:val="04A0" w:firstRow="1" w:lastRow="0" w:firstColumn="1" w:lastColumn="0" w:noHBand="0" w:noVBand="1"/>
      </w:tblPr>
      <w:tblGrid>
        <w:gridCol w:w="2790"/>
        <w:gridCol w:w="9380"/>
        <w:gridCol w:w="2860"/>
      </w:tblGrid>
      <w:tr w:rsidR="00224990" w:rsidRPr="00B6045A" w14:paraId="5EC9990C" w14:textId="77777777" w:rsidTr="00056B55">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71BC45AB" w14:textId="77777777" w:rsidR="00224990" w:rsidRPr="00DF5B4D" w:rsidRDefault="00224990" w:rsidP="002F3387">
            <w:pPr>
              <w:pStyle w:val="Tablehead"/>
              <w:rPr>
                <w:i/>
                <w:iCs/>
                <w:lang w:val="es-ES_tradnl"/>
              </w:rPr>
            </w:pPr>
            <w:r w:rsidRPr="00DF5B4D">
              <w:rPr>
                <w:lang w:val="es-ES_tradnl"/>
              </w:rPr>
              <w:t>Factor habilitador 4 del UIT-D: Compromiso para la sostenibilidad medioambiental</w:t>
            </w:r>
            <w:r w:rsidRPr="00DF5B4D">
              <w:rPr>
                <w:lang w:val="es-ES_tradnl"/>
              </w:rPr>
              <w:br/>
            </w:r>
            <w:r w:rsidRPr="00DF5B4D">
              <w:rPr>
                <w:i/>
                <w:iCs/>
                <w:lang w:val="es-ES_tradnl"/>
              </w:rPr>
              <w:t>Desarrollo de estrategias y soluciones para la adaptación al cambio climático.</w:t>
            </w:r>
          </w:p>
        </w:tc>
      </w:tr>
      <w:tr w:rsidR="00224990" w:rsidRPr="00B6045A" w14:paraId="04ECE957" w14:textId="77777777" w:rsidTr="00056B55">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770138CC" w14:textId="77777777" w:rsidR="00224990" w:rsidRPr="00DF5B4D" w:rsidRDefault="00224990" w:rsidP="002F3387">
            <w:pPr>
              <w:pStyle w:val="Tabletext"/>
              <w:rPr>
                <w:b/>
                <w:bCs/>
                <w:lang w:val="es-ES_tradnl"/>
              </w:rPr>
            </w:pPr>
            <w:r w:rsidRPr="00DF5B4D">
              <w:rPr>
                <w:b/>
                <w:bCs/>
                <w:lang w:val="es-ES_tradnl"/>
              </w:rPr>
              <w:t xml:space="preserve">Realización: </w:t>
            </w:r>
            <w:r w:rsidRPr="00DF5B4D">
              <w:rPr>
                <w:i/>
                <w:iCs/>
                <w:lang w:val="es-ES_tradnl"/>
              </w:rPr>
              <w:t>Mejora de la capacidad de los miembros de la UIT para elaborar estrategias y soluciones de telecomunicaciones/TIC en materia de adaptación al cambio climático, atenuación de sus efectos y utilización de energías ecológicas/renovables</w:t>
            </w:r>
          </w:p>
        </w:tc>
      </w:tr>
      <w:tr w:rsidR="00224990" w:rsidRPr="00DF5B4D" w14:paraId="17791050" w14:textId="77777777" w:rsidTr="00056B55">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0FC07292" w14:textId="77777777" w:rsidR="00224990" w:rsidRPr="00DF5B4D" w:rsidRDefault="00224990" w:rsidP="002F3387">
            <w:pPr>
              <w:pStyle w:val="Tablehead"/>
              <w:rPr>
                <w:rFonts w:cs="Times New Roman"/>
                <w:lang w:val="es-ES_tradnl"/>
              </w:rPr>
            </w:pPr>
            <w:r w:rsidRPr="00DF5B4D">
              <w:rPr>
                <w:lang w:val="es-ES_tradnl"/>
              </w:rPr>
              <w:t>Productos</w:t>
            </w:r>
          </w:p>
        </w:tc>
        <w:tc>
          <w:tcPr>
            <w:tcW w:w="2860" w:type="dxa"/>
            <w:tcBorders>
              <w:top w:val="dotted" w:sz="4" w:space="0" w:color="0070C0"/>
              <w:left w:val="dotted" w:sz="4" w:space="0" w:color="0070C0"/>
              <w:bottom w:val="dotted" w:sz="4" w:space="0" w:color="0070C0"/>
              <w:right w:val="dotted" w:sz="4" w:space="0" w:color="0070C0"/>
            </w:tcBorders>
          </w:tcPr>
          <w:p w14:paraId="64F7F4D9" w14:textId="77777777" w:rsidR="00224990" w:rsidRPr="00DF5B4D" w:rsidRDefault="00224990" w:rsidP="002F3387">
            <w:pPr>
              <w:pStyle w:val="Tablehead"/>
              <w:rPr>
                <w:rFonts w:cs="Times New Roman"/>
                <w:lang w:val="es-ES_tradnl"/>
              </w:rPr>
            </w:pPr>
            <w:r w:rsidRPr="00DF5B4D">
              <w:rPr>
                <w:lang w:val="es-ES_tradnl"/>
              </w:rPr>
              <w:t>Datos destacados</w:t>
            </w:r>
          </w:p>
        </w:tc>
      </w:tr>
      <w:tr w:rsidR="00224990" w:rsidRPr="00DF5B4D" w14:paraId="3A932206" w14:textId="77777777" w:rsidTr="00056B55">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A737A9F" w14:textId="77777777" w:rsidR="00224990" w:rsidRPr="00DF5B4D" w:rsidRDefault="00224990" w:rsidP="0034295B">
            <w:pPr>
              <w:pStyle w:val="Tabletext"/>
              <w:rPr>
                <w:b/>
                <w:bCs/>
                <w:lang w:val="es-ES_tradnl"/>
              </w:rPr>
            </w:pPr>
            <w:r w:rsidRPr="00DF5B4D">
              <w:rPr>
                <w:b/>
                <w:bCs/>
                <w:lang w:val="es-ES_tradnl"/>
              </w:rPr>
              <w:t>Los productos del UIT-D se han puesto a disposición de los Estados Miembros para ayudarles a desarrollar estrategias y soluciones de adaptación al cambio climático.</w:t>
            </w:r>
          </w:p>
          <w:p w14:paraId="5B33EA05" w14:textId="5A3F0EB1" w:rsidR="00224990" w:rsidRPr="00DF5B4D" w:rsidRDefault="00224990" w:rsidP="0034295B">
            <w:pPr>
              <w:pStyle w:val="Tabletext"/>
              <w:rPr>
                <w:lang w:val="es-ES_tradnl"/>
              </w:rPr>
            </w:pPr>
            <w:r w:rsidRPr="00DF5B4D">
              <w:rPr>
                <w:lang w:val="es-ES_tradnl"/>
              </w:rPr>
              <w:t xml:space="preserve">La BDT apoyó al Gobierno de </w:t>
            </w:r>
            <w:proofErr w:type="spellStart"/>
            <w:r w:rsidRPr="00DF5B4D">
              <w:rPr>
                <w:b/>
                <w:bCs/>
                <w:lang w:val="es-ES_tradnl"/>
              </w:rPr>
              <w:t>Rwanda</w:t>
            </w:r>
            <w:proofErr w:type="spellEnd"/>
            <w:r w:rsidRPr="00DF5B4D">
              <w:rPr>
                <w:lang w:val="es-ES_tradnl"/>
              </w:rPr>
              <w:t xml:space="preserve"> y a los productores de productos electrónicos del país en el refuerzo del marco regulador de los residuos electrónicos y en el establecimiento del sistema de responsabilidad del productor en </w:t>
            </w:r>
            <w:proofErr w:type="spellStart"/>
            <w:r w:rsidRPr="00DF5B4D">
              <w:rPr>
                <w:lang w:val="es-ES_tradnl"/>
              </w:rPr>
              <w:t>Rwanda</w:t>
            </w:r>
            <w:proofErr w:type="spellEnd"/>
            <w:r w:rsidRPr="00DF5B4D">
              <w:rPr>
                <w:lang w:val="es-ES_tradnl"/>
              </w:rPr>
              <w:t>. El impacto de este apoyo quedó demostrado durante el evento "</w:t>
            </w:r>
            <w:hyperlink r:id="rId96" w:history="1">
              <w:r w:rsidRPr="00DF5B4D">
                <w:rPr>
                  <w:rStyle w:val="Hyperlink"/>
                  <w:rFonts w:ascii="Calibri" w:eastAsia="Calibri" w:hAnsi="Calibri" w:cs="Calibri"/>
                  <w:lang w:val="es-ES_tradnl"/>
                </w:rPr>
                <w:t xml:space="preserve">EPR </w:t>
              </w:r>
              <w:proofErr w:type="spellStart"/>
              <w:r w:rsidRPr="00DF5B4D">
                <w:rPr>
                  <w:rStyle w:val="Hyperlink"/>
                  <w:rFonts w:ascii="Calibri" w:eastAsia="Calibri" w:hAnsi="Calibri" w:cs="Calibri"/>
                  <w:lang w:val="es-ES_tradnl"/>
                </w:rPr>
                <w:t>Blueprint</w:t>
              </w:r>
              <w:proofErr w:type="spellEnd"/>
              <w:r w:rsidRPr="00DF5B4D">
                <w:rPr>
                  <w:rStyle w:val="Hyperlink"/>
                  <w:rFonts w:ascii="Calibri" w:eastAsia="Calibri" w:hAnsi="Calibri" w:cs="Calibri"/>
                  <w:lang w:val="es-ES_tradnl"/>
                </w:rPr>
                <w:t xml:space="preserve"> </w:t>
              </w:r>
              <w:proofErr w:type="spellStart"/>
              <w:r w:rsidRPr="00DF5B4D">
                <w:rPr>
                  <w:rStyle w:val="Hyperlink"/>
                  <w:rFonts w:ascii="Calibri" w:eastAsia="Calibri" w:hAnsi="Calibri" w:cs="Calibri"/>
                  <w:lang w:val="es-ES_tradnl"/>
                </w:rPr>
                <w:t>for</w:t>
              </w:r>
              <w:proofErr w:type="spellEnd"/>
              <w:r w:rsidRPr="00DF5B4D">
                <w:rPr>
                  <w:rStyle w:val="Hyperlink"/>
                  <w:rFonts w:ascii="Calibri" w:eastAsia="Calibri" w:hAnsi="Calibri" w:cs="Calibri"/>
                  <w:lang w:val="es-ES_tradnl"/>
                </w:rPr>
                <w:t xml:space="preserve"> </w:t>
              </w:r>
              <w:proofErr w:type="spellStart"/>
              <w:r w:rsidRPr="00DF5B4D">
                <w:rPr>
                  <w:rStyle w:val="Hyperlink"/>
                  <w:rFonts w:ascii="Calibri" w:eastAsia="Calibri" w:hAnsi="Calibri" w:cs="Calibri"/>
                  <w:lang w:val="es-ES_tradnl"/>
                </w:rPr>
                <w:t>Electronics</w:t>
              </w:r>
              <w:proofErr w:type="spellEnd"/>
            </w:hyperlink>
            <w:r w:rsidRPr="00DF5B4D">
              <w:rPr>
                <w:rStyle w:val="Hyperlink"/>
                <w:rFonts w:ascii="Calibri" w:eastAsia="Calibri" w:hAnsi="Calibri" w:cs="Calibri"/>
                <w:lang w:val="es-ES_tradnl"/>
              </w:rPr>
              <w:t>"</w:t>
            </w:r>
            <w:r w:rsidRPr="00DF5B4D">
              <w:rPr>
                <w:lang w:val="es-ES_tradnl"/>
              </w:rPr>
              <w:t xml:space="preserve"> de </w:t>
            </w:r>
            <w:proofErr w:type="spellStart"/>
            <w:r w:rsidRPr="00DF5B4D">
              <w:rPr>
                <w:lang w:val="es-ES_tradnl"/>
              </w:rPr>
              <w:t>Rwanda</w:t>
            </w:r>
            <w:proofErr w:type="spellEnd"/>
            <w:r w:rsidRPr="00DF5B4D">
              <w:rPr>
                <w:lang w:val="es-ES_tradnl"/>
              </w:rPr>
              <w:t xml:space="preserve"> (7 y 8 de noviembre de 2023). También se prestó asistencia al Gobierno de la </w:t>
            </w:r>
            <w:r w:rsidRPr="00925CD8">
              <w:rPr>
                <w:b/>
                <w:bCs/>
                <w:lang w:val="es-ES_tradnl"/>
              </w:rPr>
              <w:t>República Dominicana</w:t>
            </w:r>
            <w:r w:rsidRPr="00DF5B4D">
              <w:rPr>
                <w:lang w:val="es-ES_tradnl"/>
              </w:rPr>
              <w:t xml:space="preserve">, lo que condujo a la puesta en marcha de una normativa sobre la </w:t>
            </w:r>
            <w:hyperlink r:id="rId97" w:history="1">
              <w:r w:rsidRPr="00DF5B4D">
                <w:rPr>
                  <w:rStyle w:val="Hyperlink"/>
                  <w:rFonts w:ascii="Calibri" w:eastAsia="Calibri" w:hAnsi="Calibri" w:cs="Calibri"/>
                  <w:lang w:val="es-ES_tradnl"/>
                </w:rPr>
                <w:t>Gestión Integral de Residuos de Aparatos Eléctricos y Electrónicos (RAEE)</w:t>
              </w:r>
            </w:hyperlink>
            <w:r w:rsidRPr="00DF5B4D">
              <w:rPr>
                <w:lang w:val="es-ES_tradnl"/>
              </w:rPr>
              <w:t xml:space="preserve"> en octubre de 2023, que podría permitir un mercado estimado de 71 millones USD anuales en residuos electrónicos en el país. Los productores de productos electrónicos de Uganda y Zambia se comprometieron a través de iniciativas iniciadas con los gobiernos de </w:t>
            </w:r>
            <w:r w:rsidRPr="00DF5B4D">
              <w:rPr>
                <w:b/>
                <w:bCs/>
                <w:lang w:val="es-ES_tradnl"/>
              </w:rPr>
              <w:t>Uganda y Zambia</w:t>
            </w:r>
            <w:r w:rsidRPr="00DF5B4D">
              <w:rPr>
                <w:lang w:val="es-ES_tradnl"/>
              </w:rPr>
              <w:t xml:space="preserve"> en 2023. En octubre de 2023 se celebró un </w:t>
            </w:r>
            <w:hyperlink r:id="rId98" w:history="1">
              <w:r w:rsidRPr="00DF5B4D">
                <w:rPr>
                  <w:rStyle w:val="Hyperlink"/>
                  <w:rFonts w:ascii="Calibri" w:eastAsia="Calibri" w:hAnsi="Calibri" w:cs="Calibri"/>
                  <w:lang w:val="es-ES_tradnl"/>
                </w:rPr>
                <w:t>taller de consulta gubernamental sobre una hoja de ruta para la implantación de un sistema de Responsabilidad Extendida del Productor en la gestión de residuos de aparatos eléctricos y electrónicos en Zambia</w:t>
              </w:r>
            </w:hyperlink>
            <w:r w:rsidRPr="00DF5B4D">
              <w:rPr>
                <w:lang w:val="es-ES_tradnl"/>
              </w:rPr>
              <w:t>. El objetivo del taller era introducir a los participantes en los conceptos básicos de los residuos electrónicos y la economía circular, explorar los marcos normativos, acordar términos y definiciones, y establecer una hoja de ruta para la implementación de un sistema de Responsabilidad Extendida del Productor</w:t>
            </w:r>
            <w:r w:rsidRPr="00925CD8">
              <w:rPr>
                <w:lang w:val="es-ES_tradnl"/>
              </w:rPr>
              <w:t>. En Uganda</w:t>
            </w:r>
            <w:r w:rsidRPr="00DF5B4D">
              <w:rPr>
                <w:lang w:val="es-ES_tradnl"/>
              </w:rPr>
              <w:t xml:space="preserve">, se celebró en noviembre de 2023 un </w:t>
            </w:r>
            <w:hyperlink r:id="rId99" w:history="1">
              <w:r w:rsidRPr="00DF5B4D">
                <w:rPr>
                  <w:rStyle w:val="Hyperlink"/>
                  <w:rFonts w:ascii="Calibri" w:eastAsia="Calibri" w:hAnsi="Calibri" w:cs="Calibri"/>
                  <w:lang w:val="es-ES_tradnl"/>
                </w:rPr>
                <w:t>taller de consulta a las partes interesadas sobre la regulación de la gestión de los residuos electrónicos y la Responsabilidad Extendida del Productor (REP) de los productores de dispositivos electrónicos</w:t>
              </w:r>
            </w:hyperlink>
            <w:r w:rsidRPr="00DF5B4D">
              <w:rPr>
                <w:lang w:val="es-ES_tradnl"/>
              </w:rPr>
              <w:t xml:space="preserve">, que dio lugar a una </w:t>
            </w:r>
            <w:r w:rsidRPr="00DF5B4D">
              <w:rPr>
                <w:b/>
                <w:bCs/>
                <w:lang w:val="es-ES_tradnl"/>
              </w:rPr>
              <w:t>mejor comprensión por parte de las partes interesadas de la gestión de los residuos electrónicos a través de los principios de la REP y las posibles vías de regulación para el país.</w:t>
            </w:r>
          </w:p>
          <w:p w14:paraId="71A5ADDC" w14:textId="4C2BEB10" w:rsidR="00224990" w:rsidRPr="00DF5B4D" w:rsidRDefault="00224990" w:rsidP="00B37117">
            <w:pPr>
              <w:pStyle w:val="Tabletext"/>
              <w:rPr>
                <w:color w:val="000000" w:themeColor="text1"/>
                <w:lang w:val="es-ES_tradnl"/>
              </w:rPr>
            </w:pPr>
            <w:r w:rsidRPr="00DF5B4D">
              <w:rPr>
                <w:b/>
                <w:bCs/>
                <w:color w:val="000000" w:themeColor="text1"/>
                <w:lang w:val="es-ES_tradnl"/>
              </w:rPr>
              <w:lastRenderedPageBreak/>
              <w:t>En Malawi</w:t>
            </w:r>
            <w:r w:rsidRPr="00DF5B4D">
              <w:rPr>
                <w:color w:val="000000" w:themeColor="text1"/>
                <w:lang w:val="es-ES_tradnl"/>
              </w:rPr>
              <w:t xml:space="preserve">, la </w:t>
            </w:r>
            <w:r w:rsidR="00687575">
              <w:rPr>
                <w:color w:val="000000" w:themeColor="text1"/>
                <w:lang w:val="es-ES_tradnl"/>
              </w:rPr>
              <w:t>BDT</w:t>
            </w:r>
            <w:r w:rsidR="00687575" w:rsidRPr="00DF5B4D">
              <w:rPr>
                <w:color w:val="000000" w:themeColor="text1"/>
                <w:lang w:val="es-ES_tradnl"/>
              </w:rPr>
              <w:t xml:space="preserve"> </w:t>
            </w:r>
            <w:r w:rsidRPr="00DF5B4D">
              <w:rPr>
                <w:color w:val="000000" w:themeColor="text1"/>
                <w:lang w:val="es-ES_tradnl"/>
              </w:rPr>
              <w:t xml:space="preserve">prestó apoyo para reforzar el </w:t>
            </w:r>
            <w:hyperlink r:id="rId100" w:history="1">
              <w:r w:rsidRPr="00DF5B4D">
                <w:rPr>
                  <w:rStyle w:val="Hyperlink"/>
                  <w:rFonts w:ascii="Calibri" w:eastAsia="Calibri" w:hAnsi="Calibri" w:cs="Calibri"/>
                  <w:lang w:val="es-ES_tradnl"/>
                </w:rPr>
                <w:t>marco político para la gestión ecológica de los residuos electrónicos</w:t>
              </w:r>
            </w:hyperlink>
            <w:r w:rsidRPr="00DF5B4D">
              <w:rPr>
                <w:color w:val="000000" w:themeColor="text1"/>
                <w:lang w:val="es-ES_tradnl"/>
              </w:rPr>
              <w:t xml:space="preserve">. Esto incluyó la consulta y preparación de la política nacional de gestión de residuos electrónicos, que se presentó a la Oficina del Presidente y el Gabinete y se aprobó en 2023. Actualmente está pendiente de la aprobación final por parte de la Presidencia. La </w:t>
            </w:r>
            <w:r w:rsidR="00687575">
              <w:rPr>
                <w:color w:val="000000" w:themeColor="text1"/>
                <w:lang w:val="es-ES_tradnl"/>
              </w:rPr>
              <w:t>BDT</w:t>
            </w:r>
            <w:r w:rsidR="00687575" w:rsidRPr="00DF5B4D">
              <w:rPr>
                <w:color w:val="000000" w:themeColor="text1"/>
                <w:lang w:val="es-ES_tradnl"/>
              </w:rPr>
              <w:t xml:space="preserve"> </w:t>
            </w:r>
            <w:r w:rsidRPr="00DF5B4D">
              <w:rPr>
                <w:color w:val="000000" w:themeColor="text1"/>
                <w:lang w:val="es-ES_tradnl"/>
              </w:rPr>
              <w:t xml:space="preserve">ha </w:t>
            </w:r>
            <w:hyperlink r:id="rId101" w:history="1">
              <w:r w:rsidRPr="00DF5B4D">
                <w:rPr>
                  <w:rStyle w:val="Hyperlink"/>
                  <w:rFonts w:ascii="Calibri" w:eastAsia="Calibri" w:hAnsi="Calibri" w:cs="Calibri"/>
                  <w:lang w:val="es-ES_tradnl"/>
                </w:rPr>
                <w:t>proporcionado una capacitación y asistencia técnica similares en Burundi</w:t>
              </w:r>
            </w:hyperlink>
            <w:r w:rsidRPr="00DF5B4D">
              <w:rPr>
                <w:color w:val="000000" w:themeColor="text1"/>
                <w:lang w:val="es-ES_tradnl"/>
              </w:rPr>
              <w:t xml:space="preserve"> a las partes interesadas de los sectores público y privado, donde la política nacional de gestión de residuos electrónicos se presentó al gabinete en 2023, con la decisión de proceder con el marco político en un reglamento para garantizar un nivel adecuado de aplicación.</w:t>
            </w:r>
          </w:p>
          <w:p w14:paraId="7C0BCE46" w14:textId="40FEA7B0" w:rsidR="00224990" w:rsidRPr="00DF5B4D" w:rsidRDefault="00224990" w:rsidP="00B37117">
            <w:pPr>
              <w:pStyle w:val="Tabletext"/>
              <w:rPr>
                <w:color w:val="000000" w:themeColor="text1"/>
                <w:lang w:val="es-ES_tradnl"/>
              </w:rPr>
            </w:pPr>
            <w:r w:rsidRPr="00DF5B4D">
              <w:rPr>
                <w:color w:val="000000" w:themeColor="text1"/>
                <w:lang w:val="es-ES_tradnl"/>
              </w:rPr>
              <w:t xml:space="preserve">En 2023, la BDT apoyó a los gobiernos de </w:t>
            </w:r>
            <w:hyperlink r:id="rId102" w:history="1">
              <w:proofErr w:type="spellStart"/>
              <w:r w:rsidRPr="00DF5B4D">
                <w:rPr>
                  <w:rStyle w:val="Hyperlink"/>
                  <w:rFonts w:ascii="Calibri" w:eastAsia="Calibri" w:hAnsi="Calibri" w:cs="Calibri"/>
                  <w:lang w:val="es-ES_tradnl"/>
                </w:rPr>
                <w:t>Botswana</w:t>
              </w:r>
              <w:proofErr w:type="spellEnd"/>
            </w:hyperlink>
            <w:r w:rsidRPr="00DF5B4D">
              <w:rPr>
                <w:color w:val="000000" w:themeColor="text1"/>
                <w:lang w:val="es-ES_tradnl"/>
              </w:rPr>
              <w:t xml:space="preserve"> y </w:t>
            </w:r>
            <w:hyperlink r:id="rId103" w:history="1">
              <w:r w:rsidRPr="00DF5B4D">
                <w:rPr>
                  <w:rStyle w:val="Hyperlink"/>
                  <w:rFonts w:ascii="Calibri" w:eastAsia="Calibri" w:hAnsi="Calibri" w:cs="Calibri"/>
                  <w:lang w:val="es-ES_tradnl"/>
                </w:rPr>
                <w:t>Níger</w:t>
              </w:r>
            </w:hyperlink>
            <w:r w:rsidRPr="00DF5B4D">
              <w:rPr>
                <w:color w:val="000000" w:themeColor="text1"/>
                <w:lang w:val="es-ES_tradnl"/>
              </w:rPr>
              <w:t xml:space="preserve"> en el desarrollo de sus estrategias de gestión de residuos electrónicos. Las dos estrategias están actualmente pendientes de aprobación por las autoridades competentes. La asistencia de la </w:t>
            </w:r>
            <w:r w:rsidR="00687575">
              <w:rPr>
                <w:color w:val="000000" w:themeColor="text1"/>
                <w:lang w:val="es-ES_tradnl"/>
              </w:rPr>
              <w:t>BDT</w:t>
            </w:r>
            <w:r w:rsidR="00687575" w:rsidRPr="00DF5B4D">
              <w:rPr>
                <w:color w:val="000000" w:themeColor="text1"/>
                <w:lang w:val="es-ES_tradnl"/>
              </w:rPr>
              <w:t xml:space="preserve"> </w:t>
            </w:r>
            <w:r w:rsidRPr="00DF5B4D">
              <w:rPr>
                <w:color w:val="000000" w:themeColor="text1"/>
                <w:lang w:val="es-ES_tradnl"/>
              </w:rPr>
              <w:t xml:space="preserve">en la preparación de estas estrategias ha sentado las bases para el desarrollo de sistemas nacionales de gestión de residuos electrónicos, proporcionando a </w:t>
            </w:r>
            <w:proofErr w:type="spellStart"/>
            <w:r w:rsidRPr="00DF5B4D">
              <w:rPr>
                <w:color w:val="000000" w:themeColor="text1"/>
                <w:lang w:val="es-ES_tradnl"/>
              </w:rPr>
              <w:t>Botswana</w:t>
            </w:r>
            <w:proofErr w:type="spellEnd"/>
            <w:r w:rsidRPr="00DF5B4D">
              <w:rPr>
                <w:color w:val="000000" w:themeColor="text1"/>
                <w:lang w:val="es-ES_tradnl"/>
              </w:rPr>
              <w:t xml:space="preserve"> y Níger una dirección y una visión claras para hacer frente a los residuos electrónicos.</w:t>
            </w:r>
          </w:p>
          <w:p w14:paraId="6BF54F49" w14:textId="487C4DF9" w:rsidR="00224990" w:rsidRPr="00DF5B4D" w:rsidRDefault="00224990" w:rsidP="00B37117">
            <w:pPr>
              <w:pStyle w:val="Tabletext"/>
              <w:rPr>
                <w:lang w:val="es-ES_tradnl"/>
              </w:rPr>
            </w:pPr>
            <w:r w:rsidRPr="00DF5B4D">
              <w:rPr>
                <w:lang w:val="es-ES_tradnl"/>
              </w:rPr>
              <w:t xml:space="preserve">En julio de 2023, la BDT publicó la </w:t>
            </w:r>
            <w:hyperlink r:id="rId104" w:anchor="/es" w:history="1">
              <w:r w:rsidRPr="00DF5B4D">
                <w:rPr>
                  <w:rStyle w:val="Hyperlink"/>
                  <w:lang w:val="es-ES_tradnl"/>
                </w:rPr>
                <w:t>Guía de compras públicas circulares y sostenibles para las TIC</w:t>
              </w:r>
            </w:hyperlink>
            <w:r w:rsidRPr="00DF5B4D">
              <w:rPr>
                <w:lang w:val="es-ES_tradnl"/>
              </w:rPr>
              <w:t xml:space="preserve"> en el marco de la iniciativa Green </w:t>
            </w:r>
            <w:proofErr w:type="spellStart"/>
            <w:r w:rsidRPr="00DF5B4D">
              <w:rPr>
                <w:lang w:val="es-ES_tradnl"/>
              </w:rPr>
              <w:t>GovStack</w:t>
            </w:r>
            <w:proofErr w:type="spellEnd"/>
            <w:r w:rsidRPr="00DF5B4D">
              <w:rPr>
                <w:lang w:val="es-ES_tradnl"/>
              </w:rPr>
              <w:t xml:space="preserve">, mostrando el compromiso de la UIT de abordar el ciclo de vida completo de las TIC, no solo desde la perspectiva de los residuos, sino también desde un ángulo ascendente. La guía permitirá a la </w:t>
            </w:r>
            <w:r w:rsidR="00687575">
              <w:rPr>
                <w:lang w:val="es-ES_tradnl"/>
              </w:rPr>
              <w:t>BDT</w:t>
            </w:r>
            <w:r w:rsidR="00687575" w:rsidRPr="00DF5B4D">
              <w:rPr>
                <w:lang w:val="es-ES_tradnl"/>
              </w:rPr>
              <w:t xml:space="preserve"> </w:t>
            </w:r>
            <w:r w:rsidRPr="00DF5B4D">
              <w:rPr>
                <w:lang w:val="es-ES_tradnl"/>
              </w:rPr>
              <w:t>ofrecer formación a los profesionales de la contratación, influyendo en sus decisiones de compra y mejorando su capacidad para adoptar prácticas de contratación circular. Además, la guía va acompañada de un curso de aprendizaje electrónico titulado "</w:t>
            </w:r>
            <w:hyperlink r:id="rId105" w:history="1">
              <w:r w:rsidRPr="00DF5B4D">
                <w:rPr>
                  <w:rStyle w:val="Hyperlink"/>
                  <w:lang w:val="es-ES_tradnl"/>
                </w:rPr>
                <w:t>Compras públicas circulares y sostenibles para las TIC</w:t>
              </w:r>
            </w:hyperlink>
            <w:r w:rsidRPr="00DF5B4D">
              <w:rPr>
                <w:lang w:val="es-ES_tradnl"/>
              </w:rPr>
              <w:t>".</w:t>
            </w:r>
          </w:p>
          <w:p w14:paraId="3CEF871A" w14:textId="77777777" w:rsidR="00224990" w:rsidRPr="00DF5B4D" w:rsidRDefault="00224990" w:rsidP="00390FBF">
            <w:pPr>
              <w:pStyle w:val="Tabletext"/>
              <w:rPr>
                <w:lang w:val="es-ES_tradnl"/>
              </w:rPr>
            </w:pPr>
            <w:r w:rsidRPr="00DF5B4D">
              <w:rPr>
                <w:lang w:val="es-ES_tradnl"/>
              </w:rPr>
              <w:t xml:space="preserve">El </w:t>
            </w:r>
            <w:r w:rsidRPr="00DF5B4D">
              <w:rPr>
                <w:b/>
                <w:bCs/>
                <w:lang w:val="es-ES_tradnl"/>
              </w:rPr>
              <w:t>Global E-</w:t>
            </w:r>
            <w:proofErr w:type="spellStart"/>
            <w:r w:rsidRPr="00DF5B4D">
              <w:rPr>
                <w:b/>
                <w:bCs/>
                <w:lang w:val="es-ES_tradnl"/>
              </w:rPr>
              <w:t>waste</w:t>
            </w:r>
            <w:proofErr w:type="spellEnd"/>
            <w:r w:rsidRPr="00DF5B4D">
              <w:rPr>
                <w:b/>
                <w:bCs/>
                <w:lang w:val="es-ES_tradnl"/>
              </w:rPr>
              <w:t xml:space="preserve"> Monitor</w:t>
            </w:r>
            <w:r w:rsidRPr="00DF5B4D">
              <w:rPr>
                <w:lang w:val="es-ES_tradnl"/>
              </w:rPr>
              <w:t xml:space="preserve"> 2024 se publicó en marzo de 2024. La publicación, fruto de la colaboración entre la UIT, UNITAR y la Fundación </w:t>
            </w:r>
            <w:proofErr w:type="spellStart"/>
            <w:r w:rsidRPr="00DF5B4D">
              <w:rPr>
                <w:lang w:val="es-ES_tradnl"/>
              </w:rPr>
              <w:t>Carmignac</w:t>
            </w:r>
            <w:proofErr w:type="spellEnd"/>
            <w:r w:rsidRPr="00DF5B4D">
              <w:rPr>
                <w:lang w:val="es-ES_tradnl"/>
              </w:rPr>
              <w:t>, presenta las tendencias y retos actuales de los residuos electrónicos a escala mundial en el marco de la economía circular. Hace hincapié en la creciente disparidad entre la generación de residuos electrónicos y las tasas de reciclaje, abordando temas como los movimientos transfronterizos, la legislación, la recuperación de materiales, las tecnologías de tratamiento, la evaluación del impacto ambiental y las perspectivas regionales hasta 2023.</w:t>
            </w:r>
          </w:p>
          <w:p w14:paraId="4C1EB35B" w14:textId="77777777" w:rsidR="00224990" w:rsidRPr="00DF5B4D" w:rsidRDefault="00224990" w:rsidP="00390FBF">
            <w:pPr>
              <w:pStyle w:val="Tabletext"/>
              <w:rPr>
                <w:color w:val="000000" w:themeColor="text1"/>
                <w:lang w:val="es-ES_tradnl"/>
              </w:rPr>
            </w:pPr>
            <w:r w:rsidRPr="00DF5B4D">
              <w:rPr>
                <w:lang w:val="es-ES_tradnl"/>
              </w:rPr>
              <w:t xml:space="preserve">La BDT ha </w:t>
            </w:r>
            <w:r w:rsidRPr="00DF5B4D">
              <w:rPr>
                <w:b/>
                <w:bCs/>
                <w:lang w:val="es-ES_tradnl"/>
              </w:rPr>
              <w:t>reforzado la capacidad de las oficinas nacionales de estadística, los reguladores y ministerios de TIC y los ministerios de medio ambiente</w:t>
            </w:r>
            <w:r w:rsidRPr="00DF5B4D">
              <w:rPr>
                <w:lang w:val="es-ES_tradnl"/>
              </w:rPr>
              <w:t xml:space="preserve"> para impartir formación a los seis Estados miembros de la Organización de Comunicaciones del África Oriental con el fin de apoyar la asimilación de datos sobre residuos electrónicos y aumentar la armonización regional en la medición de los residuos electrónicos.</w:t>
            </w:r>
          </w:p>
          <w:p w14:paraId="50D38BC4" w14:textId="156B32C0" w:rsidR="00224990" w:rsidRPr="00DF5B4D" w:rsidRDefault="00224990" w:rsidP="00390FBF">
            <w:pPr>
              <w:pStyle w:val="Tabletext"/>
              <w:rPr>
                <w:lang w:val="es-ES_tradnl"/>
              </w:rPr>
            </w:pPr>
            <w:r w:rsidRPr="00DF5B4D">
              <w:rPr>
                <w:b/>
                <w:bCs/>
                <w:lang w:val="es-ES_tradnl"/>
              </w:rPr>
              <w:t>En Europa</w:t>
            </w:r>
            <w:r w:rsidRPr="00DF5B4D">
              <w:rPr>
                <w:lang w:val="es-ES_tradnl"/>
              </w:rPr>
              <w:t xml:space="preserve">, la </w:t>
            </w:r>
            <w:r w:rsidR="00687575">
              <w:rPr>
                <w:lang w:val="es-ES_tradnl"/>
              </w:rPr>
              <w:t>BDT</w:t>
            </w:r>
            <w:r w:rsidR="00687575" w:rsidRPr="00DF5B4D">
              <w:rPr>
                <w:lang w:val="es-ES_tradnl"/>
              </w:rPr>
              <w:t xml:space="preserve"> </w:t>
            </w:r>
            <w:r w:rsidRPr="00DF5B4D">
              <w:rPr>
                <w:lang w:val="es-ES_tradnl"/>
              </w:rPr>
              <w:t xml:space="preserve">y sus socios publicaron el </w:t>
            </w:r>
            <w:hyperlink r:id="rId106" w:history="1">
              <w:r w:rsidRPr="00DF5B4D">
                <w:rPr>
                  <w:rStyle w:val="Hyperlink"/>
                  <w:rFonts w:ascii="Calibri" w:eastAsia="Calibri" w:hAnsi="Calibri" w:cs="Calibri"/>
                  <w:lang w:val="es-ES_tradnl"/>
                </w:rPr>
                <w:t>Monitor Regional de Residuos Electrónicos para los Balcanes Occidentales</w:t>
              </w:r>
            </w:hyperlink>
            <w:r w:rsidRPr="00DF5B4D">
              <w:rPr>
                <w:lang w:val="es-ES_tradnl"/>
              </w:rPr>
              <w:t>. El informe ofrece seis recomendaciones para una gestión holística de los residuos electrónicos en la región, abogando por medidas preventivas, sensibilización, mejora de la recogida y el tratamiento, protocolos de seguridad, compensación justa y mejora de la formación. Su objetivo es orientar a los responsables políticos, las industrias y las comunidades hacia prácticas sostenibles.</w:t>
            </w:r>
          </w:p>
          <w:p w14:paraId="5EA5B2A5" w14:textId="3A63569C" w:rsidR="00224990" w:rsidRPr="00DF5B4D" w:rsidRDefault="00224990" w:rsidP="00390FBF">
            <w:pPr>
              <w:pStyle w:val="Tabletext"/>
              <w:rPr>
                <w:lang w:val="es-ES_tradnl"/>
              </w:rPr>
            </w:pPr>
            <w:r w:rsidRPr="00DF5B4D">
              <w:rPr>
                <w:b/>
                <w:bCs/>
                <w:lang w:val="es-ES_tradnl"/>
              </w:rPr>
              <w:t>En la CEI</w:t>
            </w:r>
            <w:r w:rsidRPr="00DF5B4D">
              <w:rPr>
                <w:lang w:val="es-ES_tradnl"/>
              </w:rPr>
              <w:t xml:space="preserve">, la </w:t>
            </w:r>
            <w:r w:rsidR="00687575">
              <w:rPr>
                <w:lang w:val="es-ES_tradnl"/>
              </w:rPr>
              <w:t>BDT</w:t>
            </w:r>
            <w:r w:rsidR="00687575" w:rsidRPr="00DF5B4D">
              <w:rPr>
                <w:lang w:val="es-ES_tradnl"/>
              </w:rPr>
              <w:t xml:space="preserve"> </w:t>
            </w:r>
            <w:r w:rsidRPr="00DF5B4D">
              <w:rPr>
                <w:lang w:val="es-ES_tradnl"/>
              </w:rPr>
              <w:t xml:space="preserve">apoyó la publicación del </w:t>
            </w:r>
            <w:hyperlink r:id="rId107" w:history="1">
              <w:r w:rsidRPr="00DF5B4D">
                <w:rPr>
                  <w:rStyle w:val="Hyperlink"/>
                  <w:rFonts w:ascii="Calibri" w:eastAsia="Calibri" w:hAnsi="Calibri" w:cs="Calibri"/>
                  <w:lang w:val="es-ES_tradnl"/>
                </w:rPr>
                <w:t>Monitor Nacional de Residuos Electrónicos de Kazajstán</w:t>
              </w:r>
            </w:hyperlink>
            <w:r w:rsidRPr="00DF5B4D">
              <w:rPr>
                <w:lang w:val="es-ES_tradnl"/>
              </w:rPr>
              <w:t xml:space="preserve">, que ofrece recomendaciones y una hoja de ruta nacional para la gestión sostenible de los residuos electrónicos, junto con estadísticas clave. Este esfuerzo contribuye a la creación de capacidad mundial en materia de datos y estadísticas sobre residuos electrónicos. Del mismo modo, en marzo de 2024 se publicaron los monitores nacionales de residuos electrónicos de Namibia y </w:t>
            </w:r>
            <w:proofErr w:type="spellStart"/>
            <w:r w:rsidRPr="00DF5B4D">
              <w:rPr>
                <w:lang w:val="es-ES_tradnl"/>
              </w:rPr>
              <w:t>Botswana</w:t>
            </w:r>
            <w:proofErr w:type="spellEnd"/>
            <w:r w:rsidRPr="00DF5B4D">
              <w:rPr>
                <w:lang w:val="es-ES_tradnl"/>
              </w:rPr>
              <w:t>.</w:t>
            </w:r>
          </w:p>
          <w:p w14:paraId="15C358FB" w14:textId="77777777" w:rsidR="00224990" w:rsidRPr="00DF5B4D" w:rsidRDefault="00224990" w:rsidP="00390FBF">
            <w:pPr>
              <w:pStyle w:val="Tabletext"/>
              <w:rPr>
                <w:lang w:val="es-ES_tradnl"/>
              </w:rPr>
            </w:pPr>
            <w:r w:rsidRPr="00DF5B4D">
              <w:rPr>
                <w:b/>
                <w:bCs/>
                <w:lang w:val="es-ES_tradnl"/>
              </w:rPr>
              <w:lastRenderedPageBreak/>
              <w:t>En Asia y el Pacífico</w:t>
            </w:r>
            <w:r w:rsidRPr="00DF5B4D">
              <w:rPr>
                <w:lang w:val="es-ES_tradnl"/>
              </w:rPr>
              <w:t>, con el apoyo del Departamento de Infraestructura, Transporte, Desarrollo Regional, Comunicaciones y Arte (DITRDCA) de Australia, en enero de 2024 se firmó un documento de proyecto titulado "Creación de una economía circular para los productos electrónicos y eléctricos en Tailandia y Mongolia" con el objetivo de crear recomendaciones sólidas para un marco regulador de la gobernanza de la gestión de los residuos electrónicos en el marco de la responsabilidad extendida del productor (REP) en Mongolia y Tailandia. Al final del proyecto, se espera que los dos países beneficiarios tengan la capacidad de regular mejor la gestión de los residuos electrónicos y dispongan de las herramientas políticas y los principios necesarios para aplicar una regulación de la gestión de los residuos electrónicos con financiación sostenible en la que el sector privado desempeñe un papel significativo.</w:t>
            </w:r>
          </w:p>
          <w:p w14:paraId="02396463" w14:textId="77777777" w:rsidR="00224990" w:rsidRPr="00DF5B4D" w:rsidRDefault="00224990" w:rsidP="00390FBF">
            <w:pPr>
              <w:pStyle w:val="Tabletext"/>
              <w:rPr>
                <w:lang w:val="es-ES_tradnl"/>
              </w:rPr>
            </w:pPr>
            <w:r w:rsidRPr="00DF5B4D">
              <w:rPr>
                <w:lang w:val="es-ES_tradnl"/>
              </w:rPr>
              <w:t>En septiembre de 2023, la BDT publicó dos nuevos cursos de aprendizaje electrónico sobre datos y estadísticas de residuos electrónicos: "</w:t>
            </w:r>
            <w:hyperlink r:id="rId108" w:history="1">
              <w:r w:rsidRPr="00DF5B4D">
                <w:rPr>
                  <w:rStyle w:val="Hyperlink"/>
                  <w:rFonts w:ascii="Calibri" w:eastAsia="Calibri" w:hAnsi="Calibri" w:cs="Calibri"/>
                  <w:lang w:val="es-ES_tradnl"/>
                </w:rPr>
                <w:t>Afrontar los desafíos de los residuos electrónicos a través de datos y estadísticas</w:t>
              </w:r>
            </w:hyperlink>
            <w:r w:rsidRPr="00DF5B4D">
              <w:rPr>
                <w:lang w:val="es-ES_tradnl"/>
              </w:rPr>
              <w:t>" e "</w:t>
            </w:r>
            <w:hyperlink r:id="rId109" w:history="1">
              <w:r w:rsidRPr="00DF5B4D">
                <w:rPr>
                  <w:rStyle w:val="Hyperlink"/>
                  <w:rFonts w:ascii="Calibri" w:eastAsia="Calibri" w:hAnsi="Calibri" w:cs="Calibri"/>
                  <w:lang w:val="es-ES_tradnl"/>
                </w:rPr>
                <w:t>Introducción a los desafíos de los residuos electrónicos</w:t>
              </w:r>
            </w:hyperlink>
            <w:r w:rsidRPr="00DF5B4D">
              <w:rPr>
                <w:lang w:val="es-ES_tradnl"/>
              </w:rPr>
              <w:t>". Estas dos partes de un único paquete de aprendizaje electrónico tienen como objetivo proporcionar una visión general de los desafíos mundiales de los residuos electrónicos, incluidas las estadísticas y la legislación sobre residuos electrónicos basadas en los datos más recientes del Global E-</w:t>
            </w:r>
            <w:proofErr w:type="spellStart"/>
            <w:r w:rsidRPr="00DF5B4D">
              <w:rPr>
                <w:lang w:val="es-ES_tradnl"/>
              </w:rPr>
              <w:t>waste</w:t>
            </w:r>
            <w:proofErr w:type="spellEnd"/>
            <w:r w:rsidRPr="00DF5B4D">
              <w:rPr>
                <w:lang w:val="es-ES_tradnl"/>
              </w:rPr>
              <w:t xml:space="preserve"> Monitor y la Alianza Mundial para las Estadísticas de Residuos Electrónicos. Los cursos permiten a los participantes seguir las metodologías utilizadas y los principios clave que se siguen a la hora de recopilar y mejorar las estadísticas y los datos sobre residuos electrónicos.</w:t>
            </w:r>
          </w:p>
          <w:p w14:paraId="6ECCDD37" w14:textId="550DAADB" w:rsidR="00224990" w:rsidRPr="00DF5B4D" w:rsidRDefault="00224990" w:rsidP="00390FBF">
            <w:pPr>
              <w:pStyle w:val="Tabletext"/>
              <w:rPr>
                <w:rFonts w:eastAsia="Calibri"/>
                <w:lang w:val="es-ES_tradnl"/>
              </w:rPr>
            </w:pPr>
            <w:r w:rsidRPr="00DF5B4D">
              <w:rPr>
                <w:rFonts w:eastAsia="Calibri"/>
                <w:lang w:val="es-ES_tradnl"/>
              </w:rPr>
              <w:t xml:space="preserve">En junio de 2023, la </w:t>
            </w:r>
            <w:r w:rsidR="00687575">
              <w:rPr>
                <w:rFonts w:eastAsia="Calibri"/>
                <w:lang w:val="es-ES_tradnl"/>
              </w:rPr>
              <w:t>BDT</w:t>
            </w:r>
            <w:r w:rsidR="00687575" w:rsidRPr="00DF5B4D">
              <w:rPr>
                <w:rFonts w:eastAsia="Calibri"/>
                <w:lang w:val="es-ES_tradnl"/>
              </w:rPr>
              <w:t xml:space="preserve"> </w:t>
            </w:r>
            <w:r w:rsidRPr="00DF5B4D">
              <w:rPr>
                <w:rFonts w:eastAsia="Calibri"/>
                <w:lang w:val="es-ES_tradnl"/>
              </w:rPr>
              <w:t xml:space="preserve">amplió sus iniciativas medioambientales con la celebración de eventos como la </w:t>
            </w:r>
            <w:hyperlink r:id="rId110" w:history="1">
              <w:r w:rsidRPr="00DF5B4D">
                <w:rPr>
                  <w:rStyle w:val="Hyperlink"/>
                  <w:rFonts w:eastAsia="Calibri"/>
                  <w:lang w:val="es-ES_tradnl"/>
                </w:rPr>
                <w:t>Transformación d</w:t>
              </w:r>
              <w:r w:rsidRPr="00DF5B4D">
                <w:rPr>
                  <w:rStyle w:val="Hyperlink"/>
                  <w:lang w:val="es-ES_tradnl"/>
                </w:rPr>
                <w:t>igital ecológica en una economía circular para la electrónica</w:t>
              </w:r>
            </w:hyperlink>
            <w:r w:rsidRPr="00DF5B4D">
              <w:rPr>
                <w:lang w:val="es-ES_tradnl"/>
              </w:rPr>
              <w:t>.</w:t>
            </w:r>
            <w:r w:rsidRPr="00DF5B4D">
              <w:rPr>
                <w:rFonts w:eastAsia="Calibri"/>
                <w:lang w:val="es-ES_tradnl"/>
              </w:rPr>
              <w:t xml:space="preserve"> Los eventos tenían como objetivo proporcionar una visión general del papel de las TIC en el cambio climático y los desafíos de los residuos electrónicos para una transformación digital sostenible. En el Simposio Mundial para Organismos Reguladores (GSR), celebrado el 8 de junio de 2023 en Sharm el-Sheikh (Egipto), en un evento titulado "</w:t>
            </w:r>
            <w:hyperlink r:id="rId111" w:history="1">
              <w:r w:rsidRPr="00DF5B4D">
                <w:rPr>
                  <w:rStyle w:val="Hyperlink"/>
                  <w:rFonts w:eastAsia="Calibri"/>
                  <w:lang w:val="es-ES_tradnl"/>
                </w:rPr>
                <w:t>La ecologización de la transformación digital</w:t>
              </w:r>
            </w:hyperlink>
            <w:r w:rsidRPr="00DF5B4D">
              <w:rPr>
                <w:rFonts w:eastAsia="Calibri"/>
                <w:lang w:val="es-ES_tradnl"/>
              </w:rPr>
              <w:t>" se debatió la participación de los organismos reguladores en la mejora de la notificación de las emisiones de gases de efecto invernadero y la regulación de los residuos electrónicos del sector de las TIC.</w:t>
            </w:r>
          </w:p>
          <w:p w14:paraId="444F6A1D" w14:textId="5C3D064F" w:rsidR="00224990" w:rsidRPr="00DF5B4D" w:rsidRDefault="00224990" w:rsidP="00390FBF">
            <w:pPr>
              <w:pStyle w:val="Tabletext"/>
              <w:rPr>
                <w:lang w:val="es-ES_tradnl"/>
              </w:rPr>
            </w:pPr>
            <w:r w:rsidRPr="00DF5B4D">
              <w:rPr>
                <w:lang w:val="es-ES_tradnl"/>
              </w:rPr>
              <w:t xml:space="preserve">En julio de 2023, la </w:t>
            </w:r>
            <w:r w:rsidR="00687575">
              <w:rPr>
                <w:lang w:val="es-ES_tradnl"/>
              </w:rPr>
              <w:t>BDT</w:t>
            </w:r>
            <w:r w:rsidRPr="00DF5B4D">
              <w:rPr>
                <w:lang w:val="es-ES_tradnl"/>
              </w:rPr>
              <w:t xml:space="preserve">, en colaboración con el Fondo RISE para África de la UE y el Gobierno de </w:t>
            </w:r>
            <w:proofErr w:type="spellStart"/>
            <w:r w:rsidRPr="00DF5B4D">
              <w:rPr>
                <w:lang w:val="es-ES_tradnl"/>
              </w:rPr>
              <w:t>Botswana</w:t>
            </w:r>
            <w:proofErr w:type="spellEnd"/>
            <w:r w:rsidRPr="00DF5B4D">
              <w:rPr>
                <w:lang w:val="es-ES_tradnl"/>
              </w:rPr>
              <w:t xml:space="preserve">, organizó el evento </w:t>
            </w:r>
            <w:hyperlink r:id="rId112" w:history="1">
              <w:r w:rsidRPr="00DF5B4D">
                <w:rPr>
                  <w:rStyle w:val="Hyperlink"/>
                  <w:rFonts w:ascii="Calibri" w:eastAsia="Calibri" w:hAnsi="Calibri" w:cs="Calibri"/>
                  <w:lang w:val="es-ES_tradnl"/>
                </w:rPr>
                <w:t>Transformar a través de la economía circular y la REP</w:t>
              </w:r>
            </w:hyperlink>
            <w:r w:rsidRPr="00DF5B4D">
              <w:rPr>
                <w:lang w:val="es-ES_tradnl"/>
              </w:rPr>
              <w:t xml:space="preserve">. Este evento tenía como objetivo fortalecer la colaboración regional entre los Estados Miembros de la SADC y presentó actualizaciones sobre los avances en la gestión de residuos electrónicos en África oriental y meridional. Botsuana también demostró su compromiso presentando su proyecto de estrategia nacional de gestión de residuos electrónicos desarrollado con la </w:t>
            </w:r>
            <w:r w:rsidR="00687575">
              <w:rPr>
                <w:lang w:val="es-ES_tradnl"/>
              </w:rPr>
              <w:t>BDT</w:t>
            </w:r>
            <w:r w:rsidRPr="00DF5B4D">
              <w:rPr>
                <w:lang w:val="es-ES_tradnl"/>
              </w:rPr>
              <w:t>.</w:t>
            </w:r>
          </w:p>
          <w:p w14:paraId="35A6B0EE" w14:textId="4DD6DDE3" w:rsidR="00224990" w:rsidRPr="00DF5B4D" w:rsidRDefault="00224990" w:rsidP="00390FBF">
            <w:pPr>
              <w:pStyle w:val="Tabletext"/>
              <w:rPr>
                <w:lang w:val="es-ES_tradnl"/>
              </w:rPr>
            </w:pPr>
            <w:r w:rsidRPr="00DF5B4D">
              <w:rPr>
                <w:lang w:val="es-ES_tradnl"/>
              </w:rPr>
              <w:t xml:space="preserve">La </w:t>
            </w:r>
            <w:r w:rsidR="00687575">
              <w:rPr>
                <w:lang w:val="es-ES_tradnl"/>
              </w:rPr>
              <w:t>BDT</w:t>
            </w:r>
            <w:r w:rsidR="00687575" w:rsidRPr="00DF5B4D">
              <w:rPr>
                <w:lang w:val="es-ES_tradnl"/>
              </w:rPr>
              <w:t xml:space="preserve"> </w:t>
            </w:r>
            <w:r w:rsidRPr="00DF5B4D">
              <w:rPr>
                <w:lang w:val="es-ES_tradnl"/>
              </w:rPr>
              <w:t xml:space="preserve">colaboró con socios para supervisar las emisiones de la industria, apoyar a los países en el seguimiento de las emisiones del sector de las TIC y desarrollar estrategias de TIC ecológicas. Esto incluyó la publicación de informes y guías, como la </w:t>
            </w:r>
            <w:hyperlink r:id="rId113" w:history="1">
              <w:r w:rsidRPr="00DF5B4D">
                <w:rPr>
                  <w:rStyle w:val="Hyperlink"/>
                  <w:rFonts w:ascii="Calibri" w:eastAsia="Calibri" w:hAnsi="Calibri" w:cs="Calibri"/>
                  <w:lang w:val="es-ES_tradnl"/>
                </w:rPr>
                <w:t>guía para profesionales sobre centros de datos ecológicos</w:t>
              </w:r>
            </w:hyperlink>
            <w:r w:rsidRPr="00DF5B4D">
              <w:rPr>
                <w:lang w:val="es-ES_tradnl"/>
              </w:rPr>
              <w:t xml:space="preserve"> y el curso de aprendizaje electrónico sobre </w:t>
            </w:r>
            <w:hyperlink r:id="rId114" w:history="1">
              <w:r w:rsidRPr="00DF5B4D">
                <w:rPr>
                  <w:rStyle w:val="Hyperlink"/>
                  <w:rFonts w:ascii="Calibri" w:eastAsia="Calibri" w:hAnsi="Calibri" w:cs="Calibri"/>
                  <w:lang w:val="es-ES_tradnl"/>
                </w:rPr>
                <w:t>emprendimiento ecológico y digital para mujeres</w:t>
              </w:r>
            </w:hyperlink>
            <w:r w:rsidRPr="00DF5B4D">
              <w:rPr>
                <w:lang w:val="es-ES_tradnl"/>
              </w:rPr>
              <w:t>. La UIT también participó activamente en conferencias internacionales sobre el clima como la COP28 y la COY18, promoviendo la acción por el clima impulsada por la tecnología digital y fomentando asociaciones para el desarrollo sostenible.</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56DE5E7F" w14:textId="77777777" w:rsidR="00224990" w:rsidRPr="00DF5B4D" w:rsidRDefault="00224990" w:rsidP="0034295B">
            <w:pPr>
              <w:pStyle w:val="Tabletext"/>
              <w:ind w:left="284" w:hanging="284"/>
              <w:rPr>
                <w:rFonts w:cs="Times New Roman"/>
                <w:lang w:val="es-ES_tradnl"/>
              </w:rPr>
            </w:pPr>
            <w:r w:rsidRPr="00DF5B4D">
              <w:rPr>
                <w:lang w:val="es-ES_tradnl"/>
              </w:rPr>
              <w:lastRenderedPageBreak/>
              <w:t>•</w:t>
            </w:r>
            <w:r w:rsidRPr="00DF5B4D">
              <w:rPr>
                <w:lang w:val="es-ES_tradnl"/>
              </w:rPr>
              <w:tab/>
              <w:t xml:space="preserve">Elaboración de </w:t>
            </w:r>
            <w:r w:rsidRPr="00DF5B4D">
              <w:rPr>
                <w:b/>
                <w:bCs/>
                <w:lang w:val="es-ES_tradnl"/>
              </w:rPr>
              <w:t>directrices y sistemas de gestión de residuos electrónicos</w:t>
            </w:r>
            <w:r w:rsidRPr="00DF5B4D">
              <w:rPr>
                <w:lang w:val="es-ES_tradnl"/>
              </w:rPr>
              <w:t>.</w:t>
            </w:r>
          </w:p>
          <w:p w14:paraId="2BDC0548" w14:textId="77777777" w:rsidR="00224990" w:rsidRPr="00DF5B4D" w:rsidRDefault="00224990" w:rsidP="0034295B">
            <w:pPr>
              <w:pStyle w:val="Tabletext"/>
              <w:ind w:left="284" w:hanging="284"/>
              <w:rPr>
                <w:rFonts w:cs="Times New Roman"/>
                <w:lang w:val="es-ES_tradnl"/>
              </w:rPr>
            </w:pPr>
            <w:r w:rsidRPr="00DF5B4D">
              <w:rPr>
                <w:lang w:val="es-ES_tradnl"/>
              </w:rPr>
              <w:t>•</w:t>
            </w:r>
            <w:r w:rsidRPr="00DF5B4D">
              <w:rPr>
                <w:lang w:val="es-ES_tradnl"/>
              </w:rPr>
              <w:tab/>
              <w:t xml:space="preserve">Publicación del </w:t>
            </w:r>
            <w:r w:rsidRPr="00DF5B4D">
              <w:rPr>
                <w:b/>
                <w:bCs/>
                <w:lang w:val="es-ES_tradnl"/>
              </w:rPr>
              <w:t>Global E-</w:t>
            </w:r>
            <w:proofErr w:type="spellStart"/>
            <w:r w:rsidRPr="00DF5B4D">
              <w:rPr>
                <w:b/>
                <w:bCs/>
                <w:lang w:val="es-ES_tradnl"/>
              </w:rPr>
              <w:t>waste</w:t>
            </w:r>
            <w:proofErr w:type="spellEnd"/>
            <w:r w:rsidRPr="00DF5B4D">
              <w:rPr>
                <w:b/>
                <w:bCs/>
                <w:lang w:val="es-ES_tradnl"/>
              </w:rPr>
              <w:t xml:space="preserve"> Monitor</w:t>
            </w:r>
            <w:r w:rsidRPr="00DF5B4D">
              <w:rPr>
                <w:lang w:val="es-ES_tradnl"/>
              </w:rPr>
              <w:t xml:space="preserve"> 2024.</w:t>
            </w:r>
          </w:p>
          <w:p w14:paraId="32C35826" w14:textId="77777777" w:rsidR="00224990" w:rsidRPr="00DF5B4D" w:rsidRDefault="00224990" w:rsidP="0034295B">
            <w:pPr>
              <w:pStyle w:val="Tabletext"/>
              <w:ind w:left="284" w:hanging="284"/>
              <w:rPr>
                <w:rFonts w:cs="Times New Roman"/>
                <w:lang w:val="es-ES_tradnl"/>
              </w:rPr>
            </w:pPr>
            <w:r w:rsidRPr="00DF5B4D">
              <w:rPr>
                <w:lang w:val="es-ES_tradnl"/>
              </w:rPr>
              <w:t>•</w:t>
            </w:r>
            <w:r w:rsidRPr="00DF5B4D">
              <w:rPr>
                <w:lang w:val="es-ES_tradnl"/>
              </w:rPr>
              <w:tab/>
              <w:t>Políticas y estrategias reforzadas.</w:t>
            </w:r>
          </w:p>
          <w:p w14:paraId="0B197E1A" w14:textId="77777777" w:rsidR="00224990" w:rsidRPr="00DF5B4D" w:rsidRDefault="00224990" w:rsidP="0034295B">
            <w:pPr>
              <w:pStyle w:val="Tabletext"/>
              <w:ind w:left="284" w:hanging="284"/>
              <w:rPr>
                <w:rFonts w:cs="Times New Roman"/>
                <w:lang w:val="es-ES_tradnl"/>
              </w:rPr>
            </w:pPr>
            <w:r w:rsidRPr="00DF5B4D">
              <w:rPr>
                <w:lang w:val="es-ES_tradnl"/>
              </w:rPr>
              <w:t>•</w:t>
            </w:r>
            <w:r w:rsidRPr="00DF5B4D">
              <w:rPr>
                <w:lang w:val="es-ES_tradnl"/>
              </w:rPr>
              <w:tab/>
              <w:t xml:space="preserve">Fortalecimiento de la capacidad de </w:t>
            </w:r>
            <w:r w:rsidRPr="00DF5B4D">
              <w:rPr>
                <w:b/>
                <w:bCs/>
                <w:lang w:val="es-ES_tradnl"/>
              </w:rPr>
              <w:t>seguimiento de las emisiones del sector de las TIC</w:t>
            </w:r>
            <w:r w:rsidRPr="00DF5B4D">
              <w:rPr>
                <w:lang w:val="es-ES_tradnl"/>
              </w:rPr>
              <w:t xml:space="preserve"> y desarrollo de estrategias de TIC verdes.</w:t>
            </w:r>
          </w:p>
          <w:p w14:paraId="6C076C2E" w14:textId="77777777" w:rsidR="00224990" w:rsidRPr="00DF5B4D" w:rsidRDefault="00224990" w:rsidP="0034295B">
            <w:pPr>
              <w:pStyle w:val="Tabletext"/>
              <w:ind w:left="284" w:hanging="284"/>
              <w:rPr>
                <w:rFonts w:cs="Times New Roman"/>
                <w:lang w:val="es-ES_tradnl"/>
              </w:rPr>
            </w:pPr>
            <w:r w:rsidRPr="00DF5B4D">
              <w:rPr>
                <w:lang w:val="es-ES_tradnl"/>
              </w:rPr>
              <w:t>•</w:t>
            </w:r>
            <w:r w:rsidRPr="00DF5B4D">
              <w:rPr>
                <w:lang w:val="es-ES_tradnl"/>
              </w:rPr>
              <w:tab/>
              <w:t>Asociación y colaboración reforzadas.</w:t>
            </w:r>
          </w:p>
          <w:p w14:paraId="73CE1E83" w14:textId="77777777" w:rsidR="00224990" w:rsidRPr="00DF5B4D" w:rsidRDefault="00224990" w:rsidP="0034295B">
            <w:pPr>
              <w:pStyle w:val="Tabletext"/>
              <w:ind w:left="284" w:hanging="284"/>
              <w:rPr>
                <w:lang w:val="es-ES_tradnl"/>
              </w:rPr>
            </w:pPr>
            <w:r w:rsidRPr="00DF5B4D">
              <w:rPr>
                <w:b/>
                <w:lang w:val="es-ES_tradnl"/>
              </w:rPr>
              <w:t>•</w:t>
            </w:r>
            <w:r w:rsidRPr="00DF5B4D">
              <w:rPr>
                <w:b/>
                <w:lang w:val="es-ES_tradnl"/>
              </w:rPr>
              <w:tab/>
            </w:r>
            <w:r>
              <w:rPr>
                <w:b/>
                <w:lang w:val="es-ES_tradnl"/>
              </w:rPr>
              <w:t>Á</w:t>
            </w:r>
            <w:r w:rsidRPr="00DF5B4D">
              <w:rPr>
                <w:b/>
                <w:lang w:val="es-ES_tradnl"/>
              </w:rPr>
              <w:t xml:space="preserve">frica: </w:t>
            </w:r>
            <w:proofErr w:type="spellStart"/>
            <w:r w:rsidRPr="00DF5B4D">
              <w:rPr>
                <w:lang w:val="es-ES_tradnl"/>
              </w:rPr>
              <w:t>Botswana</w:t>
            </w:r>
            <w:proofErr w:type="spellEnd"/>
            <w:r w:rsidRPr="00DF5B4D">
              <w:rPr>
                <w:lang w:val="es-ES_tradnl"/>
              </w:rPr>
              <w:t xml:space="preserve">, Burundi, </w:t>
            </w:r>
            <w:proofErr w:type="spellStart"/>
            <w:r w:rsidRPr="00DF5B4D">
              <w:rPr>
                <w:lang w:val="es-ES_tradnl"/>
              </w:rPr>
              <w:t>Kenya</w:t>
            </w:r>
            <w:proofErr w:type="spellEnd"/>
            <w:r w:rsidRPr="00DF5B4D">
              <w:rPr>
                <w:lang w:val="es-ES_tradnl"/>
              </w:rPr>
              <w:t xml:space="preserve">, Níger, </w:t>
            </w:r>
            <w:proofErr w:type="spellStart"/>
            <w:r w:rsidRPr="00DF5B4D">
              <w:rPr>
                <w:lang w:val="es-ES_tradnl"/>
              </w:rPr>
              <w:lastRenderedPageBreak/>
              <w:t>Rwanda</w:t>
            </w:r>
            <w:proofErr w:type="spellEnd"/>
            <w:r w:rsidRPr="00DF5B4D">
              <w:rPr>
                <w:lang w:val="es-ES_tradnl"/>
              </w:rPr>
              <w:t>, Uganda y Zambia.</w:t>
            </w:r>
          </w:p>
          <w:p w14:paraId="457586E5" w14:textId="77777777" w:rsidR="00224990" w:rsidRPr="00DF5B4D" w:rsidRDefault="00224990" w:rsidP="0034295B">
            <w:pPr>
              <w:pStyle w:val="Tabletext"/>
              <w:ind w:left="284" w:hanging="284"/>
              <w:rPr>
                <w:lang w:val="es-ES_tradnl"/>
              </w:rPr>
            </w:pPr>
            <w:r w:rsidRPr="00DF5B4D">
              <w:rPr>
                <w:b/>
                <w:bCs/>
                <w:lang w:val="es-ES_tradnl"/>
              </w:rPr>
              <w:t>•</w:t>
            </w:r>
            <w:r w:rsidRPr="00DF5B4D">
              <w:rPr>
                <w:b/>
                <w:bCs/>
                <w:lang w:val="es-ES_tradnl"/>
              </w:rPr>
              <w:tab/>
              <w:t>Las Américas</w:t>
            </w:r>
            <w:r w:rsidRPr="00DF5B4D">
              <w:rPr>
                <w:lang w:val="es-ES_tradnl"/>
              </w:rPr>
              <w:t>: República Dominicana.</w:t>
            </w:r>
          </w:p>
          <w:p w14:paraId="48C4CA0B" w14:textId="77777777" w:rsidR="00224990" w:rsidRPr="00DF5B4D" w:rsidRDefault="00224990" w:rsidP="0034295B">
            <w:pPr>
              <w:pStyle w:val="Tabletext"/>
              <w:ind w:left="284" w:hanging="284"/>
              <w:rPr>
                <w:lang w:val="es-ES_tradnl"/>
              </w:rPr>
            </w:pPr>
            <w:r w:rsidRPr="00DF5B4D">
              <w:rPr>
                <w:b/>
                <w:bCs/>
                <w:lang w:val="es-ES_tradnl"/>
              </w:rPr>
              <w:t>•</w:t>
            </w:r>
            <w:r w:rsidRPr="00DF5B4D">
              <w:rPr>
                <w:b/>
                <w:bCs/>
                <w:lang w:val="es-ES_tradnl"/>
              </w:rPr>
              <w:tab/>
              <w:t>Asia y el Pacífico:</w:t>
            </w:r>
            <w:r w:rsidRPr="00DF5B4D">
              <w:rPr>
                <w:lang w:val="es-ES_tradnl"/>
              </w:rPr>
              <w:t xml:space="preserve"> Mongolia y Tailandia</w:t>
            </w:r>
          </w:p>
          <w:p w14:paraId="4087F372" w14:textId="77777777" w:rsidR="00224990" w:rsidRPr="00DF5B4D" w:rsidRDefault="00224990" w:rsidP="0034295B">
            <w:pPr>
              <w:pStyle w:val="Tabletext"/>
              <w:rPr>
                <w:lang w:val="es-ES_tradnl"/>
              </w:rPr>
            </w:pPr>
            <w:r w:rsidRPr="00DF5B4D">
              <w:rPr>
                <w:b/>
                <w:bCs/>
                <w:lang w:val="es-ES_tradnl"/>
              </w:rPr>
              <w:t>•</w:t>
            </w:r>
            <w:r w:rsidRPr="00DF5B4D">
              <w:rPr>
                <w:b/>
                <w:bCs/>
                <w:lang w:val="es-ES_tradnl"/>
              </w:rPr>
              <w:tab/>
              <w:t>CIE:</w:t>
            </w:r>
            <w:r w:rsidRPr="00DF5B4D">
              <w:rPr>
                <w:lang w:val="es-ES_tradnl"/>
              </w:rPr>
              <w:t xml:space="preserve"> Kazajstán</w:t>
            </w:r>
          </w:p>
        </w:tc>
      </w:tr>
      <w:tr w:rsidR="00224990" w:rsidRPr="00DF5B4D" w14:paraId="46867C1F" w14:textId="77777777" w:rsidTr="00056B55">
        <w:trPr>
          <w:trHeight w:val="300"/>
        </w:trPr>
        <w:tc>
          <w:tcPr>
            <w:tcW w:w="2790" w:type="dxa"/>
            <w:tcBorders>
              <w:top w:val="dotted" w:sz="4" w:space="0" w:color="0070C0"/>
              <w:left w:val="dotted" w:sz="4" w:space="0" w:color="0070C0"/>
              <w:bottom w:val="dotted" w:sz="4" w:space="0" w:color="0070C0"/>
              <w:right w:val="dotted" w:sz="4" w:space="0" w:color="0070C0"/>
            </w:tcBorders>
          </w:tcPr>
          <w:p w14:paraId="398D1034" w14:textId="77777777" w:rsidR="00224990" w:rsidRPr="00DF5B4D" w:rsidRDefault="00224990" w:rsidP="00390FBF">
            <w:pPr>
              <w:pStyle w:val="Tabletext"/>
              <w:rPr>
                <w:rFonts w:ascii="Avenir Next LT Pro" w:hAnsi="Avenir Next LT Pro" w:cs="Calibri"/>
                <w:b/>
                <w:bCs/>
                <w:i/>
                <w:iCs/>
                <w:color w:val="000000"/>
                <w:lang w:val="es-ES_tradnl"/>
              </w:rPr>
            </w:pPr>
            <w:r w:rsidRPr="00DF5B4D">
              <w:rPr>
                <w:b/>
                <w:bCs/>
                <w:lang w:val="es-ES_tradnl"/>
              </w:rPr>
              <w:lastRenderedPageBreak/>
              <w:t>Contribución a las metas de los ODS</w:t>
            </w:r>
          </w:p>
        </w:tc>
        <w:tc>
          <w:tcPr>
            <w:tcW w:w="12240" w:type="dxa"/>
            <w:gridSpan w:val="2"/>
            <w:tcBorders>
              <w:top w:val="dotted" w:sz="4" w:space="0" w:color="0070C0"/>
              <w:left w:val="dotted" w:sz="4" w:space="0" w:color="0070C0"/>
              <w:bottom w:val="dotted" w:sz="4" w:space="0" w:color="0070C0"/>
              <w:right w:val="dotted" w:sz="4" w:space="0" w:color="0070C0"/>
            </w:tcBorders>
          </w:tcPr>
          <w:p w14:paraId="73B3746D" w14:textId="77777777" w:rsidR="00224990" w:rsidRPr="00DF5B4D" w:rsidRDefault="00224990" w:rsidP="00390FBF">
            <w:pPr>
              <w:pStyle w:val="Tabletext"/>
              <w:rPr>
                <w:lang w:val="es-ES_tradnl"/>
              </w:rPr>
            </w:pPr>
            <w:r w:rsidRPr="00DF5B4D">
              <w:rPr>
                <w:lang w:val="es-ES_tradnl"/>
              </w:rPr>
              <w:t>ODS 1, 3, 4, 5, 8, 9, 10, 11, 16, 17</w:t>
            </w:r>
          </w:p>
        </w:tc>
      </w:tr>
      <w:tr w:rsidR="00224990" w:rsidRPr="00DF5B4D" w14:paraId="08B74EAD" w14:textId="77777777" w:rsidTr="00056B55">
        <w:trPr>
          <w:trHeight w:val="300"/>
        </w:trPr>
        <w:tc>
          <w:tcPr>
            <w:tcW w:w="2790" w:type="dxa"/>
            <w:tcBorders>
              <w:top w:val="dotted" w:sz="4" w:space="0" w:color="0070C0"/>
              <w:left w:val="dotted" w:sz="4" w:space="0" w:color="0070C0"/>
              <w:bottom w:val="dotted" w:sz="4" w:space="0" w:color="0070C0"/>
              <w:right w:val="dotted" w:sz="4" w:space="0" w:color="0070C0"/>
            </w:tcBorders>
          </w:tcPr>
          <w:p w14:paraId="30549B49" w14:textId="77777777" w:rsidR="00224990" w:rsidRPr="00DF5B4D" w:rsidRDefault="00224990" w:rsidP="00390FBF">
            <w:pPr>
              <w:pStyle w:val="Tabletext"/>
              <w:rPr>
                <w:b/>
                <w:bCs/>
                <w:lang w:val="es-ES_tradnl"/>
              </w:rPr>
            </w:pPr>
            <w:r w:rsidRPr="00DF5B4D">
              <w:rPr>
                <w:b/>
                <w:bCs/>
                <w:lang w:val="es-ES_tradnl"/>
              </w:rPr>
              <w:t>Líneas de Acción de la CMSI</w:t>
            </w:r>
          </w:p>
        </w:tc>
        <w:tc>
          <w:tcPr>
            <w:tcW w:w="12240" w:type="dxa"/>
            <w:gridSpan w:val="2"/>
            <w:tcBorders>
              <w:top w:val="dotted" w:sz="4" w:space="0" w:color="0070C0"/>
              <w:left w:val="dotted" w:sz="4" w:space="0" w:color="0070C0"/>
              <w:bottom w:val="dotted" w:sz="4" w:space="0" w:color="0070C0"/>
              <w:right w:val="dotted" w:sz="4" w:space="0" w:color="0070C0"/>
            </w:tcBorders>
          </w:tcPr>
          <w:p w14:paraId="38D61A2F" w14:textId="77777777" w:rsidR="00224990" w:rsidRPr="00DF5B4D" w:rsidRDefault="00224990" w:rsidP="00390FBF">
            <w:pPr>
              <w:pStyle w:val="Tabletext"/>
              <w:rPr>
                <w:lang w:val="es-ES_tradnl"/>
              </w:rPr>
            </w:pPr>
            <w:r w:rsidRPr="00DF5B4D">
              <w:rPr>
                <w:lang w:val="es-ES_tradnl"/>
              </w:rPr>
              <w:t>C1, C2, C3, C4, C5, C6, C7, C11</w:t>
            </w:r>
          </w:p>
        </w:tc>
      </w:tr>
      <w:tr w:rsidR="00224990" w:rsidRPr="00DF5B4D" w14:paraId="6DBC47F0" w14:textId="77777777" w:rsidTr="00056B55">
        <w:trPr>
          <w:trHeight w:val="300"/>
        </w:trPr>
        <w:tc>
          <w:tcPr>
            <w:tcW w:w="2790" w:type="dxa"/>
            <w:tcBorders>
              <w:top w:val="dotted" w:sz="4" w:space="0" w:color="0070C0"/>
              <w:left w:val="dotted" w:sz="4" w:space="0" w:color="0070C0"/>
              <w:bottom w:val="dotted" w:sz="4" w:space="0" w:color="0070C0"/>
              <w:right w:val="dotted" w:sz="4" w:space="0" w:color="0070C0"/>
            </w:tcBorders>
          </w:tcPr>
          <w:p w14:paraId="7B51EEE7" w14:textId="77777777" w:rsidR="00224990" w:rsidRPr="00DF5B4D" w:rsidRDefault="00224990" w:rsidP="00390FBF">
            <w:pPr>
              <w:pStyle w:val="Tabletext"/>
              <w:rPr>
                <w:b/>
                <w:bCs/>
                <w:lang w:val="es-ES_tradnl"/>
              </w:rPr>
            </w:pPr>
            <w:r w:rsidRPr="00DF5B4D">
              <w:rPr>
                <w:b/>
                <w:bCs/>
                <w:lang w:val="es-ES_tradnl"/>
              </w:rPr>
              <w:t>Resoluciones:</w:t>
            </w:r>
          </w:p>
        </w:tc>
        <w:tc>
          <w:tcPr>
            <w:tcW w:w="12240" w:type="dxa"/>
            <w:gridSpan w:val="2"/>
            <w:tcBorders>
              <w:top w:val="dotted" w:sz="4" w:space="0" w:color="0070C0"/>
              <w:left w:val="dotted" w:sz="4" w:space="0" w:color="0070C0"/>
              <w:bottom w:val="dotted" w:sz="4" w:space="0" w:color="0070C0"/>
              <w:right w:val="dotted" w:sz="4" w:space="0" w:color="0070C0"/>
            </w:tcBorders>
          </w:tcPr>
          <w:p w14:paraId="11470CA1" w14:textId="77777777" w:rsidR="00224990" w:rsidRPr="00DF5B4D" w:rsidRDefault="00224990" w:rsidP="00390FBF">
            <w:pPr>
              <w:pStyle w:val="Tabletext"/>
              <w:rPr>
                <w:lang w:val="es-ES_tradnl"/>
              </w:rPr>
            </w:pPr>
            <w:r w:rsidRPr="00DF5B4D">
              <w:rPr>
                <w:lang w:val="es-ES_tradnl"/>
              </w:rPr>
              <w:t>CMDT 66</w:t>
            </w:r>
          </w:p>
        </w:tc>
      </w:tr>
    </w:tbl>
    <w:p w14:paraId="6B20BF04" w14:textId="77777777" w:rsidR="00224990" w:rsidRPr="00DF5B4D" w:rsidRDefault="00224990" w:rsidP="00462380">
      <w:pPr>
        <w:pStyle w:val="Heading3"/>
        <w:spacing w:before="120" w:after="120"/>
        <w:rPr>
          <w:lang w:val="es-ES_tradnl"/>
        </w:rPr>
      </w:pPr>
    </w:p>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224990" w:rsidRPr="00B6045A" w14:paraId="3C522420" w14:textId="77777777" w:rsidTr="00056B55">
        <w:tc>
          <w:tcPr>
            <w:tcW w:w="15025" w:type="dxa"/>
            <w:gridSpan w:val="2"/>
            <w:shd w:val="clear" w:color="auto" w:fill="365F91" w:themeFill="accent1" w:themeFillShade="BF"/>
          </w:tcPr>
          <w:p w14:paraId="624CEDF8" w14:textId="77777777" w:rsidR="00224990" w:rsidRPr="00DF5B4D" w:rsidRDefault="00224990" w:rsidP="00DF5B4D">
            <w:pPr>
              <w:pStyle w:val="Tablehead"/>
              <w:rPr>
                <w:lang w:val="es-ES_tradnl"/>
              </w:rPr>
            </w:pPr>
            <w:r w:rsidRPr="00DF5B4D">
              <w:rPr>
                <w:lang w:val="es-ES_tradnl"/>
              </w:rPr>
              <w:t>Facilitador 5 del UIT-D: Excelencia en los recursos humanos e innovación institucional</w:t>
            </w:r>
          </w:p>
        </w:tc>
      </w:tr>
      <w:tr w:rsidR="00224990" w:rsidRPr="00DF5B4D" w14:paraId="73FD97BB" w14:textId="77777777" w:rsidTr="00056B55">
        <w:tc>
          <w:tcPr>
            <w:tcW w:w="12145" w:type="dxa"/>
          </w:tcPr>
          <w:p w14:paraId="3640C215" w14:textId="77777777" w:rsidR="00224990" w:rsidRPr="00DF5B4D" w:rsidRDefault="00224990" w:rsidP="00DF5B4D">
            <w:pPr>
              <w:pStyle w:val="Tablehead"/>
              <w:rPr>
                <w:lang w:val="es-ES_tradnl"/>
              </w:rPr>
            </w:pPr>
            <w:r w:rsidRPr="00DF5B4D">
              <w:rPr>
                <w:lang w:val="es-ES_tradnl"/>
              </w:rPr>
              <w:t>Productos</w:t>
            </w:r>
          </w:p>
        </w:tc>
        <w:tc>
          <w:tcPr>
            <w:tcW w:w="2880" w:type="dxa"/>
          </w:tcPr>
          <w:p w14:paraId="6D626D07" w14:textId="77777777" w:rsidR="00224990" w:rsidRPr="00DF5B4D" w:rsidRDefault="00224990" w:rsidP="00DF5B4D">
            <w:pPr>
              <w:pStyle w:val="Tablehead"/>
              <w:rPr>
                <w:lang w:val="es-ES_tradnl"/>
              </w:rPr>
            </w:pPr>
            <w:r w:rsidRPr="00DF5B4D">
              <w:rPr>
                <w:lang w:val="es-ES_tradnl"/>
              </w:rPr>
              <w:t>Datos destacados</w:t>
            </w:r>
          </w:p>
        </w:tc>
      </w:tr>
      <w:tr w:rsidR="00224990" w:rsidRPr="00B6045A" w14:paraId="452E5D81" w14:textId="77777777" w:rsidTr="00056B55">
        <w:tc>
          <w:tcPr>
            <w:tcW w:w="12145" w:type="dxa"/>
          </w:tcPr>
          <w:p w14:paraId="62B2DA3E" w14:textId="2CD34A9A" w:rsidR="00224990" w:rsidRPr="00DF5B4D" w:rsidRDefault="00224990" w:rsidP="00DF5B4D">
            <w:pPr>
              <w:pStyle w:val="Tabletext"/>
              <w:rPr>
                <w:lang w:val="es-ES_tradnl"/>
              </w:rPr>
            </w:pPr>
            <w:r w:rsidRPr="00DF5B4D">
              <w:rPr>
                <w:lang w:val="es-ES_tradnl"/>
              </w:rPr>
              <w:t xml:space="preserve">El Director de la BDT lanzó una serie de nuevas iniciativas destinadas a lograr la excelencia institucional y crear capacidad de innovación interna para mejorar la </w:t>
            </w:r>
            <w:r w:rsidR="008B0528">
              <w:rPr>
                <w:lang w:val="es-ES_tradnl"/>
              </w:rPr>
              <w:t>prestación</w:t>
            </w:r>
            <w:r w:rsidR="008B0528" w:rsidRPr="00DF5B4D">
              <w:rPr>
                <w:lang w:val="es-ES_tradnl"/>
              </w:rPr>
              <w:t xml:space="preserve"> </w:t>
            </w:r>
            <w:r w:rsidRPr="00DF5B4D">
              <w:rPr>
                <w:lang w:val="es-ES_tradnl"/>
              </w:rPr>
              <w:t xml:space="preserve">de la </w:t>
            </w:r>
            <w:r w:rsidR="00B51568" w:rsidRPr="00DF5B4D">
              <w:rPr>
                <w:lang w:val="es-ES_tradnl"/>
              </w:rPr>
              <w:t>BD</w:t>
            </w:r>
            <w:r w:rsidR="00B51568">
              <w:rPr>
                <w:lang w:val="es-ES_tradnl"/>
              </w:rPr>
              <w:t>T</w:t>
            </w:r>
            <w:r w:rsidRPr="00DF5B4D">
              <w:rPr>
                <w:lang w:val="es-ES_tradnl"/>
              </w:rPr>
              <w:t>, en particular:</w:t>
            </w:r>
          </w:p>
          <w:p w14:paraId="026B595D" w14:textId="5A64881E" w:rsidR="00224990" w:rsidRPr="00DF5B4D" w:rsidRDefault="00224990" w:rsidP="00DF5B4D">
            <w:pPr>
              <w:pStyle w:val="Tabletext"/>
              <w:ind w:left="284" w:hanging="284"/>
              <w:rPr>
                <w:lang w:val="es-ES_tradnl"/>
              </w:rPr>
            </w:pPr>
            <w:r w:rsidRPr="00DF5B4D">
              <w:rPr>
                <w:lang w:val="es-ES_tradnl"/>
              </w:rPr>
              <w:t>•</w:t>
            </w:r>
            <w:r w:rsidRPr="00DF5B4D">
              <w:rPr>
                <w:lang w:val="es-ES_tradnl"/>
              </w:rPr>
              <w:tab/>
              <w:t xml:space="preserve">El </w:t>
            </w:r>
            <w:r w:rsidRPr="00DF5B4D">
              <w:rPr>
                <w:b/>
                <w:bCs/>
                <w:lang w:val="es-ES_tradnl"/>
              </w:rPr>
              <w:t>Retiro de la Alta Dirección de la BDT</w:t>
            </w:r>
            <w:r w:rsidRPr="00DF5B4D">
              <w:rPr>
                <w:lang w:val="es-ES_tradnl"/>
              </w:rPr>
              <w:t>, celebrado en febrero de 2024,</w:t>
            </w:r>
            <w:r w:rsidR="008B0528">
              <w:rPr>
                <w:lang w:val="es-ES_tradnl"/>
              </w:rPr>
              <w:t xml:space="preserve"> que</w:t>
            </w:r>
            <w:r w:rsidR="008B0528" w:rsidRPr="00DF5B4D">
              <w:rPr>
                <w:lang w:val="es-ES_tradnl"/>
              </w:rPr>
              <w:t xml:space="preserve"> </w:t>
            </w:r>
            <w:r w:rsidRPr="00DF5B4D">
              <w:rPr>
                <w:lang w:val="es-ES_tradnl"/>
              </w:rPr>
              <w:t xml:space="preserve">brindó la oportunidad de mantener debates constructivos </w:t>
            </w:r>
            <w:r w:rsidR="008B0528" w:rsidRPr="008B0528">
              <w:rPr>
                <w:lang w:val="es-ES_tradnl"/>
              </w:rPr>
              <w:t xml:space="preserve">e intercambiar ideas sobre formas de aumentar el impacto de la BDT, </w:t>
            </w:r>
            <w:r w:rsidR="008B0528">
              <w:rPr>
                <w:lang w:val="es-ES_tradnl"/>
              </w:rPr>
              <w:t>partiendo d</w:t>
            </w:r>
            <w:r w:rsidR="008B0528" w:rsidRPr="008B0528">
              <w:rPr>
                <w:lang w:val="es-ES_tradnl"/>
              </w:rPr>
              <w:t>e</w:t>
            </w:r>
            <w:r w:rsidR="008B0528">
              <w:rPr>
                <w:lang w:val="es-ES_tradnl"/>
              </w:rPr>
              <w:t xml:space="preserve"> un</w:t>
            </w:r>
            <w:r w:rsidR="008B0528" w:rsidRPr="008B0528">
              <w:rPr>
                <w:lang w:val="es-ES_tradnl"/>
              </w:rPr>
              <w:t xml:space="preserve"> enfoque</w:t>
            </w:r>
            <w:r w:rsidR="008B0528">
              <w:rPr>
                <w:lang w:val="es-ES_tradnl"/>
              </w:rPr>
              <w:t xml:space="preserve"> basado en los resultados y</w:t>
            </w:r>
            <w:r w:rsidR="008B0528" w:rsidRPr="008B0528">
              <w:rPr>
                <w:lang w:val="es-ES_tradnl"/>
              </w:rPr>
              <w:t xml:space="preserve"> </w:t>
            </w:r>
            <w:r w:rsidR="008B0528">
              <w:rPr>
                <w:lang w:val="es-ES_tradnl"/>
              </w:rPr>
              <w:t xml:space="preserve">denominado </w:t>
            </w:r>
            <w:r w:rsidR="00B6045A">
              <w:rPr>
                <w:lang w:val="es-ES_tradnl"/>
              </w:rPr>
              <w:t>"</w:t>
            </w:r>
            <w:r w:rsidR="008B0528" w:rsidRPr="008B0528">
              <w:rPr>
                <w:lang w:val="es-ES_tradnl"/>
              </w:rPr>
              <w:t>BDT4Impact</w:t>
            </w:r>
            <w:r w:rsidR="00B6045A">
              <w:rPr>
                <w:lang w:val="es-ES_tradnl"/>
              </w:rPr>
              <w:t>"</w:t>
            </w:r>
            <w:r w:rsidR="008B0528" w:rsidRPr="008B0528">
              <w:rPr>
                <w:lang w:val="es-ES_tradnl"/>
              </w:rPr>
              <w:t xml:space="preserve">, </w:t>
            </w:r>
            <w:r w:rsidR="00F85857">
              <w:rPr>
                <w:lang w:val="es-ES_tradnl"/>
              </w:rPr>
              <w:t>así como de</w:t>
            </w:r>
            <w:r w:rsidR="008B0528" w:rsidRPr="008B0528">
              <w:rPr>
                <w:lang w:val="es-ES_tradnl"/>
              </w:rPr>
              <w:t xml:space="preserve"> </w:t>
            </w:r>
            <w:r w:rsidR="008B0528">
              <w:rPr>
                <w:lang w:val="es-ES_tradnl"/>
              </w:rPr>
              <w:t xml:space="preserve">mejorar </w:t>
            </w:r>
            <w:r w:rsidR="008B0528" w:rsidRPr="008B0528">
              <w:rPr>
                <w:lang w:val="es-ES_tradnl"/>
              </w:rPr>
              <w:t xml:space="preserve">la eficacia y la puntualidad en la ejecución de los proyectos </w:t>
            </w:r>
            <w:r w:rsidR="00F85857">
              <w:rPr>
                <w:lang w:val="es-ES_tradnl"/>
              </w:rPr>
              <w:t>y</w:t>
            </w:r>
            <w:r w:rsidR="008B0528" w:rsidRPr="008B0528">
              <w:rPr>
                <w:lang w:val="es-ES_tradnl"/>
              </w:rPr>
              <w:t xml:space="preserve"> las actividades </w:t>
            </w:r>
            <w:r w:rsidR="008B0528">
              <w:rPr>
                <w:lang w:val="es-ES_tradnl"/>
              </w:rPr>
              <w:t xml:space="preserve">previstas en el </w:t>
            </w:r>
            <w:r w:rsidR="008B0528" w:rsidRPr="008B0528">
              <w:rPr>
                <w:lang w:val="es-ES_tradnl"/>
              </w:rPr>
              <w:t>Plan Opera</w:t>
            </w:r>
            <w:r w:rsidR="008B0528">
              <w:rPr>
                <w:lang w:val="es-ES_tradnl"/>
              </w:rPr>
              <w:t>cional</w:t>
            </w:r>
            <w:r w:rsidRPr="00DF5B4D">
              <w:rPr>
                <w:lang w:val="es-ES_tradnl"/>
              </w:rPr>
              <w:t>.</w:t>
            </w:r>
          </w:p>
          <w:p w14:paraId="6B4FFA48" w14:textId="73F4640B" w:rsidR="00224990" w:rsidRPr="00DF5B4D" w:rsidRDefault="00224990" w:rsidP="00DF5B4D">
            <w:pPr>
              <w:pStyle w:val="Tabletext"/>
              <w:ind w:left="284" w:hanging="284"/>
              <w:rPr>
                <w:lang w:val="es-ES_tradnl"/>
              </w:rPr>
            </w:pPr>
            <w:r w:rsidRPr="00DF5B4D">
              <w:rPr>
                <w:lang w:val="es-ES_tradnl"/>
              </w:rPr>
              <w:t>•</w:t>
            </w:r>
            <w:r w:rsidRPr="00DF5B4D">
              <w:rPr>
                <w:lang w:val="es-ES_tradnl"/>
              </w:rPr>
              <w:tab/>
              <w:t xml:space="preserve">El retiro sirvió de plataforma para </w:t>
            </w:r>
            <w:r w:rsidR="008B0528">
              <w:rPr>
                <w:lang w:val="es-ES_tradnl"/>
              </w:rPr>
              <w:t>armonizar</w:t>
            </w:r>
            <w:r w:rsidR="008B0528" w:rsidRPr="00DF5B4D">
              <w:rPr>
                <w:lang w:val="es-ES_tradnl"/>
              </w:rPr>
              <w:t xml:space="preserve"> </w:t>
            </w:r>
            <w:r w:rsidRPr="00DF5B4D">
              <w:rPr>
                <w:lang w:val="es-ES_tradnl"/>
              </w:rPr>
              <w:t xml:space="preserve">las </w:t>
            </w:r>
            <w:r w:rsidRPr="00DF5B4D">
              <w:rPr>
                <w:b/>
                <w:bCs/>
                <w:lang w:val="es-ES_tradnl"/>
              </w:rPr>
              <w:t>estrategias operacionales del UIT-D</w:t>
            </w:r>
            <w:r w:rsidRPr="00DF5B4D">
              <w:rPr>
                <w:lang w:val="es-ES_tradnl"/>
              </w:rPr>
              <w:t xml:space="preserve"> con las iniciativas regionales </w:t>
            </w:r>
            <w:r w:rsidR="008B0528" w:rsidRPr="008B0528">
              <w:rPr>
                <w:lang w:val="es-ES_tradnl"/>
              </w:rPr>
              <w:t xml:space="preserve">acordes </w:t>
            </w:r>
            <w:r w:rsidR="008B0528">
              <w:rPr>
                <w:lang w:val="es-ES_tradnl"/>
              </w:rPr>
              <w:t>a</w:t>
            </w:r>
            <w:r w:rsidR="008B0528" w:rsidRPr="008B0528">
              <w:rPr>
                <w:lang w:val="es-ES_tradnl"/>
              </w:rPr>
              <w:t xml:space="preserve">l Plan Estratégico de la Unión adoptado en la PP-22 y </w:t>
            </w:r>
            <w:r w:rsidR="008B0528">
              <w:rPr>
                <w:lang w:val="es-ES_tradnl"/>
              </w:rPr>
              <w:t>a</w:t>
            </w:r>
            <w:r w:rsidR="008B0528" w:rsidRPr="008B0528">
              <w:rPr>
                <w:lang w:val="es-ES_tradnl"/>
              </w:rPr>
              <w:t xml:space="preserve">l Plan de Acción adoptado </w:t>
            </w:r>
            <w:r w:rsidR="00B90777">
              <w:rPr>
                <w:lang w:val="es-ES_tradnl"/>
              </w:rPr>
              <w:t>en</w:t>
            </w:r>
            <w:r w:rsidR="008B0528" w:rsidRPr="008B0528">
              <w:rPr>
                <w:lang w:val="es-ES_tradnl"/>
              </w:rPr>
              <w:t xml:space="preserve"> la CMDT-22</w:t>
            </w:r>
            <w:r w:rsidRPr="00DF5B4D">
              <w:rPr>
                <w:lang w:val="es-ES_tradnl"/>
              </w:rPr>
              <w:t>.</w:t>
            </w:r>
          </w:p>
          <w:p w14:paraId="76419085" w14:textId="485DE4F1" w:rsidR="00224990" w:rsidRDefault="00224990" w:rsidP="008B0528">
            <w:pPr>
              <w:pStyle w:val="Tabletext"/>
              <w:ind w:left="284" w:hanging="284"/>
              <w:rPr>
                <w:lang w:val="es-ES_tradnl"/>
              </w:rPr>
            </w:pPr>
            <w:r w:rsidRPr="00DF5B4D">
              <w:rPr>
                <w:lang w:val="es-ES_tradnl"/>
              </w:rPr>
              <w:t>•</w:t>
            </w:r>
            <w:r w:rsidRPr="00DF5B4D">
              <w:rPr>
                <w:lang w:val="es-ES_tradnl"/>
              </w:rPr>
              <w:tab/>
              <w:t>El Director de la BDT ha</w:t>
            </w:r>
            <w:r w:rsidR="008B0528" w:rsidRPr="008B0528">
              <w:rPr>
                <w:lang w:val="es-ES"/>
              </w:rPr>
              <w:t xml:space="preserve"> </w:t>
            </w:r>
            <w:r w:rsidR="008B0528" w:rsidRPr="008B0528">
              <w:rPr>
                <w:lang w:val="es-ES_tradnl"/>
              </w:rPr>
              <w:t xml:space="preserve">abogado por la conciliación de la vida laboral y </w:t>
            </w:r>
            <w:r w:rsidR="008B0528">
              <w:rPr>
                <w:lang w:val="es-ES_tradnl"/>
              </w:rPr>
              <w:t>personal</w:t>
            </w:r>
            <w:r w:rsidR="008B0528" w:rsidRPr="008B0528">
              <w:rPr>
                <w:lang w:val="es-ES_tradnl"/>
              </w:rPr>
              <w:t xml:space="preserve"> a través de</w:t>
            </w:r>
            <w:r w:rsidR="008B0528">
              <w:rPr>
                <w:lang w:val="es-ES_tradnl"/>
              </w:rPr>
              <w:t>l envío de</w:t>
            </w:r>
            <w:r w:rsidR="008B0528" w:rsidRPr="008B0528">
              <w:rPr>
                <w:lang w:val="es-ES_tradnl"/>
              </w:rPr>
              <w:t xml:space="preserve"> mensajes periódicos a</w:t>
            </w:r>
            <w:r w:rsidR="008B0528">
              <w:rPr>
                <w:lang w:val="es-ES_tradnl"/>
              </w:rPr>
              <w:t xml:space="preserve"> </w:t>
            </w:r>
            <w:r w:rsidR="008B0528" w:rsidRPr="008B0528">
              <w:rPr>
                <w:lang w:val="es-ES_tradnl"/>
              </w:rPr>
              <w:t>l</w:t>
            </w:r>
            <w:r w:rsidR="008B0528">
              <w:rPr>
                <w:lang w:val="es-ES_tradnl"/>
              </w:rPr>
              <w:t>os miembros del</w:t>
            </w:r>
            <w:r w:rsidR="008B0528" w:rsidRPr="008B0528">
              <w:rPr>
                <w:lang w:val="es-ES_tradnl"/>
              </w:rPr>
              <w:t xml:space="preserve"> personal y ha</w:t>
            </w:r>
            <w:r w:rsidR="008B0528">
              <w:rPr>
                <w:lang w:val="es-ES_tradnl"/>
              </w:rPr>
              <w:t xml:space="preserve"> alentado a estos últimos </w:t>
            </w:r>
            <w:r w:rsidR="008B0528" w:rsidRPr="008B0528">
              <w:rPr>
                <w:lang w:val="es-ES_tradnl"/>
              </w:rPr>
              <w:t>a participar en cursos de formación</w:t>
            </w:r>
            <w:r w:rsidR="008B0528">
              <w:rPr>
                <w:lang w:val="es-ES_tradnl"/>
              </w:rPr>
              <w:t xml:space="preserve"> en aras de su </w:t>
            </w:r>
            <w:r w:rsidRPr="00DF5B4D">
              <w:rPr>
                <w:lang w:val="es-ES_tradnl"/>
              </w:rPr>
              <w:t>aprendizaje permanente.</w:t>
            </w:r>
          </w:p>
          <w:p w14:paraId="2DD9FD33" w14:textId="702E8AF9" w:rsidR="008B0528" w:rsidRPr="00DF5B4D" w:rsidRDefault="008B0528" w:rsidP="008B0528">
            <w:pPr>
              <w:pStyle w:val="Tabletext"/>
              <w:ind w:left="284" w:hanging="284"/>
              <w:rPr>
                <w:lang w:val="es-ES_tradnl"/>
              </w:rPr>
            </w:pPr>
            <w:r w:rsidRPr="00DF5B4D">
              <w:rPr>
                <w:lang w:val="es-ES_tradnl"/>
              </w:rPr>
              <w:t>•</w:t>
            </w:r>
            <w:r w:rsidRPr="00DF5B4D">
              <w:rPr>
                <w:lang w:val="es-ES_tradnl"/>
              </w:rPr>
              <w:tab/>
            </w:r>
            <w:r w:rsidRPr="008B0528">
              <w:rPr>
                <w:lang w:val="es-ES_tradnl"/>
              </w:rPr>
              <w:t>Se recordó a la BDT la necesidad de mantener l</w:t>
            </w:r>
            <w:r>
              <w:rPr>
                <w:lang w:val="es-ES_tradnl"/>
              </w:rPr>
              <w:t>os principios de</w:t>
            </w:r>
            <w:r w:rsidRPr="008B0528">
              <w:rPr>
                <w:lang w:val="es-ES_tradnl"/>
              </w:rPr>
              <w:t xml:space="preserve"> transparencia y</w:t>
            </w:r>
            <w:r>
              <w:rPr>
                <w:lang w:val="es-ES_tradnl"/>
              </w:rPr>
              <w:t xml:space="preserve"> rendición de cuentas</w:t>
            </w:r>
            <w:r w:rsidRPr="008B0528">
              <w:rPr>
                <w:lang w:val="es-ES_tradnl"/>
              </w:rPr>
              <w:t xml:space="preserve"> en</w:t>
            </w:r>
            <w:r w:rsidR="00BE604A">
              <w:rPr>
                <w:lang w:val="es-ES_tradnl"/>
              </w:rPr>
              <w:t xml:space="preserve"> los ámbitos de</w:t>
            </w:r>
            <w:r w:rsidRPr="008B0528">
              <w:rPr>
                <w:lang w:val="es-ES_tradnl"/>
              </w:rPr>
              <w:t xml:space="preserve"> la gestión y</w:t>
            </w:r>
            <w:r w:rsidR="00BE604A">
              <w:rPr>
                <w:lang w:val="es-ES_tradnl"/>
              </w:rPr>
              <w:t xml:space="preserve"> la ejecución de actividades par</w:t>
            </w:r>
            <w:r w:rsidRPr="008B0528">
              <w:rPr>
                <w:lang w:val="es-ES_tradnl"/>
              </w:rPr>
              <w:t>a los miembros.</w:t>
            </w:r>
          </w:p>
          <w:p w14:paraId="4C523288" w14:textId="28FC51A8" w:rsidR="00224990" w:rsidRPr="00DF5B4D" w:rsidRDefault="00224990" w:rsidP="00DF5B4D">
            <w:pPr>
              <w:pStyle w:val="Tabletext"/>
              <w:ind w:left="284" w:hanging="284"/>
              <w:rPr>
                <w:rFonts w:ascii="Calibri" w:hAnsi="Calibri" w:cs="Calibri"/>
                <w:lang w:val="es-ES_tradnl"/>
              </w:rPr>
            </w:pPr>
            <w:r w:rsidRPr="00DF5B4D">
              <w:rPr>
                <w:lang w:val="es-ES_tradnl"/>
              </w:rPr>
              <w:t>•</w:t>
            </w:r>
            <w:r w:rsidRPr="00DF5B4D">
              <w:rPr>
                <w:lang w:val="es-ES_tradnl"/>
              </w:rPr>
              <w:tab/>
            </w:r>
            <w:r w:rsidR="00BE604A" w:rsidRPr="00BE604A">
              <w:rPr>
                <w:lang w:val="es-ES_tradnl"/>
              </w:rPr>
              <w:t>Se están celebrando</w:t>
            </w:r>
            <w:r w:rsidR="00BE604A">
              <w:rPr>
                <w:lang w:val="es-ES_tradnl"/>
              </w:rPr>
              <w:t xml:space="preserve"> </w:t>
            </w:r>
            <w:r w:rsidRPr="00DF5B4D">
              <w:rPr>
                <w:b/>
                <w:bCs/>
                <w:lang w:val="es-ES_tradnl"/>
              </w:rPr>
              <w:t xml:space="preserve">reuniones </w:t>
            </w:r>
            <w:r w:rsidR="00BE604A" w:rsidRPr="00BE604A">
              <w:rPr>
                <w:b/>
                <w:bCs/>
                <w:lang w:val="es-ES_tradnl"/>
              </w:rPr>
              <w:t xml:space="preserve">periódicas </w:t>
            </w:r>
            <w:r w:rsidRPr="00DF5B4D">
              <w:rPr>
                <w:b/>
                <w:bCs/>
                <w:lang w:val="es-ES_tradnl"/>
              </w:rPr>
              <w:t>de implicación del personal</w:t>
            </w:r>
            <w:r w:rsidRPr="00DF5B4D">
              <w:rPr>
                <w:lang w:val="es-ES_tradnl"/>
              </w:rPr>
              <w:t>, abiertas a todo el personal independientemente de su situación contractual, que ofrecen un espacio seguro para la expresión y la reflexión sobre los retos y las oportunidades</w:t>
            </w:r>
            <w:r w:rsidR="00BE604A" w:rsidRPr="00BE604A">
              <w:rPr>
                <w:lang w:val="es-ES"/>
              </w:rPr>
              <w:t xml:space="preserve"> </w:t>
            </w:r>
            <w:r w:rsidR="00BE604A" w:rsidRPr="00BE604A">
              <w:rPr>
                <w:lang w:val="es-ES_tradnl"/>
              </w:rPr>
              <w:t>que plantea la misión de la BDT de lograr resultados tangibles</w:t>
            </w:r>
            <w:r w:rsidRPr="00DF5B4D">
              <w:rPr>
                <w:lang w:val="es-ES_tradnl"/>
              </w:rPr>
              <w:t>.</w:t>
            </w:r>
          </w:p>
          <w:p w14:paraId="7514DB43" w14:textId="2F9621A4" w:rsidR="00BE604A" w:rsidRPr="00BE604A" w:rsidRDefault="00224990" w:rsidP="00BE604A">
            <w:pPr>
              <w:pStyle w:val="Tabletext"/>
              <w:ind w:left="284" w:hanging="284"/>
              <w:rPr>
                <w:lang w:val="es-ES_tradnl"/>
              </w:rPr>
            </w:pPr>
            <w:r w:rsidRPr="00DF5B4D">
              <w:rPr>
                <w:lang w:val="es-ES_tradnl"/>
              </w:rPr>
              <w:t>•</w:t>
            </w:r>
            <w:r w:rsidRPr="00DF5B4D">
              <w:rPr>
                <w:lang w:val="es-ES_tradnl"/>
              </w:rPr>
              <w:tab/>
              <w:t xml:space="preserve">El Director de la BDT </w:t>
            </w:r>
            <w:r w:rsidR="00BE604A" w:rsidRPr="00BE604A">
              <w:rPr>
                <w:lang w:val="es-ES_tradnl"/>
              </w:rPr>
              <w:t xml:space="preserve">también </w:t>
            </w:r>
            <w:r w:rsidR="008F272F">
              <w:rPr>
                <w:lang w:val="es-ES_tradnl"/>
              </w:rPr>
              <w:t xml:space="preserve">alentó a los miembros del personal a aportar </w:t>
            </w:r>
            <w:r w:rsidR="00BE604A" w:rsidRPr="00BE604A">
              <w:rPr>
                <w:lang w:val="es-ES_tradnl"/>
              </w:rPr>
              <w:t xml:space="preserve">ideas innovadoras </w:t>
            </w:r>
            <w:r w:rsidR="008F272F">
              <w:rPr>
                <w:lang w:val="es-ES_tradnl"/>
              </w:rPr>
              <w:t>de forma voluntaria</w:t>
            </w:r>
            <w:r w:rsidR="00BE604A" w:rsidRPr="00BE604A">
              <w:rPr>
                <w:lang w:val="es-ES_tradnl"/>
              </w:rPr>
              <w:t xml:space="preserve"> y se creó una plataforma para que </w:t>
            </w:r>
            <w:r w:rsidR="008F272F">
              <w:rPr>
                <w:lang w:val="es-ES_tradnl"/>
              </w:rPr>
              <w:t>estos pudieran proponer</w:t>
            </w:r>
            <w:r w:rsidR="00BE604A" w:rsidRPr="00BE604A">
              <w:rPr>
                <w:lang w:val="es-ES_tradnl"/>
              </w:rPr>
              <w:t xml:space="preserve"> nuevas ideas </w:t>
            </w:r>
            <w:r w:rsidR="008F272F">
              <w:rPr>
                <w:lang w:val="es-ES_tradnl"/>
              </w:rPr>
              <w:t>que ayudasen a</w:t>
            </w:r>
            <w:r w:rsidR="00BE604A" w:rsidRPr="00BE604A">
              <w:rPr>
                <w:lang w:val="es-ES_tradnl"/>
              </w:rPr>
              <w:t xml:space="preserve"> la BDT </w:t>
            </w:r>
            <w:r w:rsidR="008F272F">
              <w:rPr>
                <w:lang w:val="es-ES_tradnl"/>
              </w:rPr>
              <w:t>a</w:t>
            </w:r>
            <w:r w:rsidR="00BE604A" w:rsidRPr="00BE604A">
              <w:rPr>
                <w:lang w:val="es-ES_tradnl"/>
              </w:rPr>
              <w:t xml:space="preserve"> lograr y</w:t>
            </w:r>
            <w:r w:rsidR="008F272F">
              <w:rPr>
                <w:lang w:val="es-ES_tradnl"/>
              </w:rPr>
              <w:t xml:space="preserve"> mantener </w:t>
            </w:r>
            <w:r w:rsidR="00B90777">
              <w:rPr>
                <w:lang w:val="es-ES_tradnl"/>
              </w:rPr>
              <w:t>la eficacia de la</w:t>
            </w:r>
            <w:r w:rsidR="008F272F">
              <w:rPr>
                <w:lang w:val="es-ES_tradnl"/>
              </w:rPr>
              <w:t xml:space="preserve"> Oficina (</w:t>
            </w:r>
            <w:r w:rsidR="00BE604A" w:rsidRPr="00BE604A">
              <w:rPr>
                <w:lang w:val="es-ES_tradnl"/>
              </w:rPr>
              <w:t>BDT4Impact</w:t>
            </w:r>
            <w:r w:rsidR="008F272F">
              <w:rPr>
                <w:lang w:val="es-ES_tradnl"/>
              </w:rPr>
              <w:t>)</w:t>
            </w:r>
            <w:r w:rsidR="00BE604A" w:rsidRPr="00BE604A">
              <w:rPr>
                <w:lang w:val="es-ES_tradnl"/>
              </w:rPr>
              <w:t xml:space="preserve">. </w:t>
            </w:r>
          </w:p>
          <w:p w14:paraId="08695AC2" w14:textId="2DFA8EEA" w:rsidR="00224990" w:rsidRPr="00DF5B4D" w:rsidRDefault="00BE604A" w:rsidP="00BE604A">
            <w:pPr>
              <w:pStyle w:val="Tabletext"/>
              <w:ind w:left="284" w:hanging="284"/>
              <w:rPr>
                <w:rFonts w:ascii="Calibri" w:hAnsi="Calibri" w:cs="Calibri"/>
                <w:lang w:val="es-ES_tradnl"/>
              </w:rPr>
            </w:pPr>
            <w:r w:rsidRPr="00DF5B4D">
              <w:rPr>
                <w:lang w:val="es-ES_tradnl"/>
              </w:rPr>
              <w:t>•</w:t>
            </w:r>
            <w:r w:rsidRPr="00DF5B4D">
              <w:rPr>
                <w:lang w:val="es-ES_tradnl"/>
              </w:rPr>
              <w:tab/>
            </w:r>
            <w:r w:rsidR="00B90777">
              <w:rPr>
                <w:lang w:val="es-ES_tradnl"/>
              </w:rPr>
              <w:t>Se consideró que l</w:t>
            </w:r>
            <w:r w:rsidR="008E0752">
              <w:rPr>
                <w:lang w:val="es-ES_tradnl"/>
              </w:rPr>
              <w:t>a presentación de informes periódicos a los</w:t>
            </w:r>
            <w:r w:rsidRPr="00BE604A">
              <w:rPr>
                <w:lang w:val="es-ES_tradnl"/>
              </w:rPr>
              <w:t xml:space="preserve"> donantes</w:t>
            </w:r>
            <w:r w:rsidR="008E0752">
              <w:rPr>
                <w:lang w:val="es-ES_tradnl"/>
              </w:rPr>
              <w:t xml:space="preserve"> </w:t>
            </w:r>
            <w:r w:rsidR="00B90777">
              <w:rPr>
                <w:lang w:val="es-ES_tradnl"/>
              </w:rPr>
              <w:t>era</w:t>
            </w:r>
            <w:r w:rsidR="008E0752">
              <w:rPr>
                <w:lang w:val="es-ES_tradnl"/>
              </w:rPr>
              <w:t xml:space="preserve"> sumamente importante</w:t>
            </w:r>
            <w:r w:rsidRPr="00BE604A">
              <w:rPr>
                <w:lang w:val="es-ES_tradnl"/>
              </w:rPr>
              <w:t xml:space="preserve"> y</w:t>
            </w:r>
            <w:r w:rsidR="008E0752">
              <w:rPr>
                <w:lang w:val="es-ES_tradnl"/>
              </w:rPr>
              <w:t xml:space="preserve"> </w:t>
            </w:r>
            <w:r w:rsidR="00B90777">
              <w:rPr>
                <w:lang w:val="es-ES_tradnl"/>
              </w:rPr>
              <w:t xml:space="preserve">debía </w:t>
            </w:r>
            <w:r w:rsidR="008E0752">
              <w:rPr>
                <w:lang w:val="es-ES_tradnl"/>
              </w:rPr>
              <w:t>revestir un carácter prioritario</w:t>
            </w:r>
            <w:r w:rsidR="00B90777">
              <w:rPr>
                <w:lang w:val="es-ES_tradnl"/>
              </w:rPr>
              <w:t xml:space="preserve"> en todo momento, </w:t>
            </w:r>
            <w:r w:rsidRPr="00BE604A">
              <w:rPr>
                <w:lang w:val="es-ES_tradnl"/>
              </w:rPr>
              <w:t xml:space="preserve">para que los socios y los donantes </w:t>
            </w:r>
            <w:r w:rsidR="008E0752">
              <w:rPr>
                <w:lang w:val="es-ES_tradnl"/>
              </w:rPr>
              <w:t>se mant</w:t>
            </w:r>
            <w:r w:rsidR="00B90777">
              <w:rPr>
                <w:lang w:val="es-ES_tradnl"/>
              </w:rPr>
              <w:t>uviese</w:t>
            </w:r>
            <w:r w:rsidR="008E0752">
              <w:rPr>
                <w:lang w:val="es-ES_tradnl"/>
              </w:rPr>
              <w:t xml:space="preserve">n al corriente de </w:t>
            </w:r>
            <w:r w:rsidRPr="00BE604A">
              <w:rPr>
                <w:lang w:val="es-ES_tradnl"/>
              </w:rPr>
              <w:t xml:space="preserve">las actividades </w:t>
            </w:r>
            <w:r w:rsidR="008E0752">
              <w:rPr>
                <w:lang w:val="es-ES_tradnl"/>
              </w:rPr>
              <w:t>llevadas a cabo por</w:t>
            </w:r>
            <w:r w:rsidRPr="00BE604A">
              <w:rPr>
                <w:lang w:val="es-ES_tradnl"/>
              </w:rPr>
              <w:t xml:space="preserve"> la BDT y</w:t>
            </w:r>
            <w:r w:rsidR="008E0752">
              <w:rPr>
                <w:lang w:val="es-ES_tradnl"/>
              </w:rPr>
              <w:t xml:space="preserve"> las repercusiones que se est</w:t>
            </w:r>
            <w:r w:rsidR="00B90777">
              <w:rPr>
                <w:lang w:val="es-ES_tradnl"/>
              </w:rPr>
              <w:t>aba</w:t>
            </w:r>
            <w:r w:rsidR="008E0752">
              <w:rPr>
                <w:lang w:val="es-ES_tradnl"/>
              </w:rPr>
              <w:t xml:space="preserve">n logrando </w:t>
            </w:r>
            <w:r w:rsidRPr="00BE604A">
              <w:rPr>
                <w:lang w:val="es-ES_tradnl"/>
              </w:rPr>
              <w:t>sobre el terreno.</w:t>
            </w:r>
          </w:p>
        </w:tc>
        <w:tc>
          <w:tcPr>
            <w:tcW w:w="2880" w:type="dxa"/>
            <w:shd w:val="clear" w:color="auto" w:fill="auto"/>
          </w:tcPr>
          <w:p w14:paraId="4CCB85AA" w14:textId="77777777" w:rsidR="00224990" w:rsidRPr="00DF5B4D" w:rsidRDefault="00224990" w:rsidP="00DF5B4D">
            <w:pPr>
              <w:pStyle w:val="Tabletext"/>
              <w:ind w:left="284" w:hanging="284"/>
              <w:rPr>
                <w:bCs/>
                <w:lang w:val="es-ES_tradnl"/>
              </w:rPr>
            </w:pPr>
            <w:r w:rsidRPr="00DF5B4D">
              <w:rPr>
                <w:lang w:val="es-ES_tradnl"/>
              </w:rPr>
              <w:t>•</w:t>
            </w:r>
            <w:r w:rsidRPr="00DF5B4D">
              <w:rPr>
                <w:lang w:val="es-ES_tradnl"/>
              </w:rPr>
              <w:tab/>
              <w:t>Retiro de la Alta Dirección 2024.</w:t>
            </w:r>
          </w:p>
          <w:p w14:paraId="36D3A5A6" w14:textId="77777777" w:rsidR="00224990" w:rsidRPr="00DF5B4D" w:rsidRDefault="00224990" w:rsidP="00DF5B4D">
            <w:pPr>
              <w:pStyle w:val="Tabletext"/>
              <w:ind w:left="284" w:hanging="284"/>
              <w:rPr>
                <w:bCs/>
                <w:lang w:val="es-ES_tradnl"/>
              </w:rPr>
            </w:pPr>
            <w:r w:rsidRPr="00DF5B4D">
              <w:rPr>
                <w:lang w:val="es-ES_tradnl"/>
              </w:rPr>
              <w:t>•</w:t>
            </w:r>
            <w:r w:rsidRPr="00DF5B4D">
              <w:rPr>
                <w:lang w:val="es-ES_tradnl"/>
              </w:rPr>
              <w:tab/>
              <w:t>Equilibrio de la vida personal y el trabajo.</w:t>
            </w:r>
          </w:p>
          <w:p w14:paraId="70869171" w14:textId="77777777" w:rsidR="00224990" w:rsidRPr="00DF5B4D" w:rsidRDefault="00224990" w:rsidP="00DF5B4D">
            <w:pPr>
              <w:pStyle w:val="Tabletext"/>
              <w:ind w:left="284" w:hanging="284"/>
              <w:rPr>
                <w:bCs/>
                <w:lang w:val="es-ES_tradnl"/>
              </w:rPr>
            </w:pPr>
            <w:r w:rsidRPr="00DF5B4D">
              <w:rPr>
                <w:lang w:val="es-ES_tradnl"/>
              </w:rPr>
              <w:t>•</w:t>
            </w:r>
            <w:r w:rsidRPr="00DF5B4D">
              <w:rPr>
                <w:lang w:val="es-ES_tradnl"/>
              </w:rPr>
              <w:tab/>
              <w:t>Reuniones ordinarias de implicación del personal.</w:t>
            </w:r>
          </w:p>
          <w:p w14:paraId="75868878" w14:textId="77777777" w:rsidR="00224990" w:rsidRPr="00DF5B4D" w:rsidRDefault="00224990" w:rsidP="00DF5B4D">
            <w:pPr>
              <w:pStyle w:val="Tabletext"/>
              <w:ind w:left="284" w:hanging="284"/>
              <w:rPr>
                <w:bCs/>
                <w:lang w:val="es-ES_tradnl"/>
              </w:rPr>
            </w:pPr>
            <w:r w:rsidRPr="00DF5B4D">
              <w:rPr>
                <w:bCs/>
                <w:lang w:val="es-ES_tradnl"/>
              </w:rPr>
              <w:t>•</w:t>
            </w:r>
            <w:r w:rsidRPr="00DF5B4D">
              <w:rPr>
                <w:bCs/>
                <w:lang w:val="es-ES_tradnl"/>
              </w:rPr>
              <w:tab/>
              <w:t>Programa de Agentes del Cambio de la UIT.</w:t>
            </w:r>
          </w:p>
        </w:tc>
      </w:tr>
    </w:tbl>
    <w:p w14:paraId="4132FCC3" w14:textId="77777777" w:rsidR="00224990" w:rsidRPr="00224990" w:rsidRDefault="00224990" w:rsidP="00224990">
      <w:pPr>
        <w:pStyle w:val="Reasons"/>
        <w:rPr>
          <w:lang w:val="es-ES"/>
        </w:rPr>
      </w:pPr>
    </w:p>
    <w:p w14:paraId="7759C759" w14:textId="5DE1C0F3" w:rsidR="00821996" w:rsidRPr="004A2CC5" w:rsidRDefault="003C58BF" w:rsidP="008B039D">
      <w:pPr>
        <w:tabs>
          <w:tab w:val="clear" w:pos="794"/>
          <w:tab w:val="clear" w:pos="1191"/>
          <w:tab w:val="clear" w:pos="1588"/>
          <w:tab w:val="clear" w:pos="1985"/>
        </w:tabs>
        <w:spacing w:after="120"/>
        <w:jc w:val="center"/>
        <w:rPr>
          <w:lang w:val="es-ES_tradnl"/>
        </w:rPr>
      </w:pPr>
      <w:bookmarkStart w:id="8" w:name="Proposal"/>
      <w:bookmarkEnd w:id="8"/>
      <w:r w:rsidRPr="004A2CC5">
        <w:rPr>
          <w:lang w:val="es-ES_tradnl"/>
        </w:rPr>
        <w:t>_____________</w:t>
      </w:r>
      <w:r w:rsidR="004122C5" w:rsidRPr="004A2CC5">
        <w:rPr>
          <w:lang w:val="es-ES_tradnl"/>
        </w:rPr>
        <w:t>_</w:t>
      </w:r>
      <w:r w:rsidR="00922EC1" w:rsidRPr="004A2CC5">
        <w:rPr>
          <w:lang w:val="es-ES_tradnl"/>
        </w:rPr>
        <w:t>_</w:t>
      </w:r>
    </w:p>
    <w:sectPr w:rsidR="00821996" w:rsidRPr="004A2CC5" w:rsidSect="0060047B">
      <w:headerReference w:type="default" r:id="rId115"/>
      <w:footerReference w:type="first" r:id="rId116"/>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689C" w14:textId="77777777" w:rsidR="00DE2320" w:rsidRDefault="00DE2320">
      <w:r>
        <w:separator/>
      </w:r>
    </w:p>
  </w:endnote>
  <w:endnote w:type="continuationSeparator" w:id="0">
    <w:p w14:paraId="7ECE6D59" w14:textId="77777777" w:rsidR="00DE2320" w:rsidRDefault="00DE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537"/>
      <w:gridCol w:w="5671"/>
    </w:tblGrid>
    <w:tr w:rsidR="00F33FC8" w:rsidRPr="00B6045A" w14:paraId="0743AB4A" w14:textId="77777777" w:rsidTr="00A3622F">
      <w:tc>
        <w:tcPr>
          <w:tcW w:w="1432" w:type="dxa"/>
          <w:tcBorders>
            <w:top w:val="single" w:sz="4" w:space="0" w:color="000000"/>
          </w:tcBorders>
          <w:shd w:val="clear" w:color="auto" w:fill="auto"/>
        </w:tcPr>
        <w:p w14:paraId="2789BD26" w14:textId="77777777" w:rsidR="00F33FC8" w:rsidRPr="00B578D0" w:rsidRDefault="00F33FC8">
          <w:pPr>
            <w:pStyle w:val="FirstFooter"/>
            <w:tabs>
              <w:tab w:val="left" w:pos="1559"/>
              <w:tab w:val="left" w:pos="3828"/>
            </w:tabs>
            <w:rPr>
              <w:sz w:val="18"/>
              <w:szCs w:val="18"/>
              <w:lang w:val="es-ES_tradnl"/>
            </w:rPr>
          </w:pPr>
          <w:r w:rsidRPr="00B578D0">
            <w:rPr>
              <w:sz w:val="18"/>
              <w:szCs w:val="18"/>
              <w:lang w:val="es-ES_tradnl"/>
            </w:rPr>
            <w:t>Contacto:</w:t>
          </w:r>
        </w:p>
      </w:tc>
      <w:tc>
        <w:tcPr>
          <w:tcW w:w="2537" w:type="dxa"/>
          <w:tcBorders>
            <w:top w:val="single" w:sz="4" w:space="0" w:color="000000"/>
          </w:tcBorders>
          <w:shd w:val="clear" w:color="auto" w:fill="auto"/>
        </w:tcPr>
        <w:p w14:paraId="6A2A335E" w14:textId="77777777" w:rsidR="00F33FC8" w:rsidRPr="00B578D0" w:rsidRDefault="00F33FC8">
          <w:pPr>
            <w:pStyle w:val="FirstFooter"/>
            <w:tabs>
              <w:tab w:val="left" w:pos="2302"/>
            </w:tabs>
            <w:ind w:left="2302" w:hanging="2302"/>
            <w:rPr>
              <w:sz w:val="18"/>
              <w:szCs w:val="18"/>
              <w:lang w:val="es-ES_tradnl"/>
            </w:rPr>
          </w:pPr>
          <w:r w:rsidRPr="00B578D0">
            <w:rPr>
              <w:sz w:val="18"/>
              <w:szCs w:val="18"/>
              <w:lang w:val="es-ES_tradnl"/>
            </w:rPr>
            <w:t>Nombre/Organización/Entidad:</w:t>
          </w:r>
        </w:p>
      </w:tc>
      <w:tc>
        <w:tcPr>
          <w:tcW w:w="5671" w:type="dxa"/>
          <w:tcBorders>
            <w:top w:val="single" w:sz="4" w:space="0" w:color="000000"/>
          </w:tcBorders>
        </w:tcPr>
        <w:p w14:paraId="700191CF" w14:textId="77777777" w:rsidR="00F33FC8" w:rsidRPr="00B578D0" w:rsidRDefault="00F33FC8">
          <w:pPr>
            <w:pStyle w:val="FirstFooter"/>
            <w:tabs>
              <w:tab w:val="left" w:pos="2302"/>
            </w:tabs>
            <w:rPr>
              <w:sz w:val="18"/>
              <w:szCs w:val="18"/>
              <w:highlight w:val="yellow"/>
              <w:lang w:val="es-ES_tradnl"/>
            </w:rPr>
          </w:pPr>
          <w:r w:rsidRPr="00B578D0">
            <w:rPr>
              <w:sz w:val="18"/>
              <w:szCs w:val="18"/>
              <w:lang w:val="es-ES_tradnl"/>
            </w:rPr>
            <w:t>Sr. Bruno Ramos, Director Adjunto en funciones, Oficina de Desarrollo de las Telecomunicaciones</w:t>
          </w:r>
        </w:p>
      </w:tc>
    </w:tr>
    <w:tr w:rsidR="00F33FC8" w:rsidRPr="00B578D0" w14:paraId="7E1079BB" w14:textId="77777777" w:rsidTr="00A3622F">
      <w:tc>
        <w:tcPr>
          <w:tcW w:w="1432" w:type="dxa"/>
          <w:shd w:val="clear" w:color="auto" w:fill="auto"/>
        </w:tcPr>
        <w:p w14:paraId="4A0ED760" w14:textId="77777777" w:rsidR="00F33FC8" w:rsidRPr="00B578D0" w:rsidRDefault="00F33FC8" w:rsidP="00D35255">
          <w:pPr>
            <w:pStyle w:val="FirstFooter"/>
            <w:tabs>
              <w:tab w:val="left" w:pos="1559"/>
              <w:tab w:val="left" w:pos="3828"/>
            </w:tabs>
            <w:rPr>
              <w:sz w:val="18"/>
              <w:szCs w:val="18"/>
              <w:lang w:val="es-ES_tradnl"/>
            </w:rPr>
          </w:pPr>
        </w:p>
      </w:tc>
      <w:tc>
        <w:tcPr>
          <w:tcW w:w="2537" w:type="dxa"/>
          <w:shd w:val="clear" w:color="auto" w:fill="auto"/>
        </w:tcPr>
        <w:p w14:paraId="36695F22" w14:textId="77777777" w:rsidR="00F33FC8" w:rsidRPr="00B578D0" w:rsidRDefault="00F33FC8" w:rsidP="00D35255">
          <w:pPr>
            <w:pStyle w:val="FirstFooter"/>
            <w:tabs>
              <w:tab w:val="left" w:pos="2302"/>
            </w:tabs>
            <w:ind w:left="2302" w:hanging="2302"/>
            <w:rPr>
              <w:sz w:val="18"/>
              <w:szCs w:val="18"/>
              <w:lang w:val="es-ES_tradnl"/>
            </w:rPr>
          </w:pPr>
          <w:r w:rsidRPr="00B578D0">
            <w:rPr>
              <w:sz w:val="18"/>
              <w:szCs w:val="18"/>
              <w:lang w:val="es-ES_tradnl"/>
            </w:rPr>
            <w:t>Teléfono:</w:t>
          </w:r>
        </w:p>
      </w:tc>
      <w:tc>
        <w:tcPr>
          <w:tcW w:w="5671" w:type="dxa"/>
        </w:tcPr>
        <w:p w14:paraId="03736C5A" w14:textId="77777777" w:rsidR="00F33FC8" w:rsidRPr="00B578D0" w:rsidRDefault="00F33FC8">
          <w:pPr>
            <w:pStyle w:val="FirstFooter"/>
            <w:tabs>
              <w:tab w:val="left" w:pos="2302"/>
            </w:tabs>
            <w:rPr>
              <w:sz w:val="18"/>
              <w:szCs w:val="18"/>
              <w:lang w:val="es-ES_tradnl"/>
            </w:rPr>
          </w:pPr>
          <w:r w:rsidRPr="00B578D0">
            <w:rPr>
              <w:sz w:val="18"/>
              <w:szCs w:val="18"/>
              <w:lang w:val="es-ES_tradnl"/>
            </w:rPr>
            <w:t>+41 22 730 6099</w:t>
          </w:r>
        </w:p>
      </w:tc>
    </w:tr>
    <w:tr w:rsidR="00F33FC8" w:rsidRPr="00B578D0" w14:paraId="00C10274" w14:textId="77777777" w:rsidTr="00A3622F">
      <w:tc>
        <w:tcPr>
          <w:tcW w:w="1432" w:type="dxa"/>
          <w:shd w:val="clear" w:color="auto" w:fill="auto"/>
        </w:tcPr>
        <w:p w14:paraId="591AEE3F" w14:textId="77777777" w:rsidR="00F33FC8" w:rsidRPr="00B578D0" w:rsidRDefault="00F33FC8" w:rsidP="00D35255">
          <w:pPr>
            <w:pStyle w:val="FirstFooter"/>
            <w:tabs>
              <w:tab w:val="left" w:pos="1559"/>
              <w:tab w:val="left" w:pos="3828"/>
            </w:tabs>
            <w:rPr>
              <w:sz w:val="20"/>
              <w:lang w:val="es-ES_tradnl"/>
            </w:rPr>
          </w:pPr>
        </w:p>
      </w:tc>
      <w:tc>
        <w:tcPr>
          <w:tcW w:w="2537" w:type="dxa"/>
          <w:shd w:val="clear" w:color="auto" w:fill="auto"/>
        </w:tcPr>
        <w:p w14:paraId="7932D5B4" w14:textId="77777777" w:rsidR="00F33FC8" w:rsidRPr="00B578D0" w:rsidRDefault="00F33FC8">
          <w:pPr>
            <w:pStyle w:val="FirstFooter"/>
            <w:tabs>
              <w:tab w:val="left" w:pos="2302"/>
            </w:tabs>
            <w:rPr>
              <w:sz w:val="18"/>
              <w:szCs w:val="18"/>
              <w:lang w:val="es-ES_tradnl"/>
            </w:rPr>
          </w:pPr>
          <w:r w:rsidRPr="00B578D0">
            <w:rPr>
              <w:sz w:val="18"/>
              <w:szCs w:val="18"/>
              <w:lang w:val="es-ES_tradnl"/>
            </w:rPr>
            <w:t>Correo electrónico:</w:t>
          </w:r>
        </w:p>
      </w:tc>
      <w:tc>
        <w:tcPr>
          <w:tcW w:w="5671" w:type="dxa"/>
        </w:tcPr>
        <w:p w14:paraId="2E3D4D08" w14:textId="271BF5E7" w:rsidR="00F33FC8" w:rsidRPr="00B578D0" w:rsidRDefault="00B6045A">
          <w:pPr>
            <w:pStyle w:val="FirstFooter"/>
            <w:tabs>
              <w:tab w:val="left" w:pos="2302"/>
            </w:tabs>
            <w:rPr>
              <w:sz w:val="18"/>
              <w:szCs w:val="18"/>
              <w:highlight w:val="yellow"/>
              <w:lang w:val="es-ES_tradnl"/>
            </w:rPr>
          </w:pPr>
          <w:hyperlink r:id="rId1" w:history="1">
            <w:r w:rsidR="00F33FC8" w:rsidRPr="00B578D0">
              <w:rPr>
                <w:rStyle w:val="Hyperlink"/>
                <w:sz w:val="18"/>
                <w:szCs w:val="18"/>
                <w:lang w:val="es-ES_tradnl"/>
              </w:rPr>
              <w:t>bruno.ramos@itu.int</w:t>
            </w:r>
          </w:hyperlink>
        </w:p>
      </w:tc>
    </w:tr>
  </w:tbl>
  <w:p w14:paraId="0787C7C1" w14:textId="77777777" w:rsidR="00F33FC8" w:rsidRPr="00B578D0" w:rsidRDefault="00F33FC8" w:rsidP="00D35255">
    <w:pPr>
      <w:pStyle w:val="Footer"/>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21D0" w14:textId="44F66AD8" w:rsidR="00721657" w:rsidRPr="0060047B" w:rsidRDefault="00721657" w:rsidP="00600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111D" w14:textId="77777777" w:rsidR="00DE2320" w:rsidRDefault="00DE2320">
      <w:r>
        <w:t>____________________</w:t>
      </w:r>
    </w:p>
  </w:footnote>
  <w:footnote w:type="continuationSeparator" w:id="0">
    <w:p w14:paraId="56324049" w14:textId="77777777" w:rsidR="00DE2320" w:rsidRDefault="00DE2320">
      <w:r>
        <w:continuationSeparator/>
      </w:r>
    </w:p>
  </w:footnote>
  <w:footnote w:id="1">
    <w:p w14:paraId="44A93D3B" w14:textId="5D57CF70" w:rsidR="008C5AD4" w:rsidRPr="008C5AD4" w:rsidRDefault="008C5AD4" w:rsidP="004F05BF">
      <w:pPr>
        <w:pStyle w:val="FootnoteText"/>
        <w:tabs>
          <w:tab w:val="clear" w:pos="255"/>
        </w:tabs>
        <w:rPr>
          <w:lang w:val="es-ES"/>
        </w:rPr>
      </w:pPr>
      <w:r>
        <w:rPr>
          <w:rStyle w:val="FootnoteReference"/>
        </w:rPr>
        <w:footnoteRef/>
      </w:r>
      <w:r w:rsidR="0060047B">
        <w:rPr>
          <w:lang w:val="es-ES"/>
        </w:rPr>
        <w:tab/>
      </w:r>
      <w:r w:rsidR="0060047B" w:rsidRPr="0060047B">
        <w:rPr>
          <w:lang w:val="es-ES"/>
        </w:rPr>
        <w:t>Indicadores atinentes a los productos para:</w:t>
      </w:r>
      <w:r w:rsidR="004F05BF">
        <w:rPr>
          <w:lang w:val="es-ES"/>
        </w:rPr>
        <w:br/>
      </w:r>
      <w:r w:rsidR="0060047B" w:rsidRPr="0060047B">
        <w:rPr>
          <w:lang w:val="es-ES"/>
        </w:rPr>
        <w:t>-</w:t>
      </w:r>
      <w:r w:rsidR="0060047B">
        <w:rPr>
          <w:lang w:val="es-ES"/>
        </w:rPr>
        <w:tab/>
      </w:r>
      <w:r w:rsidR="0060047B" w:rsidRPr="004F05BF">
        <w:rPr>
          <w:b/>
          <w:bCs/>
          <w:lang w:val="es-ES"/>
        </w:rPr>
        <w:t>Prioridad del UIT-D:</w:t>
      </w:r>
      <w:r w:rsidR="0060047B" w:rsidRPr="0060047B">
        <w:rPr>
          <w:lang w:val="es-ES"/>
        </w:rPr>
        <w:t xml:space="preserve"> Movilización de recursos y cooperación internacional.</w:t>
      </w:r>
      <w:r w:rsidR="004F05BF">
        <w:rPr>
          <w:lang w:val="es-ES"/>
        </w:rPr>
        <w:br/>
      </w:r>
      <w:r w:rsidR="0060047B" w:rsidRPr="0060047B">
        <w:rPr>
          <w:lang w:val="es-ES"/>
        </w:rPr>
        <w:t>-</w:t>
      </w:r>
      <w:r w:rsidR="0060047B">
        <w:rPr>
          <w:lang w:val="es-ES"/>
        </w:rPr>
        <w:tab/>
      </w:r>
      <w:r w:rsidR="0060047B" w:rsidRPr="004F05BF">
        <w:rPr>
          <w:b/>
          <w:bCs/>
          <w:lang w:val="es-ES"/>
        </w:rPr>
        <w:t>Factores habilitadores del UIT-D:</w:t>
      </w:r>
      <w:r w:rsidR="0060047B" w:rsidRPr="0060047B">
        <w:rPr>
          <w:lang w:val="es-ES"/>
        </w:rPr>
        <w:t xml:space="preserve"> Asociaciones, cooperación internacional y movilización </w:t>
      </w:r>
      <w:r w:rsidR="004F05BF">
        <w:rPr>
          <w:lang w:val="es-ES"/>
        </w:rPr>
        <w:tab/>
      </w:r>
      <w:r w:rsidR="0060047B" w:rsidRPr="0060047B">
        <w:rPr>
          <w:lang w:val="es-ES"/>
        </w:rPr>
        <w:t>de recursos.</w:t>
      </w:r>
    </w:p>
  </w:footnote>
  <w:footnote w:id="2">
    <w:p w14:paraId="16BB1608" w14:textId="3561A4E5" w:rsidR="0060047B" w:rsidRPr="0060047B" w:rsidRDefault="0060047B">
      <w:pPr>
        <w:pStyle w:val="FootnoteText"/>
        <w:rPr>
          <w:lang w:val="es-ES"/>
        </w:rPr>
      </w:pPr>
      <w:r>
        <w:rPr>
          <w:rStyle w:val="FootnoteReference"/>
        </w:rPr>
        <w:footnoteRef/>
      </w:r>
      <w:r>
        <w:rPr>
          <w:lang w:val="es-ES"/>
        </w:rPr>
        <w:tab/>
      </w:r>
      <w:r w:rsidRPr="0060047B">
        <w:rPr>
          <w:lang w:val="es-ES"/>
        </w:rPr>
        <w:t>Productos de Comisiones de Estudio.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9AD3" w14:textId="77777777" w:rsidR="00F33FC8" w:rsidRDefault="00F33FC8">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TDAG-24/2-</w:t>
    </w:r>
    <w:r>
      <w:rPr>
        <w:sz w:val="22"/>
        <w:szCs w:val="22"/>
      </w:rPr>
      <w:t>S</w:t>
    </w:r>
    <w:r>
      <w:rPr>
        <w:sz w:val="22"/>
        <w:szCs w:val="22"/>
      </w:rPr>
      <w:tab/>
    </w:r>
    <w:r w:rsidRPr="00B578D0">
      <w:rPr>
        <w:sz w:val="22"/>
        <w:szCs w:val="22"/>
        <w:lang w:val="es-ES_tradnl"/>
      </w:rPr>
      <w:t>Página</w:t>
    </w:r>
    <w:r w:rsidRPr="00F56A31">
      <w:rPr>
        <w:sz w:val="22"/>
        <w:szCs w:val="22"/>
      </w:rPr>
      <w:t xml:space="preserv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6B73943"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F33FC8">
      <w:rPr>
        <w:sz w:val="22"/>
        <w:szCs w:val="22"/>
        <w:lang w:val="de-CH"/>
      </w:rPr>
      <w:t>2</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142B2B"/>
    <w:multiLevelType w:val="hybridMultilevel"/>
    <w:tmpl w:val="A47CA9E0"/>
    <w:styleLink w:val="ImportedStyle3"/>
    <w:lvl w:ilvl="0" w:tplc="6C149A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C6D29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6898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32D1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8CA06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A44F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203F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547F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F8261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378A5"/>
    <w:multiLevelType w:val="hybridMultilevel"/>
    <w:tmpl w:val="9E4C4F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9A6DB0"/>
    <w:multiLevelType w:val="hybridMultilevel"/>
    <w:tmpl w:val="B1A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E5ACB"/>
    <w:multiLevelType w:val="hybridMultilevel"/>
    <w:tmpl w:val="D29E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CB00CE"/>
    <w:multiLevelType w:val="hybridMultilevel"/>
    <w:tmpl w:val="97DE88D4"/>
    <w:lvl w:ilvl="0" w:tplc="5B4A789C">
      <w:numFmt w:val="bullet"/>
      <w:lvlText w:val="•"/>
      <w:lvlJc w:val="left"/>
      <w:pPr>
        <w:tabs>
          <w:tab w:val="num" w:pos="1080"/>
        </w:tabs>
        <w:ind w:left="108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63C50"/>
    <w:multiLevelType w:val="hybridMultilevel"/>
    <w:tmpl w:val="FFFFFFFF"/>
    <w:lvl w:ilvl="0" w:tplc="684211F8">
      <w:start w:val="1"/>
      <w:numFmt w:val="bullet"/>
      <w:lvlText w:val=""/>
      <w:lvlJc w:val="left"/>
      <w:pPr>
        <w:ind w:left="720" w:hanging="360"/>
      </w:pPr>
      <w:rPr>
        <w:rFonts w:ascii="Symbol" w:hAnsi="Symbol" w:hint="default"/>
      </w:rPr>
    </w:lvl>
    <w:lvl w:ilvl="1" w:tplc="96244B0E">
      <w:start w:val="1"/>
      <w:numFmt w:val="bullet"/>
      <w:lvlText w:val="o"/>
      <w:lvlJc w:val="left"/>
      <w:pPr>
        <w:ind w:left="1440" w:hanging="360"/>
      </w:pPr>
      <w:rPr>
        <w:rFonts w:ascii="Courier New" w:hAnsi="Courier New" w:hint="default"/>
      </w:rPr>
    </w:lvl>
    <w:lvl w:ilvl="2" w:tplc="D912347C">
      <w:start w:val="1"/>
      <w:numFmt w:val="bullet"/>
      <w:lvlText w:val=""/>
      <w:lvlJc w:val="left"/>
      <w:pPr>
        <w:ind w:left="2160" w:hanging="360"/>
      </w:pPr>
      <w:rPr>
        <w:rFonts w:ascii="Wingdings" w:hAnsi="Wingdings" w:hint="default"/>
      </w:rPr>
    </w:lvl>
    <w:lvl w:ilvl="3" w:tplc="EA8A5E08">
      <w:start w:val="1"/>
      <w:numFmt w:val="bullet"/>
      <w:lvlText w:val=""/>
      <w:lvlJc w:val="left"/>
      <w:pPr>
        <w:ind w:left="2880" w:hanging="360"/>
      </w:pPr>
      <w:rPr>
        <w:rFonts w:ascii="Symbol" w:hAnsi="Symbol" w:hint="default"/>
      </w:rPr>
    </w:lvl>
    <w:lvl w:ilvl="4" w:tplc="D42AE6D2">
      <w:start w:val="1"/>
      <w:numFmt w:val="bullet"/>
      <w:lvlText w:val="o"/>
      <w:lvlJc w:val="left"/>
      <w:pPr>
        <w:ind w:left="3600" w:hanging="360"/>
      </w:pPr>
      <w:rPr>
        <w:rFonts w:ascii="Courier New" w:hAnsi="Courier New" w:hint="default"/>
      </w:rPr>
    </w:lvl>
    <w:lvl w:ilvl="5" w:tplc="A88A6054">
      <w:start w:val="1"/>
      <w:numFmt w:val="bullet"/>
      <w:lvlText w:val=""/>
      <w:lvlJc w:val="left"/>
      <w:pPr>
        <w:ind w:left="4320" w:hanging="360"/>
      </w:pPr>
      <w:rPr>
        <w:rFonts w:ascii="Wingdings" w:hAnsi="Wingdings" w:hint="default"/>
      </w:rPr>
    </w:lvl>
    <w:lvl w:ilvl="6" w:tplc="1038AA42">
      <w:start w:val="1"/>
      <w:numFmt w:val="bullet"/>
      <w:lvlText w:val=""/>
      <w:lvlJc w:val="left"/>
      <w:pPr>
        <w:ind w:left="5040" w:hanging="360"/>
      </w:pPr>
      <w:rPr>
        <w:rFonts w:ascii="Symbol" w:hAnsi="Symbol" w:hint="default"/>
      </w:rPr>
    </w:lvl>
    <w:lvl w:ilvl="7" w:tplc="1C5EB0C6">
      <w:start w:val="1"/>
      <w:numFmt w:val="bullet"/>
      <w:lvlText w:val="o"/>
      <w:lvlJc w:val="left"/>
      <w:pPr>
        <w:ind w:left="5760" w:hanging="360"/>
      </w:pPr>
      <w:rPr>
        <w:rFonts w:ascii="Courier New" w:hAnsi="Courier New" w:hint="default"/>
      </w:rPr>
    </w:lvl>
    <w:lvl w:ilvl="8" w:tplc="31FC1D32">
      <w:start w:val="1"/>
      <w:numFmt w:val="bullet"/>
      <w:lvlText w:val=""/>
      <w:lvlJc w:val="left"/>
      <w:pPr>
        <w:ind w:left="6480" w:hanging="360"/>
      </w:pPr>
      <w:rPr>
        <w:rFonts w:ascii="Wingdings" w:hAnsi="Wingdings" w:hint="default"/>
      </w:rPr>
    </w:lvl>
  </w:abstractNum>
  <w:abstractNum w:abstractNumId="14" w15:restartNumberingAfterBreak="0">
    <w:nsid w:val="43C10AD7"/>
    <w:multiLevelType w:val="hybridMultilevel"/>
    <w:tmpl w:val="1C9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10626"/>
    <w:multiLevelType w:val="hybridMultilevel"/>
    <w:tmpl w:val="0914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86073"/>
    <w:multiLevelType w:val="hybridMultilevel"/>
    <w:tmpl w:val="87E85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B1B3B"/>
    <w:multiLevelType w:val="hybridMultilevel"/>
    <w:tmpl w:val="338C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101E9"/>
    <w:multiLevelType w:val="hybridMultilevel"/>
    <w:tmpl w:val="CAE0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47D50"/>
    <w:multiLevelType w:val="hybridMultilevel"/>
    <w:tmpl w:val="9382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300FE2"/>
    <w:multiLevelType w:val="hybridMultilevel"/>
    <w:tmpl w:val="DD9EA30A"/>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4"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109992">
    <w:abstractNumId w:val="8"/>
  </w:num>
  <w:num w:numId="2" w16cid:durableId="285235576">
    <w:abstractNumId w:val="22"/>
  </w:num>
  <w:num w:numId="3" w16cid:durableId="1674448621">
    <w:abstractNumId w:val="9"/>
  </w:num>
  <w:num w:numId="4" w16cid:durableId="857083931">
    <w:abstractNumId w:val="13"/>
  </w:num>
  <w:num w:numId="5" w16cid:durableId="1402480793">
    <w:abstractNumId w:val="6"/>
  </w:num>
  <w:num w:numId="6" w16cid:durableId="1005206030">
    <w:abstractNumId w:val="23"/>
  </w:num>
  <w:num w:numId="7" w16cid:durableId="1781684302">
    <w:abstractNumId w:val="11"/>
  </w:num>
  <w:num w:numId="8" w16cid:durableId="1581989628">
    <w:abstractNumId w:val="14"/>
  </w:num>
  <w:num w:numId="9" w16cid:durableId="374741436">
    <w:abstractNumId w:val="21"/>
  </w:num>
  <w:num w:numId="10" w16cid:durableId="167597998">
    <w:abstractNumId w:val="0"/>
  </w:num>
  <w:num w:numId="11" w16cid:durableId="2011829461">
    <w:abstractNumId w:val="1"/>
  </w:num>
  <w:num w:numId="12" w16cid:durableId="1564877267">
    <w:abstractNumId w:val="20"/>
  </w:num>
  <w:num w:numId="13" w16cid:durableId="1250189781">
    <w:abstractNumId w:val="12"/>
  </w:num>
  <w:num w:numId="14" w16cid:durableId="1657345662">
    <w:abstractNumId w:val="7"/>
  </w:num>
  <w:num w:numId="15" w16cid:durableId="273563574">
    <w:abstractNumId w:val="15"/>
  </w:num>
  <w:num w:numId="16" w16cid:durableId="114837407">
    <w:abstractNumId w:val="24"/>
  </w:num>
  <w:num w:numId="17" w16cid:durableId="602808611">
    <w:abstractNumId w:val="10"/>
  </w:num>
  <w:num w:numId="18" w16cid:durableId="2103060935">
    <w:abstractNumId w:val="5"/>
  </w:num>
  <w:num w:numId="19" w16cid:durableId="997806904">
    <w:abstractNumId w:val="2"/>
  </w:num>
  <w:num w:numId="20" w16cid:durableId="1273169218">
    <w:abstractNumId w:val="18"/>
  </w:num>
  <w:num w:numId="21" w16cid:durableId="1675112641">
    <w:abstractNumId w:val="16"/>
  </w:num>
  <w:num w:numId="22" w16cid:durableId="655298975">
    <w:abstractNumId w:val="17"/>
  </w:num>
  <w:num w:numId="23" w16cid:durableId="1038628350">
    <w:abstractNumId w:val="3"/>
  </w:num>
  <w:num w:numId="24" w16cid:durableId="359429142">
    <w:abstractNumId w:val="25"/>
  </w:num>
  <w:num w:numId="25" w16cid:durableId="1324357834">
    <w:abstractNumId w:val="19"/>
  </w:num>
  <w:num w:numId="26" w16cid:durableId="67006084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70C6"/>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0F70"/>
    <w:rsid w:val="000E3ED4"/>
    <w:rsid w:val="000E3F9C"/>
    <w:rsid w:val="000F1550"/>
    <w:rsid w:val="000F251B"/>
    <w:rsid w:val="000F5FE8"/>
    <w:rsid w:val="000F6644"/>
    <w:rsid w:val="00100833"/>
    <w:rsid w:val="00102F72"/>
    <w:rsid w:val="00107E85"/>
    <w:rsid w:val="00111B10"/>
    <w:rsid w:val="00113B40"/>
    <w:rsid w:val="00113EE8"/>
    <w:rsid w:val="0011455A"/>
    <w:rsid w:val="00114A65"/>
    <w:rsid w:val="00126EBF"/>
    <w:rsid w:val="00133061"/>
    <w:rsid w:val="00133A7B"/>
    <w:rsid w:val="00141699"/>
    <w:rsid w:val="00147000"/>
    <w:rsid w:val="00161408"/>
    <w:rsid w:val="00163091"/>
    <w:rsid w:val="001645CB"/>
    <w:rsid w:val="00166305"/>
    <w:rsid w:val="00167545"/>
    <w:rsid w:val="001703C6"/>
    <w:rsid w:val="00173781"/>
    <w:rsid w:val="00175ADF"/>
    <w:rsid w:val="00175CAE"/>
    <w:rsid w:val="001828DB"/>
    <w:rsid w:val="00184F35"/>
    <w:rsid w:val="001850FE"/>
    <w:rsid w:val="00185135"/>
    <w:rsid w:val="0019037C"/>
    <w:rsid w:val="001905A9"/>
    <w:rsid w:val="00191273"/>
    <w:rsid w:val="001942A7"/>
    <w:rsid w:val="0019587B"/>
    <w:rsid w:val="001A163D"/>
    <w:rsid w:val="001A441E"/>
    <w:rsid w:val="001A5926"/>
    <w:rsid w:val="001A6733"/>
    <w:rsid w:val="001B1471"/>
    <w:rsid w:val="001B357F"/>
    <w:rsid w:val="001B625C"/>
    <w:rsid w:val="001C3444"/>
    <w:rsid w:val="001C3702"/>
    <w:rsid w:val="001C4656"/>
    <w:rsid w:val="001C46BC"/>
    <w:rsid w:val="001D1E06"/>
    <w:rsid w:val="001F23E6"/>
    <w:rsid w:val="001F3C66"/>
    <w:rsid w:val="001F4238"/>
    <w:rsid w:val="00200A38"/>
    <w:rsid w:val="00200A46"/>
    <w:rsid w:val="00211B6F"/>
    <w:rsid w:val="00217CC3"/>
    <w:rsid w:val="00220AB6"/>
    <w:rsid w:val="0022120F"/>
    <w:rsid w:val="00224990"/>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008B"/>
    <w:rsid w:val="002D20AE"/>
    <w:rsid w:val="002D6C61"/>
    <w:rsid w:val="002E2104"/>
    <w:rsid w:val="002E2DAC"/>
    <w:rsid w:val="002E6963"/>
    <w:rsid w:val="002E6F8F"/>
    <w:rsid w:val="002F05D8"/>
    <w:rsid w:val="002F2DE0"/>
    <w:rsid w:val="002F3B9B"/>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57192"/>
    <w:rsid w:val="003604FB"/>
    <w:rsid w:val="00360B73"/>
    <w:rsid w:val="00380B71"/>
    <w:rsid w:val="0038365A"/>
    <w:rsid w:val="00386A89"/>
    <w:rsid w:val="0039515B"/>
    <w:rsid w:val="0039648E"/>
    <w:rsid w:val="003A5AFE"/>
    <w:rsid w:val="003A5D5F"/>
    <w:rsid w:val="003A7BE0"/>
    <w:rsid w:val="003A7FFE"/>
    <w:rsid w:val="003B0A63"/>
    <w:rsid w:val="003B3FD5"/>
    <w:rsid w:val="003B50E1"/>
    <w:rsid w:val="003B766B"/>
    <w:rsid w:val="003C0AC2"/>
    <w:rsid w:val="003C1746"/>
    <w:rsid w:val="003C2AA9"/>
    <w:rsid w:val="003C58BF"/>
    <w:rsid w:val="003C6C09"/>
    <w:rsid w:val="003D451D"/>
    <w:rsid w:val="003F2DD8"/>
    <w:rsid w:val="003F3F2D"/>
    <w:rsid w:val="003F50B2"/>
    <w:rsid w:val="00400CCF"/>
    <w:rsid w:val="00401BFF"/>
    <w:rsid w:val="00402161"/>
    <w:rsid w:val="00404424"/>
    <w:rsid w:val="0041156B"/>
    <w:rsid w:val="004122C5"/>
    <w:rsid w:val="00413B78"/>
    <w:rsid w:val="00416DDE"/>
    <w:rsid w:val="00430F75"/>
    <w:rsid w:val="0044411E"/>
    <w:rsid w:val="00453435"/>
    <w:rsid w:val="00460089"/>
    <w:rsid w:val="00462380"/>
    <w:rsid w:val="00466398"/>
    <w:rsid w:val="0047306D"/>
    <w:rsid w:val="00473791"/>
    <w:rsid w:val="00476E48"/>
    <w:rsid w:val="00481DE9"/>
    <w:rsid w:val="0049128B"/>
    <w:rsid w:val="00493B49"/>
    <w:rsid w:val="00494FDE"/>
    <w:rsid w:val="00495501"/>
    <w:rsid w:val="004A070A"/>
    <w:rsid w:val="004A2CC5"/>
    <w:rsid w:val="004A320E"/>
    <w:rsid w:val="004A4E9C"/>
    <w:rsid w:val="004B1A3C"/>
    <w:rsid w:val="004B3392"/>
    <w:rsid w:val="004D2CC3"/>
    <w:rsid w:val="004D35CB"/>
    <w:rsid w:val="004D7DAB"/>
    <w:rsid w:val="004E20E5"/>
    <w:rsid w:val="004E64EA"/>
    <w:rsid w:val="004E7828"/>
    <w:rsid w:val="004F05BF"/>
    <w:rsid w:val="004F46AA"/>
    <w:rsid w:val="004F6A70"/>
    <w:rsid w:val="00500AD7"/>
    <w:rsid w:val="00502ABF"/>
    <w:rsid w:val="00504DB0"/>
    <w:rsid w:val="00507C35"/>
    <w:rsid w:val="00510735"/>
    <w:rsid w:val="00514D2F"/>
    <w:rsid w:val="00531C0D"/>
    <w:rsid w:val="00543AC0"/>
    <w:rsid w:val="0054420E"/>
    <w:rsid w:val="00544D1B"/>
    <w:rsid w:val="00545DC0"/>
    <w:rsid w:val="00545F6C"/>
    <w:rsid w:val="005477D9"/>
    <w:rsid w:val="0055720C"/>
    <w:rsid w:val="00561796"/>
    <w:rsid w:val="005632DD"/>
    <w:rsid w:val="0056423B"/>
    <w:rsid w:val="00571EB7"/>
    <w:rsid w:val="00573424"/>
    <w:rsid w:val="0057402F"/>
    <w:rsid w:val="00574606"/>
    <w:rsid w:val="00581653"/>
    <w:rsid w:val="005849D6"/>
    <w:rsid w:val="00585367"/>
    <w:rsid w:val="005871A1"/>
    <w:rsid w:val="0058737E"/>
    <w:rsid w:val="00592518"/>
    <w:rsid w:val="00592E87"/>
    <w:rsid w:val="0059420B"/>
    <w:rsid w:val="00594C4D"/>
    <w:rsid w:val="005A11E4"/>
    <w:rsid w:val="005A33B0"/>
    <w:rsid w:val="005C2DC2"/>
    <w:rsid w:val="005C304A"/>
    <w:rsid w:val="005C3D69"/>
    <w:rsid w:val="005C7C98"/>
    <w:rsid w:val="005D2C3A"/>
    <w:rsid w:val="005D55A4"/>
    <w:rsid w:val="005D57C8"/>
    <w:rsid w:val="005D7761"/>
    <w:rsid w:val="005E0278"/>
    <w:rsid w:val="005E090D"/>
    <w:rsid w:val="005E1C3A"/>
    <w:rsid w:val="005E3CA0"/>
    <w:rsid w:val="005E44B1"/>
    <w:rsid w:val="005E67B0"/>
    <w:rsid w:val="005E7047"/>
    <w:rsid w:val="005E777F"/>
    <w:rsid w:val="005F1CA7"/>
    <w:rsid w:val="005F43DD"/>
    <w:rsid w:val="005F51A9"/>
    <w:rsid w:val="005F6BE1"/>
    <w:rsid w:val="005F7416"/>
    <w:rsid w:val="0060047B"/>
    <w:rsid w:val="00600C11"/>
    <w:rsid w:val="00606B89"/>
    <w:rsid w:val="00611EAF"/>
    <w:rsid w:val="00623F30"/>
    <w:rsid w:val="00625FB8"/>
    <w:rsid w:val="006261BD"/>
    <w:rsid w:val="00634FA8"/>
    <w:rsid w:val="00635EDB"/>
    <w:rsid w:val="00644171"/>
    <w:rsid w:val="0064734E"/>
    <w:rsid w:val="00650137"/>
    <w:rsid w:val="006509D7"/>
    <w:rsid w:val="00651CE8"/>
    <w:rsid w:val="0065521B"/>
    <w:rsid w:val="00671EF6"/>
    <w:rsid w:val="0067205B"/>
    <w:rsid w:val="006748F8"/>
    <w:rsid w:val="00680489"/>
    <w:rsid w:val="00683C32"/>
    <w:rsid w:val="00687575"/>
    <w:rsid w:val="00690BB2"/>
    <w:rsid w:val="00693D09"/>
    <w:rsid w:val="006A6549"/>
    <w:rsid w:val="006A7710"/>
    <w:rsid w:val="006A7A61"/>
    <w:rsid w:val="006B1E59"/>
    <w:rsid w:val="006B2FFB"/>
    <w:rsid w:val="006C06C3"/>
    <w:rsid w:val="006C10A2"/>
    <w:rsid w:val="006C1F18"/>
    <w:rsid w:val="006D40D5"/>
    <w:rsid w:val="006F009A"/>
    <w:rsid w:val="006F3D93"/>
    <w:rsid w:val="007019B1"/>
    <w:rsid w:val="0071035F"/>
    <w:rsid w:val="00721657"/>
    <w:rsid w:val="0072300E"/>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A5A68"/>
    <w:rsid w:val="007B18A7"/>
    <w:rsid w:val="007B250E"/>
    <w:rsid w:val="007C27FC"/>
    <w:rsid w:val="007C51FF"/>
    <w:rsid w:val="007D3D22"/>
    <w:rsid w:val="007D50E4"/>
    <w:rsid w:val="007D5F35"/>
    <w:rsid w:val="007E2DC5"/>
    <w:rsid w:val="007F1CC7"/>
    <w:rsid w:val="00802283"/>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53197"/>
    <w:rsid w:val="00872B6E"/>
    <w:rsid w:val="00874DFD"/>
    <w:rsid w:val="008802F9"/>
    <w:rsid w:val="00883086"/>
    <w:rsid w:val="008879FD"/>
    <w:rsid w:val="00894C37"/>
    <w:rsid w:val="008A00EA"/>
    <w:rsid w:val="008A3F93"/>
    <w:rsid w:val="008A6236"/>
    <w:rsid w:val="008A6E1C"/>
    <w:rsid w:val="008A72FD"/>
    <w:rsid w:val="008B039D"/>
    <w:rsid w:val="008B0528"/>
    <w:rsid w:val="008B2EDF"/>
    <w:rsid w:val="008B47C7"/>
    <w:rsid w:val="008B54CB"/>
    <w:rsid w:val="008B5A3D"/>
    <w:rsid w:val="008C4010"/>
    <w:rsid w:val="008C4FDF"/>
    <w:rsid w:val="008C5AD4"/>
    <w:rsid w:val="008C6B1F"/>
    <w:rsid w:val="008D5E4F"/>
    <w:rsid w:val="008E0752"/>
    <w:rsid w:val="008E154E"/>
    <w:rsid w:val="008E165B"/>
    <w:rsid w:val="008E34F0"/>
    <w:rsid w:val="008F14F5"/>
    <w:rsid w:val="008F272F"/>
    <w:rsid w:val="008F6188"/>
    <w:rsid w:val="008F71C1"/>
    <w:rsid w:val="00902D41"/>
    <w:rsid w:val="00902F49"/>
    <w:rsid w:val="00904230"/>
    <w:rsid w:val="00914004"/>
    <w:rsid w:val="009162C1"/>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281B"/>
    <w:rsid w:val="00983E1F"/>
    <w:rsid w:val="00993F46"/>
    <w:rsid w:val="00995D1E"/>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521A"/>
    <w:rsid w:val="00A3158C"/>
    <w:rsid w:val="00A32DF3"/>
    <w:rsid w:val="00A33E32"/>
    <w:rsid w:val="00A35E20"/>
    <w:rsid w:val="00A36F6D"/>
    <w:rsid w:val="00A40D49"/>
    <w:rsid w:val="00A50CA0"/>
    <w:rsid w:val="00A525CC"/>
    <w:rsid w:val="00A53E7C"/>
    <w:rsid w:val="00A60087"/>
    <w:rsid w:val="00A705E8"/>
    <w:rsid w:val="00A721F4"/>
    <w:rsid w:val="00A9392C"/>
    <w:rsid w:val="00A9462B"/>
    <w:rsid w:val="00A97D59"/>
    <w:rsid w:val="00AA3E09"/>
    <w:rsid w:val="00AA4BEF"/>
    <w:rsid w:val="00AB04BE"/>
    <w:rsid w:val="00AB1659"/>
    <w:rsid w:val="00AB4962"/>
    <w:rsid w:val="00AB734E"/>
    <w:rsid w:val="00AB740F"/>
    <w:rsid w:val="00AC6F14"/>
    <w:rsid w:val="00AC7221"/>
    <w:rsid w:val="00AD4677"/>
    <w:rsid w:val="00AE242A"/>
    <w:rsid w:val="00AE5961"/>
    <w:rsid w:val="00AF0745"/>
    <w:rsid w:val="00AF4971"/>
    <w:rsid w:val="00AF5276"/>
    <w:rsid w:val="00AF7C86"/>
    <w:rsid w:val="00B01046"/>
    <w:rsid w:val="00B17E5B"/>
    <w:rsid w:val="00B310F9"/>
    <w:rsid w:val="00B37866"/>
    <w:rsid w:val="00B412FB"/>
    <w:rsid w:val="00B42366"/>
    <w:rsid w:val="00B4576B"/>
    <w:rsid w:val="00B46350"/>
    <w:rsid w:val="00B46DF3"/>
    <w:rsid w:val="00B51568"/>
    <w:rsid w:val="00B6045A"/>
    <w:rsid w:val="00B648C7"/>
    <w:rsid w:val="00B66E8F"/>
    <w:rsid w:val="00B80157"/>
    <w:rsid w:val="00B82FB3"/>
    <w:rsid w:val="00B83D5E"/>
    <w:rsid w:val="00B8460A"/>
    <w:rsid w:val="00B84B77"/>
    <w:rsid w:val="00B8650D"/>
    <w:rsid w:val="00B879B4"/>
    <w:rsid w:val="00B90777"/>
    <w:rsid w:val="00B90F07"/>
    <w:rsid w:val="00B9710C"/>
    <w:rsid w:val="00B97BB9"/>
    <w:rsid w:val="00BA0009"/>
    <w:rsid w:val="00BB02B5"/>
    <w:rsid w:val="00BB1863"/>
    <w:rsid w:val="00BB25EE"/>
    <w:rsid w:val="00BB363A"/>
    <w:rsid w:val="00BC10A0"/>
    <w:rsid w:val="00BC4A15"/>
    <w:rsid w:val="00BC7BA2"/>
    <w:rsid w:val="00BD426B"/>
    <w:rsid w:val="00BD79F0"/>
    <w:rsid w:val="00BE0F03"/>
    <w:rsid w:val="00BE2B4D"/>
    <w:rsid w:val="00BE604A"/>
    <w:rsid w:val="00BF6C06"/>
    <w:rsid w:val="00C009F8"/>
    <w:rsid w:val="00C015F8"/>
    <w:rsid w:val="00C02C2A"/>
    <w:rsid w:val="00C07E26"/>
    <w:rsid w:val="00C1011C"/>
    <w:rsid w:val="00C12209"/>
    <w:rsid w:val="00C12F94"/>
    <w:rsid w:val="00C14AF1"/>
    <w:rsid w:val="00C177C5"/>
    <w:rsid w:val="00C1796F"/>
    <w:rsid w:val="00C34EC3"/>
    <w:rsid w:val="00C4038C"/>
    <w:rsid w:val="00C42BA2"/>
    <w:rsid w:val="00C44066"/>
    <w:rsid w:val="00C44E13"/>
    <w:rsid w:val="00C60A41"/>
    <w:rsid w:val="00C62DE8"/>
    <w:rsid w:val="00C62DFB"/>
    <w:rsid w:val="00C630E6"/>
    <w:rsid w:val="00C63812"/>
    <w:rsid w:val="00C64AF3"/>
    <w:rsid w:val="00C66F4D"/>
    <w:rsid w:val="00C67BB5"/>
    <w:rsid w:val="00C709A5"/>
    <w:rsid w:val="00C72713"/>
    <w:rsid w:val="00C8048B"/>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4153"/>
    <w:rsid w:val="00D1519F"/>
    <w:rsid w:val="00D176D1"/>
    <w:rsid w:val="00D20E99"/>
    <w:rsid w:val="00D21C83"/>
    <w:rsid w:val="00D227F4"/>
    <w:rsid w:val="00D34690"/>
    <w:rsid w:val="00D35BDD"/>
    <w:rsid w:val="00D40DD9"/>
    <w:rsid w:val="00D57BEC"/>
    <w:rsid w:val="00D63006"/>
    <w:rsid w:val="00D666F3"/>
    <w:rsid w:val="00D7163C"/>
    <w:rsid w:val="00D72301"/>
    <w:rsid w:val="00D8041C"/>
    <w:rsid w:val="00D911DE"/>
    <w:rsid w:val="00D91B97"/>
    <w:rsid w:val="00D93ACC"/>
    <w:rsid w:val="00D93C08"/>
    <w:rsid w:val="00D95DAC"/>
    <w:rsid w:val="00D9652B"/>
    <w:rsid w:val="00DA0B53"/>
    <w:rsid w:val="00DB1171"/>
    <w:rsid w:val="00DB1519"/>
    <w:rsid w:val="00DB2840"/>
    <w:rsid w:val="00DC1BD3"/>
    <w:rsid w:val="00DC2C1A"/>
    <w:rsid w:val="00DD66B4"/>
    <w:rsid w:val="00DE1972"/>
    <w:rsid w:val="00DE2320"/>
    <w:rsid w:val="00DE27AB"/>
    <w:rsid w:val="00DF2AB3"/>
    <w:rsid w:val="00DF7250"/>
    <w:rsid w:val="00E00CAA"/>
    <w:rsid w:val="00E03EBF"/>
    <w:rsid w:val="00E05209"/>
    <w:rsid w:val="00E05AC1"/>
    <w:rsid w:val="00E11BCF"/>
    <w:rsid w:val="00E21002"/>
    <w:rsid w:val="00E2258E"/>
    <w:rsid w:val="00E260C2"/>
    <w:rsid w:val="00E32596"/>
    <w:rsid w:val="00E368F7"/>
    <w:rsid w:val="00E36EB8"/>
    <w:rsid w:val="00E37FB8"/>
    <w:rsid w:val="00E40B07"/>
    <w:rsid w:val="00E42326"/>
    <w:rsid w:val="00E43544"/>
    <w:rsid w:val="00E44D89"/>
    <w:rsid w:val="00E477EA"/>
    <w:rsid w:val="00E55807"/>
    <w:rsid w:val="00E638C1"/>
    <w:rsid w:val="00E63B14"/>
    <w:rsid w:val="00E65CA0"/>
    <w:rsid w:val="00E70D9F"/>
    <w:rsid w:val="00E827D6"/>
    <w:rsid w:val="00E83810"/>
    <w:rsid w:val="00E86933"/>
    <w:rsid w:val="00E95799"/>
    <w:rsid w:val="00E9605B"/>
    <w:rsid w:val="00E97298"/>
    <w:rsid w:val="00E97753"/>
    <w:rsid w:val="00EA0C51"/>
    <w:rsid w:val="00EA18A0"/>
    <w:rsid w:val="00EA7DE7"/>
    <w:rsid w:val="00EB0D34"/>
    <w:rsid w:val="00EB3B77"/>
    <w:rsid w:val="00EB7A8A"/>
    <w:rsid w:val="00EC6FED"/>
    <w:rsid w:val="00EC7F3B"/>
    <w:rsid w:val="00ED5299"/>
    <w:rsid w:val="00EE0E51"/>
    <w:rsid w:val="00EE3A64"/>
    <w:rsid w:val="00EE50E5"/>
    <w:rsid w:val="00EF01CF"/>
    <w:rsid w:val="00EF0E26"/>
    <w:rsid w:val="00F03590"/>
    <w:rsid w:val="00F03622"/>
    <w:rsid w:val="00F077FD"/>
    <w:rsid w:val="00F204F3"/>
    <w:rsid w:val="00F218AB"/>
    <w:rsid w:val="00F238B3"/>
    <w:rsid w:val="00F23CD7"/>
    <w:rsid w:val="00F24FED"/>
    <w:rsid w:val="00F25586"/>
    <w:rsid w:val="00F2651D"/>
    <w:rsid w:val="00F27362"/>
    <w:rsid w:val="00F31498"/>
    <w:rsid w:val="00F32FEF"/>
    <w:rsid w:val="00F33FC8"/>
    <w:rsid w:val="00F34B21"/>
    <w:rsid w:val="00F41B1C"/>
    <w:rsid w:val="00F42E13"/>
    <w:rsid w:val="00F42F1C"/>
    <w:rsid w:val="00F43B44"/>
    <w:rsid w:val="00F440E5"/>
    <w:rsid w:val="00F448F6"/>
    <w:rsid w:val="00F52741"/>
    <w:rsid w:val="00F53C33"/>
    <w:rsid w:val="00F53D8A"/>
    <w:rsid w:val="00F626F7"/>
    <w:rsid w:val="00F736F9"/>
    <w:rsid w:val="00F73833"/>
    <w:rsid w:val="00F85857"/>
    <w:rsid w:val="00F877AF"/>
    <w:rsid w:val="00F9211C"/>
    <w:rsid w:val="00FA095D"/>
    <w:rsid w:val="00FA6C8B"/>
    <w:rsid w:val="00FA6CDA"/>
    <w:rsid w:val="00FA7C89"/>
    <w:rsid w:val="00FB2183"/>
    <w:rsid w:val="00FB4139"/>
    <w:rsid w:val="00FB476E"/>
    <w:rsid w:val="00FC0D90"/>
    <w:rsid w:val="00FC2BC8"/>
    <w:rsid w:val="00FC7D8C"/>
    <w:rsid w:val="00FD3980"/>
    <w:rsid w:val="00FD431E"/>
    <w:rsid w:val="00FD5A2C"/>
    <w:rsid w:val="00FE0D47"/>
    <w:rsid w:val="00FE1D5C"/>
    <w:rsid w:val="00FE2F8B"/>
    <w:rsid w:val="00FE3669"/>
    <w:rsid w:val="00FE5204"/>
    <w:rsid w:val="00FF287F"/>
    <w:rsid w:val="00FF541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FR,Footnote,Footnote Reference/,Footnote symbol,Italic,Ref,Style 12,Style 124,Style 13,Style 17,Style 3,de nota al pie,fr,o"/>
    <w:basedOn w:val="DefaultParagraphFont"/>
    <w:uiPriority w:val="99"/>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 Char1 Char1 Char,Footnote Text Char1 Char1 Char1 Char Char Char1,Footnote Text Char4 Char Char"/>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table" w:customStyle="1" w:styleId="TableGrid1">
    <w:name w:val="Table Grid1"/>
    <w:basedOn w:val="TableNormal"/>
    <w:next w:val="TableGrid"/>
    <w:uiPriority w:val="39"/>
    <w:rsid w:val="00F33FC8"/>
    <w:rPr>
      <w:rFonts w:eastAsia="SimSu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2-Accent1">
    <w:name w:val="Grid Table 2 Accent 1"/>
    <w:basedOn w:val="TableNormal"/>
    <w:uiPriority w:val="47"/>
    <w:rsid w:val="00F33FC8"/>
    <w:rPr>
      <w:rFonts w:eastAsia="SimSu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1">
    <w:name w:val="Table Grid11"/>
    <w:basedOn w:val="TableNormal"/>
    <w:next w:val="TableGrid"/>
    <w:uiPriority w:val="39"/>
    <w:rsid w:val="00F33FC8"/>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F33FC8"/>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F33FC8"/>
    <w:rPr>
      <w:rFonts w:ascii="Calibri" w:hAnsi="Calibri"/>
      <w:position w:val="6"/>
      <w:sz w:val="18"/>
    </w:rPr>
  </w:style>
  <w:style w:type="table" w:customStyle="1" w:styleId="GridTable4-Accent11">
    <w:name w:val="Grid Table 4 - Accent 11"/>
    <w:basedOn w:val="TableNormal"/>
    <w:uiPriority w:val="49"/>
    <w:rsid w:val="00F33FC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F33FC8"/>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33FC8"/>
    <w:rPr>
      <w:rFonts w:asciiTheme="minorHAnsi" w:eastAsia="SimSun" w:hAnsiTheme="minorHAnsi"/>
      <w:sz w:val="24"/>
      <w:lang w:val="en-GB" w:eastAsia="en-US"/>
    </w:rPr>
  </w:style>
  <w:style w:type="table" w:styleId="GridTable4-Accent1">
    <w:name w:val="Grid Table 4 Accent 1"/>
    <w:basedOn w:val="TableNormal"/>
    <w:uiPriority w:val="49"/>
    <w:rsid w:val="00F33FC8"/>
    <w:rPr>
      <w:rFonts w:eastAsia="SimSu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F33FC8"/>
    <w:rPr>
      <w:rFonts w:eastAsia="SimSu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F33FC8"/>
    <w:pPr>
      <w:tabs>
        <w:tab w:val="clear" w:pos="794"/>
        <w:tab w:val="clear" w:pos="1191"/>
        <w:tab w:val="clear" w:pos="1588"/>
        <w:tab w:val="clear" w:pos="1985"/>
        <w:tab w:val="decimal" w:pos="360"/>
      </w:tabs>
      <w:overflowPunct/>
      <w:autoSpaceDE/>
      <w:autoSpaceDN/>
      <w:adjustRightInd/>
      <w:spacing w:before="0" w:after="200" w:line="276" w:lineRule="auto"/>
      <w:jc w:val="both"/>
      <w:textAlignment w:val="auto"/>
    </w:pPr>
    <w:rPr>
      <w:rFonts w:eastAsiaTheme="minorEastAsia"/>
      <w:sz w:val="22"/>
      <w:szCs w:val="22"/>
    </w:rPr>
  </w:style>
  <w:style w:type="character" w:customStyle="1" w:styleId="FootnoteTextChar">
    <w:name w:val="Footnote Text Char"/>
    <w:aliases w:val="ACMA Footnote Text Char,ALTS FOOTNOTE Char,DNV- Char,Footnote Text Char Char1 Char,Footnote Text Char Char1 Char1 Char Char Char,Footnote Text Char1 Char1 Char1 Char Char,Footnote Text Char1 Char1 Char1 Char Char Char1 Char"/>
    <w:basedOn w:val="DefaultParagraphFont"/>
    <w:link w:val="FootnoteText"/>
    <w:uiPriority w:val="99"/>
    <w:rsid w:val="00F33FC8"/>
    <w:rPr>
      <w:rFonts w:asciiTheme="minorHAnsi" w:hAnsiTheme="minorHAnsi"/>
      <w:sz w:val="24"/>
      <w:lang w:val="en-GB" w:eastAsia="en-US"/>
    </w:rPr>
  </w:style>
  <w:style w:type="character" w:styleId="SubtleEmphasis">
    <w:name w:val="Subtle Emphasis"/>
    <w:basedOn w:val="DefaultParagraphFont"/>
    <w:uiPriority w:val="19"/>
    <w:qFormat/>
    <w:rsid w:val="00F33FC8"/>
    <w:rPr>
      <w:i/>
      <w:iCs/>
    </w:rPr>
  </w:style>
  <w:style w:type="table" w:styleId="MediumShading2-Accent5">
    <w:name w:val="Medium Shading 2 Accent 5"/>
    <w:basedOn w:val="TableNormal"/>
    <w:uiPriority w:val="64"/>
    <w:rsid w:val="00F33FC8"/>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F33FC8"/>
    <w:pPr>
      <w:jc w:val="both"/>
    </w:pPr>
    <w:rPr>
      <w:rFonts w:ascii="Times New Roman" w:eastAsia="SimSun" w:hAnsi="Times New Roman"/>
      <w:szCs w:val="24"/>
    </w:rPr>
  </w:style>
  <w:style w:type="character" w:customStyle="1" w:styleId="normaltextrun">
    <w:name w:val="normaltextrun"/>
    <w:basedOn w:val="DefaultParagraphFont"/>
    <w:rsid w:val="00F33FC8"/>
  </w:style>
  <w:style w:type="character" w:styleId="CommentReference">
    <w:name w:val="annotation reference"/>
    <w:basedOn w:val="DefaultParagraphFont"/>
    <w:semiHidden/>
    <w:unhideWhenUsed/>
    <w:rsid w:val="00F33FC8"/>
    <w:rPr>
      <w:sz w:val="16"/>
      <w:szCs w:val="16"/>
    </w:rPr>
  </w:style>
  <w:style w:type="paragraph" w:styleId="CommentText">
    <w:name w:val="annotation text"/>
    <w:basedOn w:val="Normal"/>
    <w:link w:val="CommentTextChar"/>
    <w:unhideWhenUsed/>
    <w:rsid w:val="00F33FC8"/>
    <w:pPr>
      <w:jc w:val="both"/>
    </w:pPr>
    <w:rPr>
      <w:rFonts w:eastAsia="SimSun"/>
      <w:sz w:val="20"/>
    </w:rPr>
  </w:style>
  <w:style w:type="character" w:customStyle="1" w:styleId="CommentTextChar">
    <w:name w:val="Comment Text Char"/>
    <w:basedOn w:val="DefaultParagraphFont"/>
    <w:link w:val="CommentText"/>
    <w:rsid w:val="00F33FC8"/>
    <w:rPr>
      <w:rFonts w:asciiTheme="minorHAnsi" w:eastAsia="SimSun" w:hAnsiTheme="minorHAnsi"/>
      <w:lang w:val="en-GB" w:eastAsia="en-US"/>
    </w:rPr>
  </w:style>
  <w:style w:type="paragraph" w:styleId="CommentSubject">
    <w:name w:val="annotation subject"/>
    <w:basedOn w:val="CommentText"/>
    <w:next w:val="CommentText"/>
    <w:link w:val="CommentSubjectChar"/>
    <w:semiHidden/>
    <w:unhideWhenUsed/>
    <w:rsid w:val="00F33FC8"/>
    <w:rPr>
      <w:b/>
      <w:bCs/>
    </w:rPr>
  </w:style>
  <w:style w:type="character" w:customStyle="1" w:styleId="CommentSubjectChar">
    <w:name w:val="Comment Subject Char"/>
    <w:basedOn w:val="CommentTextChar"/>
    <w:link w:val="CommentSubject"/>
    <w:semiHidden/>
    <w:rsid w:val="00F33FC8"/>
    <w:rPr>
      <w:rFonts w:asciiTheme="minorHAnsi" w:eastAsia="SimSun" w:hAnsiTheme="minorHAnsi"/>
      <w:b/>
      <w:bCs/>
      <w:lang w:val="en-GB" w:eastAsia="en-US"/>
    </w:rPr>
  </w:style>
  <w:style w:type="paragraph" w:customStyle="1" w:styleId="Pa13">
    <w:name w:val="Pa13"/>
    <w:basedOn w:val="Normal"/>
    <w:next w:val="Normal"/>
    <w:uiPriority w:val="99"/>
    <w:rsid w:val="00F33FC8"/>
    <w:pPr>
      <w:tabs>
        <w:tab w:val="clear" w:pos="794"/>
        <w:tab w:val="clear" w:pos="1191"/>
        <w:tab w:val="clear" w:pos="1588"/>
        <w:tab w:val="clear" w:pos="1985"/>
      </w:tabs>
      <w:overflowPunct/>
      <w:spacing w:before="0" w:line="201" w:lineRule="atLeast"/>
      <w:textAlignment w:val="auto"/>
    </w:pPr>
    <w:rPr>
      <w:rFonts w:ascii="Calibri Light" w:eastAsia="SimSun" w:hAnsi="Calibri Light" w:cs="Calibri Light"/>
      <w:szCs w:val="24"/>
      <w:lang w:eastAsia="zh-CN"/>
    </w:rPr>
  </w:style>
  <w:style w:type="character" w:customStyle="1" w:styleId="eop">
    <w:name w:val="eop"/>
    <w:basedOn w:val="DefaultParagraphFont"/>
    <w:rsid w:val="00F33FC8"/>
  </w:style>
  <w:style w:type="paragraph" w:customStyle="1" w:styleId="paragraph">
    <w:name w:val="paragraph"/>
    <w:basedOn w:val="Normal"/>
    <w:rsid w:val="00F33FC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szCs w:val="24"/>
      <w:lang w:eastAsia="en-GB"/>
    </w:rPr>
  </w:style>
  <w:style w:type="character" w:customStyle="1" w:styleId="ui-provider">
    <w:name w:val="ui-provider"/>
    <w:basedOn w:val="DefaultParagraphFont"/>
    <w:rsid w:val="00F33FC8"/>
  </w:style>
  <w:style w:type="character" w:styleId="Mention">
    <w:name w:val="Mention"/>
    <w:basedOn w:val="DefaultParagraphFont"/>
    <w:uiPriority w:val="99"/>
    <w:unhideWhenUsed/>
    <w:rsid w:val="00F33FC8"/>
    <w:rPr>
      <w:color w:val="2B579A"/>
      <w:shd w:val="clear" w:color="auto" w:fill="E1DFDD"/>
    </w:rPr>
  </w:style>
  <w:style w:type="paragraph" w:styleId="BalloonText">
    <w:name w:val="Balloon Text"/>
    <w:basedOn w:val="Normal"/>
    <w:link w:val="BalloonTextChar"/>
    <w:semiHidden/>
    <w:unhideWhenUsed/>
    <w:rsid w:val="00F33FC8"/>
    <w:pPr>
      <w:spacing w:before="0"/>
      <w:jc w:val="both"/>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F33FC8"/>
    <w:rPr>
      <w:rFonts w:ascii="Segoe UI" w:eastAsia="SimSun"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F33FC8"/>
    <w:rPr>
      <w:rFonts w:asciiTheme="minorHAnsi" w:hAnsiTheme="minorHAnsi"/>
      <w:sz w:val="24"/>
      <w:lang w:val="en-GB" w:eastAsia="en-US"/>
    </w:rPr>
  </w:style>
  <w:style w:type="character" w:customStyle="1" w:styleId="Title1Char">
    <w:name w:val="Title 1 Char"/>
    <w:link w:val="Title1"/>
    <w:qFormat/>
    <w:locked/>
    <w:rsid w:val="00F33FC8"/>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F33FC8"/>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3FC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33FC8"/>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33FC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33FC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33FC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33FC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33FC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33FC8"/>
    <w:rPr>
      <w:rFonts w:asciiTheme="minorHAnsi" w:hAnsiTheme="minorHAnsi"/>
      <w:b/>
      <w:sz w:val="24"/>
      <w:lang w:val="en-GB" w:eastAsia="en-US"/>
    </w:rPr>
  </w:style>
  <w:style w:type="table" w:customStyle="1" w:styleId="TableGrid10">
    <w:name w:val="Table Grid10"/>
    <w:basedOn w:val="TableNormal"/>
    <w:next w:val="TableGrid"/>
    <w:uiPriority w:val="39"/>
    <w:rsid w:val="00F33FC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33FC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3FC8"/>
    <w:rPr>
      <w:b/>
      <w:bCs/>
    </w:rPr>
  </w:style>
  <w:style w:type="paragraph" w:customStyle="1" w:styleId="pf0">
    <w:name w:val="pf0"/>
    <w:basedOn w:val="Normal"/>
    <w:rsid w:val="00F33FC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F33FC8"/>
  </w:style>
  <w:style w:type="character" w:customStyle="1" w:styleId="xnormaltextrun">
    <w:name w:val="x_normaltextrun"/>
    <w:basedOn w:val="DefaultParagraphFont"/>
    <w:rsid w:val="00F33FC8"/>
  </w:style>
  <w:style w:type="character" w:customStyle="1" w:styleId="xfindhit">
    <w:name w:val="x_findhit"/>
    <w:basedOn w:val="DefaultParagraphFont"/>
    <w:rsid w:val="00F33FC8"/>
  </w:style>
  <w:style w:type="character" w:customStyle="1" w:styleId="xeop">
    <w:name w:val="x_eop"/>
    <w:basedOn w:val="DefaultParagraphFont"/>
    <w:rsid w:val="00F33FC8"/>
  </w:style>
  <w:style w:type="paragraph" w:customStyle="1" w:styleId="CEONormal">
    <w:name w:val="CEO_Normal"/>
    <w:link w:val="CEONormalChar"/>
    <w:rsid w:val="00224990"/>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224990"/>
    <w:rPr>
      <w:rFonts w:ascii="Verdana" w:eastAsia="SimHei" w:hAnsi="Verdana" w:cs="Simplified Arabic"/>
      <w:sz w:val="19"/>
      <w:szCs w:val="28"/>
      <w:lang w:val="en-GB" w:eastAsia="en-US"/>
    </w:rPr>
  </w:style>
  <w:style w:type="numbering" w:customStyle="1" w:styleId="ImportedStyle3">
    <w:name w:val="Imported Style 3"/>
    <w:rsid w:val="00224990"/>
    <w:pPr>
      <w:numPr>
        <w:numId w:val="19"/>
      </w:numPr>
    </w:pPr>
  </w:style>
  <w:style w:type="character" w:styleId="PlaceholderText">
    <w:name w:val="Placeholder Text"/>
    <w:basedOn w:val="DefaultParagraphFont"/>
    <w:uiPriority w:val="99"/>
    <w:semiHidden/>
    <w:rsid w:val="00224990"/>
    <w:rPr>
      <w:color w:val="808080"/>
    </w:rPr>
  </w:style>
  <w:style w:type="paragraph" w:customStyle="1" w:styleId="Figure">
    <w:name w:val="Figure"/>
    <w:basedOn w:val="Normal"/>
    <w:rsid w:val="00224990"/>
    <w:pPr>
      <w:jc w:val="center"/>
    </w:pPr>
    <w:rPr>
      <w:b/>
      <w:bCs/>
      <w:lang w:val="es-ES"/>
    </w:rPr>
  </w:style>
  <w:style w:type="paragraph" w:customStyle="1" w:styleId="FigureNotitle">
    <w:name w:val="Figure_No &amp; title"/>
    <w:basedOn w:val="Normal"/>
    <w:next w:val="Normal"/>
    <w:rsid w:val="00224990"/>
    <w:pPr>
      <w:keepNext/>
      <w:keepLines/>
      <w:spacing w:before="240" w:after="120"/>
      <w:jc w:val="center"/>
    </w:pPr>
    <w:rPr>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ovstack.gitbook.io/specification/" TargetMode="External"/><Relationship Id="rId117" Type="http://schemas.openxmlformats.org/officeDocument/2006/relationships/fontTable" Target="fontTable.xml"/><Relationship Id="rId21" Type="http://schemas.openxmlformats.org/officeDocument/2006/relationships/hyperlink" Target="https://academy.itu.int/training-courses/full-catalogue/introduction-broadband-mapping" TargetMode="External"/><Relationship Id="rId42" Type="http://schemas.openxmlformats.org/officeDocument/2006/relationships/hyperlink" Target="https://www.itu.int/en/ITU-D/Regulatory-Market/Pages/collaborative-regulation-country-reviews/default.aspx" TargetMode="External"/><Relationship Id="rId47" Type="http://schemas.openxmlformats.org/officeDocument/2006/relationships/hyperlink" Target="https://www.itu.int/itu-d/sites/statistics/" TargetMode="External"/><Relationship Id="rId63" Type="http://schemas.openxmlformats.org/officeDocument/2006/relationships/hyperlink" Target="https://www.itu.int/en/ITU-D/Cybersecurity/Pages/global-cybersecurity-index.aspx" TargetMode="External"/><Relationship Id="rId68" Type="http://schemas.openxmlformats.org/officeDocument/2006/relationships/hyperlink" Target="https://www.itu.int/es/ITU-D/Study-Groups/2022-2025/Pages/reference/Management.aspx" TargetMode="External"/><Relationship Id="rId84" Type="http://schemas.openxmlformats.org/officeDocument/2006/relationships/hyperlink" Target="https://www.itu.int/es/ITU-D/Regional-Presence/CIS/Pages/EVENTS/2024/RDF.aspx" TargetMode="External"/><Relationship Id="rId89" Type="http://schemas.openxmlformats.org/officeDocument/2006/relationships/hyperlink" Target="https://regionalforum.unece.org/events/regional-forum-2024" TargetMode="External"/><Relationship Id="rId112" Type="http://schemas.openxmlformats.org/officeDocument/2006/relationships/hyperlink" Target="https://africarisevent.eu/transform" TargetMode="External"/><Relationship Id="rId16" Type="http://schemas.openxmlformats.org/officeDocument/2006/relationships/hyperlink" Target="https://www.itu.int/en/ITU-D/Emergency-Telecommunications/Pages/Common-Alerting-Protocol-and-Call-to-Action.aspx" TargetMode="External"/><Relationship Id="rId107" Type="http://schemas.openxmlformats.org/officeDocument/2006/relationships/hyperlink" Target="https://ewastemonitor.info/the-national-e-waste-monitor-kazakhstan/" TargetMode="External"/><Relationship Id="rId11" Type="http://schemas.openxmlformats.org/officeDocument/2006/relationships/hyperlink" Target="https://www.itu.int/en/publications/ITU-D/Pages/publications.aspx?parent=D-TDC-WTDC-2022&amp;media=electronic" TargetMode="External"/><Relationship Id="rId32" Type="http://schemas.openxmlformats.org/officeDocument/2006/relationships/hyperlink" Target="https://www.itu.int/en/ITU-D/Regional-Presence/CIS/Pages/EVENTS/2024/GovStack.aspx" TargetMode="External"/><Relationship Id="rId37" Type="http://schemas.openxmlformats.org/officeDocument/2006/relationships/hyperlink" Target="https://academy.itu.int/itu-d/projects-activities/itu-academy-training-centres/events/atc-annual-meeting-2023" TargetMode="External"/><Relationship Id="rId53" Type="http://schemas.openxmlformats.org/officeDocument/2006/relationships/hyperlink" Target="https://www.itu.int/itu-d/reports/statistics/IDI2023/" TargetMode="External"/><Relationship Id="rId58" Type="http://schemas.openxmlformats.org/officeDocument/2006/relationships/hyperlink" Target="https://academy.itu.int/training-courses/full-catalogue/measuring-digital-development-ict-access-and-use-households-and-individuals-2" TargetMode="External"/><Relationship Id="rId74" Type="http://schemas.openxmlformats.org/officeDocument/2006/relationships/hyperlink" Target="https://www.itu.int/hub/publication/d-stg-sg02-03-2-2023/" TargetMode="External"/><Relationship Id="rId79" Type="http://schemas.openxmlformats.org/officeDocument/2006/relationships/hyperlink" Target="https://pacific.un.org/sites/default/files/2023-06/9669_UNSDF_pacific_A4_01.05.23_WEB_version_LR_3.pdf" TargetMode="External"/><Relationship Id="rId102" Type="http://schemas.openxmlformats.org/officeDocument/2006/relationships/hyperlink" Target="https://www.itu.int/en/ITU-D/Environment/Pages/Spotlight/WEEE-Policy-in-Botswana.aspx" TargetMode="External"/><Relationship Id="rId5" Type="http://schemas.openxmlformats.org/officeDocument/2006/relationships/styles" Target="styles.xml"/><Relationship Id="rId90" Type="http://schemas.openxmlformats.org/officeDocument/2006/relationships/hyperlink" Target="https://www.itu.int/en/ITU-D/Regional-Presence/Africa/Documents/2023/RDF/meeting-report/RDF-AFR-2023-Report.pdf" TargetMode="External"/><Relationship Id="rId95" Type="http://schemas.openxmlformats.org/officeDocument/2006/relationships/hyperlink" Target="https://www.itu.int/en/ITU-D/Regional-Presence/Europe/Documents/Events/2023/0522-23%20-%20RDF/reports/EUR-RDF-2023-Outcome-report.pdf" TargetMode="External"/><Relationship Id="rId22" Type="http://schemas.openxmlformats.org/officeDocument/2006/relationships/hyperlink" Target="https://www.itu.int/hub/publication/d-pref-ef-ict_struct_kit-2023/" TargetMode="External"/><Relationship Id="rId27" Type="http://schemas.openxmlformats.org/officeDocument/2006/relationships/hyperlink" Target="https://govstack.gitbook.io/sandbox/" TargetMode="External"/><Relationship Id="rId43" Type="http://schemas.openxmlformats.org/officeDocument/2006/relationships/hyperlink" Target="https://www.itu.int/hub/publication/d-pref-asean-01-2023/" TargetMode="External"/><Relationship Id="rId48" Type="http://schemas.openxmlformats.org/officeDocument/2006/relationships/hyperlink" Target="https://www.itu.int/itu-d/reports/statistics/facts-figures-2023/" TargetMode="External"/><Relationship Id="rId64" Type="http://schemas.openxmlformats.org/officeDocument/2006/relationships/hyperlink" Target="https://www.itu.int/en/ITU-D/Cybersecurity/Pages/Cyber4Good/Cyber4Good.aspx" TargetMode="External"/><Relationship Id="rId69" Type="http://schemas.openxmlformats.org/officeDocument/2006/relationships/hyperlink" Target="https://www.itu.int/net4/ITU-D/CDS/sg/blkmeetings.asp?lg=1&amp;stg=&amp;sp=2022&amp;blk=28776" TargetMode="External"/><Relationship Id="rId113" Type="http://schemas.openxmlformats.org/officeDocument/2006/relationships/hyperlink" Target="https://www.itu.int/en/ITU-D/Environment/Pages/Toolbox/Green-data-center-guide.aspx" TargetMode="External"/><Relationship Id="rId118" Type="http://schemas.openxmlformats.org/officeDocument/2006/relationships/theme" Target="theme/theme1.xml"/><Relationship Id="rId80" Type="http://schemas.openxmlformats.org/officeDocument/2006/relationships/hyperlink" Target="https://thailand.un.org/en/166885-united-nations-sustainable-development-cooperation-framework-unsdcf-2022%E2%80%932026" TargetMode="External"/><Relationship Id="rId85" Type="http://schemas.openxmlformats.org/officeDocument/2006/relationships/hyperlink" Target="https://www.itu.int/es/ITU-D/Conferences/WTDC/WTDC21/Pages/default.aspx" TargetMode="External"/><Relationship Id="rId12" Type="http://schemas.openxmlformats.org/officeDocument/2006/relationships/image" Target="media/image2.png"/><Relationship Id="rId17" Type="http://schemas.openxmlformats.org/officeDocument/2006/relationships/hyperlink" Target="https://events.pita.org.fj/PITAStrategyForum2023" TargetMode="External"/><Relationship Id="rId33" Type="http://schemas.openxmlformats.org/officeDocument/2006/relationships/hyperlink" Target="https://www.itu.int/en/ITU-D/Regional-Presence/Europe/Documents/Publications/2024/ITU%20FAO%20compendium/final_Meeting%20the%20EU%27s%20digital%20agriculture%20requirements_An%20ITU-FAO%20compendium%20to%20pre-accession%20countries%20and%20territories_2024031.pdf" TargetMode="External"/><Relationship Id="rId38" Type="http://schemas.openxmlformats.org/officeDocument/2006/relationships/hyperlink" Target="https://academy.itu.int/itu-d/projects-activities/digital-transformation-centres-initiative" TargetMode="External"/><Relationship Id="rId59" Type="http://schemas.openxmlformats.org/officeDocument/2006/relationships/hyperlink" Target="https://academy.itu.int/training-courses/full-catalogue/mobile-phone-data" TargetMode="External"/><Relationship Id="rId103" Type="http://schemas.openxmlformats.org/officeDocument/2006/relationships/hyperlink" Target="https://www.itu.int/en/ITU-D/Environment/Pages/Spotlight/WEEE-Policy-Niger.aspx" TargetMode="External"/><Relationship Id="rId108" Type="http://schemas.openxmlformats.org/officeDocument/2006/relationships/hyperlink" Target="https://academy.itu.int/training-courses/full-catalogue/addressing-e-waste-challenge-through-data-and-statistics-0" TargetMode="External"/><Relationship Id="rId54" Type="http://schemas.openxmlformats.org/officeDocument/2006/relationships/hyperlink" Target="https://www.itu.int/en/ITU-D/Statistics/Pages/IDI/default.aspx" TargetMode="External"/><Relationship Id="rId70" Type="http://schemas.openxmlformats.org/officeDocument/2006/relationships/hyperlink" Target="https://www.itu.int/hub/publication/d-stg-sg01-06-3-2023/" TargetMode="External"/><Relationship Id="rId75" Type="http://schemas.openxmlformats.org/officeDocument/2006/relationships/hyperlink" Target="https://www.youtube.com/watch?v=-O7K7DbZaHk&amp;feature=youtu.be" TargetMode="External"/><Relationship Id="rId91" Type="http://schemas.openxmlformats.org/officeDocument/2006/relationships/hyperlink" Target="https://www.itu.int/en/ITU-D/Regional-Presence/Americas/Documents/EVENTS/2023/RDF-2023/Outcome-EN.pdf" TargetMode="External"/><Relationship Id="rId96" Type="http://schemas.openxmlformats.org/officeDocument/2006/relationships/hyperlink" Target="https://www.itu.int/en/ITU-D/Regional-Presence/Africa/Pages/EVENTS/2023/Rwanda-EPR-Blueprint-for-Electronics-Event.asp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itu-d/sites/innovation-alliance/" TargetMode="External"/><Relationship Id="rId28" Type="http://schemas.openxmlformats.org/officeDocument/2006/relationships/hyperlink" Target="https://govstack.gitbook.io/implementation-playbook/" TargetMode="External"/><Relationship Id="rId49" Type="http://schemas.openxmlformats.org/officeDocument/2006/relationships/hyperlink" Target="https://www.itu.int/itu-d/reports/statistics/facts-figures-for-ldc/" TargetMode="External"/><Relationship Id="rId114" Type="http://schemas.openxmlformats.org/officeDocument/2006/relationships/hyperlink" Target="https://academy.itu.int/training-courses/full-catalogue/green-and-digital-entrepreneurship" TargetMode="External"/><Relationship Id="rId10" Type="http://schemas.openxmlformats.org/officeDocument/2006/relationships/image" Target="media/image1.jpeg"/><Relationship Id="rId31" Type="http://schemas.openxmlformats.org/officeDocument/2006/relationships/hyperlink" Target="https://www.itu.int/itu-d/sites/digital-impact-unlocked/building-digital-skills-to-accelerate-economic-prosperity/,%20https:/www.fao.org/in-action/eu-streit-png/news/detail/sepik-agripreneurs-break-digital-barriers-expanding-market-outreach/en" TargetMode="External"/><Relationship Id="rId44" Type="http://schemas.openxmlformats.org/officeDocument/2006/relationships/hyperlink" Target="https://app.gen5.digital/benchmark/metrics" TargetMode="External"/><Relationship Id="rId52" Type="http://schemas.openxmlformats.org/officeDocument/2006/relationships/hyperlink" Target="https://datahub.itu.int/dashboards/umc/?e=CHE" TargetMode="External"/><Relationship Id="rId60" Type="http://schemas.openxmlformats.org/officeDocument/2006/relationships/hyperlink" Target="https://www.itu.int/itu-d/meetings/wtis23/" TargetMode="External"/><Relationship Id="rId65" Type="http://schemas.openxmlformats.org/officeDocument/2006/relationships/hyperlink" Target="https://www.itu.int/es/ITU-D/Projects/Pages/default.aspx" TargetMode="External"/><Relationship Id="rId73" Type="http://schemas.openxmlformats.org/officeDocument/2006/relationships/hyperlink" Target="https://www.itu.int/es/ITU-D/Study-Groups/2022-2025/Pages/reference/Management.aspx" TargetMode="External"/><Relationship Id="rId78" Type="http://schemas.openxmlformats.org/officeDocument/2006/relationships/hyperlink" Target="https://www.itu.int/es/ITU-D/Study-Groups/2022-2025/Pages/reference/Questions-under-study.aspx" TargetMode="External"/><Relationship Id="rId81" Type="http://schemas.openxmlformats.org/officeDocument/2006/relationships/hyperlink" Target="https://wanpasifik.org/lagatoi-declaration/" TargetMode="External"/><Relationship Id="rId86" Type="http://schemas.openxmlformats.org/officeDocument/2006/relationships/hyperlink" Target="https://www.itu.int/en/ITU-D/Regional-Presence/CIS/Pages/WTDC22RIs.aspx" TargetMode="External"/><Relationship Id="rId94" Type="http://schemas.openxmlformats.org/officeDocument/2006/relationships/hyperlink" Target="https://www.itu.int/en/ITU-D/Regional-Presence/AsiaPacific/Documents/Events/2023/RDF-2023/report/RDF-ASP-2023-Report.pdf" TargetMode="External"/><Relationship Id="rId99" Type="http://schemas.openxmlformats.org/officeDocument/2006/relationships/hyperlink" Target="https://www.itu.int/en/ITU-D/Regional-Presence/Africa/Pages/EVENTS/2023/uganda-e-waste-workshop.aspx" TargetMode="External"/><Relationship Id="rId101" Type="http://schemas.openxmlformats.org/officeDocument/2006/relationships/hyperlink" Target="https://www.itu.int/en/ITU-D/Environment/Pages/Spotlight/WEEE-Policy-in-Burundi.asp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itu.int/en/ITU-D/Regional-Presence/CIS/Pages/Events/2023/Connectivity%20Week.aspx" TargetMode="External"/><Relationship Id="rId39" Type="http://schemas.openxmlformats.org/officeDocument/2006/relationships/hyperlink" Target="https://academy.itu.int/index.php/main-activities/ilo-itu-digital-skills-campaign" TargetMode="External"/><Relationship Id="rId109" Type="http://schemas.openxmlformats.org/officeDocument/2006/relationships/hyperlink" Target="https://academy.itu.int/training-courses/full-catalogue/introduction-e-waste-challenge-0" TargetMode="External"/><Relationship Id="rId34" Type="http://schemas.openxmlformats.org/officeDocument/2006/relationships/hyperlink" Target="https://academy.itu.int/" TargetMode="External"/><Relationship Id="rId50" Type="http://schemas.openxmlformats.org/officeDocument/2006/relationships/hyperlink" Target="https://www.itu.int/en/ITU-D/Statistics/Pages/ICTprices/default.aspx" TargetMode="External"/><Relationship Id="rId55" Type="http://schemas.openxmlformats.org/officeDocument/2006/relationships/hyperlink" Target="https://datahub.itu.int/" TargetMode="External"/><Relationship Id="rId76" Type="http://schemas.openxmlformats.org/officeDocument/2006/relationships/hyperlink" Target="https://www.itu.int/es/publications/ITU-D/Pages/publications.aspx?parent=D-TDC-WTDC-2022&amp;media=electronic" TargetMode="External"/><Relationship Id="rId97" Type="http://schemas.openxmlformats.org/officeDocument/2006/relationships/hyperlink" Target="https://dr1.com/news/2023/07/27/executive-branch-issues-decree-to-regulate-electrical-waste-management/" TargetMode="External"/><Relationship Id="rId104" Type="http://schemas.openxmlformats.org/officeDocument/2006/relationships/hyperlink" Target="https://www.itu.int/hub/publication/d-hdb-guidelines-04-2023/" TargetMode="External"/><Relationship Id="rId7" Type="http://schemas.openxmlformats.org/officeDocument/2006/relationships/webSettings" Target="webSettings.xml"/><Relationship Id="rId71" Type="http://schemas.openxmlformats.org/officeDocument/2006/relationships/hyperlink" Target="https://www.youtube.com/watch?v=wx0ep9bT-Ys" TargetMode="External"/><Relationship Id="rId92" Type="http://schemas.openxmlformats.org/officeDocument/2006/relationships/hyperlink" Target="https://www.itu.int/en/ITU-D/Regional-Presence/CIS/Documents/Events/2024/RDF/outcome/RDF-CIS%20Outcome%20Report_EN_FINAL.pdf" TargetMode="External"/><Relationship Id="rId2" Type="http://schemas.openxmlformats.org/officeDocument/2006/relationships/customXml" Target="../customXml/item2.xml"/><Relationship Id="rId29" Type="http://schemas.openxmlformats.org/officeDocument/2006/relationships/hyperlink" Target="https://www.itu.int/en/ITU-D/Environment/Pages/Priority-Areas/Green-GovStack.aspx" TargetMode="External"/><Relationship Id="rId24" Type="http://schemas.openxmlformats.org/officeDocument/2006/relationships/hyperlink" Target="https://www.itu.int/itu-d/sites/innovation-alliance/events/news/" TargetMode="External"/><Relationship Id="rId40" Type="http://schemas.openxmlformats.org/officeDocument/2006/relationships/hyperlink" Target="https://academy.itu.int/itu-d/projects-activities/gcbi/" TargetMode="External"/><Relationship Id="rId45" Type="http://schemas.openxmlformats.org/officeDocument/2006/relationships/hyperlink" Target="https://app.gen5.digital/benchmark/charts" TargetMode="External"/><Relationship Id="rId66" Type="http://schemas.openxmlformats.org/officeDocument/2006/relationships/hyperlink" Target="https://www.itu.int/net4/ITU-D/CDS/sg/blkmeetings.asp?lg=1&amp;sp=2022&amp;blk=28245" TargetMode="External"/><Relationship Id="rId87" Type="http://schemas.openxmlformats.org/officeDocument/2006/relationships/hyperlink" Target="https://www.itu.int/itu-d/sites/partner2connect/es/" TargetMode="External"/><Relationship Id="rId110" Type="http://schemas.openxmlformats.org/officeDocument/2006/relationships/hyperlink" Target="https://www.itu.int/en/ITU-D/Regional-Presence/AsiaPacific/Pages/Events/2023/South-Asia-Information-Session-Green-Digital-Transformation-and-a-Circular-Economy-for-Electronics.aspx" TargetMode="External"/><Relationship Id="rId115" Type="http://schemas.openxmlformats.org/officeDocument/2006/relationships/header" Target="header2.xml"/><Relationship Id="rId61" Type="http://schemas.openxmlformats.org/officeDocument/2006/relationships/hyperlink" Target="https://www.itu.int/itu-d/sites/projectumc/" TargetMode="External"/><Relationship Id="rId82" Type="http://schemas.openxmlformats.org/officeDocument/2006/relationships/hyperlink" Target="https://land-locked.org/" TargetMode="External"/><Relationship Id="rId19" Type="http://schemas.openxmlformats.org/officeDocument/2006/relationships/hyperlink" Target="https://www.itu.int/en/ITU-D/Regional-Presence/Africa/Pages/EVENTS/2023/workshop-sierra-leone.aspx" TargetMode="External"/><Relationship Id="rId14" Type="http://schemas.openxmlformats.org/officeDocument/2006/relationships/footer" Target="footer1.xml"/><Relationship Id="rId30" Type="http://schemas.openxmlformats.org/officeDocument/2006/relationships/hyperlink" Target="https://www.itu.int/en/ITU-D/Environment/Pages/Toolbox/Green-data-center-guide.aspx" TargetMode="External"/><Relationship Id="rId35" Type="http://schemas.openxmlformats.org/officeDocument/2006/relationships/hyperlink" Target="https://academy.itu.int/itu-d/projects-activities/itu-academy-training-centres" TargetMode="External"/><Relationship Id="rId56" Type="http://schemas.openxmlformats.org/officeDocument/2006/relationships/hyperlink" Target="https://www.itu.int/itu-d/meetings/statistics/egh2023/" TargetMode="External"/><Relationship Id="rId77" Type="http://schemas.openxmlformats.org/officeDocument/2006/relationships/hyperlink" Target="https://www.itu.int/es/ITU-D/Pages/regional-development-forums.aspx" TargetMode="External"/><Relationship Id="rId100" Type="http://schemas.openxmlformats.org/officeDocument/2006/relationships/hyperlink" Target="https://www.itu.int/en/ITU-D/Environment/Pages/Spotlight/WEEE-Policy-Support-Malawi.aspx" TargetMode="External"/><Relationship Id="rId105" Type="http://schemas.openxmlformats.org/officeDocument/2006/relationships/hyperlink" Target="https://academy.itu.int/training-courses/full-catalogue/circular-and-sustainable-public-procurement-icts-0" TargetMode="External"/><Relationship Id="rId8" Type="http://schemas.openxmlformats.org/officeDocument/2006/relationships/footnotes" Target="footnotes.xml"/><Relationship Id="rId51" Type="http://schemas.openxmlformats.org/officeDocument/2006/relationships/hyperlink" Target="https://www.itu.int/en/ITU-D/Statistics/Dashboards/Pages/IPB.aspx" TargetMode="External"/><Relationship Id="rId72" Type="http://schemas.openxmlformats.org/officeDocument/2006/relationships/hyperlink" Target="https://www.itu.int/net4/ITU-D/CDS/sg/blkmeetings.asp?lg=1&amp;sp=2022&amp;blk=28246" TargetMode="External"/><Relationship Id="rId93" Type="http://schemas.openxmlformats.org/officeDocument/2006/relationships/hyperlink" Target="https://www.itu.int/en/ITU-D/Regional-Presence/ArabStates/Documents/events/2023/RDF-23/ARB-RDF-2023-Outcome-report%20-%20vFinal.pdf" TargetMode="External"/><Relationship Id="rId98" Type="http://schemas.openxmlformats.org/officeDocument/2006/relationships/hyperlink" Target="https://www.itu.int/en/ITU-D/Regional-Presence/Africa/Pages/Government-Consultation-Workshop.aspx" TargetMode="External"/><Relationship Id="rId3" Type="http://schemas.openxmlformats.org/officeDocument/2006/relationships/customXml" Target="../customXml/item3.xml"/><Relationship Id="rId25" Type="http://schemas.openxmlformats.org/officeDocument/2006/relationships/hyperlink" Target="https://govstack.global/" TargetMode="External"/><Relationship Id="rId46" Type="http://schemas.openxmlformats.org/officeDocument/2006/relationships/hyperlink" Target="https://www.itu.int/en/ITU-D/Regulatory-Market/Pages/collaborative-regulation-country-reviews/default.aspx" TargetMode="External"/><Relationship Id="rId67" Type="http://schemas.openxmlformats.org/officeDocument/2006/relationships/hyperlink" Target="https://www.itu.int/itu-d/sites/ra-network/" TargetMode="External"/><Relationship Id="rId116" Type="http://schemas.openxmlformats.org/officeDocument/2006/relationships/footer" Target="footer2.xml"/><Relationship Id="rId20" Type="http://schemas.openxmlformats.org/officeDocument/2006/relationships/hyperlink" Target="https://www.itu.int/en/ITU-D/Regional-Presence/CIS/Pages/News/14062023.aspx" TargetMode="External"/><Relationship Id="rId41" Type="http://schemas.openxmlformats.org/officeDocument/2006/relationships/hyperlink" Target="https://www.itu.int/en/ITU-D/Regional-Presence/Americas/Pages/ACTVTS/DTK/DTK-AMS.aspx" TargetMode="External"/><Relationship Id="rId62" Type="http://schemas.openxmlformats.org/officeDocument/2006/relationships/hyperlink" Target="https://www.worldbank.org/en/programs/global-data-facility/brief/international-telecommunication-union-and-the-world-bank-s-development-data-group-announce-collaboration-on-mobile-phone" TargetMode="External"/><Relationship Id="rId83" Type="http://schemas.openxmlformats.org/officeDocument/2006/relationships/hyperlink" Target="https://www.itu.int/en/ITU-D/Regional-Presence/CIS/Pages/EVENTS/2024/GovStack.aspx" TargetMode="External"/><Relationship Id="rId88" Type="http://schemas.openxmlformats.org/officeDocument/2006/relationships/hyperlink" Target="https://www.itu.int/itu-d/sites/europe/es/" TargetMode="External"/><Relationship Id="rId111" Type="http://schemas.openxmlformats.org/officeDocument/2006/relationships/hyperlink" Target="https://www.itu.int/itu-d/meetings/gsr-23/es/programme/descripcion-general/detalles-de-la-sesion/" TargetMode="External"/><Relationship Id="rId15" Type="http://schemas.openxmlformats.org/officeDocument/2006/relationships/hyperlink" Target="https://www.itu.int/en/ITU-D/Emergency-Telecommunications/Pages/AI-COP-28.aspx" TargetMode="External"/><Relationship Id="rId36" Type="http://schemas.openxmlformats.org/officeDocument/2006/relationships/hyperlink" Target="https://academy.itu.int/" TargetMode="External"/><Relationship Id="rId57" Type="http://schemas.openxmlformats.org/officeDocument/2006/relationships/hyperlink" Target="https://academy.itu.int/training-courses/full-catalogue/measuring-digital-development-telecommunicationict-indicators-2" TargetMode="External"/><Relationship Id="rId106" Type="http://schemas.openxmlformats.org/officeDocument/2006/relationships/hyperlink" Target="https://www.itu.int/pub/D-HDB-E%20WASTE-2023-WB/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runo.ramo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34686</Words>
  <Characters>198006</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Marin Matas, Juan Gabriel</cp:lastModifiedBy>
  <cp:revision>3</cp:revision>
  <cp:lastPrinted>2014-11-04T09:22:00Z</cp:lastPrinted>
  <dcterms:created xsi:type="dcterms:W3CDTF">2024-05-13T09:04:00Z</dcterms:created>
  <dcterms:modified xsi:type="dcterms:W3CDTF">2024-05-13T09:36:00Z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