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BC04" w14:textId="6118D22A" w:rsidR="00737937" w:rsidRPr="00F4624D" w:rsidRDefault="000524BC" w:rsidP="00324DD3">
      <w:pPr>
        <w:spacing w:before="120" w:after="120" w:line="240" w:lineRule="auto"/>
        <w:jc w:val="center"/>
        <w:rPr>
          <w:rFonts w:cstheme="minorHAnsi"/>
          <w:b/>
          <w:bCs/>
          <w:sz w:val="24"/>
          <w:szCs w:val="24"/>
          <w:lang w:val="en-US"/>
        </w:rPr>
      </w:pPr>
      <w:r w:rsidRPr="00F4624D">
        <w:rPr>
          <w:rFonts w:cstheme="minorHAnsi"/>
          <w:b/>
          <w:bCs/>
          <w:sz w:val="24"/>
          <w:szCs w:val="24"/>
          <w:lang w:val="en-US"/>
        </w:rPr>
        <w:t>ANNEX 1</w:t>
      </w:r>
    </w:p>
    <w:p w14:paraId="069C942A" w14:textId="1E68B3DB" w:rsidR="000524BC" w:rsidRPr="00F4624D" w:rsidRDefault="000524BC" w:rsidP="18D7CA65">
      <w:pPr>
        <w:spacing w:before="120" w:after="120" w:line="240" w:lineRule="auto"/>
        <w:jc w:val="center"/>
        <w:rPr>
          <w:rFonts w:cstheme="minorHAnsi"/>
          <w:b/>
          <w:bCs/>
          <w:sz w:val="24"/>
          <w:szCs w:val="24"/>
          <w:lang w:val="en-US"/>
        </w:rPr>
      </w:pPr>
      <w:r w:rsidRPr="2E8CB74F">
        <w:rPr>
          <w:b/>
          <w:bCs/>
          <w:sz w:val="24"/>
          <w:szCs w:val="24"/>
          <w:lang w:val="en-US"/>
        </w:rPr>
        <w:t>Academia</w:t>
      </w:r>
      <w:r w:rsidRPr="18D7CA65">
        <w:rPr>
          <w:rStyle w:val="FootnoteReference"/>
          <w:b/>
          <w:bCs/>
          <w:sz w:val="24"/>
          <w:szCs w:val="24"/>
          <w:lang w:val="en-US"/>
        </w:rPr>
        <w:footnoteReference w:id="2"/>
      </w:r>
      <w:r w:rsidRPr="2E8CB74F">
        <w:rPr>
          <w:b/>
          <w:bCs/>
          <w:sz w:val="24"/>
          <w:szCs w:val="24"/>
          <w:lang w:val="en-US"/>
        </w:rPr>
        <w:t xml:space="preserve"> engagement opportunities in the work of the ITU Telecommunication</w:t>
      </w:r>
      <w:r w:rsidR="00324DD3" w:rsidRPr="2E8CB74F">
        <w:rPr>
          <w:b/>
          <w:bCs/>
          <w:sz w:val="24"/>
          <w:szCs w:val="24"/>
          <w:lang w:val="en-US"/>
        </w:rPr>
        <w:t xml:space="preserve"> </w:t>
      </w:r>
      <w:r w:rsidRPr="2E8CB74F">
        <w:rPr>
          <w:b/>
          <w:bCs/>
          <w:sz w:val="24"/>
          <w:szCs w:val="24"/>
          <w:lang w:val="en-US"/>
        </w:rPr>
        <w:t>Development Sector (ITU-D)</w:t>
      </w:r>
    </w:p>
    <w:p w14:paraId="2E2DC21C" w14:textId="2E517F26" w:rsidR="006F54FD" w:rsidRPr="00F4624D" w:rsidRDefault="00D76A01" w:rsidP="375AD0A8">
      <w:pPr>
        <w:spacing w:before="120" w:after="120" w:line="240" w:lineRule="auto"/>
        <w:rPr>
          <w:sz w:val="24"/>
          <w:szCs w:val="24"/>
          <w:lang w:val="en-US"/>
        </w:rPr>
      </w:pPr>
      <w:r w:rsidRPr="375AD0A8">
        <w:rPr>
          <w:sz w:val="24"/>
          <w:szCs w:val="24"/>
          <w:lang w:val="en-US"/>
        </w:rPr>
        <w:t>ITU-D continue</w:t>
      </w:r>
      <w:r w:rsidR="00814A44" w:rsidRPr="375AD0A8">
        <w:rPr>
          <w:sz w:val="24"/>
          <w:szCs w:val="24"/>
          <w:lang w:val="en-US"/>
        </w:rPr>
        <w:t>s</w:t>
      </w:r>
      <w:r w:rsidRPr="375AD0A8">
        <w:rPr>
          <w:sz w:val="24"/>
          <w:szCs w:val="24"/>
          <w:lang w:val="en-US"/>
        </w:rPr>
        <w:t xml:space="preserve"> to</w:t>
      </w:r>
      <w:r w:rsidR="00814A44" w:rsidRPr="375AD0A8">
        <w:rPr>
          <w:sz w:val="24"/>
          <w:szCs w:val="24"/>
          <w:lang w:val="en-US"/>
        </w:rPr>
        <w:t xml:space="preserve"> actively</w:t>
      </w:r>
      <w:r w:rsidRPr="375AD0A8">
        <w:rPr>
          <w:sz w:val="24"/>
          <w:szCs w:val="24"/>
          <w:lang w:val="en-US"/>
        </w:rPr>
        <w:t xml:space="preserve"> promote Academia </w:t>
      </w:r>
      <w:r w:rsidR="27C11CE7" w:rsidRPr="375AD0A8">
        <w:rPr>
          <w:sz w:val="24"/>
          <w:szCs w:val="24"/>
          <w:lang w:val="en-US"/>
        </w:rPr>
        <w:t>membership</w:t>
      </w:r>
      <w:r w:rsidR="00814A44" w:rsidRPr="375AD0A8">
        <w:rPr>
          <w:sz w:val="24"/>
          <w:szCs w:val="24"/>
          <w:lang w:val="en-US"/>
        </w:rPr>
        <w:t xml:space="preserve"> and </w:t>
      </w:r>
      <w:r w:rsidR="651C85FB" w:rsidRPr="375AD0A8">
        <w:rPr>
          <w:sz w:val="24"/>
          <w:szCs w:val="24"/>
          <w:lang w:val="en-US"/>
        </w:rPr>
        <w:t xml:space="preserve">their </w:t>
      </w:r>
      <w:r w:rsidR="00814A44" w:rsidRPr="375AD0A8">
        <w:rPr>
          <w:sz w:val="24"/>
          <w:szCs w:val="24"/>
          <w:lang w:val="en-US"/>
        </w:rPr>
        <w:t>engagement in ITU-D’s priorities and platforms.</w:t>
      </w:r>
      <w:r w:rsidR="00324DD3" w:rsidRPr="375AD0A8">
        <w:rPr>
          <w:sz w:val="24"/>
          <w:szCs w:val="24"/>
          <w:lang w:val="en-US"/>
        </w:rPr>
        <w:t xml:space="preserve"> </w:t>
      </w:r>
      <w:r w:rsidR="00814A44" w:rsidRPr="375AD0A8">
        <w:rPr>
          <w:sz w:val="24"/>
          <w:szCs w:val="24"/>
          <w:lang w:val="en-US"/>
        </w:rPr>
        <w:t xml:space="preserve">It should be noted that </w:t>
      </w:r>
      <w:r w:rsidRPr="375AD0A8">
        <w:rPr>
          <w:sz w:val="24"/>
          <w:szCs w:val="24"/>
          <w:lang w:val="en-US"/>
        </w:rPr>
        <w:t xml:space="preserve">some </w:t>
      </w:r>
      <w:r w:rsidR="00814A44" w:rsidRPr="375AD0A8">
        <w:rPr>
          <w:sz w:val="24"/>
          <w:szCs w:val="24"/>
          <w:lang w:val="en-US"/>
        </w:rPr>
        <w:t>u</w:t>
      </w:r>
      <w:r w:rsidRPr="375AD0A8">
        <w:rPr>
          <w:sz w:val="24"/>
          <w:szCs w:val="24"/>
          <w:lang w:val="en-US"/>
        </w:rPr>
        <w:t>niversities</w:t>
      </w:r>
      <w:r w:rsidR="00814A44" w:rsidRPr="375AD0A8">
        <w:rPr>
          <w:sz w:val="24"/>
          <w:szCs w:val="24"/>
          <w:lang w:val="en-US"/>
        </w:rPr>
        <w:t xml:space="preserve"> and research institutes </w:t>
      </w:r>
      <w:r w:rsidRPr="375AD0A8">
        <w:rPr>
          <w:sz w:val="24"/>
          <w:szCs w:val="24"/>
          <w:lang w:val="en-US"/>
        </w:rPr>
        <w:t>have expressed interest in exploring collaboration partnerships</w:t>
      </w:r>
      <w:r w:rsidR="00814A44" w:rsidRPr="375AD0A8">
        <w:rPr>
          <w:sz w:val="24"/>
          <w:szCs w:val="24"/>
          <w:lang w:val="en-US"/>
        </w:rPr>
        <w:t xml:space="preserve"> whilst considering joining ITU</w:t>
      </w:r>
      <w:r w:rsidRPr="375AD0A8">
        <w:rPr>
          <w:sz w:val="24"/>
          <w:szCs w:val="24"/>
          <w:lang w:val="en-US"/>
        </w:rPr>
        <w:t>.</w:t>
      </w:r>
      <w:r w:rsidR="00324DD3" w:rsidRPr="375AD0A8">
        <w:rPr>
          <w:sz w:val="24"/>
          <w:szCs w:val="24"/>
          <w:lang w:val="en-US"/>
        </w:rPr>
        <w:t xml:space="preserve"> </w:t>
      </w:r>
    </w:p>
    <w:p w14:paraId="3EEEC828" w14:textId="11BFC109" w:rsidR="00D76A01" w:rsidRPr="00F4624D" w:rsidRDefault="00D76A01" w:rsidP="5445CF88">
      <w:pPr>
        <w:spacing w:before="120" w:after="120" w:line="240" w:lineRule="auto"/>
        <w:rPr>
          <w:sz w:val="24"/>
          <w:szCs w:val="24"/>
          <w:lang w:val="en-US"/>
        </w:rPr>
      </w:pPr>
      <w:r w:rsidRPr="5445CF88">
        <w:rPr>
          <w:sz w:val="24"/>
          <w:szCs w:val="24"/>
          <w:lang w:val="en-US"/>
        </w:rPr>
        <w:t xml:space="preserve">This Annex </w:t>
      </w:r>
      <w:r w:rsidR="009E4B1B" w:rsidRPr="5445CF88">
        <w:rPr>
          <w:sz w:val="24"/>
          <w:szCs w:val="24"/>
          <w:lang w:val="en-US"/>
        </w:rPr>
        <w:t xml:space="preserve">is composed </w:t>
      </w:r>
      <w:r w:rsidR="001F7C0E" w:rsidRPr="5445CF88">
        <w:rPr>
          <w:sz w:val="24"/>
          <w:szCs w:val="24"/>
          <w:lang w:val="en-US"/>
        </w:rPr>
        <w:t xml:space="preserve">of </w:t>
      </w:r>
      <w:r w:rsidR="009E4B1B" w:rsidRPr="5445CF88">
        <w:rPr>
          <w:sz w:val="24"/>
          <w:szCs w:val="24"/>
          <w:lang w:val="en-US"/>
        </w:rPr>
        <w:t xml:space="preserve">two Sections. Section 1 </w:t>
      </w:r>
      <w:r w:rsidRPr="5445CF88">
        <w:rPr>
          <w:sz w:val="24"/>
          <w:szCs w:val="24"/>
          <w:lang w:val="en-US"/>
        </w:rPr>
        <w:t>provides a</w:t>
      </w:r>
      <w:r w:rsidR="007B6448" w:rsidRPr="5445CF88">
        <w:rPr>
          <w:sz w:val="24"/>
          <w:szCs w:val="24"/>
          <w:lang w:val="en-US"/>
        </w:rPr>
        <w:t xml:space="preserve"> review </w:t>
      </w:r>
      <w:r w:rsidRPr="5445CF88">
        <w:rPr>
          <w:sz w:val="24"/>
          <w:szCs w:val="24"/>
          <w:lang w:val="en-US"/>
        </w:rPr>
        <w:t>of the past</w:t>
      </w:r>
      <w:r w:rsidR="007B6448" w:rsidRPr="5445CF88">
        <w:rPr>
          <w:sz w:val="24"/>
          <w:szCs w:val="24"/>
          <w:lang w:val="en-US"/>
        </w:rPr>
        <w:t xml:space="preserve"> and ongoing</w:t>
      </w:r>
      <w:r w:rsidRPr="5445CF88">
        <w:rPr>
          <w:sz w:val="24"/>
          <w:szCs w:val="24"/>
          <w:lang w:val="en-US"/>
        </w:rPr>
        <w:t xml:space="preserve"> collaboration</w:t>
      </w:r>
      <w:r w:rsidR="007B6448" w:rsidRPr="5445CF88">
        <w:rPr>
          <w:sz w:val="24"/>
          <w:szCs w:val="24"/>
          <w:lang w:val="en-US"/>
        </w:rPr>
        <w:t>s</w:t>
      </w:r>
      <w:r w:rsidR="00814A44" w:rsidRPr="5445CF88">
        <w:rPr>
          <w:sz w:val="24"/>
          <w:szCs w:val="24"/>
          <w:lang w:val="en-US"/>
        </w:rPr>
        <w:t xml:space="preserve"> with ITU-D</w:t>
      </w:r>
      <w:r w:rsidRPr="5445CF88">
        <w:rPr>
          <w:sz w:val="24"/>
          <w:szCs w:val="24"/>
          <w:lang w:val="en-US"/>
        </w:rPr>
        <w:t xml:space="preserve"> both with </w:t>
      </w:r>
      <w:r w:rsidRPr="5445CF88">
        <w:rPr>
          <w:b/>
          <w:bCs/>
          <w:sz w:val="24"/>
          <w:szCs w:val="24"/>
          <w:lang w:val="en-US"/>
        </w:rPr>
        <w:t>ITU</w:t>
      </w:r>
      <w:r w:rsidR="00A50EF3">
        <w:rPr>
          <w:b/>
          <w:bCs/>
          <w:sz w:val="24"/>
          <w:szCs w:val="24"/>
          <w:lang w:val="en-US"/>
        </w:rPr>
        <w:t xml:space="preserve"> </w:t>
      </w:r>
      <w:r w:rsidRPr="5445CF88">
        <w:rPr>
          <w:b/>
          <w:bCs/>
          <w:sz w:val="24"/>
          <w:szCs w:val="24"/>
          <w:lang w:val="en-US"/>
        </w:rPr>
        <w:t xml:space="preserve">Academia </w:t>
      </w:r>
      <w:r w:rsidR="06C38909" w:rsidRPr="5445CF88">
        <w:rPr>
          <w:b/>
          <w:bCs/>
          <w:sz w:val="24"/>
          <w:szCs w:val="24"/>
          <w:lang w:val="en-US"/>
        </w:rPr>
        <w:t xml:space="preserve">members </w:t>
      </w:r>
      <w:r w:rsidRPr="5445CF88">
        <w:rPr>
          <w:sz w:val="24"/>
          <w:szCs w:val="24"/>
          <w:lang w:val="en-US"/>
        </w:rPr>
        <w:t>and</w:t>
      </w:r>
      <w:r w:rsidRPr="5445CF88">
        <w:rPr>
          <w:b/>
          <w:bCs/>
          <w:sz w:val="24"/>
          <w:szCs w:val="24"/>
          <w:lang w:val="en-US"/>
        </w:rPr>
        <w:t xml:space="preserve"> non- Academia </w:t>
      </w:r>
      <w:r w:rsidR="6307F161" w:rsidRPr="5445CF88">
        <w:rPr>
          <w:b/>
          <w:bCs/>
          <w:sz w:val="24"/>
          <w:szCs w:val="24"/>
          <w:lang w:val="en-US"/>
        </w:rPr>
        <w:t>members</w:t>
      </w:r>
      <w:r w:rsidRPr="5445CF88">
        <w:rPr>
          <w:b/>
          <w:bCs/>
          <w:sz w:val="24"/>
          <w:szCs w:val="24"/>
          <w:lang w:val="en-US"/>
        </w:rPr>
        <w:t xml:space="preserve"> </w:t>
      </w:r>
      <w:r w:rsidRPr="5445CF88">
        <w:rPr>
          <w:sz w:val="24"/>
          <w:szCs w:val="24"/>
          <w:lang w:val="en-US"/>
        </w:rPr>
        <w:t xml:space="preserve">at global, </w:t>
      </w:r>
      <w:proofErr w:type="gramStart"/>
      <w:r w:rsidRPr="5445CF88">
        <w:rPr>
          <w:sz w:val="24"/>
          <w:szCs w:val="24"/>
          <w:lang w:val="en-US"/>
        </w:rPr>
        <w:t>regional</w:t>
      </w:r>
      <w:proofErr w:type="gramEnd"/>
      <w:r w:rsidRPr="5445CF88">
        <w:rPr>
          <w:sz w:val="24"/>
          <w:szCs w:val="24"/>
          <w:lang w:val="en-US"/>
        </w:rPr>
        <w:t xml:space="preserve"> and national levels</w:t>
      </w:r>
      <w:r w:rsidR="006F54FD" w:rsidRPr="5445CF88">
        <w:rPr>
          <w:sz w:val="24"/>
          <w:szCs w:val="24"/>
          <w:lang w:val="en-US"/>
        </w:rPr>
        <w:t xml:space="preserve"> ranging from a</w:t>
      </w:r>
      <w:r w:rsidRPr="5445CF88">
        <w:rPr>
          <w:sz w:val="24"/>
          <w:szCs w:val="24"/>
          <w:lang w:val="en-US"/>
        </w:rPr>
        <w:t xml:space="preserve">cademic </w:t>
      </w:r>
      <w:r w:rsidR="006F54FD" w:rsidRPr="5445CF88">
        <w:rPr>
          <w:sz w:val="24"/>
          <w:szCs w:val="24"/>
          <w:lang w:val="en-US"/>
        </w:rPr>
        <w:t>r</w:t>
      </w:r>
      <w:r w:rsidRPr="5445CF88">
        <w:rPr>
          <w:sz w:val="24"/>
          <w:szCs w:val="24"/>
          <w:lang w:val="en-US"/>
        </w:rPr>
        <w:t>esearch</w:t>
      </w:r>
      <w:r w:rsidR="00814A44" w:rsidRPr="5445CF88">
        <w:rPr>
          <w:sz w:val="24"/>
          <w:szCs w:val="24"/>
          <w:lang w:val="en-US"/>
        </w:rPr>
        <w:t xml:space="preserve">, </w:t>
      </w:r>
      <w:r w:rsidR="006F54FD" w:rsidRPr="5445CF88">
        <w:rPr>
          <w:sz w:val="24"/>
          <w:szCs w:val="24"/>
          <w:lang w:val="en-US"/>
        </w:rPr>
        <w:t xml:space="preserve">expertise for </w:t>
      </w:r>
      <w:r w:rsidRPr="5445CF88">
        <w:rPr>
          <w:sz w:val="24"/>
          <w:szCs w:val="24"/>
          <w:lang w:val="en-US"/>
        </w:rPr>
        <w:t xml:space="preserve">analysis for </w:t>
      </w:r>
      <w:r w:rsidR="004E6499" w:rsidRPr="5445CF88">
        <w:rPr>
          <w:sz w:val="24"/>
          <w:szCs w:val="24"/>
          <w:lang w:val="en-US"/>
        </w:rPr>
        <w:t>evidence-based</w:t>
      </w:r>
      <w:r w:rsidRPr="5445CF88">
        <w:rPr>
          <w:sz w:val="24"/>
          <w:szCs w:val="24"/>
          <w:lang w:val="en-US"/>
        </w:rPr>
        <w:t xml:space="preserve"> policy recommendations, data collection</w:t>
      </w:r>
      <w:r w:rsidR="006F54FD" w:rsidRPr="5445CF88">
        <w:rPr>
          <w:sz w:val="24"/>
          <w:szCs w:val="24"/>
          <w:lang w:val="en-US"/>
        </w:rPr>
        <w:t xml:space="preserve"> and </w:t>
      </w:r>
      <w:r w:rsidRPr="5445CF88">
        <w:rPr>
          <w:sz w:val="24"/>
          <w:szCs w:val="24"/>
          <w:lang w:val="en-US"/>
        </w:rPr>
        <w:t>assessments</w:t>
      </w:r>
      <w:r w:rsidR="006F54FD" w:rsidRPr="5445CF88">
        <w:rPr>
          <w:sz w:val="24"/>
          <w:szCs w:val="24"/>
          <w:lang w:val="en-US"/>
        </w:rPr>
        <w:t xml:space="preserve">, </w:t>
      </w:r>
      <w:r w:rsidRPr="5445CF88">
        <w:rPr>
          <w:sz w:val="24"/>
          <w:szCs w:val="24"/>
          <w:lang w:val="en-US"/>
        </w:rPr>
        <w:t>joint reporting</w:t>
      </w:r>
      <w:r w:rsidR="006F54FD" w:rsidRPr="5445CF88">
        <w:rPr>
          <w:sz w:val="24"/>
          <w:szCs w:val="24"/>
          <w:lang w:val="en-US"/>
        </w:rPr>
        <w:t>, join</w:t>
      </w:r>
      <w:r w:rsidR="009E4B1B" w:rsidRPr="5445CF88">
        <w:rPr>
          <w:sz w:val="24"/>
          <w:szCs w:val="24"/>
          <w:lang w:val="en-US"/>
        </w:rPr>
        <w:t>t</w:t>
      </w:r>
      <w:r w:rsidR="006F54FD" w:rsidRPr="5445CF88">
        <w:rPr>
          <w:sz w:val="24"/>
          <w:szCs w:val="24"/>
          <w:lang w:val="en-US"/>
        </w:rPr>
        <w:t xml:space="preserve"> events </w:t>
      </w:r>
      <w:r w:rsidR="00843059" w:rsidRPr="5445CF88">
        <w:rPr>
          <w:sz w:val="24"/>
          <w:szCs w:val="24"/>
          <w:lang w:val="en-US"/>
        </w:rPr>
        <w:t>and</w:t>
      </w:r>
      <w:r w:rsidR="006F54FD" w:rsidRPr="5445CF88">
        <w:rPr>
          <w:sz w:val="24"/>
          <w:szCs w:val="24"/>
          <w:lang w:val="en-US"/>
        </w:rPr>
        <w:t xml:space="preserve"> capacity development activities, amongst others.</w:t>
      </w:r>
      <w:r w:rsidRPr="5445CF88">
        <w:rPr>
          <w:sz w:val="24"/>
          <w:szCs w:val="24"/>
          <w:lang w:val="en-US"/>
        </w:rPr>
        <w:t xml:space="preserve"> </w:t>
      </w:r>
      <w:r w:rsidR="006F54FD" w:rsidRPr="5445CF88">
        <w:rPr>
          <w:sz w:val="24"/>
          <w:szCs w:val="24"/>
          <w:lang w:val="en-US"/>
        </w:rPr>
        <w:t>Section 2</w:t>
      </w:r>
      <w:r w:rsidR="009E4B1B" w:rsidRPr="5445CF88">
        <w:rPr>
          <w:sz w:val="24"/>
          <w:szCs w:val="24"/>
          <w:lang w:val="en-US"/>
        </w:rPr>
        <w:t xml:space="preserve"> describes </w:t>
      </w:r>
      <w:r w:rsidR="006F54FD" w:rsidRPr="5445CF88">
        <w:rPr>
          <w:sz w:val="24"/>
          <w:szCs w:val="24"/>
          <w:lang w:val="en-US"/>
        </w:rPr>
        <w:t>additional potential areas to explore collaboration with Academia in 2024</w:t>
      </w:r>
      <w:r w:rsidR="009E4B1B" w:rsidRPr="5445CF88">
        <w:rPr>
          <w:sz w:val="24"/>
          <w:szCs w:val="24"/>
          <w:lang w:val="en-US"/>
        </w:rPr>
        <w:t xml:space="preserve">. </w:t>
      </w:r>
    </w:p>
    <w:p w14:paraId="69816A30" w14:textId="5AE18FE6" w:rsidR="00D76A01" w:rsidRPr="00F4624D" w:rsidRDefault="006F54FD" w:rsidP="00324DD3">
      <w:pPr>
        <w:spacing w:before="120" w:after="120" w:line="240" w:lineRule="auto"/>
        <w:rPr>
          <w:rFonts w:eastAsia="Calibri" w:cstheme="minorHAnsi"/>
          <w:sz w:val="24"/>
          <w:szCs w:val="24"/>
          <w:lang w:eastAsia="en-GB"/>
        </w:rPr>
      </w:pPr>
      <w:r w:rsidRPr="00F4624D">
        <w:rPr>
          <w:rFonts w:eastAsia="Calibri" w:cstheme="minorHAnsi"/>
          <w:b/>
          <w:bCs/>
          <w:sz w:val="24"/>
          <w:szCs w:val="24"/>
          <w:lang w:eastAsia="en-GB"/>
        </w:rPr>
        <w:t xml:space="preserve">Section 1: </w:t>
      </w:r>
      <w:r w:rsidR="00D76A01" w:rsidRPr="00F4624D">
        <w:rPr>
          <w:rFonts w:eastAsia="Calibri" w:cstheme="minorHAnsi"/>
          <w:b/>
          <w:bCs/>
          <w:sz w:val="24"/>
          <w:szCs w:val="24"/>
          <w:lang w:eastAsia="en-GB"/>
        </w:rPr>
        <w:t>Past and ongoing collaborations:</w:t>
      </w:r>
    </w:p>
    <w:p w14:paraId="1B4C83B1" w14:textId="2612FC82" w:rsidR="00775E89" w:rsidRPr="00F4624D" w:rsidRDefault="00852F09" w:rsidP="46CA4F6B">
      <w:pPr>
        <w:pStyle w:val="ListParagraph"/>
        <w:numPr>
          <w:ilvl w:val="0"/>
          <w:numId w:val="2"/>
        </w:numPr>
        <w:spacing w:before="120" w:after="120" w:line="240" w:lineRule="auto"/>
        <w:rPr>
          <w:rFonts w:eastAsia="Calibri"/>
          <w:sz w:val="24"/>
          <w:szCs w:val="24"/>
          <w:lang w:eastAsia="en-GB"/>
        </w:rPr>
      </w:pPr>
      <w:r w:rsidRPr="46CA4F6B">
        <w:rPr>
          <w:rFonts w:eastAsia="Calibri"/>
          <w:b/>
          <w:bCs/>
          <w:sz w:val="24"/>
          <w:szCs w:val="24"/>
          <w:lang w:eastAsia="en-GB"/>
        </w:rPr>
        <w:t>ITU Academy</w:t>
      </w:r>
      <w:r w:rsidRPr="46CA4F6B">
        <w:rPr>
          <w:rFonts w:eastAsia="Calibri"/>
          <w:sz w:val="24"/>
          <w:szCs w:val="24"/>
          <w:lang w:eastAsia="en-GB"/>
        </w:rPr>
        <w:t xml:space="preserve">: ITU works with a wide range of partners to develop and deliver its </w:t>
      </w:r>
      <w:r w:rsidRPr="46CA4F6B">
        <w:rPr>
          <w:rFonts w:eastAsia="Calibri"/>
          <w:b/>
          <w:bCs/>
          <w:sz w:val="24"/>
          <w:szCs w:val="24"/>
          <w:lang w:eastAsia="en-GB"/>
        </w:rPr>
        <w:t>capacity development activities</w:t>
      </w:r>
      <w:r w:rsidRPr="46CA4F6B">
        <w:rPr>
          <w:rFonts w:eastAsia="Calibri"/>
          <w:sz w:val="24"/>
          <w:szCs w:val="24"/>
          <w:lang w:eastAsia="en-GB"/>
        </w:rPr>
        <w:t xml:space="preserve">. These include the ITU </w:t>
      </w:r>
      <w:r w:rsidR="0034000A" w:rsidRPr="46CA4F6B">
        <w:rPr>
          <w:rFonts w:eastAsia="Calibri"/>
          <w:sz w:val="24"/>
          <w:szCs w:val="24"/>
          <w:lang w:eastAsia="en-GB"/>
        </w:rPr>
        <w:t xml:space="preserve">Academy Training </w:t>
      </w:r>
      <w:r w:rsidRPr="46CA4F6B">
        <w:rPr>
          <w:rFonts w:eastAsia="Calibri"/>
          <w:sz w:val="24"/>
          <w:szCs w:val="24"/>
          <w:lang w:eastAsia="en-GB"/>
        </w:rPr>
        <w:t>Centres</w:t>
      </w:r>
      <w:r w:rsidR="0034000A" w:rsidRPr="46CA4F6B">
        <w:rPr>
          <w:rFonts w:eastAsia="Calibri"/>
          <w:sz w:val="24"/>
          <w:szCs w:val="24"/>
          <w:lang w:eastAsia="en-GB"/>
        </w:rPr>
        <w:t xml:space="preserve"> (ATC</w:t>
      </w:r>
      <w:proofErr w:type="gramStart"/>
      <w:r w:rsidR="00EC4838" w:rsidRPr="46CA4F6B">
        <w:rPr>
          <w:rFonts w:eastAsia="Calibri"/>
          <w:sz w:val="24"/>
          <w:szCs w:val="24"/>
          <w:lang w:eastAsia="en-GB"/>
        </w:rPr>
        <w:t>)</w:t>
      </w:r>
      <w:r w:rsidRPr="46CA4F6B">
        <w:rPr>
          <w:rFonts w:eastAsia="Calibri"/>
          <w:sz w:val="24"/>
          <w:szCs w:val="24"/>
          <w:lang w:eastAsia="en-GB"/>
        </w:rPr>
        <w:t xml:space="preserve"> ,</w:t>
      </w:r>
      <w:proofErr w:type="gramEnd"/>
      <w:r w:rsidRPr="46CA4F6B">
        <w:rPr>
          <w:rFonts w:eastAsia="Calibri"/>
          <w:sz w:val="24"/>
          <w:szCs w:val="24"/>
          <w:lang w:eastAsia="en-GB"/>
        </w:rPr>
        <w:t xml:space="preserve"> public and private training institutions, universities, and industry partners, as well as development agencies. Several of the ITU Academy Training Centres</w:t>
      </w:r>
      <w:r w:rsidR="00406A97" w:rsidRPr="46CA4F6B">
        <w:rPr>
          <w:rFonts w:eastAsia="Calibri"/>
          <w:sz w:val="24"/>
          <w:szCs w:val="24"/>
          <w:lang w:eastAsia="en-GB"/>
        </w:rPr>
        <w:t xml:space="preserve"> (ATC)</w:t>
      </w:r>
      <w:r w:rsidRPr="46CA4F6B">
        <w:rPr>
          <w:rFonts w:eastAsia="Calibri"/>
          <w:sz w:val="24"/>
          <w:szCs w:val="24"/>
          <w:lang w:eastAsia="en-GB"/>
        </w:rPr>
        <w:t xml:space="preserve"> are Universities, although not necessarily ITU Academia</w:t>
      </w:r>
      <w:r w:rsidR="3CE7D7CF" w:rsidRPr="46CA4F6B">
        <w:rPr>
          <w:rFonts w:eastAsia="Calibri"/>
          <w:sz w:val="24"/>
          <w:szCs w:val="24"/>
          <w:lang w:eastAsia="en-GB"/>
        </w:rPr>
        <w:t xml:space="preserve"> members</w:t>
      </w:r>
      <w:r w:rsidRPr="46CA4F6B">
        <w:rPr>
          <w:rFonts w:eastAsia="Calibri"/>
          <w:sz w:val="24"/>
          <w:szCs w:val="24"/>
          <w:lang w:eastAsia="en-GB"/>
        </w:rPr>
        <w:t xml:space="preserve">. Here is the list: </w:t>
      </w:r>
      <w:hyperlink r:id="rId11">
        <w:r w:rsidRPr="46CA4F6B">
          <w:rPr>
            <w:rStyle w:val="Hyperlink"/>
            <w:rFonts w:eastAsia="Calibri"/>
            <w:sz w:val="24"/>
            <w:szCs w:val="24"/>
            <w:lang w:eastAsia="en-GB"/>
          </w:rPr>
          <w:t>https://academy.itu.int/itu-d/projects-activities/itu-academy-training-centres/centres</w:t>
        </w:r>
      </w:hyperlink>
      <w:r w:rsidR="00C92961" w:rsidRPr="46CA4F6B">
        <w:rPr>
          <w:rFonts w:eastAsia="Calibri"/>
          <w:sz w:val="24"/>
          <w:szCs w:val="24"/>
          <w:lang w:eastAsia="en-GB"/>
        </w:rPr>
        <w:t xml:space="preserve">. </w:t>
      </w:r>
      <w:r w:rsidR="00406A97" w:rsidRPr="46CA4F6B">
        <w:rPr>
          <w:rFonts w:eastAsia="Calibri"/>
          <w:sz w:val="24"/>
          <w:szCs w:val="24"/>
          <w:lang w:eastAsia="en-GB"/>
        </w:rPr>
        <w:t>To cite some</w:t>
      </w:r>
      <w:r w:rsidR="00C92961" w:rsidRPr="46CA4F6B">
        <w:rPr>
          <w:rFonts w:eastAsia="Calibri"/>
          <w:sz w:val="24"/>
          <w:szCs w:val="24"/>
          <w:lang w:eastAsia="en-GB"/>
        </w:rPr>
        <w:t xml:space="preserve"> example</w:t>
      </w:r>
      <w:r w:rsidR="00406A97" w:rsidRPr="46CA4F6B">
        <w:rPr>
          <w:rFonts w:eastAsia="Calibri"/>
          <w:sz w:val="24"/>
          <w:szCs w:val="24"/>
          <w:lang w:eastAsia="en-GB"/>
        </w:rPr>
        <w:t>s</w:t>
      </w:r>
      <w:r w:rsidR="00C92961" w:rsidRPr="46CA4F6B">
        <w:rPr>
          <w:rFonts w:eastAsia="Calibri"/>
          <w:sz w:val="24"/>
          <w:szCs w:val="24"/>
          <w:lang w:eastAsia="en-GB"/>
        </w:rPr>
        <w:t xml:space="preserve"> </w:t>
      </w:r>
      <w:r w:rsidR="00775E89" w:rsidRPr="46CA4F6B">
        <w:rPr>
          <w:rFonts w:eastAsia="Calibri"/>
          <w:sz w:val="24"/>
          <w:szCs w:val="24"/>
          <w:lang w:eastAsia="en-GB"/>
        </w:rPr>
        <w:t>ITU Academia</w:t>
      </w:r>
      <w:r w:rsidR="5F4577D4" w:rsidRPr="46CA4F6B">
        <w:rPr>
          <w:rFonts w:eastAsia="Calibri"/>
          <w:sz w:val="24"/>
          <w:szCs w:val="24"/>
          <w:lang w:eastAsia="en-GB"/>
        </w:rPr>
        <w:t xml:space="preserve"> members</w:t>
      </w:r>
      <w:r w:rsidR="00775E89" w:rsidRPr="46CA4F6B">
        <w:rPr>
          <w:rFonts w:eastAsia="Calibri"/>
          <w:sz w:val="24"/>
          <w:szCs w:val="24"/>
          <w:lang w:eastAsia="en-GB"/>
        </w:rPr>
        <w:t>: University of the West Indies,</w:t>
      </w:r>
      <w:r w:rsidR="00406A97" w:rsidRPr="46CA4F6B">
        <w:rPr>
          <w:rFonts w:eastAsia="Calibri"/>
          <w:sz w:val="24"/>
          <w:szCs w:val="24"/>
          <w:lang w:eastAsia="en-GB"/>
        </w:rPr>
        <w:t xml:space="preserve"> Jamaica</w:t>
      </w:r>
      <w:r w:rsidR="00775E89" w:rsidRPr="46CA4F6B">
        <w:rPr>
          <w:rFonts w:eastAsia="Calibri"/>
          <w:sz w:val="24"/>
          <w:szCs w:val="24"/>
          <w:lang w:eastAsia="en-GB"/>
        </w:rPr>
        <w:t xml:space="preserve"> and INICTEL </w:t>
      </w:r>
      <w:r w:rsidR="00406A97" w:rsidRPr="46CA4F6B">
        <w:rPr>
          <w:rFonts w:eastAsia="Calibri"/>
          <w:sz w:val="24"/>
          <w:szCs w:val="24"/>
          <w:lang w:eastAsia="en-GB"/>
        </w:rPr>
        <w:t>–</w:t>
      </w:r>
      <w:r w:rsidR="00775E89" w:rsidRPr="46CA4F6B">
        <w:rPr>
          <w:rFonts w:eastAsia="Calibri"/>
          <w:sz w:val="24"/>
          <w:szCs w:val="24"/>
          <w:lang w:eastAsia="en-GB"/>
        </w:rPr>
        <w:t xml:space="preserve"> UNI</w:t>
      </w:r>
      <w:r w:rsidR="00406A97" w:rsidRPr="46CA4F6B">
        <w:rPr>
          <w:rFonts w:eastAsia="Calibri"/>
          <w:sz w:val="24"/>
          <w:szCs w:val="24"/>
          <w:lang w:eastAsia="en-GB"/>
        </w:rPr>
        <w:t>, Peru</w:t>
      </w:r>
      <w:r w:rsidR="00775E89" w:rsidRPr="46CA4F6B">
        <w:rPr>
          <w:rFonts w:eastAsia="Calibri"/>
          <w:sz w:val="24"/>
          <w:szCs w:val="24"/>
          <w:lang w:eastAsia="en-GB"/>
        </w:rPr>
        <w:t xml:space="preserve">. </w:t>
      </w:r>
      <w:r w:rsidR="00406A97" w:rsidRPr="46CA4F6B">
        <w:rPr>
          <w:rFonts w:eastAsia="Calibri"/>
          <w:sz w:val="24"/>
          <w:szCs w:val="24"/>
          <w:lang w:eastAsia="en-GB"/>
        </w:rPr>
        <w:t>T</w:t>
      </w:r>
      <w:r w:rsidR="00775E89" w:rsidRPr="46CA4F6B">
        <w:rPr>
          <w:rFonts w:eastAsia="Calibri"/>
          <w:sz w:val="24"/>
          <w:szCs w:val="24"/>
          <w:lang w:eastAsia="en-GB"/>
        </w:rPr>
        <w:t>hese institutions offer courses on the different thematic priorities of the development sector and support regional capacity development initiatives. Additionally, an example of ATC support for regional initiatives is INATEL of Brazil (Non- Academia</w:t>
      </w:r>
      <w:r w:rsidR="0765DF90" w:rsidRPr="46CA4F6B">
        <w:rPr>
          <w:rFonts w:eastAsia="Calibri"/>
          <w:sz w:val="24"/>
          <w:szCs w:val="24"/>
          <w:lang w:eastAsia="en-GB"/>
        </w:rPr>
        <w:t xml:space="preserve"> members</w:t>
      </w:r>
      <w:r w:rsidR="00775E89" w:rsidRPr="46CA4F6B">
        <w:rPr>
          <w:rFonts w:eastAsia="Calibri"/>
          <w:sz w:val="24"/>
          <w:szCs w:val="24"/>
          <w:lang w:eastAsia="en-GB"/>
        </w:rPr>
        <w:t>), who supports the capacity development program for the removal of barriers to the deployment of infrastructure</w:t>
      </w:r>
      <w:r w:rsidR="00406A97" w:rsidRPr="46CA4F6B">
        <w:rPr>
          <w:rFonts w:eastAsia="Calibri"/>
          <w:sz w:val="24"/>
          <w:szCs w:val="24"/>
          <w:lang w:eastAsia="en-GB"/>
        </w:rPr>
        <w:t xml:space="preserve"> with the collaboration of </w:t>
      </w:r>
      <w:r w:rsidR="00775E89" w:rsidRPr="46CA4F6B">
        <w:rPr>
          <w:rFonts w:eastAsia="Calibri"/>
          <w:sz w:val="24"/>
          <w:szCs w:val="24"/>
          <w:lang w:eastAsia="en-GB"/>
        </w:rPr>
        <w:t>SBA (ITU-D Sector Member).</w:t>
      </w:r>
    </w:p>
    <w:p w14:paraId="3BFB63B3" w14:textId="6111A2FC" w:rsidR="004B6A41" w:rsidRPr="00F4624D" w:rsidRDefault="004B6A41" w:rsidP="00324DD3">
      <w:pPr>
        <w:pStyle w:val="xmsonormal"/>
        <w:numPr>
          <w:ilvl w:val="0"/>
          <w:numId w:val="2"/>
        </w:numPr>
        <w:spacing w:before="120" w:beforeAutospacing="0" w:after="120" w:afterAutospacing="0"/>
        <w:rPr>
          <w:rFonts w:asciiTheme="minorHAnsi" w:hAnsiTheme="minorHAnsi" w:cstheme="minorHAnsi"/>
          <w:b/>
          <w:bCs/>
          <w:sz w:val="24"/>
          <w:szCs w:val="24"/>
          <w:lang w:val="en-US"/>
        </w:rPr>
      </w:pPr>
      <w:r w:rsidRPr="00F4624D">
        <w:rPr>
          <w:rFonts w:asciiTheme="minorHAnsi" w:hAnsiTheme="minorHAnsi" w:cstheme="minorHAnsi"/>
          <w:b/>
          <w:bCs/>
          <w:sz w:val="24"/>
          <w:szCs w:val="24"/>
        </w:rPr>
        <w:t>ITU-D Study Groups Engagements: </w:t>
      </w:r>
    </w:p>
    <w:p w14:paraId="362C9FAC" w14:textId="416DCE42" w:rsidR="004B6A41" w:rsidRPr="00F4624D" w:rsidRDefault="004B6A41" w:rsidP="4481A918">
      <w:pPr>
        <w:pStyle w:val="ListParagraph"/>
        <w:numPr>
          <w:ilvl w:val="1"/>
          <w:numId w:val="2"/>
        </w:numPr>
        <w:spacing w:before="120" w:after="120" w:line="240" w:lineRule="auto"/>
        <w:ind w:left="851"/>
        <w:rPr>
          <w:rFonts w:eastAsia="Times New Roman"/>
          <w:sz w:val="24"/>
          <w:szCs w:val="24"/>
          <w:u w:val="single"/>
          <w:lang w:eastAsia="en-GB"/>
        </w:rPr>
      </w:pPr>
      <w:r w:rsidRPr="46CA4F6B">
        <w:rPr>
          <w:rFonts w:eastAsia="Times New Roman"/>
          <w:sz w:val="24"/>
          <w:szCs w:val="24"/>
          <w:u w:val="single"/>
        </w:rPr>
        <w:t>ITU Academia</w:t>
      </w:r>
      <w:r w:rsidRPr="46CA4F6B">
        <w:rPr>
          <w:rFonts w:eastAsia="Times New Roman"/>
          <w:sz w:val="24"/>
          <w:szCs w:val="24"/>
        </w:rPr>
        <w:t xml:space="preserve"> </w:t>
      </w:r>
      <w:r w:rsidR="7F86735D" w:rsidRPr="46CA4F6B">
        <w:rPr>
          <w:rFonts w:eastAsia="Times New Roman"/>
          <w:sz w:val="24"/>
          <w:szCs w:val="24"/>
        </w:rPr>
        <w:t xml:space="preserve">members </w:t>
      </w:r>
      <w:r w:rsidRPr="46CA4F6B">
        <w:rPr>
          <w:rFonts w:eastAsia="Times New Roman"/>
          <w:sz w:val="24"/>
          <w:szCs w:val="24"/>
        </w:rPr>
        <w:t xml:space="preserve">with </w:t>
      </w:r>
      <w:r w:rsidRPr="46CA4F6B">
        <w:rPr>
          <w:rFonts w:eastAsia="Times New Roman"/>
          <w:sz w:val="24"/>
          <w:szCs w:val="24"/>
          <w:u w:val="single"/>
        </w:rPr>
        <w:t>representatives in management team</w:t>
      </w:r>
      <w:r w:rsidRPr="46CA4F6B">
        <w:rPr>
          <w:rFonts w:eastAsia="Times New Roman"/>
          <w:sz w:val="24"/>
          <w:szCs w:val="24"/>
        </w:rPr>
        <w:t xml:space="preserve"> where they curate documents contributed to the study Question to develop deliverables (reports, guidelines) as well as contribute</w:t>
      </w:r>
      <w:r w:rsidR="00310C28" w:rsidRPr="46CA4F6B">
        <w:rPr>
          <w:rFonts w:eastAsia="Times New Roman"/>
          <w:sz w:val="24"/>
          <w:szCs w:val="24"/>
        </w:rPr>
        <w:t xml:space="preserve"> to the</w:t>
      </w:r>
      <w:r w:rsidR="3C3DF976" w:rsidRPr="46CA4F6B">
        <w:rPr>
          <w:rFonts w:eastAsia="Times New Roman"/>
          <w:sz w:val="24"/>
          <w:szCs w:val="24"/>
        </w:rPr>
        <w:t xml:space="preserve"> </w:t>
      </w:r>
      <w:r w:rsidRPr="46CA4F6B">
        <w:rPr>
          <w:rFonts w:eastAsia="Times New Roman"/>
          <w:sz w:val="24"/>
          <w:szCs w:val="24"/>
        </w:rPr>
        <w:t>relevant research work:</w:t>
      </w:r>
    </w:p>
    <w:p w14:paraId="68F6548F" w14:textId="77777777" w:rsidR="004B6A41" w:rsidRPr="00F4624D" w:rsidRDefault="004B6A41" w:rsidP="00324DD3">
      <w:pPr>
        <w:pStyle w:val="xmsonormal"/>
        <w:numPr>
          <w:ilvl w:val="0"/>
          <w:numId w:val="10"/>
        </w:numPr>
        <w:spacing w:before="120" w:beforeAutospacing="0" w:after="120" w:afterAutospacing="0"/>
        <w:rPr>
          <w:rFonts w:asciiTheme="minorHAnsi" w:eastAsia="Times New Roman" w:hAnsiTheme="minorHAnsi" w:cstheme="minorHAnsi"/>
          <w:sz w:val="24"/>
          <w:szCs w:val="24"/>
          <w:lang w:val="en-US"/>
        </w:rPr>
      </w:pPr>
      <w:r w:rsidRPr="00F4624D">
        <w:rPr>
          <w:rFonts w:asciiTheme="minorHAnsi" w:eastAsia="Times New Roman" w:hAnsiTheme="minorHAnsi" w:cstheme="minorHAnsi"/>
          <w:sz w:val="24"/>
          <w:szCs w:val="24"/>
          <w:shd w:val="clear" w:color="auto" w:fill="FFFFFF"/>
        </w:rPr>
        <w:t>Anglia Ruskin University - Q4/1</w:t>
      </w:r>
    </w:p>
    <w:p w14:paraId="4D16F24D" w14:textId="77777777" w:rsidR="004B6A41" w:rsidRPr="00F4624D" w:rsidRDefault="004B6A41" w:rsidP="00324DD3">
      <w:pPr>
        <w:pStyle w:val="xmsonormal"/>
        <w:numPr>
          <w:ilvl w:val="0"/>
          <w:numId w:val="10"/>
        </w:numPr>
        <w:spacing w:before="120" w:beforeAutospacing="0" w:after="120" w:afterAutospacing="0"/>
        <w:rPr>
          <w:rFonts w:asciiTheme="minorHAnsi" w:eastAsia="Times New Roman" w:hAnsiTheme="minorHAnsi" w:cstheme="minorHAnsi"/>
          <w:sz w:val="24"/>
          <w:szCs w:val="24"/>
          <w:lang w:val="en-US"/>
        </w:rPr>
      </w:pPr>
      <w:r w:rsidRPr="00F4624D">
        <w:rPr>
          <w:rFonts w:asciiTheme="minorHAnsi" w:eastAsia="Times New Roman" w:hAnsiTheme="minorHAnsi" w:cstheme="minorHAnsi"/>
          <w:sz w:val="24"/>
          <w:szCs w:val="24"/>
          <w:shd w:val="clear" w:color="auto" w:fill="FFFFFF"/>
        </w:rPr>
        <w:t>Beijing University of Posts and Telecommunications - Q4/1 </w:t>
      </w:r>
    </w:p>
    <w:p w14:paraId="045A5396" w14:textId="77777777" w:rsidR="004B6A41" w:rsidRPr="00F4624D" w:rsidRDefault="004B6A41" w:rsidP="00324DD3">
      <w:pPr>
        <w:pStyle w:val="xmsonormal"/>
        <w:numPr>
          <w:ilvl w:val="0"/>
          <w:numId w:val="10"/>
        </w:numPr>
        <w:spacing w:before="120" w:beforeAutospacing="0" w:after="120" w:afterAutospacing="0"/>
        <w:rPr>
          <w:rFonts w:asciiTheme="minorHAnsi" w:eastAsia="Times New Roman" w:hAnsiTheme="minorHAnsi" w:cstheme="minorHAnsi"/>
          <w:sz w:val="24"/>
          <w:szCs w:val="24"/>
          <w:lang w:val="en-US"/>
        </w:rPr>
      </w:pPr>
      <w:r w:rsidRPr="00F4624D">
        <w:rPr>
          <w:rFonts w:asciiTheme="minorHAnsi" w:eastAsia="Times New Roman" w:hAnsiTheme="minorHAnsi" w:cstheme="minorHAnsi"/>
          <w:sz w:val="24"/>
          <w:szCs w:val="24"/>
          <w:shd w:val="clear" w:color="auto" w:fill="FFFFFF"/>
        </w:rPr>
        <w:t>China Institute of Communications (CIC) - Q2/1, Q6/1, and Q7/2</w:t>
      </w:r>
    </w:p>
    <w:p w14:paraId="18454C47" w14:textId="77777777" w:rsidR="004B6A41" w:rsidRPr="00F4624D" w:rsidRDefault="004B6A41" w:rsidP="00324DD3">
      <w:pPr>
        <w:pStyle w:val="xmsonormal"/>
        <w:numPr>
          <w:ilvl w:val="0"/>
          <w:numId w:val="10"/>
        </w:numPr>
        <w:spacing w:before="120" w:beforeAutospacing="0" w:after="120" w:afterAutospacing="0"/>
        <w:rPr>
          <w:rFonts w:asciiTheme="minorHAnsi" w:eastAsia="Times New Roman" w:hAnsiTheme="minorHAnsi" w:cstheme="minorHAnsi"/>
          <w:sz w:val="24"/>
          <w:szCs w:val="24"/>
          <w:lang w:val="fr-FR"/>
        </w:rPr>
      </w:pPr>
      <w:r w:rsidRPr="00F4624D">
        <w:rPr>
          <w:rFonts w:asciiTheme="minorHAnsi" w:eastAsia="Times New Roman" w:hAnsiTheme="minorHAnsi" w:cstheme="minorHAnsi"/>
          <w:sz w:val="24"/>
          <w:szCs w:val="24"/>
          <w:shd w:val="clear" w:color="auto" w:fill="FFFFFF"/>
          <w:lang w:val="fr-FR"/>
        </w:rPr>
        <w:t>Ecole Nationale Supérieure des Postes, Télécommunications et TIC (SUP'PTIC) of Cameroon Q3/1, Q6/1 and Q5/2</w:t>
      </w:r>
    </w:p>
    <w:p w14:paraId="358C0EC5" w14:textId="77777777" w:rsidR="004B6A41" w:rsidRPr="00F4624D" w:rsidRDefault="004B6A41" w:rsidP="00324DD3">
      <w:pPr>
        <w:pStyle w:val="xmsonormal"/>
        <w:numPr>
          <w:ilvl w:val="0"/>
          <w:numId w:val="10"/>
        </w:numPr>
        <w:spacing w:before="120" w:beforeAutospacing="0" w:after="120" w:afterAutospacing="0"/>
        <w:rPr>
          <w:rFonts w:asciiTheme="minorHAnsi" w:eastAsia="Times New Roman" w:hAnsiTheme="minorHAnsi" w:cstheme="minorHAnsi"/>
          <w:sz w:val="24"/>
          <w:szCs w:val="24"/>
          <w:lang w:val="en-US"/>
        </w:rPr>
      </w:pPr>
      <w:r w:rsidRPr="00F4624D">
        <w:rPr>
          <w:rFonts w:asciiTheme="minorHAnsi" w:eastAsia="Times New Roman" w:hAnsiTheme="minorHAnsi" w:cstheme="minorHAnsi"/>
          <w:sz w:val="24"/>
          <w:szCs w:val="24"/>
        </w:rPr>
        <w:t>Seisa University, Japan – Q2/2</w:t>
      </w:r>
    </w:p>
    <w:p w14:paraId="5232EC25" w14:textId="0658460B" w:rsidR="004B6A41" w:rsidRPr="00F4624D" w:rsidRDefault="004B6A41" w:rsidP="31CBAD24">
      <w:pPr>
        <w:pStyle w:val="xmsolistparagraph"/>
        <w:numPr>
          <w:ilvl w:val="1"/>
          <w:numId w:val="2"/>
        </w:numPr>
        <w:spacing w:before="120" w:beforeAutospacing="0" w:after="120" w:afterAutospacing="0"/>
        <w:ind w:left="851"/>
        <w:rPr>
          <w:rFonts w:asciiTheme="minorHAnsi" w:eastAsia="Times New Roman" w:hAnsiTheme="minorHAnsi" w:cstheme="minorBidi"/>
          <w:color w:val="000000"/>
          <w:sz w:val="24"/>
          <w:szCs w:val="24"/>
          <w:lang w:val="en-US"/>
        </w:rPr>
      </w:pPr>
      <w:r w:rsidRPr="31CBAD24">
        <w:rPr>
          <w:rFonts w:asciiTheme="minorHAnsi" w:eastAsia="Times New Roman" w:hAnsiTheme="minorHAnsi" w:cstheme="minorBidi"/>
          <w:color w:val="000000" w:themeColor="text1"/>
          <w:sz w:val="24"/>
          <w:szCs w:val="24"/>
          <w:u w:val="single"/>
        </w:rPr>
        <w:t>ITU Academia</w:t>
      </w:r>
      <w:r w:rsidRPr="31CBAD24">
        <w:rPr>
          <w:rFonts w:asciiTheme="minorHAnsi" w:eastAsia="Times New Roman" w:hAnsiTheme="minorHAnsi" w:cstheme="minorBidi"/>
          <w:color w:val="000000" w:themeColor="text1"/>
          <w:sz w:val="24"/>
          <w:szCs w:val="24"/>
        </w:rPr>
        <w:t xml:space="preserve"> me</w:t>
      </w:r>
      <w:r w:rsidRPr="00A50EF3">
        <w:rPr>
          <w:rFonts w:asciiTheme="minorHAnsi" w:eastAsia="Times New Roman" w:hAnsiTheme="minorHAnsi" w:cstheme="minorBidi"/>
          <w:color w:val="000000" w:themeColor="text1"/>
          <w:sz w:val="24"/>
          <w:szCs w:val="24"/>
        </w:rPr>
        <w:t>mbers are</w:t>
      </w:r>
      <w:r w:rsidR="00C61FFF" w:rsidRPr="00A50EF3">
        <w:rPr>
          <w:rFonts w:asciiTheme="minorHAnsi" w:eastAsia="Times New Roman" w:hAnsiTheme="minorHAnsi" w:cstheme="minorBidi"/>
          <w:color w:val="000000" w:themeColor="text1"/>
          <w:sz w:val="24"/>
          <w:szCs w:val="24"/>
        </w:rPr>
        <w:t xml:space="preserve"> </w:t>
      </w:r>
      <w:r w:rsidRPr="00A50EF3">
        <w:rPr>
          <w:rFonts w:asciiTheme="minorHAnsi" w:eastAsia="Times New Roman" w:hAnsiTheme="minorHAnsi" w:cstheme="minorBidi"/>
          <w:color w:val="000000" w:themeColor="text1"/>
          <w:sz w:val="24"/>
          <w:szCs w:val="24"/>
        </w:rPr>
        <w:t>also</w:t>
      </w:r>
      <w:r w:rsidRPr="31CBAD24">
        <w:rPr>
          <w:rFonts w:asciiTheme="minorHAnsi" w:eastAsia="Times New Roman" w:hAnsiTheme="minorHAnsi" w:cstheme="minorBidi"/>
          <w:color w:val="000000" w:themeColor="text1"/>
          <w:sz w:val="24"/>
          <w:szCs w:val="24"/>
        </w:rPr>
        <w:t xml:space="preserve"> engaged as active contributors sharing their relevant research work with study Questions:</w:t>
      </w:r>
    </w:p>
    <w:p w14:paraId="303CDE5D" w14:textId="1AC35224" w:rsidR="004B6A41" w:rsidRPr="00F4624D" w:rsidRDefault="004B6A41" w:rsidP="00324DD3">
      <w:pPr>
        <w:pStyle w:val="xmsolistparagraph"/>
        <w:numPr>
          <w:ilvl w:val="1"/>
          <w:numId w:val="11"/>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sz w:val="24"/>
          <w:szCs w:val="24"/>
          <w:shd w:val="clear" w:color="auto" w:fill="FFFFFF"/>
        </w:rPr>
        <w:t>Waseda University, Japan</w:t>
      </w:r>
    </w:p>
    <w:p w14:paraId="2A2B6D74" w14:textId="77777777" w:rsidR="004B6A41" w:rsidRPr="00F4624D" w:rsidRDefault="004B6A41" w:rsidP="00324DD3">
      <w:pPr>
        <w:pStyle w:val="xmsolistparagraph"/>
        <w:numPr>
          <w:ilvl w:val="1"/>
          <w:numId w:val="11"/>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sz w:val="24"/>
          <w:szCs w:val="24"/>
          <w:shd w:val="clear" w:color="auto" w:fill="FFFFFF"/>
        </w:rPr>
        <w:lastRenderedPageBreak/>
        <w:t>Institute of Telecommunications and Global Information Space, Ukraine</w:t>
      </w:r>
    </w:p>
    <w:p w14:paraId="69BBAF6F" w14:textId="77777777" w:rsidR="004B6A41" w:rsidRPr="00F4624D" w:rsidRDefault="004B6A41" w:rsidP="00324DD3">
      <w:pPr>
        <w:pStyle w:val="xmsolistparagraph"/>
        <w:numPr>
          <w:ilvl w:val="1"/>
          <w:numId w:val="11"/>
        </w:numPr>
        <w:spacing w:before="120" w:beforeAutospacing="0" w:after="120" w:afterAutospacing="0"/>
        <w:rPr>
          <w:rFonts w:asciiTheme="minorHAnsi" w:eastAsia="Times New Roman" w:hAnsiTheme="minorHAnsi" w:cstheme="minorHAnsi"/>
          <w:color w:val="000000"/>
          <w:sz w:val="24"/>
          <w:szCs w:val="24"/>
          <w:lang w:val="fr-FR"/>
        </w:rPr>
      </w:pPr>
      <w:r w:rsidRPr="00F4624D">
        <w:rPr>
          <w:rFonts w:asciiTheme="minorHAnsi" w:eastAsia="Times New Roman" w:hAnsiTheme="minorHAnsi" w:cstheme="minorHAnsi"/>
          <w:sz w:val="24"/>
          <w:szCs w:val="24"/>
          <w:shd w:val="clear" w:color="auto" w:fill="FFFFFF"/>
          <w:lang w:val="fr-FR"/>
        </w:rPr>
        <w:t>Universitat Autònoma de Barcelona, Spain</w:t>
      </w:r>
    </w:p>
    <w:p w14:paraId="6DBE52AB" w14:textId="0E08268D" w:rsidR="004B6A41" w:rsidRPr="00F4624D" w:rsidRDefault="004B6A41" w:rsidP="00324DD3">
      <w:pPr>
        <w:pStyle w:val="xmsolistparagraph"/>
        <w:numPr>
          <w:ilvl w:val="1"/>
          <w:numId w:val="11"/>
        </w:numPr>
        <w:spacing w:before="120" w:beforeAutospacing="0" w:after="120" w:afterAutospacing="0"/>
        <w:rPr>
          <w:rFonts w:asciiTheme="minorHAnsi" w:eastAsia="Times New Roman" w:hAnsiTheme="minorHAnsi" w:cstheme="minorHAnsi"/>
          <w:color w:val="000000"/>
          <w:sz w:val="24"/>
          <w:szCs w:val="24"/>
          <w:lang w:val="fr-FR"/>
        </w:rPr>
      </w:pPr>
      <w:r w:rsidRPr="00F4624D">
        <w:rPr>
          <w:rFonts w:asciiTheme="minorHAnsi" w:eastAsia="Times New Roman" w:hAnsiTheme="minorHAnsi" w:cstheme="minorHAnsi"/>
          <w:sz w:val="24"/>
          <w:szCs w:val="24"/>
          <w:shd w:val="clear" w:color="auto" w:fill="FFFFFF"/>
        </w:rPr>
        <w:t>Nazarbayev University, Kazakhstan</w:t>
      </w:r>
    </w:p>
    <w:p w14:paraId="0B7B6AB3" w14:textId="0383BB0A" w:rsidR="004B6A41" w:rsidRPr="00F4624D" w:rsidRDefault="004B6A41" w:rsidP="31CBAD24">
      <w:pPr>
        <w:pStyle w:val="xmsonormal"/>
        <w:numPr>
          <w:ilvl w:val="0"/>
          <w:numId w:val="9"/>
        </w:numPr>
        <w:spacing w:before="120" w:beforeAutospacing="0" w:after="120" w:afterAutospacing="0"/>
        <w:rPr>
          <w:rFonts w:asciiTheme="minorHAnsi" w:hAnsiTheme="minorHAnsi" w:cstheme="minorBidi"/>
          <w:color w:val="000000"/>
          <w:sz w:val="24"/>
          <w:szCs w:val="24"/>
          <w:lang w:val="en-US"/>
        </w:rPr>
      </w:pPr>
      <w:r w:rsidRPr="31CBAD24">
        <w:rPr>
          <w:rFonts w:asciiTheme="minorHAnsi" w:hAnsiTheme="minorHAnsi" w:cstheme="minorBidi"/>
          <w:color w:val="000000" w:themeColor="text1"/>
          <w:sz w:val="24"/>
          <w:szCs w:val="24"/>
          <w:u w:val="single"/>
        </w:rPr>
        <w:t>Non-Academia</w:t>
      </w:r>
      <w:r w:rsidRPr="31CBAD24">
        <w:rPr>
          <w:rFonts w:asciiTheme="minorHAnsi" w:hAnsiTheme="minorHAnsi" w:cstheme="minorBidi"/>
          <w:color w:val="000000" w:themeColor="text1"/>
          <w:sz w:val="24"/>
          <w:szCs w:val="24"/>
        </w:rPr>
        <w:t xml:space="preserve"> </w:t>
      </w:r>
      <w:r w:rsidR="22A0E0CC" w:rsidRPr="31CBAD24">
        <w:rPr>
          <w:rFonts w:asciiTheme="minorHAnsi" w:hAnsiTheme="minorHAnsi" w:cstheme="minorBidi"/>
          <w:color w:val="000000" w:themeColor="text1"/>
          <w:sz w:val="24"/>
          <w:szCs w:val="24"/>
        </w:rPr>
        <w:t xml:space="preserve">members </w:t>
      </w:r>
      <w:r w:rsidRPr="31CBAD24">
        <w:rPr>
          <w:rFonts w:asciiTheme="minorHAnsi" w:hAnsiTheme="minorHAnsi" w:cstheme="minorBidi"/>
          <w:color w:val="000000" w:themeColor="text1"/>
          <w:sz w:val="24"/>
          <w:szCs w:val="24"/>
        </w:rPr>
        <w:t>also shared their work through public workshops organised in</w:t>
      </w:r>
      <w:r w:rsidRPr="31CBAD24">
        <w:rPr>
          <w:rStyle w:val="apple-converted-space"/>
          <w:rFonts w:asciiTheme="minorHAnsi" w:hAnsiTheme="minorHAnsi" w:cstheme="minorBidi"/>
          <w:color w:val="000000" w:themeColor="text1"/>
          <w:sz w:val="24"/>
          <w:szCs w:val="24"/>
        </w:rPr>
        <w:t> </w:t>
      </w:r>
      <w:r w:rsidRPr="31CBAD24">
        <w:rPr>
          <w:rFonts w:asciiTheme="minorHAnsi" w:hAnsiTheme="minorHAnsi" w:cstheme="minorBidi"/>
          <w:b/>
          <w:bCs/>
          <w:color w:val="000000" w:themeColor="text1"/>
          <w:sz w:val="24"/>
          <w:szCs w:val="24"/>
        </w:rPr>
        <w:t>April/ May 2024</w:t>
      </w:r>
      <w:r w:rsidRPr="31CBAD24">
        <w:rPr>
          <w:rStyle w:val="apple-converted-space"/>
          <w:rFonts w:asciiTheme="minorHAnsi" w:hAnsiTheme="minorHAnsi" w:cstheme="minorBidi"/>
          <w:color w:val="000000" w:themeColor="text1"/>
          <w:sz w:val="24"/>
          <w:szCs w:val="24"/>
        </w:rPr>
        <w:t> </w:t>
      </w:r>
      <w:r w:rsidRPr="31CBAD24">
        <w:rPr>
          <w:rFonts w:asciiTheme="minorHAnsi" w:hAnsiTheme="minorHAnsi" w:cstheme="minorBidi"/>
          <w:color w:val="000000" w:themeColor="text1"/>
          <w:sz w:val="24"/>
          <w:szCs w:val="24"/>
        </w:rPr>
        <w:t>to complement content of ITU-D Study Groups:</w:t>
      </w:r>
    </w:p>
    <w:p w14:paraId="18B917B7"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color w:val="000000"/>
          <w:sz w:val="24"/>
          <w:szCs w:val="24"/>
          <w:shd w:val="clear" w:color="auto" w:fill="FFFFFF"/>
        </w:rPr>
        <w:t>Federal University of Maranhão (UFMA), Brazil</w:t>
      </w:r>
    </w:p>
    <w:p w14:paraId="0FCF9449"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color w:val="000000"/>
          <w:sz w:val="24"/>
          <w:szCs w:val="24"/>
          <w:shd w:val="clear" w:color="auto" w:fill="FFFFFF"/>
        </w:rPr>
        <w:t>Tsinghua University, China </w:t>
      </w:r>
    </w:p>
    <w:p w14:paraId="29786EF7"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Style w:val="xapple-converted-space"/>
          <w:rFonts w:asciiTheme="minorHAnsi" w:eastAsia="Times New Roman" w:hAnsiTheme="minorHAnsi" w:cstheme="minorHAnsi"/>
          <w:color w:val="000000"/>
          <w:sz w:val="24"/>
          <w:szCs w:val="24"/>
          <w:shd w:val="clear" w:color="auto" w:fill="FFFFFF"/>
        </w:rPr>
        <w:t>University Cheikh Anta Diop, Senegal</w:t>
      </w:r>
    </w:p>
    <w:p w14:paraId="0C45C749"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Style w:val="xapple-converted-space"/>
          <w:rFonts w:asciiTheme="minorHAnsi" w:eastAsia="Times New Roman" w:hAnsiTheme="minorHAnsi" w:cstheme="minorHAnsi"/>
          <w:color w:val="000000"/>
          <w:sz w:val="24"/>
          <w:szCs w:val="24"/>
          <w:shd w:val="clear" w:color="auto" w:fill="FFFFFF"/>
        </w:rPr>
        <w:t>Fraunhofer HHI, Germany</w:t>
      </w:r>
    </w:p>
    <w:p w14:paraId="6BFAEEEB"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Style w:val="xapple-converted-space"/>
          <w:rFonts w:asciiTheme="minorHAnsi" w:eastAsia="Times New Roman" w:hAnsiTheme="minorHAnsi" w:cstheme="minorHAnsi"/>
          <w:color w:val="000000"/>
          <w:sz w:val="24"/>
          <w:szCs w:val="24"/>
        </w:rPr>
        <w:t>Keio University, Japan</w:t>
      </w:r>
    </w:p>
    <w:p w14:paraId="14AC9E71"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color w:val="000000"/>
          <w:sz w:val="24"/>
          <w:szCs w:val="24"/>
        </w:rPr>
        <w:t>Thammasat University,</w:t>
      </w:r>
      <w:r w:rsidRPr="00F4624D">
        <w:rPr>
          <w:rStyle w:val="apple-converted-space"/>
          <w:rFonts w:asciiTheme="minorHAnsi" w:eastAsia="Times New Roman" w:hAnsiTheme="minorHAnsi" w:cstheme="minorHAnsi"/>
          <w:color w:val="000000"/>
          <w:sz w:val="24"/>
          <w:szCs w:val="24"/>
        </w:rPr>
        <w:t> </w:t>
      </w:r>
      <w:r w:rsidRPr="00F4624D">
        <w:rPr>
          <w:rFonts w:asciiTheme="minorHAnsi" w:eastAsia="Times New Roman" w:hAnsiTheme="minorHAnsi" w:cstheme="minorHAnsi"/>
          <w:color w:val="000000"/>
          <w:sz w:val="24"/>
          <w:szCs w:val="24"/>
        </w:rPr>
        <w:t>Thailand</w:t>
      </w:r>
    </w:p>
    <w:p w14:paraId="3D470C46" w14:textId="77777777" w:rsidR="004B6A41" w:rsidRPr="001F7C0E"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s-ES"/>
        </w:rPr>
      </w:pPr>
      <w:r w:rsidRPr="001F7C0E">
        <w:rPr>
          <w:rFonts w:asciiTheme="minorHAnsi" w:eastAsia="Times New Roman" w:hAnsiTheme="minorHAnsi" w:cstheme="minorHAnsi"/>
          <w:color w:val="000000"/>
          <w:sz w:val="24"/>
          <w:szCs w:val="24"/>
          <w:lang w:val="es-ES"/>
        </w:rPr>
        <w:t>Universidade Federal de Campina Grande, Brazil</w:t>
      </w:r>
    </w:p>
    <w:p w14:paraId="69AEAE3F"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color w:val="000000"/>
          <w:sz w:val="24"/>
          <w:szCs w:val="24"/>
        </w:rPr>
        <w:t>Texas A&amp;M University,</w:t>
      </w:r>
      <w:r w:rsidRPr="00F4624D">
        <w:rPr>
          <w:rStyle w:val="apple-converted-space"/>
          <w:rFonts w:asciiTheme="minorHAnsi" w:eastAsia="Times New Roman" w:hAnsiTheme="minorHAnsi" w:cstheme="minorHAnsi"/>
          <w:color w:val="000000"/>
          <w:sz w:val="24"/>
          <w:szCs w:val="24"/>
        </w:rPr>
        <w:t> </w:t>
      </w:r>
      <w:r w:rsidRPr="00F4624D">
        <w:rPr>
          <w:rFonts w:asciiTheme="minorHAnsi" w:eastAsia="Times New Roman" w:hAnsiTheme="minorHAnsi" w:cstheme="minorHAnsi"/>
          <w:color w:val="000000"/>
          <w:sz w:val="24"/>
          <w:szCs w:val="24"/>
        </w:rPr>
        <w:t>United States</w:t>
      </w:r>
    </w:p>
    <w:p w14:paraId="6D5F9867"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color w:val="000000"/>
          <w:sz w:val="24"/>
          <w:szCs w:val="24"/>
        </w:rPr>
        <w:t>University of Geneva, Switzerland</w:t>
      </w:r>
    </w:p>
    <w:p w14:paraId="07668861"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color w:val="000000"/>
          <w:sz w:val="24"/>
          <w:szCs w:val="24"/>
        </w:rPr>
        <w:t>Middle East Technical University,</w:t>
      </w:r>
      <w:r w:rsidRPr="00F4624D">
        <w:rPr>
          <w:rStyle w:val="apple-converted-space"/>
          <w:rFonts w:asciiTheme="minorHAnsi" w:eastAsia="Times New Roman" w:hAnsiTheme="minorHAnsi" w:cstheme="minorHAnsi"/>
          <w:color w:val="000000"/>
          <w:sz w:val="24"/>
          <w:szCs w:val="24"/>
        </w:rPr>
        <w:t> </w:t>
      </w:r>
      <w:r w:rsidRPr="00F4624D">
        <w:rPr>
          <w:rFonts w:asciiTheme="minorHAnsi" w:eastAsia="Times New Roman" w:hAnsiTheme="minorHAnsi" w:cstheme="minorHAnsi"/>
          <w:color w:val="000000"/>
          <w:sz w:val="24"/>
          <w:szCs w:val="24"/>
        </w:rPr>
        <w:t>Türkiye</w:t>
      </w:r>
    </w:p>
    <w:p w14:paraId="038AA684"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en-US"/>
        </w:rPr>
      </w:pPr>
      <w:r w:rsidRPr="00F4624D">
        <w:rPr>
          <w:rFonts w:asciiTheme="minorHAnsi" w:eastAsia="Times New Roman" w:hAnsiTheme="minorHAnsi" w:cstheme="minorHAnsi"/>
          <w:color w:val="000000"/>
          <w:sz w:val="24"/>
          <w:szCs w:val="24"/>
        </w:rPr>
        <w:t>University of Jyväskylä,</w:t>
      </w:r>
      <w:r w:rsidRPr="00F4624D">
        <w:rPr>
          <w:rStyle w:val="apple-converted-space"/>
          <w:rFonts w:asciiTheme="minorHAnsi" w:eastAsia="Times New Roman" w:hAnsiTheme="minorHAnsi" w:cstheme="minorHAnsi"/>
          <w:color w:val="000000"/>
          <w:sz w:val="24"/>
          <w:szCs w:val="24"/>
        </w:rPr>
        <w:t> </w:t>
      </w:r>
      <w:r w:rsidRPr="00F4624D">
        <w:rPr>
          <w:rFonts w:asciiTheme="minorHAnsi" w:eastAsia="Times New Roman" w:hAnsiTheme="minorHAnsi" w:cstheme="minorHAnsi"/>
          <w:color w:val="000000"/>
          <w:sz w:val="24"/>
          <w:szCs w:val="24"/>
        </w:rPr>
        <w:t>Finland</w:t>
      </w:r>
    </w:p>
    <w:p w14:paraId="7922CF0C" w14:textId="77777777" w:rsidR="004B6A41" w:rsidRPr="00F4624D" w:rsidRDefault="004B6A41" w:rsidP="00324DD3">
      <w:pPr>
        <w:pStyle w:val="xmsonormal"/>
        <w:numPr>
          <w:ilvl w:val="0"/>
          <w:numId w:val="12"/>
        </w:numPr>
        <w:spacing w:before="120" w:beforeAutospacing="0" w:after="120" w:afterAutospacing="0"/>
        <w:rPr>
          <w:rFonts w:asciiTheme="minorHAnsi" w:eastAsia="Times New Roman" w:hAnsiTheme="minorHAnsi" w:cstheme="minorHAnsi"/>
          <w:color w:val="000000"/>
          <w:sz w:val="24"/>
          <w:szCs w:val="24"/>
          <w:lang w:val="fr-FR"/>
        </w:rPr>
      </w:pPr>
      <w:r w:rsidRPr="00F4624D">
        <w:rPr>
          <w:rFonts w:asciiTheme="minorHAnsi" w:eastAsia="Times New Roman" w:hAnsiTheme="minorHAnsi" w:cstheme="minorHAnsi"/>
          <w:color w:val="000000"/>
          <w:sz w:val="24"/>
          <w:szCs w:val="24"/>
          <w:lang w:val="fr-CH"/>
        </w:rPr>
        <w:t>Ecole Nationale de Cybersecurité à Vocation Régionale, Senegal</w:t>
      </w:r>
    </w:p>
    <w:p w14:paraId="68BF0AD3" w14:textId="6FAB1418" w:rsidR="00D76A01" w:rsidRPr="00F4624D" w:rsidRDefault="00D76A01" w:rsidP="31CBAD24">
      <w:pPr>
        <w:pStyle w:val="ListParagraph"/>
        <w:numPr>
          <w:ilvl w:val="0"/>
          <w:numId w:val="2"/>
        </w:numPr>
        <w:spacing w:before="120" w:after="120" w:line="240" w:lineRule="auto"/>
        <w:rPr>
          <w:rFonts w:eastAsia="Calibri"/>
          <w:sz w:val="24"/>
          <w:szCs w:val="24"/>
          <w:lang w:eastAsia="en-GB"/>
        </w:rPr>
      </w:pPr>
      <w:r w:rsidRPr="31CBAD24">
        <w:rPr>
          <w:rFonts w:eastAsia="Calibri"/>
          <w:b/>
          <w:bCs/>
          <w:sz w:val="24"/>
          <w:szCs w:val="24"/>
          <w:lang w:eastAsia="en-GB"/>
        </w:rPr>
        <w:t>University of Tokyo</w:t>
      </w:r>
      <w:r w:rsidR="00406A97" w:rsidRPr="31CBAD24">
        <w:rPr>
          <w:rFonts w:eastAsia="Calibri"/>
          <w:b/>
          <w:bCs/>
          <w:sz w:val="24"/>
          <w:szCs w:val="24"/>
          <w:lang w:eastAsia="en-GB"/>
        </w:rPr>
        <w:t>, Japan</w:t>
      </w:r>
      <w:r w:rsidRPr="31CBAD24">
        <w:rPr>
          <w:rFonts w:eastAsia="Calibri"/>
          <w:b/>
          <w:bCs/>
          <w:sz w:val="24"/>
          <w:szCs w:val="24"/>
          <w:lang w:eastAsia="en-GB"/>
        </w:rPr>
        <w:t xml:space="preserve"> (ITU Academia</w:t>
      </w:r>
      <w:r w:rsidR="4D88EAF2" w:rsidRPr="31CBAD24">
        <w:rPr>
          <w:rFonts w:eastAsia="Calibri"/>
          <w:b/>
          <w:bCs/>
          <w:sz w:val="24"/>
          <w:szCs w:val="24"/>
          <w:lang w:eastAsia="en-GB"/>
        </w:rPr>
        <w:t xml:space="preserve"> member</w:t>
      </w:r>
      <w:r w:rsidRPr="31CBAD24">
        <w:rPr>
          <w:rFonts w:eastAsia="Calibri"/>
          <w:b/>
          <w:bCs/>
          <w:sz w:val="24"/>
          <w:szCs w:val="24"/>
          <w:lang w:eastAsia="en-GB"/>
        </w:rPr>
        <w:t xml:space="preserve">): </w:t>
      </w:r>
      <w:r w:rsidRPr="31CBAD24">
        <w:rPr>
          <w:rFonts w:eastAsia="Calibri"/>
          <w:sz w:val="24"/>
          <w:szCs w:val="24"/>
          <w:lang w:eastAsia="en-GB"/>
        </w:rPr>
        <w:t xml:space="preserve">Since 2015 (ongoing), collaboration on the development of </w:t>
      </w:r>
      <w:r w:rsidRPr="31CBAD24">
        <w:rPr>
          <w:rFonts w:eastAsia="Calibri"/>
          <w:sz w:val="24"/>
          <w:szCs w:val="24"/>
          <w:u w:val="single"/>
          <w:lang w:eastAsia="en-GB"/>
        </w:rPr>
        <w:t>methodologies for using mobile phone big data</w:t>
      </w:r>
      <w:r w:rsidRPr="31CBAD24">
        <w:rPr>
          <w:rFonts w:eastAsia="Calibri"/>
          <w:sz w:val="24"/>
          <w:szCs w:val="24"/>
          <w:lang w:eastAsia="en-GB"/>
        </w:rPr>
        <w:t xml:space="preserve"> for official statistics and disaster response. The collaboration began with the University of Tokyo assisting ITU in analysing population movements using Call Detail Records (CDR) data to help Member States in emergency telecommunications. ITU has continued the partnership with this University as member of the Task Team of the United Nations Committee of Experts on Big Data and Data Science for Official Statistics (UN-CEBD Task Team) on Mobile Phone Data, led by the ITU.</w:t>
      </w:r>
    </w:p>
    <w:p w14:paraId="571B5008" w14:textId="4CD5A761" w:rsidR="00D76A01" w:rsidRPr="00F4624D" w:rsidRDefault="00D76A01" w:rsidP="31CBAD24">
      <w:pPr>
        <w:pStyle w:val="ListParagraph"/>
        <w:numPr>
          <w:ilvl w:val="0"/>
          <w:numId w:val="2"/>
        </w:numPr>
        <w:spacing w:before="120" w:after="120" w:line="240" w:lineRule="auto"/>
        <w:rPr>
          <w:rFonts w:eastAsia="Calibri"/>
          <w:sz w:val="24"/>
          <w:szCs w:val="24"/>
          <w:lang w:eastAsia="en-GB"/>
        </w:rPr>
      </w:pPr>
      <w:r w:rsidRPr="31CBAD24">
        <w:rPr>
          <w:rFonts w:eastAsia="Calibri"/>
          <w:b/>
          <w:bCs/>
          <w:sz w:val="24"/>
          <w:szCs w:val="24"/>
          <w:lang w:val="en-US" w:eastAsia="en-GB"/>
        </w:rPr>
        <w:t>University of Warwick, United Kingdom (Non-</w:t>
      </w:r>
      <w:r w:rsidR="00852F09" w:rsidRPr="31CBAD24">
        <w:rPr>
          <w:rFonts w:eastAsia="Calibri"/>
          <w:b/>
          <w:bCs/>
          <w:sz w:val="24"/>
          <w:szCs w:val="24"/>
          <w:lang w:val="en-US" w:eastAsia="en-GB"/>
        </w:rPr>
        <w:t>Academia</w:t>
      </w:r>
      <w:r w:rsidR="75A61E44" w:rsidRPr="31CBAD24">
        <w:rPr>
          <w:rFonts w:eastAsia="Calibri"/>
          <w:b/>
          <w:bCs/>
          <w:sz w:val="24"/>
          <w:szCs w:val="24"/>
          <w:lang w:val="en-US" w:eastAsia="en-GB"/>
        </w:rPr>
        <w:t xml:space="preserve"> member</w:t>
      </w:r>
      <w:r w:rsidRPr="31CBAD24">
        <w:rPr>
          <w:rFonts w:eastAsia="Calibri"/>
          <w:b/>
          <w:bCs/>
          <w:sz w:val="24"/>
          <w:szCs w:val="24"/>
          <w:lang w:val="en-US" w:eastAsia="en-GB"/>
        </w:rPr>
        <w:t xml:space="preserve">): </w:t>
      </w:r>
      <w:r w:rsidRPr="31CBAD24">
        <w:rPr>
          <w:rFonts w:eastAsia="Calibri"/>
          <w:sz w:val="24"/>
          <w:szCs w:val="24"/>
          <w:lang w:val="en-US" w:eastAsia="en-GB"/>
        </w:rPr>
        <w:t xml:space="preserve">2021-2022, the ICT Data and Analytics Division partnered with the University of Warwick to </w:t>
      </w:r>
      <w:r w:rsidRPr="31CBAD24">
        <w:rPr>
          <w:rFonts w:eastAsia="Calibri"/>
          <w:sz w:val="24"/>
          <w:szCs w:val="24"/>
          <w:u w:val="single"/>
          <w:lang w:val="en-US" w:eastAsia="en-GB"/>
        </w:rPr>
        <w:t>create machine learning models for estimating internet usage in communities next to schools</w:t>
      </w:r>
      <w:r w:rsidRPr="31CBAD24">
        <w:rPr>
          <w:rFonts w:eastAsia="Calibri"/>
          <w:sz w:val="24"/>
          <w:szCs w:val="24"/>
          <w:lang w:val="en-US" w:eastAsia="en-GB"/>
        </w:rPr>
        <w:t xml:space="preserve">. This effort utilized publicly accessible open-source big data, including satellite imagery, social media usage, and data on population and ICT infrastructure. The partnership began in the summer of 2021 through the university's Data Science for Social Good program. It involved using ICT household data from Brazil, Thailand, and the Philippines as "ground truth data" for training the machine learning models. This initial stage was innovative, demonstrating the feasibility of using open-source data for local-level internet usage estimations. In 2022, the collaboration progressed as </w:t>
      </w:r>
      <w:r w:rsidRPr="31CBAD24">
        <w:rPr>
          <w:rFonts w:eastAsia="Calibri"/>
          <w:sz w:val="24"/>
          <w:szCs w:val="24"/>
          <w:u w:val="single"/>
          <w:lang w:val="en-US" w:eastAsia="en-GB"/>
        </w:rPr>
        <w:t>students assisted the ITU in enhancing and refining the Python codes for big data collection, processing, and analysis</w:t>
      </w:r>
      <w:r w:rsidRPr="31CBAD24">
        <w:rPr>
          <w:rFonts w:eastAsia="Calibri"/>
          <w:sz w:val="24"/>
          <w:szCs w:val="24"/>
          <w:lang w:val="en-US" w:eastAsia="en-GB"/>
        </w:rPr>
        <w:t>. The Data Science for Social Good program at the University of Warwick proved to be an excellent opportunity for the ITU to engage with skilled data scientists and explore new ways of using ITU data for policymaking.</w:t>
      </w:r>
    </w:p>
    <w:p w14:paraId="472293CE" w14:textId="3B83101A" w:rsidR="00D76A01" w:rsidRPr="00F4624D" w:rsidRDefault="00D76A01" w:rsidP="31CBAD24">
      <w:pPr>
        <w:pStyle w:val="ListParagraph"/>
        <w:numPr>
          <w:ilvl w:val="0"/>
          <w:numId w:val="2"/>
        </w:numPr>
        <w:spacing w:before="120" w:after="120" w:line="240" w:lineRule="auto"/>
        <w:rPr>
          <w:rFonts w:eastAsia="Calibri"/>
          <w:sz w:val="24"/>
          <w:szCs w:val="24"/>
          <w:lang w:eastAsia="en-GB"/>
        </w:rPr>
      </w:pPr>
      <w:r w:rsidRPr="31CBAD24">
        <w:rPr>
          <w:rFonts w:eastAsia="Calibri"/>
          <w:b/>
          <w:bCs/>
          <w:sz w:val="24"/>
          <w:szCs w:val="24"/>
          <w:lang w:val="en-US" w:eastAsia="en-GB"/>
        </w:rPr>
        <w:t>University of Southampton, United Kingdom (Non-</w:t>
      </w:r>
      <w:r w:rsidR="00852F09" w:rsidRPr="31CBAD24">
        <w:rPr>
          <w:rFonts w:eastAsia="Calibri"/>
          <w:b/>
          <w:bCs/>
          <w:sz w:val="24"/>
          <w:szCs w:val="24"/>
          <w:lang w:val="en-US" w:eastAsia="en-GB"/>
        </w:rPr>
        <w:t>Academia</w:t>
      </w:r>
      <w:r w:rsidR="4E9634F3" w:rsidRPr="31CBAD24">
        <w:rPr>
          <w:rFonts w:eastAsia="Calibri"/>
          <w:b/>
          <w:bCs/>
          <w:sz w:val="24"/>
          <w:szCs w:val="24"/>
          <w:lang w:val="en-US" w:eastAsia="en-GB"/>
        </w:rPr>
        <w:t xml:space="preserve"> member</w:t>
      </w:r>
      <w:r w:rsidRPr="31CBAD24">
        <w:rPr>
          <w:rFonts w:eastAsia="Calibri"/>
          <w:b/>
          <w:bCs/>
          <w:sz w:val="24"/>
          <w:szCs w:val="24"/>
          <w:lang w:val="en-US" w:eastAsia="en-GB"/>
        </w:rPr>
        <w:t xml:space="preserve">): </w:t>
      </w:r>
      <w:r w:rsidRPr="31CBAD24">
        <w:rPr>
          <w:rFonts w:eastAsia="Calibri"/>
          <w:sz w:val="24"/>
          <w:szCs w:val="24"/>
          <w:lang w:val="en-US" w:eastAsia="en-GB"/>
        </w:rPr>
        <w:t xml:space="preserve">ongoing discussions with WorldPop research group, housed at the University of Southampton, on </w:t>
      </w:r>
      <w:r w:rsidRPr="31CBAD24">
        <w:rPr>
          <w:rFonts w:eastAsia="Calibri"/>
          <w:sz w:val="24"/>
          <w:szCs w:val="24"/>
          <w:u w:val="single"/>
          <w:lang w:val="en-US" w:eastAsia="en-GB"/>
        </w:rPr>
        <w:t>small area estimation techniques</w:t>
      </w:r>
      <w:r w:rsidRPr="31CBAD24">
        <w:rPr>
          <w:rFonts w:eastAsia="Calibri"/>
          <w:sz w:val="24"/>
          <w:szCs w:val="24"/>
          <w:lang w:val="en-US" w:eastAsia="en-GB"/>
        </w:rPr>
        <w:t xml:space="preserve">. This endeavor is connected to the prior collaboration </w:t>
      </w:r>
      <w:r w:rsidRPr="31CBAD24">
        <w:rPr>
          <w:rFonts w:eastAsia="Calibri"/>
          <w:sz w:val="24"/>
          <w:szCs w:val="24"/>
          <w:lang w:val="en-US" w:eastAsia="en-GB"/>
        </w:rPr>
        <w:lastRenderedPageBreak/>
        <w:t>with Warwick University, which focused on estimating the internet usage rates at the sub-national level through big data sources. The WorldPop research group, specialists in geospatial modeling, can offer valuable expertise that can enhance the precision of ITU's statistical models.</w:t>
      </w:r>
    </w:p>
    <w:p w14:paraId="6D4F0A43" w14:textId="6141B3A9" w:rsidR="00F561C8" w:rsidRPr="00F4624D" w:rsidRDefault="001F20E4" w:rsidP="4481A918">
      <w:pPr>
        <w:pStyle w:val="ListParagraph"/>
        <w:numPr>
          <w:ilvl w:val="0"/>
          <w:numId w:val="2"/>
        </w:numPr>
        <w:spacing w:before="120" w:after="120" w:line="240" w:lineRule="auto"/>
        <w:rPr>
          <w:rFonts w:eastAsia="Times New Roman"/>
          <w:sz w:val="24"/>
          <w:szCs w:val="24"/>
        </w:rPr>
      </w:pPr>
      <w:r w:rsidRPr="4481A918">
        <w:rPr>
          <w:rFonts w:eastAsia="Times New Roman"/>
          <w:b/>
          <w:bCs/>
          <w:sz w:val="24"/>
          <w:szCs w:val="24"/>
        </w:rPr>
        <w:t>University of Pennsylvania</w:t>
      </w:r>
      <w:r w:rsidR="00406A97" w:rsidRPr="4481A918">
        <w:rPr>
          <w:rFonts w:eastAsia="Times New Roman"/>
          <w:b/>
          <w:bCs/>
          <w:sz w:val="24"/>
          <w:szCs w:val="24"/>
        </w:rPr>
        <w:t xml:space="preserve">, </w:t>
      </w:r>
      <w:r w:rsidR="0076552B" w:rsidRPr="4481A918">
        <w:rPr>
          <w:rFonts w:eastAsia="Times New Roman"/>
          <w:b/>
          <w:bCs/>
          <w:sz w:val="24"/>
          <w:szCs w:val="24"/>
        </w:rPr>
        <w:t>United States</w:t>
      </w:r>
      <w:r w:rsidRPr="4481A918">
        <w:rPr>
          <w:rFonts w:eastAsia="Times New Roman"/>
          <w:sz w:val="24"/>
          <w:szCs w:val="24"/>
        </w:rPr>
        <w:t xml:space="preserve"> </w:t>
      </w:r>
      <w:r w:rsidRPr="4481A918">
        <w:rPr>
          <w:rFonts w:eastAsia="Times New Roman"/>
          <w:b/>
          <w:bCs/>
          <w:sz w:val="24"/>
          <w:szCs w:val="24"/>
        </w:rPr>
        <w:t>(ITU</w:t>
      </w:r>
      <w:r w:rsidR="00A50EF3">
        <w:rPr>
          <w:rFonts w:eastAsia="Times New Roman"/>
          <w:b/>
          <w:bCs/>
          <w:sz w:val="24"/>
          <w:szCs w:val="24"/>
        </w:rPr>
        <w:t xml:space="preserve"> </w:t>
      </w:r>
      <w:r w:rsidRPr="4481A918">
        <w:rPr>
          <w:rFonts w:eastAsia="Times New Roman"/>
          <w:b/>
          <w:bCs/>
          <w:sz w:val="24"/>
          <w:szCs w:val="24"/>
        </w:rPr>
        <w:t>Academia</w:t>
      </w:r>
      <w:r w:rsidR="51FD382E" w:rsidRPr="4481A918">
        <w:rPr>
          <w:rFonts w:eastAsia="Times New Roman"/>
          <w:b/>
          <w:bCs/>
          <w:sz w:val="24"/>
          <w:szCs w:val="24"/>
        </w:rPr>
        <w:t xml:space="preserve"> member</w:t>
      </w:r>
      <w:r w:rsidRPr="4481A918">
        <w:rPr>
          <w:rFonts w:eastAsia="Times New Roman"/>
          <w:b/>
          <w:bCs/>
          <w:sz w:val="24"/>
          <w:szCs w:val="24"/>
        </w:rPr>
        <w:t>)</w:t>
      </w:r>
      <w:r w:rsidRPr="4481A918">
        <w:rPr>
          <w:rFonts w:eastAsia="Times New Roman"/>
          <w:sz w:val="24"/>
          <w:szCs w:val="24"/>
        </w:rPr>
        <w:t xml:space="preserve"> </w:t>
      </w:r>
      <w:r w:rsidR="00852F09" w:rsidRPr="4481A918">
        <w:rPr>
          <w:rFonts w:eastAsia="Times New Roman"/>
          <w:sz w:val="24"/>
          <w:szCs w:val="24"/>
        </w:rPr>
        <w:t>The World House Student Fellows</w:t>
      </w:r>
      <w:r w:rsidR="00852F09" w:rsidRPr="4481A918">
        <w:rPr>
          <w:rStyle w:val="FootnoteReference"/>
          <w:rFonts w:eastAsia="Times New Roman"/>
          <w:sz w:val="24"/>
          <w:szCs w:val="24"/>
        </w:rPr>
        <w:footnoteReference w:id="3"/>
      </w:r>
      <w:r w:rsidR="00852F09" w:rsidRPr="4481A918">
        <w:rPr>
          <w:rFonts w:eastAsia="Times New Roman"/>
          <w:sz w:val="24"/>
          <w:szCs w:val="24"/>
        </w:rPr>
        <w:t xml:space="preserve"> </w:t>
      </w:r>
      <w:r w:rsidR="001767CA" w:rsidRPr="31CBAD24">
        <w:rPr>
          <w:rFonts w:eastAsia="Times New Roman"/>
          <w:sz w:val="24"/>
          <w:szCs w:val="24"/>
        </w:rPr>
        <w:t>has been collaborating with</w:t>
      </w:r>
      <w:r w:rsidR="00852F09" w:rsidRPr="4481A918">
        <w:rPr>
          <w:rFonts w:eastAsia="Times New Roman"/>
          <w:sz w:val="24"/>
          <w:szCs w:val="24"/>
        </w:rPr>
        <w:t xml:space="preserve"> ITU-D</w:t>
      </w:r>
      <w:r w:rsidRPr="4481A918">
        <w:rPr>
          <w:rFonts w:eastAsia="Times New Roman"/>
          <w:sz w:val="24"/>
          <w:szCs w:val="24"/>
        </w:rPr>
        <w:t xml:space="preserve"> on various policy projects research. </w:t>
      </w:r>
      <w:r w:rsidR="00F561C8" w:rsidRPr="4481A918">
        <w:rPr>
          <w:rFonts w:eastAsia="Times New Roman"/>
          <w:sz w:val="24"/>
          <w:szCs w:val="24"/>
        </w:rPr>
        <w:t>In ITU-D one of the projects</w:t>
      </w:r>
      <w:r w:rsidRPr="4481A918">
        <w:rPr>
          <w:rFonts w:eastAsia="Times New Roman"/>
          <w:sz w:val="24"/>
          <w:szCs w:val="24"/>
        </w:rPr>
        <w:t xml:space="preserve"> is developing a </w:t>
      </w:r>
      <w:r w:rsidRPr="4481A918">
        <w:rPr>
          <w:rFonts w:eastAsia="Times New Roman"/>
          <w:sz w:val="24"/>
          <w:szCs w:val="24"/>
          <w:u w:val="single"/>
        </w:rPr>
        <w:t>policy brief to highlight the importance of online safety for women and girls</w:t>
      </w:r>
      <w:r w:rsidRPr="4481A918">
        <w:rPr>
          <w:rFonts w:eastAsia="Times New Roman"/>
          <w:sz w:val="24"/>
          <w:szCs w:val="24"/>
        </w:rPr>
        <w:t xml:space="preserve">. This brief also explores ways on how governments can address this issue, aiming to enhance safe internet access for women. </w:t>
      </w:r>
    </w:p>
    <w:p w14:paraId="72C9B1B4" w14:textId="46C8822A" w:rsidR="001F20E4" w:rsidRPr="00F4624D" w:rsidRDefault="001F20E4" w:rsidP="4481A918">
      <w:pPr>
        <w:pStyle w:val="ListParagraph"/>
        <w:numPr>
          <w:ilvl w:val="0"/>
          <w:numId w:val="2"/>
        </w:numPr>
        <w:spacing w:before="120" w:after="120" w:line="240" w:lineRule="auto"/>
        <w:rPr>
          <w:rFonts w:eastAsia="Times New Roman"/>
          <w:sz w:val="24"/>
          <w:szCs w:val="24"/>
        </w:rPr>
      </w:pPr>
      <w:r w:rsidRPr="31CBAD24">
        <w:rPr>
          <w:rFonts w:eastAsia="Times New Roman"/>
          <w:b/>
          <w:bCs/>
          <w:sz w:val="24"/>
          <w:szCs w:val="24"/>
        </w:rPr>
        <w:t>EQUALS</w:t>
      </w:r>
      <w:r w:rsidR="00F561C8" w:rsidRPr="31CBAD24">
        <w:rPr>
          <w:rFonts w:eastAsia="Times New Roman"/>
          <w:b/>
          <w:bCs/>
          <w:sz w:val="24"/>
          <w:szCs w:val="24"/>
        </w:rPr>
        <w:t xml:space="preserve"> Global Partnership</w:t>
      </w:r>
      <w:r w:rsidR="00F561C8" w:rsidRPr="31CBAD24">
        <w:rPr>
          <w:rFonts w:eastAsia="Times New Roman"/>
          <w:sz w:val="24"/>
          <w:szCs w:val="24"/>
        </w:rPr>
        <w:t xml:space="preserve"> to Bridge the Gender Digital Divide</w:t>
      </w:r>
      <w:r w:rsidRPr="31CBAD24">
        <w:rPr>
          <w:rFonts w:eastAsia="Times New Roman"/>
          <w:b/>
          <w:bCs/>
          <w:sz w:val="24"/>
          <w:szCs w:val="24"/>
        </w:rPr>
        <w:t xml:space="preserve"> </w:t>
      </w:r>
      <w:r w:rsidRPr="31CBAD24">
        <w:rPr>
          <w:rFonts w:eastAsia="Times New Roman"/>
          <w:sz w:val="24"/>
          <w:szCs w:val="24"/>
        </w:rPr>
        <w:t>Research Coalition</w:t>
      </w:r>
      <w:r w:rsidR="0004067C" w:rsidRPr="31CBAD24">
        <w:rPr>
          <w:rFonts w:eastAsia="Times New Roman"/>
          <w:sz w:val="24"/>
          <w:szCs w:val="24"/>
        </w:rPr>
        <w:t xml:space="preserve"> partners </w:t>
      </w:r>
      <w:r w:rsidR="00F561C8" w:rsidRPr="31CBAD24">
        <w:rPr>
          <w:rFonts w:eastAsia="Times New Roman"/>
          <w:sz w:val="24"/>
          <w:szCs w:val="24"/>
        </w:rPr>
        <w:t>with</w:t>
      </w:r>
      <w:r w:rsidR="0004067C" w:rsidRPr="31CBAD24">
        <w:rPr>
          <w:rFonts w:eastAsia="Times New Roman"/>
          <w:sz w:val="24"/>
          <w:szCs w:val="24"/>
        </w:rPr>
        <w:t xml:space="preserve"> </w:t>
      </w:r>
      <w:r w:rsidR="00F561C8" w:rsidRPr="31CBAD24">
        <w:rPr>
          <w:rFonts w:eastAsia="Times New Roman"/>
          <w:sz w:val="24"/>
          <w:szCs w:val="24"/>
        </w:rPr>
        <w:t xml:space="preserve">the </w:t>
      </w:r>
      <w:r w:rsidR="0004067C" w:rsidRPr="31CBAD24">
        <w:rPr>
          <w:rFonts w:eastAsia="Times New Roman"/>
          <w:b/>
          <w:bCs/>
          <w:sz w:val="24"/>
          <w:szCs w:val="24"/>
        </w:rPr>
        <w:t>Korean Advance Institute of Science and Technology – KAIST</w:t>
      </w:r>
      <w:r w:rsidR="0076552B" w:rsidRPr="31CBAD24">
        <w:rPr>
          <w:rFonts w:eastAsia="Times New Roman"/>
          <w:b/>
          <w:bCs/>
          <w:sz w:val="24"/>
          <w:szCs w:val="24"/>
        </w:rPr>
        <w:t>, Korea (Rep.of)</w:t>
      </w:r>
      <w:r w:rsidR="0004067C" w:rsidRPr="31CBAD24">
        <w:rPr>
          <w:rFonts w:eastAsia="Times New Roman"/>
          <w:b/>
          <w:bCs/>
          <w:sz w:val="24"/>
          <w:szCs w:val="24"/>
        </w:rPr>
        <w:t>, Georgia Institute of Technology</w:t>
      </w:r>
      <w:r w:rsidR="0076552B" w:rsidRPr="31CBAD24">
        <w:rPr>
          <w:rFonts w:eastAsia="Times New Roman"/>
          <w:b/>
          <w:bCs/>
          <w:sz w:val="24"/>
          <w:szCs w:val="24"/>
        </w:rPr>
        <w:t>, United States</w:t>
      </w:r>
      <w:r w:rsidR="5861B278" w:rsidRPr="31CBAD24">
        <w:rPr>
          <w:rFonts w:eastAsia="Times New Roman"/>
          <w:b/>
          <w:bCs/>
          <w:sz w:val="24"/>
          <w:szCs w:val="24"/>
        </w:rPr>
        <w:t>,</w:t>
      </w:r>
      <w:r w:rsidR="0076552B" w:rsidRPr="31CBAD24">
        <w:rPr>
          <w:rFonts w:eastAsia="Times New Roman"/>
          <w:b/>
          <w:bCs/>
          <w:sz w:val="24"/>
          <w:szCs w:val="24"/>
        </w:rPr>
        <w:t xml:space="preserve"> </w:t>
      </w:r>
      <w:r w:rsidR="00775E89" w:rsidRPr="31CBAD24">
        <w:rPr>
          <w:rFonts w:eastAsia="Times New Roman"/>
          <w:b/>
          <w:bCs/>
          <w:sz w:val="24"/>
          <w:szCs w:val="24"/>
        </w:rPr>
        <w:t>and University of Pennsylvani</w:t>
      </w:r>
      <w:r w:rsidR="0076552B" w:rsidRPr="31CBAD24">
        <w:rPr>
          <w:rFonts w:eastAsia="Times New Roman"/>
          <w:b/>
          <w:bCs/>
          <w:sz w:val="24"/>
          <w:szCs w:val="24"/>
        </w:rPr>
        <w:t>a, United States</w:t>
      </w:r>
      <w:r w:rsidR="00814A44" w:rsidRPr="31CBAD24">
        <w:rPr>
          <w:rFonts w:eastAsia="Times New Roman"/>
          <w:b/>
          <w:bCs/>
          <w:sz w:val="24"/>
          <w:szCs w:val="24"/>
        </w:rPr>
        <w:t xml:space="preserve"> (ITU Academia</w:t>
      </w:r>
      <w:r w:rsidR="37A4A03E" w:rsidRPr="31CBAD24">
        <w:rPr>
          <w:rFonts w:eastAsia="Times New Roman"/>
          <w:b/>
          <w:bCs/>
          <w:sz w:val="24"/>
          <w:szCs w:val="24"/>
        </w:rPr>
        <w:t xml:space="preserve"> members</w:t>
      </w:r>
      <w:r w:rsidR="00814A44" w:rsidRPr="31CBAD24">
        <w:rPr>
          <w:rFonts w:eastAsia="Times New Roman"/>
          <w:b/>
          <w:bCs/>
          <w:sz w:val="24"/>
          <w:szCs w:val="24"/>
        </w:rPr>
        <w:t xml:space="preserve">). </w:t>
      </w:r>
      <w:r w:rsidR="00814A44" w:rsidRPr="31CBAD24">
        <w:rPr>
          <w:rFonts w:eastAsia="Times New Roman"/>
          <w:sz w:val="24"/>
          <w:szCs w:val="24"/>
        </w:rPr>
        <w:t>The</w:t>
      </w:r>
      <w:r w:rsidR="00814A44" w:rsidRPr="31CBAD24">
        <w:rPr>
          <w:rFonts w:eastAsia="Times New Roman"/>
          <w:b/>
          <w:bCs/>
          <w:sz w:val="24"/>
          <w:szCs w:val="24"/>
        </w:rPr>
        <w:t xml:space="preserve"> </w:t>
      </w:r>
      <w:r w:rsidR="0004067C" w:rsidRPr="31CBAD24">
        <w:rPr>
          <w:rFonts w:eastAsia="Times New Roman"/>
          <w:b/>
          <w:bCs/>
          <w:sz w:val="24"/>
          <w:szCs w:val="24"/>
        </w:rPr>
        <w:t>Oslo Metropolitan University</w:t>
      </w:r>
      <w:r w:rsidR="0076552B" w:rsidRPr="31CBAD24">
        <w:rPr>
          <w:rFonts w:eastAsia="Times New Roman"/>
          <w:b/>
          <w:bCs/>
          <w:sz w:val="24"/>
          <w:szCs w:val="24"/>
        </w:rPr>
        <w:t>, Norway</w:t>
      </w:r>
      <w:r w:rsidR="00775E89" w:rsidRPr="31CBAD24">
        <w:rPr>
          <w:rFonts w:eastAsia="Times New Roman"/>
          <w:b/>
          <w:bCs/>
          <w:sz w:val="24"/>
          <w:szCs w:val="24"/>
        </w:rPr>
        <w:t xml:space="preserve"> </w:t>
      </w:r>
      <w:r w:rsidR="00814A44" w:rsidRPr="31CBAD24">
        <w:rPr>
          <w:rFonts w:eastAsia="Times New Roman"/>
          <w:b/>
          <w:bCs/>
          <w:sz w:val="24"/>
          <w:szCs w:val="24"/>
        </w:rPr>
        <w:t>(n</w:t>
      </w:r>
      <w:r w:rsidR="00775E89" w:rsidRPr="31CBAD24">
        <w:rPr>
          <w:rFonts w:eastAsia="Times New Roman"/>
          <w:b/>
          <w:bCs/>
          <w:sz w:val="24"/>
          <w:szCs w:val="24"/>
        </w:rPr>
        <w:t>on-Academia</w:t>
      </w:r>
      <w:r w:rsidR="2DE8A78C" w:rsidRPr="31CBAD24">
        <w:rPr>
          <w:rFonts w:eastAsia="Times New Roman"/>
          <w:b/>
          <w:bCs/>
          <w:sz w:val="24"/>
          <w:szCs w:val="24"/>
        </w:rPr>
        <w:t xml:space="preserve"> member</w:t>
      </w:r>
      <w:r w:rsidR="00814A44" w:rsidRPr="31CBAD24">
        <w:rPr>
          <w:rFonts w:eastAsia="Times New Roman"/>
          <w:b/>
          <w:bCs/>
          <w:sz w:val="24"/>
          <w:szCs w:val="24"/>
        </w:rPr>
        <w:t xml:space="preserve">) </w:t>
      </w:r>
      <w:r w:rsidR="00814A44" w:rsidRPr="31CBAD24">
        <w:rPr>
          <w:rFonts w:eastAsia="Times New Roman"/>
          <w:sz w:val="24"/>
          <w:szCs w:val="24"/>
        </w:rPr>
        <w:t>is also a Research Coalition partner</w:t>
      </w:r>
      <w:r w:rsidR="00F561C8" w:rsidRPr="31CBAD24">
        <w:rPr>
          <w:rFonts w:eastAsia="Times New Roman"/>
          <w:sz w:val="24"/>
          <w:szCs w:val="24"/>
        </w:rPr>
        <w:t>.</w:t>
      </w:r>
      <w:r w:rsidR="00814A44" w:rsidRPr="31CBAD24">
        <w:rPr>
          <w:rFonts w:eastAsia="Times New Roman"/>
          <w:sz w:val="24"/>
          <w:szCs w:val="24"/>
        </w:rPr>
        <w:t xml:space="preserve"> </w:t>
      </w:r>
      <w:r w:rsidRPr="31CBAD24">
        <w:rPr>
          <w:rFonts w:eastAsia="Times New Roman"/>
          <w:sz w:val="24"/>
          <w:szCs w:val="24"/>
        </w:rPr>
        <w:t>The Research coalition</w:t>
      </w:r>
      <w:r w:rsidR="00F561C8" w:rsidRPr="31CBAD24">
        <w:rPr>
          <w:rFonts w:eastAsia="Times New Roman"/>
          <w:sz w:val="24"/>
          <w:szCs w:val="24"/>
        </w:rPr>
        <w:t>: a)</w:t>
      </w:r>
      <w:r w:rsidR="00730771" w:rsidRPr="31CBAD24">
        <w:rPr>
          <w:rFonts w:eastAsia="Times New Roman"/>
          <w:sz w:val="24"/>
          <w:szCs w:val="24"/>
        </w:rPr>
        <w:t> </w:t>
      </w:r>
      <w:r w:rsidRPr="31CBAD24">
        <w:rPr>
          <w:rFonts w:eastAsia="Times New Roman"/>
          <w:sz w:val="24"/>
          <w:szCs w:val="24"/>
        </w:rPr>
        <w:t>identif</w:t>
      </w:r>
      <w:r w:rsidR="00F561C8" w:rsidRPr="31CBAD24">
        <w:rPr>
          <w:rFonts w:eastAsia="Times New Roman"/>
          <w:sz w:val="24"/>
          <w:szCs w:val="24"/>
        </w:rPr>
        <w:t>ies</w:t>
      </w:r>
      <w:r w:rsidRPr="31CBAD24">
        <w:rPr>
          <w:rFonts w:eastAsia="Times New Roman"/>
          <w:sz w:val="24"/>
          <w:szCs w:val="24"/>
        </w:rPr>
        <w:t xml:space="preserve"> key knowledge and evidence gaps, </w:t>
      </w:r>
      <w:r w:rsidRPr="31CBAD24">
        <w:rPr>
          <w:rFonts w:eastAsia="Times New Roman"/>
          <w:sz w:val="24"/>
          <w:szCs w:val="24"/>
          <w:u w:val="single"/>
        </w:rPr>
        <w:t>conduct</w:t>
      </w:r>
      <w:r w:rsidR="004768E5" w:rsidRPr="31CBAD24">
        <w:rPr>
          <w:rFonts w:eastAsia="Times New Roman"/>
          <w:sz w:val="24"/>
          <w:szCs w:val="24"/>
          <w:u w:val="single"/>
        </w:rPr>
        <w:t>s</w:t>
      </w:r>
      <w:r w:rsidRPr="31CBAD24">
        <w:rPr>
          <w:rFonts w:eastAsia="Times New Roman"/>
          <w:sz w:val="24"/>
          <w:szCs w:val="24"/>
          <w:u w:val="single"/>
        </w:rPr>
        <w:t xml:space="preserve"> research on priority topics</w:t>
      </w:r>
      <w:r w:rsidRPr="31CBAD24">
        <w:rPr>
          <w:rFonts w:eastAsia="Times New Roman"/>
          <w:sz w:val="24"/>
          <w:szCs w:val="24"/>
        </w:rPr>
        <w:t>, provide</w:t>
      </w:r>
      <w:r w:rsidR="00F73336" w:rsidRPr="31CBAD24">
        <w:rPr>
          <w:rFonts w:eastAsia="Times New Roman"/>
          <w:sz w:val="24"/>
          <w:szCs w:val="24"/>
        </w:rPr>
        <w:t>s</w:t>
      </w:r>
      <w:r w:rsidRPr="31CBAD24">
        <w:rPr>
          <w:rFonts w:eastAsia="Times New Roman"/>
          <w:sz w:val="24"/>
          <w:szCs w:val="24"/>
        </w:rPr>
        <w:t xml:space="preserve"> practitioners and policymakers with actionable information</w:t>
      </w:r>
      <w:r w:rsidR="00F561C8" w:rsidRPr="31CBAD24">
        <w:rPr>
          <w:rFonts w:eastAsia="Times New Roman"/>
          <w:sz w:val="24"/>
          <w:szCs w:val="24"/>
        </w:rPr>
        <w:t xml:space="preserve">; and b) </w:t>
      </w:r>
      <w:r w:rsidRPr="31CBAD24">
        <w:rPr>
          <w:rFonts w:eastAsia="Times New Roman"/>
          <w:sz w:val="24"/>
          <w:szCs w:val="24"/>
          <w:u w:val="single"/>
        </w:rPr>
        <w:t>collect</w:t>
      </w:r>
      <w:r w:rsidR="00F561C8" w:rsidRPr="31CBAD24">
        <w:rPr>
          <w:rFonts w:eastAsia="Times New Roman"/>
          <w:sz w:val="24"/>
          <w:szCs w:val="24"/>
          <w:u w:val="single"/>
        </w:rPr>
        <w:t>s</w:t>
      </w:r>
      <w:r w:rsidRPr="31CBAD24">
        <w:rPr>
          <w:rFonts w:eastAsia="Times New Roman"/>
          <w:sz w:val="24"/>
          <w:szCs w:val="24"/>
          <w:u w:val="single"/>
        </w:rPr>
        <w:t xml:space="preserve"> and </w:t>
      </w:r>
      <w:r w:rsidR="0004067C" w:rsidRPr="31CBAD24">
        <w:rPr>
          <w:rFonts w:eastAsia="Times New Roman"/>
          <w:sz w:val="24"/>
          <w:szCs w:val="24"/>
          <w:u w:val="single"/>
        </w:rPr>
        <w:t>analyse</w:t>
      </w:r>
      <w:r w:rsidR="00F561C8" w:rsidRPr="31CBAD24">
        <w:rPr>
          <w:rFonts w:eastAsia="Times New Roman"/>
          <w:sz w:val="24"/>
          <w:szCs w:val="24"/>
          <w:u w:val="single"/>
        </w:rPr>
        <w:t>s</w:t>
      </w:r>
      <w:r w:rsidRPr="31CBAD24">
        <w:rPr>
          <w:rFonts w:eastAsia="Times New Roman"/>
          <w:sz w:val="24"/>
          <w:szCs w:val="24"/>
          <w:u w:val="single"/>
        </w:rPr>
        <w:t xml:space="preserve"> data and case studies</w:t>
      </w:r>
      <w:r w:rsidRPr="31CBAD24">
        <w:rPr>
          <w:rFonts w:eastAsia="Times New Roman"/>
          <w:sz w:val="24"/>
          <w:szCs w:val="24"/>
        </w:rPr>
        <w:t xml:space="preserve"> to understand global gender disparities in technology access, skills development, and leadership opportunities. </w:t>
      </w:r>
    </w:p>
    <w:p w14:paraId="6B2B6EB4" w14:textId="15366325" w:rsidR="006817A3" w:rsidRPr="00F4624D" w:rsidRDefault="006817A3" w:rsidP="31CBAD24">
      <w:pPr>
        <w:pStyle w:val="ListParagraph"/>
        <w:numPr>
          <w:ilvl w:val="0"/>
          <w:numId w:val="2"/>
        </w:numPr>
        <w:spacing w:before="120" w:after="120" w:line="240" w:lineRule="auto"/>
        <w:rPr>
          <w:sz w:val="24"/>
          <w:szCs w:val="24"/>
        </w:rPr>
      </w:pPr>
      <w:r w:rsidRPr="31CBAD24">
        <w:rPr>
          <w:b/>
          <w:bCs/>
          <w:sz w:val="24"/>
          <w:szCs w:val="24"/>
        </w:rPr>
        <w:t>INICTEL UNI</w:t>
      </w:r>
      <w:r w:rsidR="007F567B" w:rsidRPr="31CBAD24">
        <w:rPr>
          <w:b/>
          <w:bCs/>
          <w:sz w:val="24"/>
          <w:szCs w:val="24"/>
        </w:rPr>
        <w:t xml:space="preserve">, </w:t>
      </w:r>
      <w:r w:rsidRPr="31CBAD24">
        <w:rPr>
          <w:b/>
          <w:bCs/>
          <w:sz w:val="24"/>
          <w:szCs w:val="24"/>
        </w:rPr>
        <w:t>Peru (ITU Academia</w:t>
      </w:r>
      <w:r w:rsidR="14801926" w:rsidRPr="31CBAD24">
        <w:rPr>
          <w:b/>
          <w:bCs/>
          <w:sz w:val="24"/>
          <w:szCs w:val="24"/>
        </w:rPr>
        <w:t xml:space="preserve"> member</w:t>
      </w:r>
      <w:r w:rsidRPr="31CBAD24">
        <w:rPr>
          <w:b/>
          <w:bCs/>
          <w:sz w:val="24"/>
          <w:szCs w:val="24"/>
        </w:rPr>
        <w:t>)</w:t>
      </w:r>
      <w:r w:rsidRPr="31CBAD24">
        <w:rPr>
          <w:sz w:val="24"/>
          <w:szCs w:val="24"/>
        </w:rPr>
        <w:t xml:space="preserve">, </w:t>
      </w:r>
      <w:r w:rsidR="00C92961" w:rsidRPr="31CBAD24">
        <w:rPr>
          <w:sz w:val="24"/>
          <w:szCs w:val="24"/>
        </w:rPr>
        <w:t xml:space="preserve">will collaborate to deliver the </w:t>
      </w:r>
      <w:r w:rsidR="00C92961" w:rsidRPr="31CBAD24">
        <w:rPr>
          <w:sz w:val="24"/>
          <w:szCs w:val="24"/>
          <w:u w:val="single"/>
        </w:rPr>
        <w:t>Cyber</w:t>
      </w:r>
      <w:r w:rsidR="0076552B" w:rsidRPr="31CBAD24">
        <w:rPr>
          <w:sz w:val="24"/>
          <w:szCs w:val="24"/>
          <w:u w:val="single"/>
        </w:rPr>
        <w:t>D</w:t>
      </w:r>
      <w:r w:rsidR="00C92961" w:rsidRPr="31CBAD24">
        <w:rPr>
          <w:sz w:val="24"/>
          <w:szCs w:val="24"/>
          <w:u w:val="single"/>
        </w:rPr>
        <w:t>rill Americas 2024</w:t>
      </w:r>
      <w:r w:rsidR="00C92961" w:rsidRPr="31CBAD24">
        <w:rPr>
          <w:sz w:val="24"/>
          <w:szCs w:val="24"/>
        </w:rPr>
        <w:t xml:space="preserve"> </w:t>
      </w:r>
      <w:r w:rsidR="0014638B" w:rsidRPr="31CBAD24">
        <w:rPr>
          <w:sz w:val="24"/>
          <w:szCs w:val="24"/>
        </w:rPr>
        <w:t>on</w:t>
      </w:r>
      <w:r w:rsidRPr="31CBAD24">
        <w:rPr>
          <w:sz w:val="24"/>
          <w:szCs w:val="24"/>
        </w:rPr>
        <w:t xml:space="preserve"> September 2024. INICTEL UNI will </w:t>
      </w:r>
      <w:r w:rsidR="00C739AC" w:rsidRPr="31CBAD24">
        <w:rPr>
          <w:sz w:val="24"/>
          <w:szCs w:val="24"/>
        </w:rPr>
        <w:t>collaborat</w:t>
      </w:r>
      <w:r w:rsidR="004E6499" w:rsidRPr="31CBAD24">
        <w:rPr>
          <w:sz w:val="24"/>
          <w:szCs w:val="24"/>
        </w:rPr>
        <w:t>e</w:t>
      </w:r>
      <w:r w:rsidR="00C739AC" w:rsidRPr="31CBAD24">
        <w:rPr>
          <w:sz w:val="24"/>
          <w:szCs w:val="24"/>
        </w:rPr>
        <w:t xml:space="preserve"> on content delivery and hosting of the event</w:t>
      </w:r>
      <w:r w:rsidR="00C92961" w:rsidRPr="31CBAD24">
        <w:rPr>
          <w:sz w:val="24"/>
          <w:szCs w:val="24"/>
        </w:rPr>
        <w:t xml:space="preserve">. </w:t>
      </w:r>
    </w:p>
    <w:p w14:paraId="0C354855" w14:textId="7F886F08" w:rsidR="00301FEB" w:rsidRPr="00F4624D" w:rsidRDefault="00301FEB" w:rsidP="4481A918">
      <w:pPr>
        <w:pStyle w:val="ListParagraph"/>
        <w:numPr>
          <w:ilvl w:val="0"/>
          <w:numId w:val="2"/>
        </w:numPr>
        <w:spacing w:before="120" w:after="120" w:line="240" w:lineRule="auto"/>
        <w:rPr>
          <w:sz w:val="24"/>
          <w:szCs w:val="24"/>
        </w:rPr>
      </w:pPr>
      <w:r w:rsidRPr="31CBAD24">
        <w:rPr>
          <w:b/>
          <w:bCs/>
          <w:sz w:val="24"/>
          <w:szCs w:val="24"/>
        </w:rPr>
        <w:t>UNAH</w:t>
      </w:r>
      <w:r w:rsidR="004E6499" w:rsidRPr="31CBAD24">
        <w:rPr>
          <w:b/>
          <w:bCs/>
          <w:sz w:val="24"/>
          <w:szCs w:val="24"/>
        </w:rPr>
        <w:t xml:space="preserve"> </w:t>
      </w:r>
      <w:r w:rsidRPr="31CBAD24">
        <w:rPr>
          <w:b/>
          <w:bCs/>
          <w:sz w:val="24"/>
          <w:szCs w:val="24"/>
        </w:rPr>
        <w:t>- National Autonomous University of Honduras (Non-Academia</w:t>
      </w:r>
      <w:r w:rsidR="13729A58" w:rsidRPr="31CBAD24">
        <w:rPr>
          <w:b/>
          <w:bCs/>
          <w:sz w:val="24"/>
          <w:szCs w:val="24"/>
        </w:rPr>
        <w:t xml:space="preserve"> member</w:t>
      </w:r>
      <w:r w:rsidRPr="31CBAD24">
        <w:rPr>
          <w:b/>
          <w:bCs/>
          <w:sz w:val="24"/>
          <w:szCs w:val="24"/>
        </w:rPr>
        <w:t>)</w:t>
      </w:r>
      <w:r w:rsidRPr="31CBAD24">
        <w:rPr>
          <w:sz w:val="24"/>
          <w:szCs w:val="24"/>
        </w:rPr>
        <w:t>: a permanent academic al</w:t>
      </w:r>
      <w:r w:rsidRPr="00A50EF3">
        <w:rPr>
          <w:sz w:val="24"/>
          <w:szCs w:val="24"/>
        </w:rPr>
        <w:t xml:space="preserve">ly for the implementation of </w:t>
      </w:r>
      <w:r w:rsidRPr="00A50EF3">
        <w:rPr>
          <w:sz w:val="24"/>
          <w:szCs w:val="24"/>
          <w:u w:val="single"/>
        </w:rPr>
        <w:t>capacit</w:t>
      </w:r>
      <w:r w:rsidRPr="31CBAD24">
        <w:rPr>
          <w:sz w:val="24"/>
          <w:szCs w:val="24"/>
          <w:u w:val="single"/>
        </w:rPr>
        <w:t>y development actions</w:t>
      </w:r>
      <w:r w:rsidR="00372596" w:rsidRPr="31CBAD24">
        <w:rPr>
          <w:sz w:val="24"/>
          <w:szCs w:val="24"/>
          <w:u w:val="single"/>
        </w:rPr>
        <w:t>. It also</w:t>
      </w:r>
      <w:r w:rsidR="00F53C1B" w:rsidRPr="31CBAD24">
        <w:rPr>
          <w:sz w:val="24"/>
          <w:szCs w:val="24"/>
          <w:u w:val="single"/>
        </w:rPr>
        <w:t xml:space="preserve"> provides </w:t>
      </w:r>
      <w:r w:rsidRPr="31CBAD24">
        <w:rPr>
          <w:sz w:val="24"/>
          <w:szCs w:val="24"/>
        </w:rPr>
        <w:t xml:space="preserve">its infrastructure and technical support for activities such as </w:t>
      </w:r>
      <w:r w:rsidRPr="31CBAD24">
        <w:rPr>
          <w:sz w:val="24"/>
          <w:szCs w:val="24"/>
          <w:u w:val="single"/>
        </w:rPr>
        <w:t>Cyber</w:t>
      </w:r>
      <w:r w:rsidR="0076552B" w:rsidRPr="31CBAD24">
        <w:rPr>
          <w:sz w:val="24"/>
          <w:szCs w:val="24"/>
          <w:u w:val="single"/>
        </w:rPr>
        <w:t>D</w:t>
      </w:r>
      <w:r w:rsidRPr="31CBAD24">
        <w:rPr>
          <w:sz w:val="24"/>
          <w:szCs w:val="24"/>
          <w:u w:val="single"/>
        </w:rPr>
        <w:t>rills</w:t>
      </w:r>
      <w:r w:rsidRPr="31CBAD24">
        <w:rPr>
          <w:sz w:val="24"/>
          <w:szCs w:val="24"/>
        </w:rPr>
        <w:t xml:space="preserve"> and other events with the Government of Honduras.</w:t>
      </w:r>
    </w:p>
    <w:p w14:paraId="229ED5F6" w14:textId="3018782C" w:rsidR="00301FEB" w:rsidRPr="00F4624D" w:rsidRDefault="00301FEB" w:rsidP="31CBAD24">
      <w:pPr>
        <w:pStyle w:val="ListParagraph"/>
        <w:numPr>
          <w:ilvl w:val="0"/>
          <w:numId w:val="2"/>
        </w:numPr>
        <w:spacing w:before="120" w:after="120" w:line="240" w:lineRule="auto"/>
        <w:rPr>
          <w:sz w:val="24"/>
          <w:szCs w:val="24"/>
        </w:rPr>
      </w:pPr>
      <w:r w:rsidRPr="31CBAD24">
        <w:rPr>
          <w:rFonts w:eastAsia="Times New Roman"/>
          <w:sz w:val="24"/>
          <w:szCs w:val="24"/>
        </w:rPr>
        <w:t xml:space="preserve">The </w:t>
      </w:r>
      <w:r w:rsidRPr="31CBAD24">
        <w:rPr>
          <w:rFonts w:eastAsia="Times New Roman"/>
          <w:b/>
          <w:bCs/>
          <w:sz w:val="24"/>
          <w:szCs w:val="24"/>
        </w:rPr>
        <w:t>University of Santiago de Chile</w:t>
      </w:r>
      <w:r w:rsidRPr="31CBAD24">
        <w:rPr>
          <w:rFonts w:eastAsia="Times New Roman"/>
          <w:sz w:val="24"/>
          <w:szCs w:val="24"/>
        </w:rPr>
        <w:t xml:space="preserve"> </w:t>
      </w:r>
      <w:r w:rsidRPr="31CBAD24">
        <w:rPr>
          <w:rFonts w:eastAsia="Times New Roman"/>
          <w:b/>
          <w:bCs/>
          <w:sz w:val="24"/>
          <w:szCs w:val="24"/>
        </w:rPr>
        <w:t>(Non-Academia</w:t>
      </w:r>
      <w:r w:rsidR="27C90046" w:rsidRPr="31CBAD24">
        <w:rPr>
          <w:rFonts w:eastAsia="Times New Roman"/>
          <w:b/>
          <w:bCs/>
          <w:sz w:val="24"/>
          <w:szCs w:val="24"/>
        </w:rPr>
        <w:t xml:space="preserve"> member</w:t>
      </w:r>
      <w:r w:rsidRPr="31CBAD24">
        <w:rPr>
          <w:rFonts w:eastAsia="Times New Roman"/>
          <w:b/>
          <w:bCs/>
          <w:sz w:val="24"/>
          <w:szCs w:val="24"/>
        </w:rPr>
        <w:t>):</w:t>
      </w:r>
      <w:r w:rsidR="00324DD3" w:rsidRPr="31CBAD24">
        <w:rPr>
          <w:rFonts w:eastAsia="Times New Roman"/>
          <w:b/>
          <w:bCs/>
          <w:sz w:val="24"/>
          <w:szCs w:val="24"/>
        </w:rPr>
        <w:t xml:space="preserve"> </w:t>
      </w:r>
      <w:r w:rsidRPr="31CBAD24">
        <w:rPr>
          <w:rFonts w:eastAsia="Times New Roman"/>
          <w:sz w:val="24"/>
          <w:szCs w:val="24"/>
        </w:rPr>
        <w:t xml:space="preserve">will host and support the </w:t>
      </w:r>
      <w:r w:rsidRPr="31CBAD24">
        <w:rPr>
          <w:rFonts w:eastAsia="Times New Roman"/>
          <w:sz w:val="24"/>
          <w:szCs w:val="24"/>
          <w:u w:val="single"/>
        </w:rPr>
        <w:t>Cyber Capacity Building</w:t>
      </w:r>
      <w:r w:rsidRPr="31CBAD24">
        <w:rPr>
          <w:rFonts w:eastAsia="Times New Roman"/>
          <w:sz w:val="24"/>
          <w:szCs w:val="24"/>
        </w:rPr>
        <w:t xml:space="preserve"> training organized in Chile.</w:t>
      </w:r>
    </w:p>
    <w:p w14:paraId="5B9783F8" w14:textId="2FD67511" w:rsidR="006817A3" w:rsidRPr="00F4624D" w:rsidRDefault="007039C0" w:rsidP="31CBAD24">
      <w:pPr>
        <w:pStyle w:val="ListParagraph"/>
        <w:numPr>
          <w:ilvl w:val="0"/>
          <w:numId w:val="2"/>
        </w:numPr>
        <w:spacing w:before="120" w:after="120" w:line="240" w:lineRule="auto"/>
        <w:rPr>
          <w:sz w:val="24"/>
          <w:szCs w:val="24"/>
        </w:rPr>
      </w:pPr>
      <w:r w:rsidRPr="31CBAD24">
        <w:rPr>
          <w:b/>
          <w:bCs/>
          <w:sz w:val="24"/>
          <w:szCs w:val="24"/>
        </w:rPr>
        <w:t>FLACSO</w:t>
      </w:r>
      <w:r w:rsidRPr="31CBAD24">
        <w:rPr>
          <w:rStyle w:val="FootnoteReference"/>
          <w:b/>
          <w:bCs/>
          <w:sz w:val="24"/>
          <w:szCs w:val="24"/>
        </w:rPr>
        <w:footnoteReference w:id="4"/>
      </w:r>
      <w:r w:rsidRPr="31CBAD24">
        <w:rPr>
          <w:b/>
          <w:bCs/>
          <w:sz w:val="24"/>
          <w:szCs w:val="24"/>
        </w:rPr>
        <w:t xml:space="preserve"> Argentina</w:t>
      </w:r>
      <w:r w:rsidRPr="31CBAD24">
        <w:rPr>
          <w:rStyle w:val="Hyperlink"/>
          <w:b/>
          <w:bCs/>
          <w:color w:val="auto"/>
          <w:sz w:val="24"/>
          <w:szCs w:val="24"/>
          <w:u w:val="none"/>
        </w:rPr>
        <w:t xml:space="preserve"> (Non-Academia</w:t>
      </w:r>
      <w:r w:rsidR="40983896" w:rsidRPr="31CBAD24">
        <w:rPr>
          <w:rStyle w:val="Hyperlink"/>
          <w:b/>
          <w:bCs/>
          <w:color w:val="auto"/>
          <w:sz w:val="24"/>
          <w:szCs w:val="24"/>
          <w:u w:val="none"/>
        </w:rPr>
        <w:t xml:space="preserve"> member</w:t>
      </w:r>
      <w:r w:rsidRPr="31CBAD24">
        <w:rPr>
          <w:rStyle w:val="Hyperlink"/>
          <w:b/>
          <w:bCs/>
          <w:color w:val="auto"/>
          <w:sz w:val="24"/>
          <w:szCs w:val="24"/>
          <w:u w:val="none"/>
        </w:rPr>
        <w:t xml:space="preserve">: </w:t>
      </w:r>
      <w:r w:rsidRPr="31CBAD24">
        <w:rPr>
          <w:rStyle w:val="Hyperlink"/>
          <w:color w:val="auto"/>
          <w:sz w:val="24"/>
          <w:szCs w:val="24"/>
          <w:u w:val="none"/>
        </w:rPr>
        <w:t xml:space="preserve">collaborated with </w:t>
      </w:r>
      <w:r w:rsidRPr="31CBAD24">
        <w:rPr>
          <w:sz w:val="24"/>
          <w:szCs w:val="24"/>
        </w:rPr>
        <w:t xml:space="preserve">ITU </w:t>
      </w:r>
      <w:r w:rsidR="006817A3" w:rsidRPr="31CBAD24">
        <w:rPr>
          <w:sz w:val="24"/>
          <w:szCs w:val="24"/>
        </w:rPr>
        <w:t xml:space="preserve">Youth Digital Inclusion project with the Gran Chaco Foundation, where </w:t>
      </w:r>
      <w:r w:rsidR="006817A3" w:rsidRPr="31CBAD24">
        <w:rPr>
          <w:sz w:val="24"/>
          <w:szCs w:val="24"/>
          <w:u w:val="single"/>
        </w:rPr>
        <w:t>digital and soft skill training</w:t>
      </w:r>
      <w:r w:rsidR="006817A3" w:rsidRPr="31CBAD24">
        <w:rPr>
          <w:sz w:val="24"/>
          <w:szCs w:val="24"/>
        </w:rPr>
        <w:t xml:space="preserve"> was delivered to youth in remote and indigenous communities in the Gran Chaco region</w:t>
      </w:r>
      <w:r w:rsidRPr="31CBAD24">
        <w:rPr>
          <w:sz w:val="24"/>
          <w:szCs w:val="24"/>
        </w:rPr>
        <w:t>, Argentina. Collaboration focused on ensuring</w:t>
      </w:r>
      <w:r w:rsidR="006817A3" w:rsidRPr="31CBAD24">
        <w:rPr>
          <w:sz w:val="24"/>
          <w:szCs w:val="24"/>
        </w:rPr>
        <w:t xml:space="preserve"> courses had adequate curricula, relevant content, and a contextualized delivery methodology for the meaningful appropriation of technology of local youth.</w:t>
      </w:r>
    </w:p>
    <w:p w14:paraId="6C048E49" w14:textId="5155DE53" w:rsidR="006817A3" w:rsidRPr="00F4624D" w:rsidRDefault="006817A3" w:rsidP="31CBAD24">
      <w:pPr>
        <w:pStyle w:val="ListParagraph"/>
        <w:numPr>
          <w:ilvl w:val="0"/>
          <w:numId w:val="2"/>
        </w:numPr>
        <w:spacing w:before="120" w:after="120" w:line="240" w:lineRule="auto"/>
        <w:rPr>
          <w:sz w:val="24"/>
          <w:szCs w:val="24"/>
        </w:rPr>
      </w:pPr>
      <w:r w:rsidRPr="31CBAD24">
        <w:rPr>
          <w:b/>
          <w:bCs/>
          <w:sz w:val="24"/>
          <w:szCs w:val="24"/>
        </w:rPr>
        <w:t xml:space="preserve">Campinas University of </w:t>
      </w:r>
      <w:r w:rsidR="00177445" w:rsidRPr="31CBAD24">
        <w:rPr>
          <w:b/>
          <w:bCs/>
          <w:sz w:val="24"/>
          <w:szCs w:val="24"/>
        </w:rPr>
        <w:t xml:space="preserve">São </w:t>
      </w:r>
      <w:r w:rsidRPr="31CBAD24">
        <w:rPr>
          <w:b/>
          <w:bCs/>
          <w:sz w:val="24"/>
          <w:szCs w:val="24"/>
        </w:rPr>
        <w:t>Paulo</w:t>
      </w:r>
      <w:r w:rsidR="007F567B" w:rsidRPr="31CBAD24">
        <w:rPr>
          <w:b/>
          <w:bCs/>
          <w:sz w:val="24"/>
          <w:szCs w:val="24"/>
        </w:rPr>
        <w:t>, Brazil</w:t>
      </w:r>
      <w:r w:rsidRPr="31CBAD24">
        <w:rPr>
          <w:sz w:val="24"/>
          <w:szCs w:val="24"/>
        </w:rPr>
        <w:t xml:space="preserve"> </w:t>
      </w:r>
      <w:r w:rsidRPr="31CBAD24">
        <w:rPr>
          <w:b/>
          <w:bCs/>
          <w:sz w:val="24"/>
          <w:szCs w:val="24"/>
        </w:rPr>
        <w:t>(Non-Academia</w:t>
      </w:r>
      <w:r w:rsidR="15118DD9" w:rsidRPr="31CBAD24">
        <w:rPr>
          <w:b/>
          <w:bCs/>
          <w:sz w:val="24"/>
          <w:szCs w:val="24"/>
        </w:rPr>
        <w:t xml:space="preserve"> member</w:t>
      </w:r>
      <w:r w:rsidRPr="31CBAD24">
        <w:rPr>
          <w:b/>
          <w:bCs/>
          <w:sz w:val="24"/>
          <w:szCs w:val="24"/>
        </w:rPr>
        <w:t>)</w:t>
      </w:r>
      <w:r w:rsidR="007039C0" w:rsidRPr="31CBAD24">
        <w:rPr>
          <w:sz w:val="24"/>
          <w:szCs w:val="24"/>
        </w:rPr>
        <w:t xml:space="preserve">: continues to partner with ITU since 2023 in the </w:t>
      </w:r>
      <w:r w:rsidRPr="31CBAD24">
        <w:rPr>
          <w:sz w:val="24"/>
          <w:szCs w:val="24"/>
        </w:rPr>
        <w:t xml:space="preserve">implementation of the </w:t>
      </w:r>
      <w:r w:rsidRPr="31CBAD24">
        <w:rPr>
          <w:sz w:val="24"/>
          <w:szCs w:val="24"/>
          <w:u w:val="single"/>
        </w:rPr>
        <w:t>Americas Girls Can Code initiative</w:t>
      </w:r>
      <w:r w:rsidRPr="31CBAD24">
        <w:rPr>
          <w:sz w:val="24"/>
          <w:szCs w:val="24"/>
        </w:rPr>
        <w:t>,</w:t>
      </w:r>
      <w:r w:rsidR="007039C0" w:rsidRPr="31CBAD24">
        <w:rPr>
          <w:sz w:val="24"/>
          <w:szCs w:val="24"/>
        </w:rPr>
        <w:t xml:space="preserve"> </w:t>
      </w:r>
      <w:r w:rsidRPr="31CBAD24">
        <w:rPr>
          <w:sz w:val="24"/>
          <w:szCs w:val="24"/>
        </w:rPr>
        <w:t>providing trainers and hosting courses</w:t>
      </w:r>
      <w:r w:rsidR="007039C0" w:rsidRPr="31CBAD24">
        <w:rPr>
          <w:sz w:val="24"/>
          <w:szCs w:val="24"/>
        </w:rPr>
        <w:t xml:space="preserve">. </w:t>
      </w:r>
    </w:p>
    <w:p w14:paraId="3DADDDAB" w14:textId="230D8729" w:rsidR="006817A3" w:rsidRPr="00F4624D" w:rsidRDefault="006817A3" w:rsidP="31CBAD24">
      <w:pPr>
        <w:pStyle w:val="ListParagraph"/>
        <w:numPr>
          <w:ilvl w:val="0"/>
          <w:numId w:val="2"/>
        </w:numPr>
        <w:spacing w:before="120" w:after="120" w:line="240" w:lineRule="auto"/>
        <w:rPr>
          <w:sz w:val="24"/>
          <w:szCs w:val="24"/>
        </w:rPr>
      </w:pPr>
      <w:bookmarkStart w:id="0" w:name="_Hlk164079146"/>
      <w:r w:rsidRPr="31CBAD24">
        <w:rPr>
          <w:sz w:val="24"/>
          <w:szCs w:val="24"/>
        </w:rPr>
        <w:t xml:space="preserve">The </w:t>
      </w:r>
      <w:r w:rsidRPr="31CBAD24">
        <w:rPr>
          <w:b/>
          <w:bCs/>
          <w:sz w:val="24"/>
          <w:szCs w:val="24"/>
        </w:rPr>
        <w:t>Union of Computer Scientists of Cuba (Non-Academia</w:t>
      </w:r>
      <w:r w:rsidR="09100C92" w:rsidRPr="31CBAD24">
        <w:rPr>
          <w:b/>
          <w:bCs/>
          <w:sz w:val="24"/>
          <w:szCs w:val="24"/>
        </w:rPr>
        <w:t xml:space="preserve"> member</w:t>
      </w:r>
      <w:r w:rsidRPr="31CBAD24">
        <w:rPr>
          <w:b/>
          <w:bCs/>
          <w:sz w:val="24"/>
          <w:szCs w:val="24"/>
        </w:rPr>
        <w:t>)</w:t>
      </w:r>
      <w:r w:rsidR="00301FEB" w:rsidRPr="31CBAD24">
        <w:rPr>
          <w:b/>
          <w:bCs/>
          <w:sz w:val="24"/>
          <w:szCs w:val="24"/>
        </w:rPr>
        <w:t>:</w:t>
      </w:r>
      <w:r w:rsidR="00324DD3" w:rsidRPr="31CBAD24">
        <w:rPr>
          <w:b/>
          <w:bCs/>
          <w:sz w:val="24"/>
          <w:szCs w:val="24"/>
        </w:rPr>
        <w:t xml:space="preserve"> </w:t>
      </w:r>
      <w:r w:rsidRPr="31CBAD24">
        <w:rPr>
          <w:sz w:val="24"/>
          <w:szCs w:val="24"/>
        </w:rPr>
        <w:t xml:space="preserve">collaborated decisively in the organization and promotion of </w:t>
      </w:r>
      <w:r w:rsidRPr="31CBAD24">
        <w:rPr>
          <w:sz w:val="24"/>
          <w:szCs w:val="24"/>
          <w:u w:val="single"/>
        </w:rPr>
        <w:t>Accessible Americas 2023</w:t>
      </w:r>
      <w:r w:rsidRPr="31CBAD24">
        <w:rPr>
          <w:sz w:val="24"/>
          <w:szCs w:val="24"/>
        </w:rPr>
        <w:t xml:space="preserve">. </w:t>
      </w:r>
      <w:r w:rsidR="004E6499" w:rsidRPr="31CBAD24">
        <w:rPr>
          <w:b/>
          <w:bCs/>
          <w:sz w:val="24"/>
          <w:szCs w:val="24"/>
        </w:rPr>
        <w:t>Universidad de las Ciencias Informáticas</w:t>
      </w:r>
      <w:r w:rsidR="00BF3DA6" w:rsidRPr="31CBAD24">
        <w:rPr>
          <w:sz w:val="24"/>
          <w:szCs w:val="24"/>
        </w:rPr>
        <w:t>, Cuba</w:t>
      </w:r>
      <w:r w:rsidRPr="31CBAD24">
        <w:rPr>
          <w:sz w:val="24"/>
          <w:szCs w:val="24"/>
        </w:rPr>
        <w:t xml:space="preserve"> </w:t>
      </w:r>
      <w:r w:rsidR="00BF3DA6" w:rsidRPr="31CBAD24">
        <w:rPr>
          <w:b/>
          <w:bCs/>
          <w:sz w:val="24"/>
          <w:szCs w:val="24"/>
        </w:rPr>
        <w:t>(former</w:t>
      </w:r>
      <w:r w:rsidRPr="31CBAD24">
        <w:rPr>
          <w:b/>
          <w:bCs/>
          <w:sz w:val="24"/>
          <w:szCs w:val="24"/>
        </w:rPr>
        <w:t xml:space="preserve"> ITU </w:t>
      </w:r>
      <w:r w:rsidR="00843059" w:rsidRPr="31CBAD24">
        <w:rPr>
          <w:b/>
          <w:bCs/>
          <w:sz w:val="24"/>
          <w:szCs w:val="24"/>
        </w:rPr>
        <w:t>Academia</w:t>
      </w:r>
      <w:r w:rsidR="3AB5D454" w:rsidRPr="31CBAD24">
        <w:rPr>
          <w:b/>
          <w:bCs/>
          <w:sz w:val="24"/>
          <w:szCs w:val="24"/>
        </w:rPr>
        <w:t xml:space="preserve"> member</w:t>
      </w:r>
      <w:r w:rsidR="00BF3DA6" w:rsidRPr="31CBAD24">
        <w:rPr>
          <w:sz w:val="24"/>
          <w:szCs w:val="24"/>
        </w:rPr>
        <w:t xml:space="preserve"> continues to support </w:t>
      </w:r>
      <w:r w:rsidRPr="31CBAD24">
        <w:rPr>
          <w:sz w:val="24"/>
          <w:szCs w:val="24"/>
        </w:rPr>
        <w:t>initiatives, seminars, and other</w:t>
      </w:r>
      <w:r w:rsidR="00BF3DA6" w:rsidRPr="31CBAD24">
        <w:rPr>
          <w:sz w:val="24"/>
          <w:szCs w:val="24"/>
        </w:rPr>
        <w:t xml:space="preserve"> activities in the Americas Region. </w:t>
      </w:r>
    </w:p>
    <w:p w14:paraId="719944C7" w14:textId="5906EE29" w:rsidR="001F20E4" w:rsidRPr="00F4624D" w:rsidRDefault="001F20E4" w:rsidP="31CBAD24">
      <w:pPr>
        <w:pStyle w:val="ListParagraph"/>
        <w:numPr>
          <w:ilvl w:val="0"/>
          <w:numId w:val="2"/>
        </w:numPr>
        <w:spacing w:before="120" w:after="120" w:line="240" w:lineRule="auto"/>
        <w:rPr>
          <w:sz w:val="24"/>
          <w:szCs w:val="24"/>
          <w:u w:val="single"/>
          <w:lang w:val="en-US"/>
        </w:rPr>
      </w:pPr>
      <w:r w:rsidRPr="31CBAD24">
        <w:rPr>
          <w:b/>
          <w:bCs/>
          <w:sz w:val="24"/>
          <w:szCs w:val="24"/>
          <w:lang w:val="en-US"/>
        </w:rPr>
        <w:t>Chulalongkorn University in Thailand (Non-Academia</w:t>
      </w:r>
      <w:r w:rsidR="6A77D324" w:rsidRPr="31CBAD24">
        <w:rPr>
          <w:b/>
          <w:bCs/>
          <w:sz w:val="24"/>
          <w:szCs w:val="24"/>
          <w:lang w:val="en-US"/>
        </w:rPr>
        <w:t xml:space="preserve"> member</w:t>
      </w:r>
      <w:r w:rsidRPr="31CBAD24">
        <w:rPr>
          <w:b/>
          <w:bCs/>
          <w:sz w:val="24"/>
          <w:szCs w:val="24"/>
          <w:lang w:val="en-US"/>
        </w:rPr>
        <w:t>)</w:t>
      </w:r>
      <w:r w:rsidRPr="31CBAD24">
        <w:rPr>
          <w:sz w:val="24"/>
          <w:szCs w:val="24"/>
          <w:lang w:val="en-US"/>
        </w:rPr>
        <w:t xml:space="preserve">: </w:t>
      </w:r>
      <w:r w:rsidR="00301FEB" w:rsidRPr="31CBAD24">
        <w:rPr>
          <w:sz w:val="24"/>
          <w:szCs w:val="24"/>
          <w:lang w:val="en-US"/>
        </w:rPr>
        <w:t>worked closely with ITU to</w:t>
      </w:r>
      <w:r w:rsidRPr="31CBAD24">
        <w:rPr>
          <w:sz w:val="24"/>
          <w:szCs w:val="24"/>
          <w:lang w:val="en-US"/>
        </w:rPr>
        <w:t xml:space="preserve"> conduct </w:t>
      </w:r>
      <w:proofErr w:type="gramStart"/>
      <w:r w:rsidRPr="31CBAD24">
        <w:rPr>
          <w:sz w:val="24"/>
          <w:szCs w:val="24"/>
          <w:lang w:val="en-US"/>
        </w:rPr>
        <w:t>a number of</w:t>
      </w:r>
      <w:proofErr w:type="gramEnd"/>
      <w:r w:rsidRPr="31CBAD24">
        <w:rPr>
          <w:sz w:val="24"/>
          <w:szCs w:val="24"/>
          <w:lang w:val="en-US"/>
        </w:rPr>
        <w:t xml:space="preserve"> </w:t>
      </w:r>
      <w:r w:rsidRPr="31CBAD24">
        <w:rPr>
          <w:sz w:val="24"/>
          <w:szCs w:val="24"/>
          <w:u w:val="single"/>
          <w:lang w:val="en-US"/>
        </w:rPr>
        <w:t>research studies to inform evidence-based policymaking</w:t>
      </w:r>
      <w:r w:rsidRPr="31CBAD24">
        <w:rPr>
          <w:sz w:val="24"/>
          <w:szCs w:val="24"/>
          <w:lang w:val="en-US"/>
        </w:rPr>
        <w:t xml:space="preserve">. In Thailand, </w:t>
      </w:r>
      <w:r w:rsidR="0052407B" w:rsidRPr="31CBAD24">
        <w:rPr>
          <w:sz w:val="24"/>
          <w:szCs w:val="24"/>
          <w:lang w:val="en-US"/>
        </w:rPr>
        <w:t>ITU worked</w:t>
      </w:r>
      <w:r w:rsidRPr="31CBAD24">
        <w:rPr>
          <w:sz w:val="24"/>
          <w:szCs w:val="24"/>
          <w:lang w:val="en-US"/>
        </w:rPr>
        <w:t xml:space="preserve"> </w:t>
      </w:r>
      <w:r w:rsidR="00775E89" w:rsidRPr="31CBAD24">
        <w:rPr>
          <w:sz w:val="24"/>
          <w:szCs w:val="24"/>
          <w:lang w:val="en-US"/>
        </w:rPr>
        <w:t>with Chulalongkorn University</w:t>
      </w:r>
      <w:r w:rsidRPr="31CBAD24">
        <w:rPr>
          <w:sz w:val="24"/>
          <w:szCs w:val="24"/>
          <w:lang w:val="en-US"/>
        </w:rPr>
        <w:t xml:space="preserve"> on a socio-economic impact assessment of the Net Pracharat village broadband internet project. Additionally, with the International Organization for Migration (IOM), ITU and Chulalongkorn University </w:t>
      </w:r>
      <w:r w:rsidRPr="31CBAD24">
        <w:rPr>
          <w:sz w:val="24"/>
          <w:szCs w:val="24"/>
          <w:lang w:val="en-US"/>
        </w:rPr>
        <w:lastRenderedPageBreak/>
        <w:t xml:space="preserve">conducted a </w:t>
      </w:r>
      <w:r w:rsidRPr="31CBAD24">
        <w:rPr>
          <w:sz w:val="24"/>
          <w:szCs w:val="24"/>
          <w:u w:val="single"/>
          <w:lang w:val="en-US"/>
        </w:rPr>
        <w:t>digital skills assessment</w:t>
      </w:r>
      <w:r w:rsidRPr="31CBAD24">
        <w:rPr>
          <w:sz w:val="24"/>
          <w:szCs w:val="24"/>
          <w:lang w:val="en-US"/>
        </w:rPr>
        <w:t xml:space="preserve"> of Migrant Workers and the Perspective of Employers in Thailand. Finally, at the regional level ITU and Chulalongkorn University conducted a </w:t>
      </w:r>
      <w:r w:rsidRPr="31CBAD24">
        <w:rPr>
          <w:sz w:val="24"/>
          <w:szCs w:val="24"/>
          <w:u w:val="single"/>
          <w:lang w:val="en-US"/>
        </w:rPr>
        <w:t xml:space="preserve">study on the key 5G enablers </w:t>
      </w:r>
      <w:r w:rsidRPr="31CBAD24">
        <w:rPr>
          <w:sz w:val="24"/>
          <w:szCs w:val="24"/>
          <w:lang w:val="en-US"/>
        </w:rPr>
        <w:t xml:space="preserve">in the Asia-Pacific region, including infrastructure readiness, national broadband strategies, regulatory frameworks, spectrum availability and allocation, and policy enablers, and to investigate how these enablers relate to the implementation and adoption of 5G technology. This was conducted through an </w:t>
      </w:r>
      <w:r w:rsidRPr="31CBAD24">
        <w:rPr>
          <w:sz w:val="24"/>
          <w:szCs w:val="24"/>
          <w:u w:val="single"/>
          <w:lang w:val="en-US"/>
        </w:rPr>
        <w:t>econometric analysis</w:t>
      </w:r>
      <w:r w:rsidRPr="31CBAD24">
        <w:rPr>
          <w:sz w:val="24"/>
          <w:szCs w:val="24"/>
          <w:lang w:val="en-US"/>
        </w:rPr>
        <w:t xml:space="preserve"> that utilized ITU’s DataHub indicators, complemented by other internationally comparable data sources. Moreover, Chulalongkorn University has been a committed </w:t>
      </w:r>
      <w:r w:rsidRPr="31CBAD24">
        <w:rPr>
          <w:sz w:val="24"/>
          <w:szCs w:val="24"/>
          <w:u w:val="single"/>
          <w:lang w:val="en-US"/>
        </w:rPr>
        <w:t>partner of Girls in ICT Day Thailand</w:t>
      </w:r>
      <w:r w:rsidRPr="31CBAD24">
        <w:rPr>
          <w:sz w:val="24"/>
          <w:szCs w:val="24"/>
          <w:lang w:val="en-US"/>
        </w:rPr>
        <w:t>, promoting ICT and STEM education through various self and joint programs with Girls in ICT Day partners, furthering the commitment to bridging the digital gender divide.</w:t>
      </w:r>
    </w:p>
    <w:bookmarkEnd w:id="0"/>
    <w:p w14:paraId="6426C5E2" w14:textId="06F79265" w:rsidR="001F20E4" w:rsidRPr="00F4624D" w:rsidRDefault="001F20E4" w:rsidP="4481A918">
      <w:pPr>
        <w:numPr>
          <w:ilvl w:val="0"/>
          <w:numId w:val="2"/>
        </w:numPr>
        <w:spacing w:before="120" w:after="120" w:line="240" w:lineRule="auto"/>
        <w:rPr>
          <w:rFonts w:eastAsia="Times New Roman"/>
          <w:sz w:val="24"/>
          <w:szCs w:val="24"/>
          <w:u w:val="single"/>
          <w:lang w:val="en-US" w:eastAsia="en-GB"/>
        </w:rPr>
      </w:pPr>
      <w:r w:rsidRPr="4481A918">
        <w:rPr>
          <w:rFonts w:eastAsia="Times New Roman"/>
          <w:b/>
          <w:bCs/>
          <w:sz w:val="24"/>
          <w:szCs w:val="24"/>
          <w:lang w:val="en-US" w:eastAsia="en-GB"/>
        </w:rPr>
        <w:t>Thammasat University in Thailand (Non-Academia</w:t>
      </w:r>
      <w:r w:rsidR="60CB6C24" w:rsidRPr="4481A918">
        <w:rPr>
          <w:rFonts w:eastAsia="Times New Roman"/>
          <w:b/>
          <w:bCs/>
          <w:sz w:val="24"/>
          <w:szCs w:val="24"/>
          <w:lang w:val="en-US" w:eastAsia="en-GB"/>
        </w:rPr>
        <w:t xml:space="preserve"> member</w:t>
      </w:r>
      <w:r w:rsidRPr="4481A918">
        <w:rPr>
          <w:rFonts w:eastAsia="Times New Roman"/>
          <w:b/>
          <w:bCs/>
          <w:sz w:val="24"/>
          <w:szCs w:val="24"/>
          <w:lang w:val="en-US" w:eastAsia="en-GB"/>
        </w:rPr>
        <w:t>):</w:t>
      </w:r>
      <w:r w:rsidR="00741715" w:rsidRPr="4481A918">
        <w:rPr>
          <w:rFonts w:eastAsia="Calibri"/>
          <w:sz w:val="24"/>
          <w:szCs w:val="24"/>
          <w:lang w:val="en-US" w:eastAsia="en-GB"/>
        </w:rPr>
        <w:t xml:space="preserve"> its expe</w:t>
      </w:r>
      <w:r w:rsidR="007B6448" w:rsidRPr="4481A918">
        <w:rPr>
          <w:rFonts w:eastAsia="Calibri"/>
          <w:sz w:val="24"/>
          <w:szCs w:val="24"/>
          <w:lang w:val="en-US" w:eastAsia="en-GB"/>
        </w:rPr>
        <w:t>r</w:t>
      </w:r>
      <w:r w:rsidR="00741715" w:rsidRPr="4481A918">
        <w:rPr>
          <w:rFonts w:eastAsia="Calibri"/>
          <w:sz w:val="24"/>
          <w:szCs w:val="24"/>
          <w:lang w:val="en-US" w:eastAsia="en-GB"/>
        </w:rPr>
        <w:t xml:space="preserve">ts </w:t>
      </w:r>
      <w:r w:rsidRPr="4481A918">
        <w:rPr>
          <w:rFonts w:eastAsia="Calibri"/>
          <w:sz w:val="24"/>
          <w:szCs w:val="24"/>
          <w:lang w:val="en-US" w:eastAsia="en-GB"/>
        </w:rPr>
        <w:t xml:space="preserve">worked closely with </w:t>
      </w:r>
      <w:r w:rsidR="00741715" w:rsidRPr="4481A918">
        <w:rPr>
          <w:rFonts w:eastAsia="Calibri"/>
          <w:sz w:val="24"/>
          <w:szCs w:val="24"/>
          <w:lang w:val="en-US" w:eastAsia="en-GB"/>
        </w:rPr>
        <w:t>ITU</w:t>
      </w:r>
      <w:r w:rsidRPr="4481A918">
        <w:rPr>
          <w:rFonts w:eastAsia="Calibri"/>
          <w:sz w:val="24"/>
          <w:szCs w:val="24"/>
          <w:lang w:val="en-US" w:eastAsia="en-GB"/>
        </w:rPr>
        <w:t xml:space="preserve"> to conduct </w:t>
      </w:r>
      <w:r w:rsidRPr="4481A918">
        <w:rPr>
          <w:rFonts w:eastAsia="Calibri"/>
          <w:sz w:val="24"/>
          <w:szCs w:val="24"/>
          <w:u w:val="single"/>
          <w:lang w:val="en-US" w:eastAsia="en-GB"/>
        </w:rPr>
        <w:t>research study to inform evidence-based programming</w:t>
      </w:r>
      <w:r w:rsidRPr="4481A918">
        <w:rPr>
          <w:rFonts w:eastAsia="Calibri"/>
          <w:sz w:val="24"/>
          <w:szCs w:val="24"/>
          <w:lang w:val="en-US" w:eastAsia="en-GB"/>
        </w:rPr>
        <w:t xml:space="preserve">. These include a study on approach for </w:t>
      </w:r>
      <w:r w:rsidRPr="4481A918">
        <w:rPr>
          <w:rFonts w:eastAsia="Calibri"/>
          <w:sz w:val="24"/>
          <w:szCs w:val="24"/>
          <w:u w:val="single"/>
          <w:lang w:val="en-US" w:eastAsia="en-GB"/>
        </w:rPr>
        <w:t>mapping school connectivity and digital skills</w:t>
      </w:r>
      <w:r w:rsidRPr="4481A918">
        <w:rPr>
          <w:rFonts w:eastAsia="Calibri"/>
          <w:sz w:val="24"/>
          <w:szCs w:val="24"/>
          <w:lang w:val="en-US" w:eastAsia="en-GB"/>
        </w:rPr>
        <w:t>, as part of a GIGA</w:t>
      </w:r>
      <w:r w:rsidR="00741715" w:rsidRPr="4481A918">
        <w:rPr>
          <w:rStyle w:val="FootnoteReference"/>
          <w:rFonts w:eastAsia="Calibri"/>
          <w:sz w:val="24"/>
          <w:szCs w:val="24"/>
          <w:lang w:val="en-US" w:eastAsia="en-GB"/>
        </w:rPr>
        <w:footnoteReference w:id="5"/>
      </w:r>
      <w:r w:rsidRPr="4481A918">
        <w:rPr>
          <w:rFonts w:eastAsia="Calibri"/>
          <w:sz w:val="24"/>
          <w:szCs w:val="24"/>
          <w:lang w:val="en-US" w:eastAsia="en-GB"/>
        </w:rPr>
        <w:t xml:space="preserve"> project feasibility study of countries in the Asia and the Pacific region, and ITU and Internet Society </w:t>
      </w:r>
      <w:r w:rsidR="007B6448" w:rsidRPr="4481A918">
        <w:rPr>
          <w:rFonts w:eastAsia="Calibri"/>
          <w:sz w:val="24"/>
          <w:szCs w:val="24"/>
          <w:lang w:val="en-US" w:eastAsia="en-GB"/>
        </w:rPr>
        <w:t xml:space="preserve">(ISOC) 2023 </w:t>
      </w:r>
      <w:r w:rsidRPr="4481A918">
        <w:rPr>
          <w:rFonts w:eastAsia="Calibri"/>
          <w:sz w:val="24"/>
          <w:szCs w:val="24"/>
          <w:lang w:val="en-US" w:eastAsia="en-GB"/>
        </w:rPr>
        <w:t xml:space="preserve">study on sustainability aspects of Smart Villages and Smart Islands (SVSI), titled "From Telecentres and Community Networks to Smart Villages and Smart Islands.” Additionally, ITU and Thammasat University developed a </w:t>
      </w:r>
      <w:r w:rsidRPr="4481A918">
        <w:rPr>
          <w:rFonts w:eastAsia="Calibri"/>
          <w:sz w:val="24"/>
          <w:szCs w:val="24"/>
          <w:u w:val="single"/>
          <w:lang w:val="en-US" w:eastAsia="en-GB"/>
        </w:rPr>
        <w:t>common methodology and the required tools to conduct a needs assessment for Smart Villages and Smart Islands</w:t>
      </w:r>
      <w:r w:rsidRPr="4481A918">
        <w:rPr>
          <w:rFonts w:eastAsia="Calibri"/>
          <w:sz w:val="24"/>
          <w:szCs w:val="24"/>
          <w:lang w:val="en-US" w:eastAsia="en-GB"/>
        </w:rPr>
        <w:t xml:space="preserve">. This guide and toolkit will help the SVSI initiative scale to more countries and guide experts </w:t>
      </w:r>
      <w:r w:rsidR="30E3F280" w:rsidRPr="31CBAD24">
        <w:rPr>
          <w:rFonts w:eastAsia="Calibri"/>
          <w:sz w:val="24"/>
          <w:szCs w:val="24"/>
          <w:lang w:val="en-US" w:eastAsia="en-GB"/>
        </w:rPr>
        <w:t xml:space="preserve">to </w:t>
      </w:r>
      <w:r w:rsidRPr="4481A918">
        <w:rPr>
          <w:rFonts w:eastAsia="Calibri"/>
          <w:sz w:val="24"/>
          <w:szCs w:val="24"/>
          <w:lang w:val="en-US" w:eastAsia="en-GB"/>
        </w:rPr>
        <w:t xml:space="preserve">conduct needs assessment study in a consistent and quality manner. Thammasat University has been a committed </w:t>
      </w:r>
      <w:r w:rsidRPr="4481A918">
        <w:rPr>
          <w:rFonts w:eastAsia="Calibri"/>
          <w:sz w:val="24"/>
          <w:szCs w:val="24"/>
          <w:u w:val="single"/>
          <w:lang w:val="en-US" w:eastAsia="en-GB"/>
        </w:rPr>
        <w:t>partner of Girls in ICT Day Thailand</w:t>
      </w:r>
      <w:r w:rsidRPr="4481A918">
        <w:rPr>
          <w:rFonts w:eastAsia="Calibri"/>
          <w:sz w:val="24"/>
          <w:szCs w:val="24"/>
          <w:lang w:val="en-US" w:eastAsia="en-GB"/>
        </w:rPr>
        <w:t>, promoting ICT and STEM education through various self and joint programs with Girls in ICT Day partners, furthering the commitment to bridging the digital gender divide.</w:t>
      </w:r>
    </w:p>
    <w:p w14:paraId="4C20A25D" w14:textId="62B7EB68" w:rsidR="001F20E4" w:rsidRPr="00F4624D" w:rsidRDefault="001F20E4" w:rsidP="31CBAD24">
      <w:pPr>
        <w:numPr>
          <w:ilvl w:val="0"/>
          <w:numId w:val="5"/>
        </w:numPr>
        <w:spacing w:before="120" w:after="120" w:line="240" w:lineRule="auto"/>
        <w:rPr>
          <w:rFonts w:eastAsia="Times New Roman"/>
          <w:sz w:val="24"/>
          <w:szCs w:val="24"/>
          <w:u w:val="single"/>
          <w:lang w:val="en-US" w:eastAsia="en-GB"/>
        </w:rPr>
      </w:pPr>
      <w:r w:rsidRPr="31CBAD24">
        <w:rPr>
          <w:rFonts w:eastAsia="Times New Roman"/>
          <w:b/>
          <w:bCs/>
          <w:sz w:val="24"/>
          <w:szCs w:val="24"/>
          <w:lang w:val="en-US" w:eastAsia="en-GB"/>
        </w:rPr>
        <w:t>Juntendo University in Japan (Non-Academia</w:t>
      </w:r>
      <w:r w:rsidR="5C798A6E" w:rsidRPr="31CBAD24">
        <w:rPr>
          <w:rFonts w:eastAsia="Times New Roman"/>
          <w:b/>
          <w:bCs/>
          <w:sz w:val="24"/>
          <w:szCs w:val="24"/>
          <w:lang w:val="en-US" w:eastAsia="en-GB"/>
        </w:rPr>
        <w:t xml:space="preserve"> member</w:t>
      </w:r>
      <w:r w:rsidRPr="31CBAD24">
        <w:rPr>
          <w:rFonts w:eastAsia="Times New Roman"/>
          <w:b/>
          <w:bCs/>
          <w:sz w:val="24"/>
          <w:szCs w:val="24"/>
          <w:lang w:val="en-US" w:eastAsia="en-GB"/>
        </w:rPr>
        <w:t>):</w:t>
      </w:r>
      <w:r w:rsidRPr="31CBAD24">
        <w:rPr>
          <w:rFonts w:eastAsia="Times New Roman"/>
          <w:sz w:val="24"/>
          <w:szCs w:val="24"/>
          <w:lang w:val="en-US" w:eastAsia="en-GB"/>
        </w:rPr>
        <w:t xml:space="preserve"> </w:t>
      </w:r>
      <w:r w:rsidRPr="31CBAD24">
        <w:rPr>
          <w:rFonts w:eastAsia="Calibri"/>
          <w:sz w:val="24"/>
          <w:szCs w:val="24"/>
          <w:lang w:val="en-US" w:eastAsia="en-GB"/>
        </w:rPr>
        <w:t xml:space="preserve">ITU and the Ministry of Digital Economy and Society (MDES) Thailand </w:t>
      </w:r>
      <w:r w:rsidR="007B6448" w:rsidRPr="31CBAD24">
        <w:rPr>
          <w:rFonts w:eastAsia="Calibri"/>
          <w:sz w:val="24"/>
          <w:szCs w:val="24"/>
          <w:lang w:val="en-US" w:eastAsia="en-GB"/>
        </w:rPr>
        <w:t>are</w:t>
      </w:r>
      <w:r w:rsidRPr="31CBAD24">
        <w:rPr>
          <w:rFonts w:eastAsia="Calibri"/>
          <w:sz w:val="24"/>
          <w:szCs w:val="24"/>
          <w:lang w:val="en-US" w:eastAsia="en-GB"/>
        </w:rPr>
        <w:t xml:space="preserve"> partnering with Juntendo University and the World Health Organization (WHO) on an information session on 1 April 2024 to gain insights on </w:t>
      </w:r>
      <w:r w:rsidRPr="31CBAD24">
        <w:rPr>
          <w:rFonts w:eastAsia="Calibri"/>
          <w:sz w:val="24"/>
          <w:szCs w:val="24"/>
          <w:u w:val="single"/>
          <w:lang w:val="en-US" w:eastAsia="en-GB"/>
        </w:rPr>
        <w:t>supporting the health and well-being of older persons in Thailand through digital inclusion</w:t>
      </w:r>
      <w:r w:rsidRPr="31CBAD24">
        <w:rPr>
          <w:rFonts w:eastAsia="Calibri"/>
          <w:sz w:val="24"/>
          <w:szCs w:val="24"/>
          <w:lang w:val="en-US" w:eastAsia="en-GB"/>
        </w:rPr>
        <w:t xml:space="preserve">. This builds on the ITU and WHO m-ageing program, which was launched in 2018 and designed to provide integrated, </w:t>
      </w:r>
      <w:r w:rsidR="00843059" w:rsidRPr="31CBAD24">
        <w:rPr>
          <w:rFonts w:eastAsia="Calibri"/>
          <w:sz w:val="24"/>
          <w:szCs w:val="24"/>
          <w:lang w:val="en-US" w:eastAsia="en-GB"/>
        </w:rPr>
        <w:t>digitally enabled</w:t>
      </w:r>
      <w:r w:rsidRPr="31CBAD24">
        <w:rPr>
          <w:rFonts w:eastAsia="Calibri"/>
          <w:sz w:val="24"/>
          <w:szCs w:val="24"/>
          <w:lang w:val="en-US" w:eastAsia="en-GB"/>
        </w:rPr>
        <w:t xml:space="preserve"> services focusing on health and well-being, public services, and cyber safety. In this context, </w:t>
      </w:r>
      <w:r w:rsidRPr="31CBAD24">
        <w:rPr>
          <w:rFonts w:eastAsia="Calibri"/>
          <w:sz w:val="24"/>
          <w:szCs w:val="24"/>
          <w:u w:val="single"/>
          <w:lang w:val="en-US" w:eastAsia="en-GB"/>
        </w:rPr>
        <w:t>Juntendo University will present their latest research on Thailand’s Aging Demographics and Information and Communication Technologies' Role in Empowering the Older Persons in Different Cultures</w:t>
      </w:r>
      <w:r w:rsidRPr="31CBAD24">
        <w:rPr>
          <w:rFonts w:eastAsia="Calibri"/>
          <w:sz w:val="24"/>
          <w:szCs w:val="24"/>
          <w:lang w:val="en-US" w:eastAsia="en-GB"/>
        </w:rPr>
        <w:t xml:space="preserve">, </w:t>
      </w:r>
      <w:proofErr w:type="gramStart"/>
      <w:r w:rsidRPr="31CBAD24">
        <w:rPr>
          <w:rFonts w:eastAsia="Calibri"/>
          <w:sz w:val="24"/>
          <w:szCs w:val="24"/>
          <w:lang w:val="en-US" w:eastAsia="en-GB"/>
        </w:rPr>
        <w:t>in order to</w:t>
      </w:r>
      <w:proofErr w:type="gramEnd"/>
      <w:r w:rsidRPr="31CBAD24">
        <w:rPr>
          <w:rFonts w:eastAsia="Calibri"/>
          <w:sz w:val="24"/>
          <w:szCs w:val="24"/>
          <w:lang w:val="en-US" w:eastAsia="en-GB"/>
        </w:rPr>
        <w:t xml:space="preserve"> engage and facilitate a dialogue amongst relevant agencies to understand the needs and challenges faced by the older population in the context of digital inclusion and healthy ageing in Thailand.</w:t>
      </w:r>
    </w:p>
    <w:p w14:paraId="78F18809" w14:textId="44CECFE5" w:rsidR="001F20E4" w:rsidRPr="00F4624D" w:rsidRDefault="001F20E4" w:rsidP="31CBAD24">
      <w:pPr>
        <w:numPr>
          <w:ilvl w:val="0"/>
          <w:numId w:val="5"/>
        </w:numPr>
        <w:spacing w:before="120" w:after="120" w:line="240" w:lineRule="auto"/>
        <w:rPr>
          <w:rFonts w:eastAsia="Times New Roman"/>
          <w:sz w:val="24"/>
          <w:szCs w:val="24"/>
          <w:u w:val="single"/>
          <w:lang w:val="en-US" w:eastAsia="en-GB"/>
        </w:rPr>
      </w:pPr>
      <w:r w:rsidRPr="31CBAD24">
        <w:rPr>
          <w:rFonts w:eastAsia="Times New Roman"/>
          <w:b/>
          <w:bCs/>
          <w:sz w:val="24"/>
          <w:szCs w:val="24"/>
          <w:lang w:val="en-US" w:eastAsia="en-GB"/>
        </w:rPr>
        <w:t>Indian institute of Technology (IIT) Kanpur</w:t>
      </w:r>
      <w:r w:rsidR="007F567B" w:rsidRPr="31CBAD24">
        <w:rPr>
          <w:rFonts w:eastAsia="Times New Roman"/>
          <w:b/>
          <w:bCs/>
          <w:sz w:val="24"/>
          <w:szCs w:val="24"/>
          <w:lang w:val="en-US" w:eastAsia="en-GB"/>
        </w:rPr>
        <w:t xml:space="preserve">, </w:t>
      </w:r>
      <w:r w:rsidRPr="31CBAD24">
        <w:rPr>
          <w:rFonts w:eastAsia="Times New Roman"/>
          <w:b/>
          <w:bCs/>
          <w:sz w:val="24"/>
          <w:szCs w:val="24"/>
          <w:lang w:val="en-US" w:eastAsia="en-GB"/>
        </w:rPr>
        <w:t>India</w:t>
      </w:r>
      <w:r w:rsidRPr="31CBAD24">
        <w:rPr>
          <w:rFonts w:eastAsia="Times New Roman"/>
          <w:sz w:val="24"/>
          <w:szCs w:val="24"/>
          <w:lang w:val="en-US" w:eastAsia="en-GB"/>
        </w:rPr>
        <w:t xml:space="preserve"> </w:t>
      </w:r>
      <w:r w:rsidRPr="31CBAD24">
        <w:rPr>
          <w:rFonts w:eastAsia="Times New Roman"/>
          <w:b/>
          <w:bCs/>
          <w:sz w:val="24"/>
          <w:szCs w:val="24"/>
          <w:lang w:val="en-US" w:eastAsia="en-GB"/>
        </w:rPr>
        <w:t>(Non-Academia</w:t>
      </w:r>
      <w:r w:rsidR="4AC291F8" w:rsidRPr="31CBAD24">
        <w:rPr>
          <w:rFonts w:eastAsia="Times New Roman"/>
          <w:b/>
          <w:bCs/>
          <w:sz w:val="24"/>
          <w:szCs w:val="24"/>
          <w:lang w:val="en-US" w:eastAsia="en-GB"/>
        </w:rPr>
        <w:t xml:space="preserve"> member</w:t>
      </w:r>
      <w:r w:rsidRPr="31CBAD24">
        <w:rPr>
          <w:rFonts w:eastAsia="Times New Roman"/>
          <w:b/>
          <w:bCs/>
          <w:sz w:val="24"/>
          <w:szCs w:val="24"/>
          <w:lang w:val="en-US" w:eastAsia="en-GB"/>
        </w:rPr>
        <w:t>)</w:t>
      </w:r>
      <w:r w:rsidRPr="31CBAD24">
        <w:rPr>
          <w:rFonts w:eastAsia="Times New Roman"/>
          <w:sz w:val="24"/>
          <w:szCs w:val="24"/>
          <w:lang w:val="en-US" w:eastAsia="en-GB"/>
        </w:rPr>
        <w:t xml:space="preserve">: </w:t>
      </w:r>
      <w:r w:rsidRPr="31CBAD24">
        <w:rPr>
          <w:rFonts w:eastAsia="Calibri"/>
          <w:sz w:val="24"/>
          <w:szCs w:val="24"/>
          <w:lang w:eastAsia="en-GB"/>
        </w:rPr>
        <w:t xml:space="preserve">As part of the Regional Innovation Forum (RIF) held on 23 March 2023 in Delhi, India, ITU </w:t>
      </w:r>
      <w:r w:rsidR="007B6448" w:rsidRPr="31CBAD24">
        <w:rPr>
          <w:rFonts w:eastAsia="Calibri"/>
          <w:sz w:val="24"/>
          <w:szCs w:val="24"/>
          <w:lang w:eastAsia="en-GB"/>
        </w:rPr>
        <w:t>collaborated</w:t>
      </w:r>
      <w:r w:rsidRPr="31CBAD24">
        <w:rPr>
          <w:rFonts w:eastAsia="Calibri"/>
          <w:sz w:val="24"/>
          <w:szCs w:val="24"/>
          <w:lang w:eastAsia="en-GB"/>
        </w:rPr>
        <w:t xml:space="preserve"> with IIT Kanpur to </w:t>
      </w:r>
      <w:r w:rsidRPr="31CBAD24">
        <w:rPr>
          <w:rFonts w:eastAsia="Calibri"/>
          <w:sz w:val="24"/>
          <w:szCs w:val="24"/>
          <w:u w:val="single"/>
          <w:lang w:eastAsia="en-GB"/>
        </w:rPr>
        <w:t>organize a showcase of emerging technological innovations from academia linked to digital health solutions</w:t>
      </w:r>
      <w:r w:rsidRPr="31CBAD24">
        <w:rPr>
          <w:rFonts w:eastAsia="Calibri"/>
          <w:sz w:val="24"/>
          <w:szCs w:val="24"/>
          <w:lang w:eastAsia="en-GB"/>
        </w:rPr>
        <w:t xml:space="preserve">. This showcase was conducted alongside exhibitions from other international and national innovators in India. Additionally, in parallel with the RIF, a co-creation demonstration session was co-organized by ITU and IIT Kanpur on Digital Health an example of co-creating solution, where IIT Kanpur presented two innovative solutions that were then further built upon through open discussion facilitated by ITU’s innovation and co-creation tools. Through this co-creation session, the participants discussed the </w:t>
      </w:r>
      <w:r w:rsidRPr="31CBAD24">
        <w:rPr>
          <w:rFonts w:eastAsia="Calibri"/>
          <w:sz w:val="24"/>
          <w:szCs w:val="24"/>
          <w:u w:val="single"/>
          <w:lang w:eastAsia="en-GB"/>
        </w:rPr>
        <w:t xml:space="preserve">opportunities and challenges for scaling up India’s digital health ecosystem </w:t>
      </w:r>
      <w:r w:rsidRPr="31CBAD24">
        <w:rPr>
          <w:rFonts w:eastAsia="Calibri"/>
          <w:sz w:val="24"/>
          <w:szCs w:val="24"/>
          <w:lang w:eastAsia="en-GB"/>
        </w:rPr>
        <w:t xml:space="preserve">and </w:t>
      </w:r>
      <w:r w:rsidR="00252805" w:rsidRPr="31CBAD24">
        <w:rPr>
          <w:rFonts w:eastAsia="Calibri"/>
          <w:sz w:val="24"/>
          <w:szCs w:val="24"/>
          <w:lang w:eastAsia="en-GB"/>
        </w:rPr>
        <w:t xml:space="preserve">to </w:t>
      </w:r>
      <w:r w:rsidRPr="31CBAD24">
        <w:rPr>
          <w:rFonts w:eastAsia="Calibri"/>
          <w:sz w:val="24"/>
          <w:szCs w:val="24"/>
          <w:lang w:eastAsia="en-GB"/>
        </w:rPr>
        <w:t>understand how the ITU Area Office &amp; Innovation Centre can best support the further development of digital health innovations through partnerships and collaborations in the region to create potential next steps.</w:t>
      </w:r>
    </w:p>
    <w:p w14:paraId="76FCD417" w14:textId="4D0A593C" w:rsidR="001F20E4" w:rsidRPr="00F4624D" w:rsidRDefault="001F20E4" w:rsidP="31CBAD24">
      <w:pPr>
        <w:numPr>
          <w:ilvl w:val="0"/>
          <w:numId w:val="4"/>
        </w:numPr>
        <w:spacing w:before="120" w:after="120" w:line="240" w:lineRule="auto"/>
        <w:rPr>
          <w:rFonts w:eastAsia="Times New Roman"/>
          <w:sz w:val="24"/>
          <w:szCs w:val="24"/>
          <w:u w:val="single"/>
          <w:lang w:val="en-US" w:eastAsia="en-GB"/>
        </w:rPr>
      </w:pPr>
      <w:r w:rsidRPr="31CBAD24">
        <w:rPr>
          <w:rFonts w:eastAsia="Times New Roman"/>
          <w:b/>
          <w:bCs/>
          <w:sz w:val="24"/>
          <w:szCs w:val="24"/>
          <w:lang w:val="en-US" w:eastAsia="en-GB"/>
        </w:rPr>
        <w:t>United Nations University Institute (UNU) in Macau, China and the Asian Institute of Technology (AIT)</w:t>
      </w:r>
      <w:r w:rsidR="007F567B" w:rsidRPr="31CBAD24">
        <w:rPr>
          <w:rFonts w:eastAsia="Times New Roman"/>
          <w:b/>
          <w:bCs/>
          <w:sz w:val="24"/>
          <w:szCs w:val="24"/>
          <w:lang w:val="en-US" w:eastAsia="en-GB"/>
        </w:rPr>
        <w:t xml:space="preserve">, </w:t>
      </w:r>
      <w:r w:rsidRPr="31CBAD24">
        <w:rPr>
          <w:rFonts w:eastAsia="Times New Roman"/>
          <w:b/>
          <w:bCs/>
          <w:sz w:val="24"/>
          <w:szCs w:val="24"/>
          <w:lang w:val="en-US" w:eastAsia="en-GB"/>
        </w:rPr>
        <w:t>Thailand (</w:t>
      </w:r>
      <w:r w:rsidR="00843059" w:rsidRPr="31CBAD24">
        <w:rPr>
          <w:rFonts w:eastAsia="Times New Roman"/>
          <w:b/>
          <w:bCs/>
          <w:sz w:val="24"/>
          <w:szCs w:val="24"/>
          <w:lang w:val="en-US" w:eastAsia="en-GB"/>
        </w:rPr>
        <w:t xml:space="preserve">ITU </w:t>
      </w:r>
      <w:r w:rsidRPr="31CBAD24">
        <w:rPr>
          <w:rFonts w:eastAsia="Times New Roman"/>
          <w:b/>
          <w:bCs/>
          <w:sz w:val="24"/>
          <w:szCs w:val="24"/>
          <w:lang w:val="en-US" w:eastAsia="en-GB"/>
        </w:rPr>
        <w:t>Academia</w:t>
      </w:r>
      <w:r w:rsidR="7F3D1DC7" w:rsidRPr="31CBAD24">
        <w:rPr>
          <w:rFonts w:eastAsia="Times New Roman"/>
          <w:b/>
          <w:bCs/>
          <w:sz w:val="24"/>
          <w:szCs w:val="24"/>
          <w:lang w:val="en-US" w:eastAsia="en-GB"/>
        </w:rPr>
        <w:t xml:space="preserve"> member</w:t>
      </w:r>
      <w:r w:rsidRPr="31CBAD24">
        <w:rPr>
          <w:rFonts w:eastAsia="Times New Roman"/>
          <w:b/>
          <w:bCs/>
          <w:sz w:val="24"/>
          <w:szCs w:val="24"/>
          <w:lang w:val="en-US" w:eastAsia="en-GB"/>
        </w:rPr>
        <w:t>):</w:t>
      </w:r>
      <w:r w:rsidRPr="31CBAD24">
        <w:rPr>
          <w:rFonts w:eastAsia="Times New Roman"/>
          <w:sz w:val="24"/>
          <w:szCs w:val="24"/>
          <w:lang w:val="en-US" w:eastAsia="en-GB"/>
        </w:rPr>
        <w:t xml:space="preserve"> </w:t>
      </w:r>
      <w:r w:rsidRPr="31CBAD24">
        <w:rPr>
          <w:rFonts w:eastAsia="Calibri"/>
          <w:sz w:val="24"/>
          <w:szCs w:val="24"/>
          <w:lang w:val="en-US" w:eastAsia="en-GB"/>
        </w:rPr>
        <w:t xml:space="preserve">Through the Department of Foreign Affairs and Trade (DFAT) Australia funded project on Enhancing the Development of Standards and Frameworks for Critical Technologies in Southeast Asia, ITU collaborated with UNU Macau </w:t>
      </w:r>
      <w:r w:rsidR="007B6448" w:rsidRPr="31CBAD24">
        <w:rPr>
          <w:rFonts w:eastAsia="Calibri"/>
          <w:sz w:val="24"/>
          <w:szCs w:val="24"/>
          <w:lang w:val="en-US" w:eastAsia="en-GB"/>
        </w:rPr>
        <w:t xml:space="preserve">in 2023 </w:t>
      </w:r>
      <w:r w:rsidRPr="31CBAD24">
        <w:rPr>
          <w:rFonts w:eastAsia="Calibri"/>
          <w:sz w:val="24"/>
          <w:szCs w:val="24"/>
          <w:lang w:val="en-US" w:eastAsia="en-GB"/>
        </w:rPr>
        <w:t xml:space="preserve">to conduct research on </w:t>
      </w:r>
      <w:hyperlink r:id="rId12">
        <w:r w:rsidRPr="31CBAD24">
          <w:rPr>
            <w:rFonts w:eastAsia="Calibri"/>
            <w:color w:val="0000FF"/>
            <w:sz w:val="24"/>
            <w:szCs w:val="24"/>
            <w:u w:val="single"/>
            <w:lang w:val="en-US" w:eastAsia="en-GB"/>
          </w:rPr>
          <w:t>Gender-sensitive Artificial Intelligence (AI) Policy in Southeast Asia</w:t>
        </w:r>
      </w:hyperlink>
      <w:r w:rsidRPr="31CBAD24">
        <w:rPr>
          <w:rFonts w:eastAsia="Calibri"/>
          <w:sz w:val="24"/>
          <w:szCs w:val="24"/>
          <w:lang w:val="en-US" w:eastAsia="en-GB"/>
        </w:rPr>
        <w:t xml:space="preserve">, specifically focused on Indonesia, Malaysia, the Philippines and Thailand. </w:t>
      </w:r>
      <w:bookmarkStart w:id="1" w:name="x__Int_kRzt9qM5"/>
      <w:r w:rsidRPr="31CBAD24">
        <w:rPr>
          <w:rFonts w:eastAsia="Calibri"/>
          <w:sz w:val="24"/>
          <w:szCs w:val="24"/>
          <w:lang w:val="en-US" w:eastAsia="en-GB"/>
        </w:rPr>
        <w:t xml:space="preserve">This research informed </w:t>
      </w:r>
      <w:r w:rsidRPr="31CBAD24">
        <w:rPr>
          <w:rFonts w:eastAsia="Calibri"/>
          <w:sz w:val="24"/>
          <w:szCs w:val="24"/>
          <w:u w:val="single"/>
          <w:lang w:val="en-US" w:eastAsia="en-GB"/>
        </w:rPr>
        <w:t xml:space="preserve">gender-sensitive AI policy development in the four countries </w:t>
      </w:r>
      <w:r w:rsidRPr="31CBAD24">
        <w:rPr>
          <w:rFonts w:eastAsia="Calibri"/>
          <w:sz w:val="24"/>
          <w:szCs w:val="24"/>
          <w:lang w:val="en-US" w:eastAsia="en-GB"/>
        </w:rPr>
        <w:t xml:space="preserve">and provided </w:t>
      </w:r>
      <w:proofErr w:type="gramStart"/>
      <w:r w:rsidRPr="31CBAD24">
        <w:rPr>
          <w:rFonts w:eastAsia="Calibri"/>
          <w:sz w:val="24"/>
          <w:szCs w:val="24"/>
          <w:lang w:val="en-US" w:eastAsia="en-GB"/>
        </w:rPr>
        <w:t>a number of</w:t>
      </w:r>
      <w:proofErr w:type="gramEnd"/>
      <w:r w:rsidRPr="31CBAD24">
        <w:rPr>
          <w:rFonts w:eastAsia="Calibri"/>
          <w:sz w:val="24"/>
          <w:szCs w:val="24"/>
          <w:lang w:val="en-US" w:eastAsia="en-GB"/>
        </w:rPr>
        <w:t xml:space="preserve"> key recommendations for policymakers’ consideration.</w:t>
      </w:r>
      <w:bookmarkEnd w:id="1"/>
      <w:r w:rsidRPr="31CBAD24">
        <w:rPr>
          <w:rFonts w:eastAsia="Calibri"/>
          <w:sz w:val="24"/>
          <w:szCs w:val="24"/>
          <w:lang w:val="en-US" w:eastAsia="en-GB"/>
        </w:rPr>
        <w:t xml:space="preserve"> Additionally, ITU collaborated with AIT under the project to provide </w:t>
      </w:r>
      <w:r w:rsidRPr="31CBAD24">
        <w:rPr>
          <w:rFonts w:eastAsia="Calibri"/>
          <w:sz w:val="24"/>
          <w:szCs w:val="24"/>
          <w:u w:val="single"/>
          <w:lang w:val="en-US" w:eastAsia="en-GB"/>
        </w:rPr>
        <w:t>capacity-building training</w:t>
      </w:r>
      <w:r w:rsidRPr="31CBAD24">
        <w:rPr>
          <w:rFonts w:eastAsia="Calibri"/>
          <w:sz w:val="24"/>
          <w:szCs w:val="24"/>
          <w:lang w:val="en-US" w:eastAsia="en-GB"/>
        </w:rPr>
        <w:t xml:space="preserve"> to policymakers in the four countries on the fundamentals of AI as well as the gender and social risks posed by AI technology. This included a series of training sessions delivered as part of the ASEAN Girls in ICT Day 2023.</w:t>
      </w:r>
    </w:p>
    <w:p w14:paraId="79892601" w14:textId="210E32DB" w:rsidR="00005E1C" w:rsidRPr="00F4624D" w:rsidRDefault="00005E1C" w:rsidP="4481A918">
      <w:pPr>
        <w:pStyle w:val="ListParagraph"/>
        <w:numPr>
          <w:ilvl w:val="0"/>
          <w:numId w:val="4"/>
        </w:numPr>
        <w:spacing w:before="120" w:after="120" w:line="240" w:lineRule="auto"/>
        <w:rPr>
          <w:sz w:val="24"/>
          <w:szCs w:val="24"/>
        </w:rPr>
      </w:pPr>
      <w:r w:rsidRPr="31CBAD24">
        <w:rPr>
          <w:b/>
          <w:bCs/>
          <w:sz w:val="24"/>
          <w:szCs w:val="24"/>
        </w:rPr>
        <w:t>Kostanay Engineering and Economic University (KEnEU) in Kostanay, Kazakhstan (ITU</w:t>
      </w:r>
      <w:r w:rsidR="1A174FC8" w:rsidRPr="31CBAD24">
        <w:rPr>
          <w:b/>
          <w:bCs/>
          <w:sz w:val="24"/>
          <w:szCs w:val="24"/>
        </w:rPr>
        <w:t xml:space="preserve"> </w:t>
      </w:r>
      <w:r w:rsidRPr="31CBAD24">
        <w:rPr>
          <w:b/>
          <w:bCs/>
          <w:sz w:val="24"/>
          <w:szCs w:val="24"/>
        </w:rPr>
        <w:t>Academia</w:t>
      </w:r>
      <w:r w:rsidR="40AC00C5" w:rsidRPr="31CBAD24">
        <w:rPr>
          <w:b/>
          <w:bCs/>
          <w:sz w:val="24"/>
          <w:szCs w:val="24"/>
        </w:rPr>
        <w:t xml:space="preserve"> member</w:t>
      </w:r>
      <w:r w:rsidRPr="31CBAD24">
        <w:rPr>
          <w:b/>
          <w:bCs/>
          <w:sz w:val="24"/>
          <w:szCs w:val="24"/>
        </w:rPr>
        <w:t xml:space="preserve">): </w:t>
      </w:r>
      <w:r w:rsidRPr="31CBAD24">
        <w:rPr>
          <w:sz w:val="24"/>
          <w:szCs w:val="24"/>
        </w:rPr>
        <w:t>Through the implementation of a joint project “Smart Kostanay Ecosystem” ITU and KEnEU have create</w:t>
      </w:r>
      <w:r w:rsidR="3487AB9B" w:rsidRPr="31CBAD24">
        <w:rPr>
          <w:sz w:val="24"/>
          <w:szCs w:val="24"/>
        </w:rPr>
        <w:t>d</w:t>
      </w:r>
      <w:r w:rsidRPr="31CBAD24">
        <w:rPr>
          <w:sz w:val="24"/>
          <w:szCs w:val="24"/>
        </w:rPr>
        <w:t xml:space="preserve"> a training and knowledge sharing ecosystem in Kostanay region of Kazakhstan. This ecosystem efficiently accumulates and disseminates best practices and delivers trainings on subjects ranging from startups to child online protection and helps to bridge the gap with the capital region of the country. Additionally, the project directly implements connectivity initiatives</w:t>
      </w:r>
      <w:r w:rsidR="00BC5911" w:rsidRPr="31CBAD24">
        <w:rPr>
          <w:sz w:val="24"/>
          <w:szCs w:val="24"/>
        </w:rPr>
        <w:t xml:space="preserve"> </w:t>
      </w:r>
      <w:r w:rsidR="00AE6785" w:rsidRPr="31CBAD24">
        <w:rPr>
          <w:sz w:val="24"/>
          <w:szCs w:val="24"/>
        </w:rPr>
        <w:t>and</w:t>
      </w:r>
      <w:r w:rsidRPr="31CBAD24">
        <w:rPr>
          <w:sz w:val="24"/>
          <w:szCs w:val="24"/>
        </w:rPr>
        <w:t xml:space="preserve"> has established broadband internet connection in </w:t>
      </w:r>
      <w:hyperlink r:id="rId13">
        <w:r w:rsidRPr="31CBAD24">
          <w:rPr>
            <w:rStyle w:val="Hyperlink"/>
            <w:sz w:val="24"/>
            <w:szCs w:val="24"/>
          </w:rPr>
          <w:t>several schools in the rural areas</w:t>
        </w:r>
      </w:hyperlink>
      <w:r w:rsidRPr="31CBAD24">
        <w:rPr>
          <w:sz w:val="24"/>
          <w:szCs w:val="24"/>
        </w:rPr>
        <w:t xml:space="preserve"> that were</w:t>
      </w:r>
      <w:r w:rsidRPr="31CBAD24">
        <w:rPr>
          <w:sz w:val="24"/>
          <w:szCs w:val="24"/>
          <w:lang w:val="ru-RU"/>
        </w:rPr>
        <w:t xml:space="preserve"> </w:t>
      </w:r>
      <w:r w:rsidRPr="31CBAD24">
        <w:rPr>
          <w:sz w:val="24"/>
          <w:szCs w:val="24"/>
          <w:lang w:val="en-US"/>
        </w:rPr>
        <w:t>heavily</w:t>
      </w:r>
      <w:r w:rsidRPr="31CBAD24">
        <w:rPr>
          <w:sz w:val="24"/>
          <w:szCs w:val="24"/>
        </w:rPr>
        <w:t xml:space="preserve"> affected by forest fires in 2022. In 2023 Kostanay hosted a regional </w:t>
      </w:r>
      <w:hyperlink r:id="rId14">
        <w:r w:rsidRPr="31CBAD24">
          <w:rPr>
            <w:rStyle w:val="Hyperlink"/>
            <w:sz w:val="24"/>
            <w:szCs w:val="24"/>
          </w:rPr>
          <w:t>ITU event “School Connectivity Week”</w:t>
        </w:r>
      </w:hyperlink>
      <w:r w:rsidRPr="31CBAD24">
        <w:rPr>
          <w:sz w:val="24"/>
          <w:szCs w:val="24"/>
        </w:rPr>
        <w:t>.</w:t>
      </w:r>
    </w:p>
    <w:p w14:paraId="1E453175" w14:textId="24E2287A" w:rsidR="004E4BCF" w:rsidRPr="00F4624D" w:rsidRDefault="002D27FB" w:rsidP="31CBAD24">
      <w:pPr>
        <w:numPr>
          <w:ilvl w:val="0"/>
          <w:numId w:val="4"/>
        </w:numPr>
        <w:spacing w:before="120" w:after="120" w:line="240" w:lineRule="auto"/>
        <w:rPr>
          <w:sz w:val="24"/>
          <w:szCs w:val="24"/>
        </w:rPr>
      </w:pPr>
      <w:bookmarkStart w:id="2" w:name="_Hlk164738256"/>
      <w:r w:rsidRPr="31CBAD24">
        <w:rPr>
          <w:b/>
          <w:bCs/>
          <w:sz w:val="24"/>
          <w:szCs w:val="24"/>
        </w:rPr>
        <w:t>University of the Witwatersrand (WITS), South Africa (Non-Academia</w:t>
      </w:r>
      <w:r w:rsidR="2F99BF7C" w:rsidRPr="31CBAD24">
        <w:rPr>
          <w:b/>
          <w:bCs/>
          <w:sz w:val="24"/>
          <w:szCs w:val="24"/>
        </w:rPr>
        <w:t xml:space="preserve"> member</w:t>
      </w:r>
      <w:r w:rsidRPr="31CBAD24">
        <w:rPr>
          <w:b/>
          <w:bCs/>
          <w:sz w:val="24"/>
          <w:szCs w:val="24"/>
        </w:rPr>
        <w:t>):</w:t>
      </w:r>
      <w:r w:rsidRPr="31CBAD24">
        <w:rPr>
          <w:sz w:val="24"/>
          <w:szCs w:val="24"/>
        </w:rPr>
        <w:t xml:space="preserve"> The university’s LINK Centre serves as an ITU Academy Training Centre providing training on a vast range of telecommunication/ICT regulatory topic</w:t>
      </w:r>
      <w:r w:rsidR="00962FBF" w:rsidRPr="31CBAD24">
        <w:rPr>
          <w:sz w:val="24"/>
          <w:szCs w:val="24"/>
        </w:rPr>
        <w:t>s</w:t>
      </w:r>
      <w:r w:rsidRPr="31CBAD24">
        <w:rPr>
          <w:sz w:val="24"/>
          <w:szCs w:val="24"/>
        </w:rPr>
        <w:t xml:space="preserve">. In 2024 courses are being offered to enhance the capacity of government officials and policymakers involved in digital transformation efforts. Notable is the Excellence in </w:t>
      </w:r>
      <w:r w:rsidR="007576EF" w:rsidRPr="31CBAD24">
        <w:rPr>
          <w:sz w:val="24"/>
          <w:szCs w:val="24"/>
        </w:rPr>
        <w:t>D</w:t>
      </w:r>
      <w:r w:rsidRPr="31CBAD24">
        <w:rPr>
          <w:sz w:val="24"/>
          <w:szCs w:val="24"/>
        </w:rPr>
        <w:t xml:space="preserve">igital </w:t>
      </w:r>
      <w:r w:rsidR="007576EF" w:rsidRPr="31CBAD24">
        <w:rPr>
          <w:sz w:val="24"/>
          <w:szCs w:val="24"/>
        </w:rPr>
        <w:t>G</w:t>
      </w:r>
      <w:r w:rsidRPr="31CBAD24">
        <w:rPr>
          <w:sz w:val="24"/>
          <w:szCs w:val="24"/>
        </w:rPr>
        <w:t>overnment online course, with face-to face courses on the topic being planned.</w:t>
      </w:r>
    </w:p>
    <w:bookmarkEnd w:id="2"/>
    <w:p w14:paraId="73472EF9" w14:textId="0C801CD7" w:rsidR="4481A918" w:rsidRDefault="4481A918" w:rsidP="4481A918">
      <w:pPr>
        <w:spacing w:before="120" w:after="120" w:line="240" w:lineRule="auto"/>
        <w:rPr>
          <w:b/>
          <w:bCs/>
          <w:sz w:val="24"/>
          <w:szCs w:val="24"/>
          <w:lang w:val="en-US"/>
        </w:rPr>
      </w:pPr>
    </w:p>
    <w:p w14:paraId="75205960" w14:textId="387A97B1" w:rsidR="000524BC" w:rsidRPr="00F4624D" w:rsidRDefault="009E4B1B" w:rsidP="00324DD3">
      <w:pPr>
        <w:spacing w:before="120" w:after="120" w:line="240" w:lineRule="auto"/>
        <w:rPr>
          <w:rFonts w:cstheme="minorHAnsi"/>
          <w:b/>
          <w:bCs/>
          <w:sz w:val="24"/>
          <w:szCs w:val="24"/>
          <w:lang w:val="en-US"/>
        </w:rPr>
      </w:pPr>
      <w:r w:rsidRPr="00F4624D">
        <w:rPr>
          <w:rFonts w:cstheme="minorHAnsi"/>
          <w:b/>
          <w:bCs/>
          <w:sz w:val="24"/>
          <w:szCs w:val="24"/>
          <w:lang w:val="en-US"/>
        </w:rPr>
        <w:t>Section 2: Potential areas to explore collaboration with Academia:</w:t>
      </w:r>
    </w:p>
    <w:p w14:paraId="3C8B9C15" w14:textId="6BF35BD2" w:rsidR="006F54FD" w:rsidRPr="00F4624D" w:rsidRDefault="009E4B1B" w:rsidP="00324DD3">
      <w:pPr>
        <w:pStyle w:val="ListParagraph"/>
        <w:numPr>
          <w:ilvl w:val="0"/>
          <w:numId w:val="4"/>
        </w:numPr>
        <w:spacing w:before="120" w:after="120" w:line="240" w:lineRule="auto"/>
        <w:contextualSpacing w:val="0"/>
        <w:rPr>
          <w:rFonts w:cstheme="minorHAnsi"/>
          <w:sz w:val="24"/>
          <w:szCs w:val="24"/>
        </w:rPr>
      </w:pPr>
      <w:r w:rsidRPr="00F4624D">
        <w:rPr>
          <w:rFonts w:cstheme="minorHAnsi"/>
          <w:b/>
          <w:bCs/>
          <w:sz w:val="24"/>
          <w:szCs w:val="24"/>
        </w:rPr>
        <w:t>ITU Capacity Development</w:t>
      </w:r>
      <w:r w:rsidRPr="00F4624D">
        <w:rPr>
          <w:rFonts w:cstheme="minorHAnsi"/>
          <w:sz w:val="24"/>
          <w:szCs w:val="24"/>
        </w:rPr>
        <w:t xml:space="preserve"> works</w:t>
      </w:r>
      <w:r w:rsidR="006F54FD" w:rsidRPr="00F4624D">
        <w:rPr>
          <w:rFonts w:cstheme="minorHAnsi"/>
          <w:sz w:val="24"/>
          <w:szCs w:val="24"/>
        </w:rPr>
        <w:t xml:space="preserve"> with a wide range of partners to develop and deliver its </w:t>
      </w:r>
      <w:r w:rsidR="006F54FD" w:rsidRPr="00F4624D">
        <w:rPr>
          <w:rFonts w:cstheme="minorHAnsi"/>
          <w:b/>
          <w:bCs/>
          <w:sz w:val="24"/>
          <w:szCs w:val="24"/>
        </w:rPr>
        <w:t>capacity development activities</w:t>
      </w:r>
      <w:r w:rsidR="006F54FD" w:rsidRPr="00F4624D">
        <w:rPr>
          <w:rFonts w:cstheme="minorHAnsi"/>
          <w:sz w:val="24"/>
          <w:szCs w:val="24"/>
        </w:rPr>
        <w:t xml:space="preserve">. These include </w:t>
      </w:r>
      <w:r w:rsidR="006F54FD" w:rsidRPr="00F34D8F">
        <w:rPr>
          <w:rFonts w:cstheme="minorHAnsi"/>
          <w:sz w:val="24"/>
          <w:szCs w:val="24"/>
        </w:rPr>
        <w:t xml:space="preserve">the ITU </w:t>
      </w:r>
      <w:r w:rsidR="00F759F8">
        <w:rPr>
          <w:rFonts w:cstheme="minorHAnsi"/>
          <w:sz w:val="24"/>
          <w:szCs w:val="24"/>
        </w:rPr>
        <w:t>Academy Training Centres</w:t>
      </w:r>
      <w:r w:rsidR="00C377D6">
        <w:rPr>
          <w:rFonts w:cstheme="minorHAnsi"/>
          <w:sz w:val="24"/>
          <w:szCs w:val="24"/>
        </w:rPr>
        <w:t xml:space="preserve"> (ATC)</w:t>
      </w:r>
      <w:r w:rsidR="006F54FD" w:rsidRPr="00F4624D">
        <w:rPr>
          <w:rFonts w:cstheme="minorHAnsi"/>
          <w:sz w:val="24"/>
          <w:szCs w:val="24"/>
        </w:rPr>
        <w:t xml:space="preserve">, public and private training institutions, universities, and industry partners, as well as development agencies. This collaboration expands the scope and reach of the capacity development programmes, avoids duplication, and improves the quality of the initiatives. </w:t>
      </w:r>
    </w:p>
    <w:p w14:paraId="52EFABC4" w14:textId="72168158" w:rsidR="006F54FD" w:rsidRPr="00F4624D" w:rsidRDefault="006F54FD" w:rsidP="31CBAD24">
      <w:pPr>
        <w:pStyle w:val="ListParagraph"/>
        <w:numPr>
          <w:ilvl w:val="0"/>
          <w:numId w:val="6"/>
        </w:numPr>
        <w:spacing w:before="120" w:after="120" w:line="240" w:lineRule="auto"/>
        <w:rPr>
          <w:rFonts w:eastAsia="Calibri"/>
          <w:sz w:val="24"/>
          <w:szCs w:val="24"/>
          <w:u w:val="single"/>
        </w:rPr>
      </w:pPr>
      <w:r w:rsidRPr="31CBAD24">
        <w:rPr>
          <w:rFonts w:eastAsia="Calibri"/>
          <w:sz w:val="24"/>
          <w:szCs w:val="24"/>
          <w:u w:val="single"/>
        </w:rPr>
        <w:t>Partnership opportunities for ITU Academia</w:t>
      </w:r>
      <w:r w:rsidR="2B3271EF" w:rsidRPr="31CBAD24">
        <w:rPr>
          <w:rFonts w:eastAsia="Calibri"/>
          <w:sz w:val="24"/>
          <w:szCs w:val="24"/>
          <w:u w:val="single"/>
        </w:rPr>
        <w:t xml:space="preserve"> members</w:t>
      </w:r>
      <w:r w:rsidRPr="31CBAD24">
        <w:rPr>
          <w:rFonts w:eastAsia="Calibri"/>
          <w:sz w:val="24"/>
          <w:szCs w:val="24"/>
          <w:u w:val="single"/>
        </w:rPr>
        <w:t>:</w:t>
      </w:r>
    </w:p>
    <w:p w14:paraId="4F9D6BBF" w14:textId="6C1E2387" w:rsidR="006F54FD" w:rsidRPr="00F4624D" w:rsidRDefault="006F54FD" w:rsidP="00324DD3">
      <w:pPr>
        <w:pStyle w:val="ListParagraph"/>
        <w:numPr>
          <w:ilvl w:val="1"/>
          <w:numId w:val="6"/>
        </w:numPr>
        <w:spacing w:before="120" w:after="120" w:line="240" w:lineRule="auto"/>
        <w:contextualSpacing w:val="0"/>
        <w:rPr>
          <w:rFonts w:eastAsia="Calibri" w:cstheme="minorHAnsi"/>
          <w:sz w:val="24"/>
          <w:szCs w:val="24"/>
        </w:rPr>
      </w:pPr>
      <w:r w:rsidRPr="00F4624D">
        <w:rPr>
          <w:rFonts w:eastAsia="Calibri" w:cstheme="minorHAnsi"/>
          <w:sz w:val="24"/>
          <w:szCs w:val="24"/>
        </w:rPr>
        <w:t>Become an ITU Academy Training Centre (ATC)</w:t>
      </w:r>
    </w:p>
    <w:p w14:paraId="653B6DA7" w14:textId="77777777" w:rsidR="006F54FD" w:rsidRPr="00F4624D" w:rsidRDefault="006F54FD" w:rsidP="00324DD3">
      <w:pPr>
        <w:pStyle w:val="ListParagraph"/>
        <w:numPr>
          <w:ilvl w:val="1"/>
          <w:numId w:val="6"/>
        </w:numPr>
        <w:spacing w:before="120" w:after="120" w:line="240" w:lineRule="auto"/>
        <w:contextualSpacing w:val="0"/>
        <w:rPr>
          <w:rFonts w:eastAsia="Calibri" w:cstheme="minorHAnsi"/>
          <w:sz w:val="24"/>
          <w:szCs w:val="24"/>
        </w:rPr>
      </w:pPr>
      <w:r w:rsidRPr="00F4624D">
        <w:rPr>
          <w:rFonts w:eastAsia="Calibri" w:cstheme="minorHAnsi"/>
          <w:sz w:val="24"/>
          <w:szCs w:val="24"/>
        </w:rPr>
        <w:t xml:space="preserve">Become an ATC programme partner. </w:t>
      </w:r>
    </w:p>
    <w:p w14:paraId="33EA95C2" w14:textId="77777777" w:rsidR="006F54FD" w:rsidRPr="00F4624D" w:rsidRDefault="006F54FD" w:rsidP="00324DD3">
      <w:pPr>
        <w:pStyle w:val="ListParagraph"/>
        <w:numPr>
          <w:ilvl w:val="1"/>
          <w:numId w:val="6"/>
        </w:numPr>
        <w:spacing w:before="120" w:after="120" w:line="240" w:lineRule="auto"/>
        <w:contextualSpacing w:val="0"/>
        <w:rPr>
          <w:rFonts w:eastAsia="Calibri" w:cstheme="minorHAnsi"/>
          <w:sz w:val="24"/>
          <w:szCs w:val="24"/>
        </w:rPr>
      </w:pPr>
      <w:r w:rsidRPr="00F4624D">
        <w:rPr>
          <w:rFonts w:eastAsia="Calibri" w:cstheme="minorHAnsi"/>
          <w:sz w:val="24"/>
          <w:szCs w:val="24"/>
        </w:rPr>
        <w:t xml:space="preserve">Deliver one of ITU’s training programmes. </w:t>
      </w:r>
    </w:p>
    <w:p w14:paraId="497FF124" w14:textId="77777777" w:rsidR="006F54FD" w:rsidRPr="00F4624D" w:rsidRDefault="006F54FD" w:rsidP="00324DD3">
      <w:pPr>
        <w:pStyle w:val="ListParagraph"/>
        <w:numPr>
          <w:ilvl w:val="1"/>
          <w:numId w:val="6"/>
        </w:numPr>
        <w:spacing w:before="120" w:after="120" w:line="240" w:lineRule="auto"/>
        <w:contextualSpacing w:val="0"/>
        <w:rPr>
          <w:rFonts w:eastAsia="Calibri" w:cstheme="minorHAnsi"/>
          <w:sz w:val="24"/>
          <w:szCs w:val="24"/>
        </w:rPr>
      </w:pPr>
      <w:r w:rsidRPr="00F4624D">
        <w:rPr>
          <w:rFonts w:eastAsia="Calibri" w:cstheme="minorHAnsi"/>
          <w:sz w:val="24"/>
          <w:szCs w:val="24"/>
        </w:rPr>
        <w:t xml:space="preserve">Partner with ITU on joint delivery of training on specific courses </w:t>
      </w:r>
    </w:p>
    <w:p w14:paraId="22374796" w14:textId="646D091F" w:rsidR="006F54FD" w:rsidRPr="00F4624D" w:rsidRDefault="006F54FD" w:rsidP="31CBAD24">
      <w:pPr>
        <w:pStyle w:val="ListParagraph"/>
        <w:numPr>
          <w:ilvl w:val="0"/>
          <w:numId w:val="4"/>
        </w:numPr>
        <w:spacing w:before="120" w:after="120" w:line="240" w:lineRule="auto"/>
        <w:rPr>
          <w:rFonts w:eastAsia="Calibri"/>
          <w:b/>
          <w:bCs/>
          <w:sz w:val="24"/>
          <w:szCs w:val="24"/>
          <w:u w:val="single"/>
          <w:lang w:val="en-US"/>
        </w:rPr>
      </w:pPr>
      <w:r w:rsidRPr="31CBAD24">
        <w:rPr>
          <w:rFonts w:eastAsia="Calibri"/>
          <w:b/>
          <w:bCs/>
          <w:sz w:val="24"/>
          <w:szCs w:val="24"/>
          <w:lang w:val="en-US"/>
        </w:rPr>
        <w:t>ITU-D</w:t>
      </w:r>
      <w:r w:rsidRPr="31CBAD24">
        <w:rPr>
          <w:rFonts w:eastAsia="Calibri"/>
          <w:sz w:val="24"/>
          <w:szCs w:val="24"/>
          <w:lang w:val="en-US"/>
        </w:rPr>
        <w:t xml:space="preserve"> </w:t>
      </w:r>
      <w:r w:rsidRPr="31CBAD24">
        <w:rPr>
          <w:rFonts w:eastAsia="Calibri"/>
          <w:b/>
          <w:bCs/>
          <w:sz w:val="24"/>
          <w:szCs w:val="24"/>
          <w:lang w:val="en-US"/>
        </w:rPr>
        <w:t>Innovation and Entrepreneurship Alliance for Digital Development</w:t>
      </w:r>
      <w:r w:rsidRPr="31CBAD24">
        <w:rPr>
          <w:rFonts w:eastAsia="Calibri"/>
          <w:sz w:val="24"/>
          <w:szCs w:val="24"/>
          <w:lang w:val="en-US"/>
        </w:rPr>
        <w:t xml:space="preserve"> </w:t>
      </w:r>
      <w:r w:rsidR="004E4BCF" w:rsidRPr="31CBAD24">
        <w:rPr>
          <w:rFonts w:eastAsia="Calibri"/>
          <w:sz w:val="24"/>
          <w:szCs w:val="24"/>
          <w:lang w:val="en-US"/>
        </w:rPr>
        <w:t>aims</w:t>
      </w:r>
      <w:r w:rsidRPr="31CBAD24">
        <w:rPr>
          <w:rFonts w:eastAsia="Calibri"/>
          <w:sz w:val="24"/>
          <w:szCs w:val="24"/>
          <w:lang w:val="en-US"/>
        </w:rPr>
        <w:t xml:space="preserve"> collaboratively </w:t>
      </w:r>
      <w:r w:rsidR="00716F88" w:rsidRPr="31CBAD24">
        <w:rPr>
          <w:rFonts w:eastAsia="Calibri"/>
          <w:sz w:val="24"/>
          <w:szCs w:val="24"/>
          <w:lang w:val="en-US"/>
        </w:rPr>
        <w:t xml:space="preserve">to </w:t>
      </w:r>
      <w:r w:rsidRPr="31CBAD24">
        <w:rPr>
          <w:rFonts w:eastAsia="Calibri"/>
          <w:sz w:val="24"/>
          <w:szCs w:val="24"/>
          <w:lang w:val="en-US"/>
        </w:rPr>
        <w:t>advance five strategic objectives to accelerate countries’ journey towards an innovation-driven digital economy. Options for ITU Academia</w:t>
      </w:r>
      <w:r w:rsidR="1E8B9D0A" w:rsidRPr="31CBAD24">
        <w:rPr>
          <w:rFonts w:eastAsia="Calibri"/>
          <w:sz w:val="24"/>
          <w:szCs w:val="24"/>
          <w:lang w:val="en-US"/>
        </w:rPr>
        <w:t xml:space="preserve"> members</w:t>
      </w:r>
      <w:r w:rsidRPr="31CBAD24">
        <w:rPr>
          <w:rFonts w:eastAsia="Calibri"/>
          <w:sz w:val="24"/>
          <w:szCs w:val="24"/>
          <w:lang w:val="en-US"/>
        </w:rPr>
        <w:t xml:space="preserve"> engagement with the Alliance</w:t>
      </w:r>
      <w:r w:rsidR="00716F88" w:rsidRPr="31CBAD24">
        <w:rPr>
          <w:rFonts w:eastAsia="Calibri"/>
          <w:sz w:val="24"/>
          <w:szCs w:val="24"/>
          <w:lang w:val="en-US"/>
        </w:rPr>
        <w:t xml:space="preserve"> include</w:t>
      </w:r>
      <w:r w:rsidRPr="31CBAD24">
        <w:rPr>
          <w:rFonts w:eastAsia="Calibri"/>
          <w:sz w:val="24"/>
          <w:szCs w:val="24"/>
          <w:lang w:val="en-US"/>
        </w:rPr>
        <w:t>:</w:t>
      </w:r>
    </w:p>
    <w:p w14:paraId="3DC1F9F1" w14:textId="77777777" w:rsidR="006F54FD" w:rsidRPr="00F4624D" w:rsidRDefault="006F54FD" w:rsidP="00324DD3">
      <w:pPr>
        <w:pStyle w:val="ListParagraph"/>
        <w:numPr>
          <w:ilvl w:val="0"/>
          <w:numId w:val="6"/>
        </w:numPr>
        <w:spacing w:before="120" w:after="120" w:line="240" w:lineRule="auto"/>
        <w:contextualSpacing w:val="0"/>
        <w:rPr>
          <w:rFonts w:eastAsia="Calibri" w:cstheme="minorHAnsi"/>
          <w:sz w:val="24"/>
          <w:szCs w:val="24"/>
          <w:lang w:val="en-US"/>
        </w:rPr>
      </w:pPr>
      <w:r w:rsidRPr="00F4624D">
        <w:rPr>
          <w:rFonts w:eastAsia="Calibri" w:cstheme="minorHAnsi"/>
          <w:sz w:val="24"/>
          <w:szCs w:val="24"/>
          <w:u w:val="single"/>
          <w:lang w:val="en-US"/>
        </w:rPr>
        <w:t>Engage in activities with one of the three vehicles of the Alliance</w:t>
      </w:r>
      <w:r w:rsidRPr="00F4624D">
        <w:rPr>
          <w:rFonts w:eastAsia="Calibri" w:cstheme="minorHAnsi"/>
          <w:sz w:val="24"/>
          <w:szCs w:val="24"/>
          <w:lang w:val="en-US"/>
        </w:rPr>
        <w:t xml:space="preserve">: </w:t>
      </w:r>
    </w:p>
    <w:p w14:paraId="559E7215" w14:textId="77777777" w:rsidR="006F54FD" w:rsidRPr="00F4624D" w:rsidRDefault="006F54FD" w:rsidP="00324DD3">
      <w:pPr>
        <w:pStyle w:val="ListParagraph"/>
        <w:numPr>
          <w:ilvl w:val="1"/>
          <w:numId w:val="6"/>
        </w:numPr>
        <w:spacing w:before="120" w:after="120" w:line="240" w:lineRule="auto"/>
        <w:contextualSpacing w:val="0"/>
        <w:rPr>
          <w:rFonts w:eastAsia="Times New Roman" w:cstheme="minorHAnsi"/>
          <w:sz w:val="24"/>
          <w:szCs w:val="24"/>
          <w:lang w:val="en-US"/>
        </w:rPr>
      </w:pPr>
      <w:r w:rsidRPr="00F4624D">
        <w:rPr>
          <w:rFonts w:eastAsia="Times New Roman" w:cstheme="minorHAnsi"/>
          <w:sz w:val="24"/>
          <w:szCs w:val="24"/>
          <w:lang w:val="en-US"/>
        </w:rPr>
        <w:t>collaborate with the Digital Transformation Lab.</w:t>
      </w:r>
    </w:p>
    <w:p w14:paraId="3A8B802C" w14:textId="77777777" w:rsidR="006F54FD" w:rsidRPr="00F4624D" w:rsidRDefault="006F54FD" w:rsidP="00324DD3">
      <w:pPr>
        <w:pStyle w:val="ListParagraph"/>
        <w:numPr>
          <w:ilvl w:val="1"/>
          <w:numId w:val="6"/>
        </w:numPr>
        <w:spacing w:before="120" w:after="120" w:line="240" w:lineRule="auto"/>
        <w:contextualSpacing w:val="0"/>
        <w:rPr>
          <w:rFonts w:eastAsia="Times New Roman" w:cstheme="minorHAnsi"/>
          <w:sz w:val="24"/>
          <w:szCs w:val="24"/>
          <w:lang w:val="en-US"/>
        </w:rPr>
      </w:pPr>
      <w:r w:rsidRPr="00F4624D">
        <w:rPr>
          <w:rFonts w:eastAsia="Times New Roman" w:cstheme="minorHAnsi"/>
          <w:sz w:val="24"/>
          <w:szCs w:val="24"/>
          <w:lang w:val="en-US"/>
        </w:rPr>
        <w:t>collaborate with the Digital Innovation Board.</w:t>
      </w:r>
    </w:p>
    <w:p w14:paraId="14C0EB15" w14:textId="77777777" w:rsidR="006F54FD" w:rsidRPr="00F4624D" w:rsidRDefault="006F54FD" w:rsidP="00324DD3">
      <w:pPr>
        <w:pStyle w:val="ListParagraph"/>
        <w:numPr>
          <w:ilvl w:val="1"/>
          <w:numId w:val="6"/>
        </w:numPr>
        <w:spacing w:before="120" w:after="120" w:line="240" w:lineRule="auto"/>
        <w:contextualSpacing w:val="0"/>
        <w:rPr>
          <w:rFonts w:eastAsia="Times New Roman" w:cstheme="minorHAnsi"/>
          <w:sz w:val="24"/>
          <w:szCs w:val="24"/>
          <w:lang w:val="en-US"/>
        </w:rPr>
      </w:pPr>
      <w:r w:rsidRPr="00F4624D">
        <w:rPr>
          <w:rFonts w:eastAsia="Times New Roman" w:cstheme="minorHAnsi"/>
          <w:sz w:val="24"/>
          <w:szCs w:val="24"/>
          <w:lang w:val="en-US"/>
        </w:rPr>
        <w:t>collaborate with one or the Network of ITU Acceleration Centers.</w:t>
      </w:r>
    </w:p>
    <w:p w14:paraId="480748F7" w14:textId="77777777" w:rsidR="006F54FD" w:rsidRPr="00F4624D" w:rsidRDefault="006F54FD" w:rsidP="00324DD3">
      <w:pPr>
        <w:pStyle w:val="ListParagraph"/>
        <w:numPr>
          <w:ilvl w:val="0"/>
          <w:numId w:val="6"/>
        </w:numPr>
        <w:spacing w:before="120" w:after="120" w:line="240" w:lineRule="auto"/>
        <w:contextualSpacing w:val="0"/>
        <w:rPr>
          <w:rFonts w:eastAsia="Calibri" w:cstheme="minorHAnsi"/>
          <w:sz w:val="24"/>
          <w:szCs w:val="24"/>
          <w:u w:val="single"/>
          <w:lang w:val="en-US"/>
        </w:rPr>
      </w:pPr>
      <w:r w:rsidRPr="00F4624D">
        <w:rPr>
          <w:rFonts w:eastAsia="Calibri" w:cstheme="minorHAnsi"/>
          <w:sz w:val="24"/>
          <w:szCs w:val="24"/>
          <w:u w:val="single"/>
          <w:lang w:val="en-US"/>
        </w:rPr>
        <w:t>Join the Network of ITU Acceleration Centers:</w:t>
      </w:r>
    </w:p>
    <w:p w14:paraId="5A86F861" w14:textId="77777777" w:rsidR="006F54FD" w:rsidRPr="00F4624D" w:rsidRDefault="006F54FD" w:rsidP="00324DD3">
      <w:pPr>
        <w:pStyle w:val="ListParagraph"/>
        <w:numPr>
          <w:ilvl w:val="1"/>
          <w:numId w:val="6"/>
        </w:numPr>
        <w:spacing w:before="120" w:after="120" w:line="240" w:lineRule="auto"/>
        <w:contextualSpacing w:val="0"/>
        <w:rPr>
          <w:rFonts w:eastAsia="Calibri" w:cstheme="minorHAnsi"/>
          <w:b/>
          <w:bCs/>
          <w:sz w:val="24"/>
          <w:szCs w:val="24"/>
          <w:lang w:val="en-US"/>
        </w:rPr>
      </w:pPr>
      <w:r w:rsidRPr="00F4624D">
        <w:rPr>
          <w:rFonts w:eastAsia="Times New Roman" w:cstheme="minorHAnsi"/>
          <w:sz w:val="24"/>
          <w:szCs w:val="24"/>
          <w:lang w:val="en-US"/>
        </w:rPr>
        <w:t>become part of/host an ITU Acceleration Centre (in the second cohort of centers, timeline to be determined).</w:t>
      </w:r>
    </w:p>
    <w:p w14:paraId="06F39A7A" w14:textId="77777777" w:rsidR="006F54FD" w:rsidRPr="00F4624D" w:rsidRDefault="006F54FD" w:rsidP="00324DD3">
      <w:pPr>
        <w:pStyle w:val="ListParagraph"/>
        <w:numPr>
          <w:ilvl w:val="0"/>
          <w:numId w:val="6"/>
        </w:numPr>
        <w:spacing w:before="120" w:after="120" w:line="240" w:lineRule="auto"/>
        <w:contextualSpacing w:val="0"/>
        <w:rPr>
          <w:rFonts w:eastAsia="Calibri" w:cstheme="minorHAnsi"/>
          <w:b/>
          <w:bCs/>
          <w:sz w:val="24"/>
          <w:szCs w:val="24"/>
          <w:lang w:val="en-US"/>
        </w:rPr>
      </w:pPr>
      <w:r w:rsidRPr="00F4624D">
        <w:rPr>
          <w:rFonts w:eastAsia="Calibri" w:cstheme="minorHAnsi"/>
          <w:sz w:val="24"/>
          <w:szCs w:val="24"/>
          <w:u w:val="single"/>
          <w:lang w:val="en-US"/>
        </w:rPr>
        <w:t>Enter in a strategic partnership with the DT Lab or a Centre</w:t>
      </w:r>
      <w:r w:rsidRPr="00F4624D">
        <w:rPr>
          <w:rFonts w:eastAsia="Calibri" w:cstheme="minorHAnsi"/>
          <w:b/>
          <w:bCs/>
          <w:sz w:val="24"/>
          <w:szCs w:val="24"/>
          <w:lang w:val="en-US"/>
        </w:rPr>
        <w:t>:</w:t>
      </w:r>
    </w:p>
    <w:p w14:paraId="4A79E9C0" w14:textId="288E3E6D" w:rsidR="006F54FD" w:rsidRPr="00F4624D" w:rsidRDefault="006F54FD" w:rsidP="00324DD3">
      <w:pPr>
        <w:pStyle w:val="ListParagraph"/>
        <w:numPr>
          <w:ilvl w:val="1"/>
          <w:numId w:val="6"/>
        </w:numPr>
        <w:spacing w:before="120" w:after="120" w:line="240" w:lineRule="auto"/>
        <w:contextualSpacing w:val="0"/>
        <w:rPr>
          <w:rFonts w:eastAsia="Times New Roman" w:cstheme="minorHAnsi"/>
          <w:sz w:val="24"/>
          <w:szCs w:val="24"/>
          <w:lang w:val="en-US"/>
        </w:rPr>
      </w:pPr>
      <w:r w:rsidRPr="00F4624D">
        <w:rPr>
          <w:rFonts w:eastAsia="Times New Roman" w:cstheme="minorHAnsi"/>
          <w:sz w:val="24"/>
          <w:szCs w:val="24"/>
          <w:lang w:val="en-US"/>
        </w:rPr>
        <w:t>Establish a Joint-</w:t>
      </w:r>
      <w:r w:rsidR="00BF3DA6" w:rsidRPr="00F4624D">
        <w:rPr>
          <w:rFonts w:eastAsia="Times New Roman" w:cstheme="minorHAnsi"/>
          <w:sz w:val="24"/>
          <w:szCs w:val="24"/>
          <w:lang w:val="en-US"/>
        </w:rPr>
        <w:t xml:space="preserve">Program </w:t>
      </w:r>
      <w:r w:rsidRPr="00F4624D">
        <w:rPr>
          <w:rFonts w:eastAsia="Times New Roman" w:cstheme="minorHAnsi"/>
          <w:sz w:val="24"/>
          <w:szCs w:val="24"/>
          <w:lang w:val="en-US"/>
        </w:rPr>
        <w:t>to create mutually beneficial strategic partnerships to accelerate creating an equitable digital future for all.</w:t>
      </w:r>
    </w:p>
    <w:p w14:paraId="14FBB820" w14:textId="122073D7" w:rsidR="000524BC" w:rsidRPr="00F4624D" w:rsidRDefault="004E4BCF" w:rsidP="00324DD3">
      <w:pPr>
        <w:pStyle w:val="ListParagraph"/>
        <w:numPr>
          <w:ilvl w:val="0"/>
          <w:numId w:val="4"/>
        </w:numPr>
        <w:spacing w:before="120" w:after="120" w:line="240" w:lineRule="auto"/>
        <w:contextualSpacing w:val="0"/>
        <w:rPr>
          <w:rFonts w:eastAsia="Calibri" w:cstheme="minorHAnsi"/>
          <w:b/>
          <w:bCs/>
          <w:sz w:val="24"/>
          <w:szCs w:val="24"/>
          <w:lang w:val="en-US"/>
        </w:rPr>
      </w:pPr>
      <w:r w:rsidRPr="00F4624D">
        <w:rPr>
          <w:rFonts w:eastAsia="Calibri" w:cstheme="minorHAnsi"/>
          <w:b/>
          <w:bCs/>
          <w:sz w:val="24"/>
          <w:szCs w:val="24"/>
          <w:lang w:val="en-US"/>
        </w:rPr>
        <w:t>U</w:t>
      </w:r>
      <w:r w:rsidR="000524BC" w:rsidRPr="00F4624D">
        <w:rPr>
          <w:rFonts w:eastAsia="Calibri" w:cstheme="minorHAnsi"/>
          <w:b/>
          <w:bCs/>
          <w:sz w:val="24"/>
          <w:szCs w:val="24"/>
          <w:lang w:val="en-US"/>
        </w:rPr>
        <w:t>niversal and meaningful connectivity</w:t>
      </w:r>
      <w:r w:rsidRPr="00F4624D">
        <w:rPr>
          <w:rFonts w:eastAsia="Calibri" w:cstheme="minorHAnsi"/>
          <w:b/>
          <w:bCs/>
          <w:sz w:val="24"/>
          <w:szCs w:val="24"/>
          <w:lang w:val="en-US"/>
        </w:rPr>
        <w:t xml:space="preserve">: </w:t>
      </w:r>
    </w:p>
    <w:p w14:paraId="017FDA4E" w14:textId="64A6EE01" w:rsidR="000524BC" w:rsidRPr="00F4624D" w:rsidRDefault="000524BC" w:rsidP="00324DD3">
      <w:pPr>
        <w:pStyle w:val="ListParagraph"/>
        <w:numPr>
          <w:ilvl w:val="0"/>
          <w:numId w:val="6"/>
        </w:numPr>
        <w:spacing w:before="120" w:after="120" w:line="240" w:lineRule="auto"/>
        <w:contextualSpacing w:val="0"/>
        <w:rPr>
          <w:rFonts w:eastAsia="Times New Roman" w:cstheme="minorHAnsi"/>
          <w:sz w:val="24"/>
          <w:szCs w:val="24"/>
          <w:u w:val="single"/>
          <w:lang w:eastAsia="en-GB"/>
        </w:rPr>
      </w:pPr>
      <w:r w:rsidRPr="00F4624D">
        <w:rPr>
          <w:rFonts w:eastAsia="Times New Roman" w:cstheme="minorHAnsi"/>
          <w:sz w:val="24"/>
          <w:szCs w:val="24"/>
          <w:u w:val="single"/>
          <w:lang w:eastAsia="en-GB"/>
        </w:rPr>
        <w:t>Training</w:t>
      </w:r>
    </w:p>
    <w:p w14:paraId="206E2161" w14:textId="2D075237" w:rsidR="000524BC" w:rsidRPr="00F4624D" w:rsidRDefault="000524BC" w:rsidP="00324DD3">
      <w:pPr>
        <w:numPr>
          <w:ilvl w:val="1"/>
          <w:numId w:val="7"/>
        </w:numPr>
        <w:spacing w:before="120" w:after="120" w:line="240" w:lineRule="auto"/>
        <w:rPr>
          <w:rFonts w:eastAsia="Times New Roman" w:cstheme="minorHAnsi"/>
          <w:sz w:val="24"/>
          <w:szCs w:val="24"/>
          <w:lang w:eastAsia="en-GB"/>
        </w:rPr>
      </w:pPr>
      <w:r w:rsidRPr="00F4624D">
        <w:rPr>
          <w:rFonts w:eastAsia="Times New Roman" w:cstheme="minorHAnsi"/>
          <w:sz w:val="24"/>
          <w:szCs w:val="24"/>
          <w:lang w:eastAsia="en-GB"/>
        </w:rPr>
        <w:t xml:space="preserve">Preparation and delivery of hands-on training course on Small Area Estimation for staff of National Statistical Offices (NSOs) to prepare detailed “UMC maps”. </w:t>
      </w:r>
    </w:p>
    <w:p w14:paraId="26BEE00C" w14:textId="33E0BC1A" w:rsidR="000524BC" w:rsidRPr="00F4624D" w:rsidRDefault="000524BC" w:rsidP="4481A918">
      <w:pPr>
        <w:numPr>
          <w:ilvl w:val="1"/>
          <w:numId w:val="7"/>
        </w:numPr>
        <w:spacing w:before="120" w:after="120" w:line="240" w:lineRule="auto"/>
        <w:rPr>
          <w:rFonts w:eastAsia="Times New Roman"/>
          <w:sz w:val="24"/>
          <w:szCs w:val="24"/>
          <w:lang w:eastAsia="en-GB"/>
        </w:rPr>
      </w:pPr>
      <w:r w:rsidRPr="4481A918">
        <w:rPr>
          <w:rFonts w:eastAsia="Times New Roman"/>
          <w:sz w:val="24"/>
          <w:szCs w:val="24"/>
          <w:lang w:eastAsia="en-GB"/>
        </w:rPr>
        <w:t xml:space="preserve">Program for collaboration </w:t>
      </w:r>
      <w:r w:rsidR="004E4BCF" w:rsidRPr="4481A918">
        <w:rPr>
          <w:rFonts w:eastAsia="Times New Roman"/>
          <w:sz w:val="24"/>
          <w:szCs w:val="24"/>
          <w:lang w:eastAsia="en-GB"/>
        </w:rPr>
        <w:t>(Europe only</w:t>
      </w:r>
      <w:r w:rsidR="00324DD3" w:rsidRPr="4481A918">
        <w:rPr>
          <w:rFonts w:eastAsia="Times New Roman"/>
          <w:sz w:val="24"/>
          <w:szCs w:val="24"/>
          <w:lang w:eastAsia="en-GB"/>
        </w:rPr>
        <w:t xml:space="preserve"> </w:t>
      </w:r>
      <w:r w:rsidR="00BF3DA6" w:rsidRPr="4481A918">
        <w:rPr>
          <w:rFonts w:eastAsia="Times New Roman"/>
          <w:sz w:val="24"/>
          <w:szCs w:val="24"/>
          <w:lang w:eastAsia="en-GB"/>
        </w:rPr>
        <w:t>but similar other regional approaches</w:t>
      </w:r>
      <w:r w:rsidR="004E4BCF" w:rsidRPr="4481A918">
        <w:rPr>
          <w:rFonts w:eastAsia="Times New Roman"/>
          <w:sz w:val="24"/>
          <w:szCs w:val="24"/>
          <w:lang w:eastAsia="en-GB"/>
        </w:rPr>
        <w:t xml:space="preserve"> could be explored)</w:t>
      </w:r>
      <w:r w:rsidR="7D5B6108" w:rsidRPr="4481A918">
        <w:rPr>
          <w:rFonts w:eastAsia="Times New Roman"/>
          <w:sz w:val="24"/>
          <w:szCs w:val="24"/>
          <w:lang w:eastAsia="en-GB"/>
        </w:rPr>
        <w:t xml:space="preserve"> </w:t>
      </w:r>
      <w:r w:rsidRPr="4481A918">
        <w:rPr>
          <w:rFonts w:eastAsia="Times New Roman"/>
          <w:sz w:val="24"/>
          <w:szCs w:val="24"/>
          <w:lang w:eastAsia="en-GB"/>
        </w:rPr>
        <w:t xml:space="preserve">– Eurostat’s European Master of Official Statistics (EMOS, </w:t>
      </w:r>
      <w:hyperlink r:id="rId15">
        <w:r w:rsidRPr="4481A918">
          <w:rPr>
            <w:rFonts w:eastAsia="Times New Roman"/>
            <w:color w:val="0000FF"/>
            <w:sz w:val="24"/>
            <w:szCs w:val="24"/>
            <w:u w:val="single"/>
            <w:lang w:eastAsia="en-GB"/>
          </w:rPr>
          <w:t>European Master in Official Statistics - Eurostat (europa.eu)</w:t>
        </w:r>
      </w:hyperlink>
      <w:r w:rsidRPr="4481A918">
        <w:rPr>
          <w:rFonts w:eastAsia="Times New Roman"/>
          <w:sz w:val="24"/>
          <w:szCs w:val="24"/>
          <w:lang w:eastAsia="en-GB"/>
        </w:rPr>
        <w:t xml:space="preserve">). It certifies Master programs in European Universities that can be considered as part of the official statistics curriculum. Through EMOS, training on ICT </w:t>
      </w:r>
      <w:r w:rsidR="004E4BCF" w:rsidRPr="4481A918">
        <w:rPr>
          <w:rFonts w:eastAsia="Times New Roman"/>
          <w:sz w:val="24"/>
          <w:szCs w:val="24"/>
          <w:lang w:eastAsia="en-GB"/>
        </w:rPr>
        <w:t>statistics</w:t>
      </w:r>
      <w:r w:rsidRPr="4481A918">
        <w:rPr>
          <w:rFonts w:eastAsia="Times New Roman"/>
          <w:sz w:val="24"/>
          <w:szCs w:val="24"/>
          <w:lang w:eastAsia="en-GB"/>
        </w:rPr>
        <w:t xml:space="preserve"> could be easily disseminated to </w:t>
      </w:r>
      <w:r w:rsidR="004E4BCF" w:rsidRPr="4481A918">
        <w:rPr>
          <w:rFonts w:eastAsia="Times New Roman"/>
          <w:sz w:val="24"/>
          <w:szCs w:val="24"/>
          <w:lang w:eastAsia="en-GB"/>
        </w:rPr>
        <w:t>the</w:t>
      </w:r>
      <w:r w:rsidRPr="4481A918">
        <w:rPr>
          <w:rFonts w:eastAsia="Times New Roman"/>
          <w:sz w:val="24"/>
          <w:szCs w:val="24"/>
          <w:lang w:eastAsia="en-GB"/>
        </w:rPr>
        <w:t xml:space="preserve"> network of 30 universities.</w:t>
      </w:r>
    </w:p>
    <w:p w14:paraId="44D81866" w14:textId="64C0B8A1" w:rsidR="000524BC" w:rsidRPr="00F4624D" w:rsidRDefault="000524BC" w:rsidP="00324DD3">
      <w:pPr>
        <w:pStyle w:val="ListParagraph"/>
        <w:numPr>
          <w:ilvl w:val="0"/>
          <w:numId w:val="6"/>
        </w:numPr>
        <w:spacing w:before="120" w:after="120" w:line="240" w:lineRule="auto"/>
        <w:contextualSpacing w:val="0"/>
        <w:rPr>
          <w:rFonts w:eastAsia="Times New Roman" w:cstheme="minorHAnsi"/>
          <w:sz w:val="24"/>
          <w:szCs w:val="24"/>
          <w:u w:val="single"/>
          <w:lang w:eastAsia="en-GB"/>
        </w:rPr>
      </w:pPr>
      <w:r w:rsidRPr="00F4624D">
        <w:rPr>
          <w:rFonts w:eastAsia="Times New Roman" w:cstheme="minorHAnsi"/>
          <w:sz w:val="24"/>
          <w:szCs w:val="24"/>
          <w:u w:val="single"/>
          <w:lang w:eastAsia="en-GB"/>
        </w:rPr>
        <w:t>Research</w:t>
      </w:r>
    </w:p>
    <w:p w14:paraId="6E069B61" w14:textId="681A379D" w:rsidR="000524BC" w:rsidRPr="00F4624D" w:rsidRDefault="000524BC" w:rsidP="00324DD3">
      <w:pPr>
        <w:pStyle w:val="ListParagraph"/>
        <w:numPr>
          <w:ilvl w:val="1"/>
          <w:numId w:val="8"/>
        </w:numPr>
        <w:spacing w:before="120" w:after="120" w:line="240" w:lineRule="auto"/>
        <w:contextualSpacing w:val="0"/>
        <w:rPr>
          <w:rFonts w:eastAsia="Times New Roman" w:cstheme="minorHAnsi"/>
          <w:sz w:val="24"/>
          <w:szCs w:val="24"/>
          <w:lang w:eastAsia="en-GB"/>
        </w:rPr>
      </w:pPr>
      <w:r w:rsidRPr="00F4624D">
        <w:rPr>
          <w:rFonts w:eastAsia="Times New Roman" w:cstheme="minorHAnsi"/>
          <w:sz w:val="24"/>
          <w:szCs w:val="24"/>
          <w:lang w:eastAsia="en-GB"/>
        </w:rPr>
        <w:t>Consolidation of research on digital gaps.</w:t>
      </w:r>
    </w:p>
    <w:p w14:paraId="56FC6AA8" w14:textId="3593CC95" w:rsidR="000524BC" w:rsidRPr="00F4624D" w:rsidRDefault="000524BC" w:rsidP="00324DD3">
      <w:pPr>
        <w:numPr>
          <w:ilvl w:val="1"/>
          <w:numId w:val="8"/>
        </w:numPr>
        <w:spacing w:before="120" w:after="120" w:line="240" w:lineRule="auto"/>
        <w:rPr>
          <w:rFonts w:eastAsia="Times New Roman" w:cstheme="minorHAnsi"/>
          <w:sz w:val="24"/>
          <w:szCs w:val="24"/>
          <w:lang w:eastAsia="en-GB"/>
        </w:rPr>
      </w:pPr>
      <w:r w:rsidRPr="00F4624D">
        <w:rPr>
          <w:rFonts w:eastAsia="Times New Roman" w:cstheme="minorHAnsi"/>
          <w:sz w:val="24"/>
          <w:szCs w:val="24"/>
          <w:lang w:eastAsia="en-GB"/>
        </w:rPr>
        <w:t xml:space="preserve">Experimental research on behavioural aspects of use of ICT. </w:t>
      </w:r>
    </w:p>
    <w:p w14:paraId="732D178E" w14:textId="44CF54A6" w:rsidR="000524BC" w:rsidRPr="00F4624D" w:rsidRDefault="000524BC" w:rsidP="00324DD3">
      <w:pPr>
        <w:pStyle w:val="ListParagraph"/>
        <w:numPr>
          <w:ilvl w:val="0"/>
          <w:numId w:val="6"/>
        </w:numPr>
        <w:spacing w:before="120" w:after="120" w:line="240" w:lineRule="auto"/>
        <w:contextualSpacing w:val="0"/>
        <w:rPr>
          <w:rFonts w:eastAsia="Times New Roman" w:cstheme="minorHAnsi"/>
          <w:sz w:val="24"/>
          <w:szCs w:val="24"/>
          <w:u w:val="single"/>
          <w:lang w:eastAsia="en-GB"/>
        </w:rPr>
      </w:pPr>
      <w:r w:rsidRPr="00F4624D">
        <w:rPr>
          <w:rFonts w:eastAsia="Times New Roman" w:cstheme="minorHAnsi"/>
          <w:sz w:val="24"/>
          <w:szCs w:val="24"/>
          <w:u w:val="single"/>
          <w:lang w:eastAsia="en-GB"/>
        </w:rPr>
        <w:t>Networking and collaboration</w:t>
      </w:r>
    </w:p>
    <w:p w14:paraId="23EDA39D" w14:textId="01B840BC" w:rsidR="000524BC" w:rsidRPr="00F4624D" w:rsidRDefault="000524BC" w:rsidP="00324DD3">
      <w:pPr>
        <w:numPr>
          <w:ilvl w:val="1"/>
          <w:numId w:val="1"/>
        </w:numPr>
        <w:spacing w:before="120" w:after="120" w:line="240" w:lineRule="auto"/>
        <w:rPr>
          <w:rFonts w:eastAsia="Times New Roman" w:cstheme="minorHAnsi"/>
          <w:sz w:val="24"/>
          <w:szCs w:val="24"/>
          <w:lang w:eastAsia="en-GB"/>
        </w:rPr>
      </w:pPr>
      <w:r w:rsidRPr="00F4624D">
        <w:rPr>
          <w:rFonts w:eastAsia="Times New Roman" w:cstheme="minorHAnsi"/>
          <w:sz w:val="24"/>
          <w:szCs w:val="24"/>
          <w:lang w:eastAsia="en-GB"/>
        </w:rPr>
        <w:t xml:space="preserve">Collaboration through the International Statistical Institute (ISI, </w:t>
      </w:r>
      <w:hyperlink r:id="rId16" w:history="1">
        <w:r w:rsidRPr="00F4624D">
          <w:rPr>
            <w:rFonts w:eastAsia="Times New Roman" w:cstheme="minorHAnsi"/>
            <w:color w:val="0000FF"/>
            <w:sz w:val="24"/>
            <w:szCs w:val="24"/>
            <w:u w:val="single"/>
            <w:lang w:eastAsia="en-GB"/>
          </w:rPr>
          <w:t>Home | ISI (isi-web.org)</w:t>
        </w:r>
      </w:hyperlink>
      <w:r w:rsidRPr="00F4624D">
        <w:rPr>
          <w:rFonts w:eastAsia="Times New Roman" w:cstheme="minorHAnsi"/>
          <w:sz w:val="24"/>
          <w:szCs w:val="24"/>
          <w:lang w:eastAsia="en-GB"/>
        </w:rPr>
        <w:t xml:space="preserve">, a professional association including many academic statisticians, to increase the awareness of the statistical challenges in measuring the Information Society and the Digital Economy. </w:t>
      </w:r>
    </w:p>
    <w:p w14:paraId="00894721" w14:textId="5F38E635" w:rsidR="00E26158" w:rsidRPr="00F4624D" w:rsidRDefault="000524BC" w:rsidP="00324DD3">
      <w:pPr>
        <w:numPr>
          <w:ilvl w:val="1"/>
          <w:numId w:val="1"/>
        </w:numPr>
        <w:spacing w:before="120" w:after="120" w:line="240" w:lineRule="auto"/>
        <w:rPr>
          <w:rFonts w:eastAsia="Times New Roman" w:cstheme="minorHAnsi"/>
          <w:sz w:val="24"/>
          <w:szCs w:val="24"/>
          <w:lang w:eastAsia="en-GB"/>
        </w:rPr>
      </w:pPr>
      <w:r w:rsidRPr="00F4624D">
        <w:rPr>
          <w:rFonts w:eastAsia="Times New Roman" w:cstheme="minorHAnsi"/>
          <w:sz w:val="24"/>
          <w:szCs w:val="24"/>
          <w:lang w:eastAsia="en-GB"/>
        </w:rPr>
        <w:t>Facilitating contacts at the national level of N</w:t>
      </w:r>
      <w:r w:rsidR="004E4BCF" w:rsidRPr="00F4624D">
        <w:rPr>
          <w:rFonts w:eastAsia="Times New Roman" w:cstheme="minorHAnsi"/>
          <w:sz w:val="24"/>
          <w:szCs w:val="24"/>
          <w:lang w:eastAsia="en-GB"/>
        </w:rPr>
        <w:t>ational Statistics Offices (N</w:t>
      </w:r>
      <w:r w:rsidRPr="00F4624D">
        <w:rPr>
          <w:rFonts w:eastAsia="Times New Roman" w:cstheme="minorHAnsi"/>
          <w:sz w:val="24"/>
          <w:szCs w:val="24"/>
          <w:lang w:eastAsia="en-GB"/>
        </w:rPr>
        <w:t>SOs</w:t>
      </w:r>
      <w:r w:rsidR="004E4BCF" w:rsidRPr="00F4624D">
        <w:rPr>
          <w:rFonts w:eastAsia="Times New Roman" w:cstheme="minorHAnsi"/>
          <w:sz w:val="24"/>
          <w:szCs w:val="24"/>
          <w:lang w:eastAsia="en-GB"/>
        </w:rPr>
        <w:t xml:space="preserve">) </w:t>
      </w:r>
      <w:r w:rsidRPr="00F4624D">
        <w:rPr>
          <w:rFonts w:eastAsia="Times New Roman" w:cstheme="minorHAnsi"/>
          <w:sz w:val="24"/>
          <w:szCs w:val="24"/>
          <w:lang w:eastAsia="en-GB"/>
        </w:rPr>
        <w:t>and other ICT stats producers with Academic partners of ITU, promoting the use of NSOs microdata for research by showcasing examples.</w:t>
      </w:r>
    </w:p>
    <w:p w14:paraId="71F485D1" w14:textId="7C6C8D72" w:rsidR="0078206C" w:rsidRPr="00F4624D" w:rsidRDefault="00BF3DA6" w:rsidP="00324DD3">
      <w:pPr>
        <w:pStyle w:val="ListParagraph"/>
        <w:numPr>
          <w:ilvl w:val="0"/>
          <w:numId w:val="4"/>
        </w:numPr>
        <w:spacing w:before="120" w:after="120" w:line="240" w:lineRule="auto"/>
        <w:contextualSpacing w:val="0"/>
        <w:rPr>
          <w:rFonts w:cstheme="minorHAnsi"/>
          <w:sz w:val="24"/>
          <w:szCs w:val="24"/>
        </w:rPr>
      </w:pPr>
      <w:r w:rsidRPr="00F4624D">
        <w:rPr>
          <w:rFonts w:cstheme="minorHAnsi"/>
          <w:b/>
          <w:bCs/>
          <w:sz w:val="24"/>
          <w:szCs w:val="24"/>
          <w:lang w:val="en-US"/>
        </w:rPr>
        <w:t xml:space="preserve">Joining </w:t>
      </w:r>
      <w:r w:rsidR="007A7B5B" w:rsidRPr="00F4624D">
        <w:rPr>
          <w:rFonts w:cstheme="minorHAnsi"/>
          <w:b/>
          <w:bCs/>
          <w:sz w:val="24"/>
          <w:szCs w:val="24"/>
        </w:rPr>
        <w:t>the Generation Connect Youth hubs program (GCYH</w:t>
      </w:r>
      <w:r w:rsidR="00843059" w:rsidRPr="00F4624D">
        <w:rPr>
          <w:rFonts w:cstheme="minorHAnsi"/>
          <w:b/>
          <w:bCs/>
          <w:sz w:val="24"/>
          <w:szCs w:val="24"/>
        </w:rPr>
        <w:t>)</w:t>
      </w:r>
      <w:r w:rsidR="00843059" w:rsidRPr="00F4624D">
        <w:rPr>
          <w:rFonts w:cstheme="minorHAnsi"/>
          <w:sz w:val="24"/>
          <w:szCs w:val="24"/>
        </w:rPr>
        <w:t>:</w:t>
      </w:r>
      <w:r w:rsidR="004E4BCF" w:rsidRPr="00F4624D">
        <w:rPr>
          <w:rFonts w:cstheme="minorHAnsi"/>
          <w:sz w:val="24"/>
          <w:szCs w:val="24"/>
        </w:rPr>
        <w:t xml:space="preserve"> leveraging on the </w:t>
      </w:r>
      <w:r w:rsidR="007A7B5B" w:rsidRPr="00F4624D">
        <w:rPr>
          <w:rFonts w:cstheme="minorHAnsi"/>
          <w:sz w:val="24"/>
          <w:szCs w:val="24"/>
        </w:rPr>
        <w:t xml:space="preserve">success of the more than seventy hubs (mostly Academia) that participated in the Generation Connect Youth Summit 2022, held in Kigali, Rwanda. </w:t>
      </w:r>
    </w:p>
    <w:p w14:paraId="489BF9B3" w14:textId="77777777" w:rsidR="0078206C" w:rsidRPr="00F4624D" w:rsidRDefault="007A7B5B" w:rsidP="00324DD3">
      <w:pPr>
        <w:pStyle w:val="ListParagraph"/>
        <w:numPr>
          <w:ilvl w:val="0"/>
          <w:numId w:val="6"/>
        </w:numPr>
        <w:spacing w:before="120" w:after="120" w:line="240" w:lineRule="auto"/>
        <w:contextualSpacing w:val="0"/>
        <w:rPr>
          <w:rFonts w:cstheme="minorHAnsi"/>
          <w:sz w:val="24"/>
          <w:szCs w:val="24"/>
        </w:rPr>
      </w:pPr>
      <w:r w:rsidRPr="00F4624D">
        <w:rPr>
          <w:rFonts w:cstheme="minorHAnsi"/>
          <w:sz w:val="24"/>
          <w:szCs w:val="24"/>
        </w:rPr>
        <w:t xml:space="preserve">The programme is designed to be largely </w:t>
      </w:r>
      <w:r w:rsidRPr="00F4624D">
        <w:rPr>
          <w:rFonts w:cstheme="minorHAnsi"/>
          <w:sz w:val="24"/>
          <w:szCs w:val="24"/>
          <w:u w:val="single"/>
        </w:rPr>
        <w:t>youth-led with the guidance of ITU and the host Academic institution</w:t>
      </w:r>
      <w:r w:rsidRPr="00F4624D">
        <w:rPr>
          <w:rFonts w:cstheme="minorHAnsi"/>
          <w:sz w:val="24"/>
          <w:szCs w:val="24"/>
        </w:rPr>
        <w:t xml:space="preserve">, flexible for the needs of each institution, and operable with no additional funding or legal agreements needed. </w:t>
      </w:r>
    </w:p>
    <w:p w14:paraId="35FB16B5" w14:textId="1F29EA33" w:rsidR="009B7B70" w:rsidRPr="00F4624D" w:rsidRDefault="004E4BCF" w:rsidP="31CBAD24">
      <w:pPr>
        <w:pStyle w:val="ListParagraph"/>
        <w:numPr>
          <w:ilvl w:val="0"/>
          <w:numId w:val="6"/>
        </w:numPr>
        <w:spacing w:before="120" w:after="120" w:line="240" w:lineRule="auto"/>
        <w:rPr>
          <w:sz w:val="24"/>
          <w:szCs w:val="24"/>
        </w:rPr>
      </w:pPr>
      <w:r w:rsidRPr="31CBAD24">
        <w:rPr>
          <w:sz w:val="24"/>
          <w:szCs w:val="24"/>
        </w:rPr>
        <w:t>Expected to</w:t>
      </w:r>
      <w:r w:rsidR="007A7B5B" w:rsidRPr="31CBAD24">
        <w:rPr>
          <w:sz w:val="24"/>
          <w:szCs w:val="24"/>
        </w:rPr>
        <w:t xml:space="preserve"> pilot this programme in</w:t>
      </w:r>
      <w:r w:rsidRPr="31CBAD24">
        <w:rPr>
          <w:sz w:val="24"/>
          <w:szCs w:val="24"/>
        </w:rPr>
        <w:t xml:space="preserve"> </w:t>
      </w:r>
      <w:r w:rsidR="00843059" w:rsidRPr="31CBAD24">
        <w:rPr>
          <w:sz w:val="24"/>
          <w:szCs w:val="24"/>
        </w:rPr>
        <w:t>mid-2024</w:t>
      </w:r>
      <w:r w:rsidR="007A7B5B" w:rsidRPr="31CBAD24">
        <w:rPr>
          <w:sz w:val="24"/>
          <w:szCs w:val="24"/>
        </w:rPr>
        <w:t>, first with ITU</w:t>
      </w:r>
      <w:r w:rsidR="00843059" w:rsidRPr="31CBAD24">
        <w:rPr>
          <w:sz w:val="24"/>
          <w:szCs w:val="24"/>
        </w:rPr>
        <w:t xml:space="preserve"> </w:t>
      </w:r>
      <w:r w:rsidR="007A7B5B" w:rsidRPr="31CBAD24">
        <w:rPr>
          <w:sz w:val="24"/>
          <w:szCs w:val="24"/>
        </w:rPr>
        <w:t xml:space="preserve">Academia </w:t>
      </w:r>
      <w:r w:rsidR="02AA82BF" w:rsidRPr="31CBAD24">
        <w:rPr>
          <w:sz w:val="24"/>
          <w:szCs w:val="24"/>
        </w:rPr>
        <w:t xml:space="preserve">members </w:t>
      </w:r>
      <w:r w:rsidR="007A7B5B" w:rsidRPr="31CBAD24">
        <w:rPr>
          <w:sz w:val="24"/>
          <w:szCs w:val="24"/>
        </w:rPr>
        <w:t xml:space="preserve">as hosting hubs, </w:t>
      </w:r>
      <w:r w:rsidR="00BF3DA6" w:rsidRPr="31CBAD24">
        <w:rPr>
          <w:sz w:val="24"/>
          <w:szCs w:val="24"/>
        </w:rPr>
        <w:t xml:space="preserve">as </w:t>
      </w:r>
      <w:r w:rsidR="007A7B5B" w:rsidRPr="31CBAD24">
        <w:rPr>
          <w:sz w:val="24"/>
          <w:szCs w:val="24"/>
        </w:rPr>
        <w:t xml:space="preserve">part of the ITU ecosystem and </w:t>
      </w:r>
      <w:r w:rsidR="00BF3DA6" w:rsidRPr="31CBAD24">
        <w:rPr>
          <w:sz w:val="24"/>
          <w:szCs w:val="24"/>
        </w:rPr>
        <w:t>engaging their</w:t>
      </w:r>
      <w:r w:rsidR="007A7B5B" w:rsidRPr="31CBAD24">
        <w:rPr>
          <w:sz w:val="24"/>
          <w:szCs w:val="24"/>
        </w:rPr>
        <w:t xml:space="preserve"> youth communities. The programme could then be extended to other organizations applying to host Generation Connect Youth Hubs, tentatively in 2025. </w:t>
      </w:r>
    </w:p>
    <w:p w14:paraId="6FA0A248" w14:textId="77777777" w:rsidR="009B7B70" w:rsidRPr="00F4624D" w:rsidRDefault="004F7963" w:rsidP="00324DD3">
      <w:pPr>
        <w:pStyle w:val="ListParagraph"/>
        <w:numPr>
          <w:ilvl w:val="0"/>
          <w:numId w:val="3"/>
        </w:numPr>
        <w:spacing w:before="120" w:after="120" w:line="240" w:lineRule="auto"/>
        <w:contextualSpacing w:val="0"/>
        <w:rPr>
          <w:rFonts w:cstheme="minorHAnsi"/>
          <w:sz w:val="24"/>
          <w:szCs w:val="24"/>
        </w:rPr>
      </w:pPr>
      <w:r w:rsidRPr="00F4624D">
        <w:rPr>
          <w:rFonts w:eastAsia="Calibri" w:cstheme="minorHAnsi"/>
          <w:sz w:val="24"/>
          <w:szCs w:val="24"/>
          <w:lang w:val="en-US"/>
        </w:rPr>
        <w:t xml:space="preserve">Joining </w:t>
      </w:r>
      <w:r w:rsidRPr="00F4624D">
        <w:rPr>
          <w:rFonts w:eastAsia="Calibri" w:cstheme="minorHAnsi"/>
          <w:b/>
          <w:bCs/>
          <w:sz w:val="24"/>
          <w:szCs w:val="24"/>
          <w:lang w:val="en-US"/>
        </w:rPr>
        <w:t>EQUALS</w:t>
      </w:r>
      <w:r w:rsidRPr="00F4624D">
        <w:rPr>
          <w:rFonts w:eastAsia="Calibri" w:cstheme="minorHAnsi"/>
          <w:sz w:val="24"/>
          <w:szCs w:val="24"/>
          <w:lang w:val="en-US"/>
        </w:rPr>
        <w:t xml:space="preserve"> and becoming a </w:t>
      </w:r>
      <w:r w:rsidRPr="00F4624D">
        <w:rPr>
          <w:rFonts w:eastAsia="Calibri" w:cstheme="minorHAnsi"/>
          <w:b/>
          <w:bCs/>
          <w:sz w:val="24"/>
          <w:szCs w:val="24"/>
          <w:lang w:val="en-US"/>
        </w:rPr>
        <w:t>Research Coalition partner</w:t>
      </w:r>
      <w:r w:rsidRPr="00F4624D">
        <w:rPr>
          <w:rFonts w:eastAsia="Calibri" w:cstheme="minorHAnsi"/>
          <w:sz w:val="24"/>
          <w:szCs w:val="24"/>
          <w:lang w:val="en-US"/>
        </w:rPr>
        <w:t>.</w:t>
      </w:r>
    </w:p>
    <w:p w14:paraId="463EFC69" w14:textId="53876148" w:rsidR="00E26158" w:rsidRPr="00324DD3" w:rsidRDefault="0078206C" w:rsidP="00324DD3">
      <w:pPr>
        <w:pStyle w:val="ListParagraph"/>
        <w:numPr>
          <w:ilvl w:val="0"/>
          <w:numId w:val="6"/>
        </w:numPr>
        <w:spacing w:before="120" w:after="120" w:line="240" w:lineRule="auto"/>
        <w:contextualSpacing w:val="0"/>
        <w:rPr>
          <w:rFonts w:cstheme="minorHAnsi"/>
          <w:sz w:val="24"/>
          <w:szCs w:val="24"/>
        </w:rPr>
      </w:pPr>
      <w:r w:rsidRPr="00F4624D">
        <w:rPr>
          <w:rFonts w:eastAsia="Calibri" w:cstheme="minorHAnsi"/>
          <w:sz w:val="24"/>
          <w:szCs w:val="24"/>
        </w:rPr>
        <w:t xml:space="preserve">Contributing to the </w:t>
      </w:r>
      <w:r w:rsidR="00E26158" w:rsidRPr="00F4624D">
        <w:rPr>
          <w:rFonts w:eastAsia="Calibri" w:cstheme="minorHAnsi"/>
          <w:sz w:val="24"/>
          <w:szCs w:val="24"/>
          <w:lang w:val="en-US"/>
        </w:rPr>
        <w:t xml:space="preserve">EQUALS Research Coalition Annual Report: </w:t>
      </w:r>
      <w:r w:rsidR="004E4BCF" w:rsidRPr="00F4624D">
        <w:rPr>
          <w:rFonts w:eastAsia="Calibri" w:cstheme="minorHAnsi"/>
          <w:sz w:val="24"/>
          <w:szCs w:val="24"/>
          <w:lang w:val="en-US"/>
        </w:rPr>
        <w:t>calling for</w:t>
      </w:r>
      <w:r w:rsidR="00E26158" w:rsidRPr="00F4624D">
        <w:rPr>
          <w:rFonts w:eastAsia="Calibri" w:cstheme="minorHAnsi"/>
          <w:sz w:val="24"/>
          <w:szCs w:val="24"/>
          <w:lang w:val="en-US"/>
        </w:rPr>
        <w:t xml:space="preserve"> contributions from academics and researchers who can offer insights, case studies, and scholarly perspectives on the gender digital divide, specifically within the three EQUALS action areas – Access, Skills, and Leadership</w:t>
      </w:r>
      <w:r w:rsidR="007D6652" w:rsidRPr="00F4624D">
        <w:rPr>
          <w:rFonts w:eastAsia="Calibri" w:cstheme="minorHAnsi"/>
          <w:sz w:val="24"/>
          <w:szCs w:val="24"/>
          <w:lang w:val="en-US"/>
        </w:rPr>
        <w:t>.</w:t>
      </w:r>
    </w:p>
    <w:p w14:paraId="6B8E920F" w14:textId="72AD8482" w:rsidR="00324DD3" w:rsidRPr="00324DD3" w:rsidRDefault="00324DD3" w:rsidP="00324DD3">
      <w:pPr>
        <w:spacing w:before="120" w:after="120" w:line="240" w:lineRule="auto"/>
        <w:jc w:val="center"/>
        <w:rPr>
          <w:rFonts w:cstheme="minorHAnsi"/>
          <w:sz w:val="24"/>
          <w:szCs w:val="24"/>
        </w:rPr>
      </w:pPr>
      <w:r>
        <w:rPr>
          <w:rFonts w:cstheme="minorHAnsi"/>
          <w:sz w:val="24"/>
          <w:szCs w:val="24"/>
        </w:rPr>
        <w:t>________________</w:t>
      </w:r>
    </w:p>
    <w:sectPr w:rsidR="00324DD3" w:rsidRPr="00324DD3" w:rsidSect="004631A6">
      <w:headerReference w:type="default" r:id="rId1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8E7A" w14:textId="77777777" w:rsidR="004631A6" w:rsidRDefault="004631A6" w:rsidP="00852F09">
      <w:pPr>
        <w:spacing w:after="0" w:line="240" w:lineRule="auto"/>
      </w:pPr>
      <w:r>
        <w:separator/>
      </w:r>
    </w:p>
  </w:endnote>
  <w:endnote w:type="continuationSeparator" w:id="0">
    <w:p w14:paraId="193C5356" w14:textId="77777777" w:rsidR="004631A6" w:rsidRDefault="004631A6" w:rsidP="00852F09">
      <w:pPr>
        <w:spacing w:after="0" w:line="240" w:lineRule="auto"/>
      </w:pPr>
      <w:r>
        <w:continuationSeparator/>
      </w:r>
    </w:p>
  </w:endnote>
  <w:endnote w:type="continuationNotice" w:id="1">
    <w:p w14:paraId="0AE55946" w14:textId="77777777" w:rsidR="004631A6" w:rsidRDefault="00463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2643" w14:textId="77777777" w:rsidR="004631A6" w:rsidRDefault="004631A6" w:rsidP="00852F09">
      <w:pPr>
        <w:spacing w:after="0" w:line="240" w:lineRule="auto"/>
      </w:pPr>
      <w:r>
        <w:separator/>
      </w:r>
    </w:p>
  </w:footnote>
  <w:footnote w:type="continuationSeparator" w:id="0">
    <w:p w14:paraId="6144D68D" w14:textId="77777777" w:rsidR="004631A6" w:rsidRDefault="004631A6" w:rsidP="00852F09">
      <w:pPr>
        <w:spacing w:after="0" w:line="240" w:lineRule="auto"/>
      </w:pPr>
      <w:r>
        <w:continuationSeparator/>
      </w:r>
    </w:p>
  </w:footnote>
  <w:footnote w:type="continuationNotice" w:id="1">
    <w:p w14:paraId="617075E8" w14:textId="77777777" w:rsidR="004631A6" w:rsidRDefault="004631A6">
      <w:pPr>
        <w:spacing w:after="0" w:line="240" w:lineRule="auto"/>
      </w:pPr>
    </w:p>
  </w:footnote>
  <w:footnote w:id="2">
    <w:p w14:paraId="159B49CE" w14:textId="732A2338" w:rsidR="18D7CA65" w:rsidRPr="00A50EF3" w:rsidRDefault="18D7CA65" w:rsidP="00A50EF3">
      <w:pPr>
        <w:spacing w:after="0" w:line="240" w:lineRule="auto"/>
        <w:rPr>
          <w:sz w:val="20"/>
          <w:szCs w:val="20"/>
        </w:rPr>
      </w:pPr>
      <w:r w:rsidRPr="00A50EF3">
        <w:rPr>
          <w:rStyle w:val="FootnoteReference"/>
          <w:sz w:val="20"/>
          <w:szCs w:val="20"/>
        </w:rPr>
        <w:footnoteRef/>
      </w:r>
      <w:r w:rsidR="350B3B6C" w:rsidRPr="00A50EF3">
        <w:rPr>
          <w:sz w:val="20"/>
          <w:szCs w:val="20"/>
        </w:rPr>
        <w:t xml:space="preserve"> </w:t>
      </w:r>
      <w:r w:rsidR="350B3B6C" w:rsidRPr="00A50EF3">
        <w:rPr>
          <w:rFonts w:ascii="Calibri" w:eastAsia="Calibri" w:hAnsi="Calibri" w:cs="Calibri"/>
          <w:sz w:val="20"/>
          <w:szCs w:val="20"/>
        </w:rPr>
        <w:t>Refers to Resolution 169 (REV. BUCHAREST, 2022) of the Plenipotentiary Conference, which enable</w:t>
      </w:r>
      <w:r w:rsidR="006F6B1B" w:rsidRPr="00A50EF3">
        <w:rPr>
          <w:rFonts w:ascii="Calibri" w:eastAsia="Calibri" w:hAnsi="Calibri" w:cs="Calibri"/>
          <w:sz w:val="20"/>
          <w:szCs w:val="20"/>
        </w:rPr>
        <w:t>s</w:t>
      </w:r>
      <w:r w:rsidR="350B3B6C" w:rsidRPr="00A50EF3">
        <w:rPr>
          <w:rFonts w:ascii="Calibri" w:eastAsia="Calibri" w:hAnsi="Calibri" w:cs="Calibri"/>
          <w:sz w:val="20"/>
          <w:szCs w:val="20"/>
        </w:rPr>
        <w:t xml:space="preserve"> the new category of Academia to participate in the work of ITU.</w:t>
      </w:r>
    </w:p>
  </w:footnote>
  <w:footnote w:id="3">
    <w:p w14:paraId="6CDA26F6" w14:textId="02DB3080" w:rsidR="00852F09" w:rsidRPr="00A50EF3" w:rsidRDefault="00852F09" w:rsidP="00A50EF3">
      <w:pPr>
        <w:pStyle w:val="FootnoteText"/>
        <w:rPr>
          <w:lang w:val="en-US"/>
        </w:rPr>
      </w:pPr>
      <w:r w:rsidRPr="00A50EF3">
        <w:rPr>
          <w:rStyle w:val="FootnoteReference"/>
        </w:rPr>
        <w:footnoteRef/>
      </w:r>
      <w:r w:rsidRPr="00A50EF3">
        <w:t xml:space="preserve"> </w:t>
      </w:r>
      <w:hyperlink r:id="rId1" w:history="1">
        <w:r w:rsidR="00324DD3" w:rsidRPr="00A50EF3">
          <w:rPr>
            <w:rStyle w:val="Hyperlink"/>
          </w:rPr>
          <w:t>https://global.upenn.edu/perryworldhouse/world-house-student-fellows</w:t>
        </w:r>
      </w:hyperlink>
      <w:r w:rsidR="00324DD3" w:rsidRPr="00A50EF3">
        <w:t xml:space="preserve"> </w:t>
      </w:r>
    </w:p>
  </w:footnote>
  <w:footnote w:id="4">
    <w:p w14:paraId="46967DF3" w14:textId="01A63B77" w:rsidR="007039C0" w:rsidRPr="00A50EF3" w:rsidRDefault="007039C0" w:rsidP="00A50EF3">
      <w:pPr>
        <w:pStyle w:val="FootnoteText"/>
        <w:rPr>
          <w:lang w:val="es-419"/>
        </w:rPr>
      </w:pPr>
      <w:r w:rsidRPr="00A50EF3">
        <w:rPr>
          <w:rStyle w:val="FootnoteReference"/>
        </w:rPr>
        <w:footnoteRef/>
      </w:r>
      <w:r w:rsidRPr="00A50EF3">
        <w:rPr>
          <w:lang w:val="es-419"/>
        </w:rPr>
        <w:t xml:space="preserve"> Facultad Latinoamericana de Ciencias Sociales (FLACSO).</w:t>
      </w:r>
    </w:p>
  </w:footnote>
  <w:footnote w:id="5">
    <w:p w14:paraId="4FB12A4A" w14:textId="41FB71BA" w:rsidR="00741715" w:rsidRPr="00A50EF3" w:rsidRDefault="00741715" w:rsidP="00A50EF3">
      <w:pPr>
        <w:pStyle w:val="FootnoteText"/>
      </w:pPr>
      <w:r w:rsidRPr="00A50EF3">
        <w:rPr>
          <w:rStyle w:val="FootnoteReference"/>
        </w:rPr>
        <w:footnoteRef/>
      </w:r>
      <w:r w:rsidRPr="00A50EF3">
        <w:t xml:space="preserve"> For GIGA – Connecting every school to the internet see</w:t>
      </w:r>
      <w:r w:rsidR="00324DD3" w:rsidRPr="00A50EF3">
        <w:br/>
      </w:r>
      <w:r w:rsidRPr="00A50EF3">
        <w:t xml:space="preserve"> </w:t>
      </w:r>
      <w:hyperlink r:id="rId2" w:history="1">
        <w:r w:rsidRPr="00A50EF3">
          <w:rPr>
            <w:rStyle w:val="Hyperlink"/>
          </w:rPr>
          <w:t>https://www.itu.int/en/ITU-D/Initiatives/GIGA/Pages/default.aspx</w:t>
        </w:r>
      </w:hyperlink>
      <w:r w:rsidRPr="00A50EF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2F8EF" w14:textId="1EE89901" w:rsidR="00F4624D" w:rsidRPr="00324DD3" w:rsidRDefault="00324DD3" w:rsidP="00324DD3">
    <w:pPr>
      <w:tabs>
        <w:tab w:val="center" w:pos="4820"/>
        <w:tab w:val="right" w:pos="9639"/>
      </w:tabs>
      <w:ind w:right="1"/>
      <w:rPr>
        <w:smallCaps/>
        <w:spacing w:val="24"/>
      </w:rPr>
    </w:pPr>
    <w:r w:rsidRPr="00F56A31">
      <w:tab/>
      <w:t>TDAG-24/</w:t>
    </w:r>
    <w:r>
      <w:t>8(Ann.1)</w:t>
    </w:r>
    <w:r w:rsidRPr="00F56A31">
      <w:t>-E</w:t>
    </w:r>
    <w:r w:rsidRPr="00F56A31">
      <w:tab/>
      <w:t xml:space="preserve">Page </w:t>
    </w:r>
    <w:r w:rsidRPr="00F56A31">
      <w:fldChar w:fldCharType="begin"/>
    </w:r>
    <w:r w:rsidRPr="00F56A31">
      <w:instrText xml:space="preserve"> PAGE </w:instrText>
    </w:r>
    <w:r w:rsidRPr="00F56A31">
      <w:fldChar w:fldCharType="separate"/>
    </w:r>
    <w:r>
      <w:t>2</w:t>
    </w:r>
    <w:r w:rsidRPr="00F56A31">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F4D"/>
    <w:multiLevelType w:val="multilevel"/>
    <w:tmpl w:val="67BE3A72"/>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604E50"/>
    <w:multiLevelType w:val="multilevel"/>
    <w:tmpl w:val="42C0421E"/>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ADF2169"/>
    <w:multiLevelType w:val="hybridMultilevel"/>
    <w:tmpl w:val="BBF8A6C2"/>
    <w:lvl w:ilvl="0" w:tplc="B2AABFF0">
      <w:numFmt w:val="bullet"/>
      <w:lvlText w:val="-"/>
      <w:lvlJc w:val="left"/>
      <w:pPr>
        <w:ind w:left="720" w:hanging="360"/>
      </w:pPr>
      <w:rPr>
        <w:rFonts w:ascii="Calibri" w:eastAsia="DengXian" w:hAnsi="Calibri" w:cs="Calibri" w:hint="default"/>
        <w:color w:val="auto"/>
      </w:rPr>
    </w:lvl>
    <w:lvl w:ilvl="1" w:tplc="061C9FD2">
      <w:start w:val="1"/>
      <w:numFmt w:val="bullet"/>
      <w:lvlText w:val="-"/>
      <w:lvlJc w:val="left"/>
      <w:pPr>
        <w:ind w:left="1440" w:hanging="360"/>
      </w:pPr>
      <w:rPr>
        <w:rFonts w:ascii="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75AC3"/>
    <w:multiLevelType w:val="hybridMultilevel"/>
    <w:tmpl w:val="EF0AD0B8"/>
    <w:lvl w:ilvl="0" w:tplc="08090001">
      <w:start w:val="1"/>
      <w:numFmt w:val="bullet"/>
      <w:lvlText w:val=""/>
      <w:lvlJc w:val="left"/>
      <w:pPr>
        <w:ind w:left="720" w:hanging="360"/>
      </w:pPr>
      <w:rPr>
        <w:rFonts w:ascii="Symbol" w:hAnsi="Symbol" w:hint="default"/>
      </w:rPr>
    </w:lvl>
    <w:lvl w:ilvl="1" w:tplc="726E49B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74A7E"/>
    <w:multiLevelType w:val="hybridMultilevel"/>
    <w:tmpl w:val="FFFFFFFF"/>
    <w:lvl w:ilvl="0" w:tplc="572C8D40">
      <w:start w:val="1"/>
      <w:numFmt w:val="bullet"/>
      <w:lvlText w:val=""/>
      <w:lvlJc w:val="left"/>
      <w:pPr>
        <w:ind w:left="720" w:hanging="360"/>
      </w:pPr>
      <w:rPr>
        <w:rFonts w:ascii="Symbol" w:hAnsi="Symbol" w:hint="default"/>
      </w:rPr>
    </w:lvl>
    <w:lvl w:ilvl="1" w:tplc="50C88630">
      <w:start w:val="1"/>
      <w:numFmt w:val="bullet"/>
      <w:lvlText w:val="o"/>
      <w:lvlJc w:val="left"/>
      <w:pPr>
        <w:ind w:left="1440" w:hanging="360"/>
      </w:pPr>
      <w:rPr>
        <w:rFonts w:ascii="Courier New" w:hAnsi="Courier New" w:cs="Times New Roman" w:hint="default"/>
      </w:rPr>
    </w:lvl>
    <w:lvl w:ilvl="2" w:tplc="717C2FEE">
      <w:start w:val="1"/>
      <w:numFmt w:val="bullet"/>
      <w:lvlText w:val=""/>
      <w:lvlJc w:val="left"/>
      <w:pPr>
        <w:ind w:left="2160" w:hanging="360"/>
      </w:pPr>
      <w:rPr>
        <w:rFonts w:ascii="Wingdings" w:hAnsi="Wingdings" w:hint="default"/>
      </w:rPr>
    </w:lvl>
    <w:lvl w:ilvl="3" w:tplc="388CCE32">
      <w:start w:val="1"/>
      <w:numFmt w:val="bullet"/>
      <w:lvlText w:val=""/>
      <w:lvlJc w:val="left"/>
      <w:pPr>
        <w:ind w:left="2880" w:hanging="360"/>
      </w:pPr>
      <w:rPr>
        <w:rFonts w:ascii="Symbol" w:hAnsi="Symbol" w:hint="default"/>
      </w:rPr>
    </w:lvl>
    <w:lvl w:ilvl="4" w:tplc="11CC287E">
      <w:start w:val="1"/>
      <w:numFmt w:val="bullet"/>
      <w:lvlText w:val="o"/>
      <w:lvlJc w:val="left"/>
      <w:pPr>
        <w:ind w:left="3600" w:hanging="360"/>
      </w:pPr>
      <w:rPr>
        <w:rFonts w:ascii="Courier New" w:hAnsi="Courier New" w:cs="Times New Roman" w:hint="default"/>
      </w:rPr>
    </w:lvl>
    <w:lvl w:ilvl="5" w:tplc="E4564E58">
      <w:start w:val="1"/>
      <w:numFmt w:val="bullet"/>
      <w:lvlText w:val=""/>
      <w:lvlJc w:val="left"/>
      <w:pPr>
        <w:ind w:left="4320" w:hanging="360"/>
      </w:pPr>
      <w:rPr>
        <w:rFonts w:ascii="Wingdings" w:hAnsi="Wingdings" w:hint="default"/>
      </w:rPr>
    </w:lvl>
    <w:lvl w:ilvl="6" w:tplc="1E8EA22C">
      <w:start w:val="1"/>
      <w:numFmt w:val="bullet"/>
      <w:lvlText w:val=""/>
      <w:lvlJc w:val="left"/>
      <w:pPr>
        <w:ind w:left="5040" w:hanging="360"/>
      </w:pPr>
      <w:rPr>
        <w:rFonts w:ascii="Symbol" w:hAnsi="Symbol" w:hint="default"/>
      </w:rPr>
    </w:lvl>
    <w:lvl w:ilvl="7" w:tplc="E63C4E3A">
      <w:start w:val="1"/>
      <w:numFmt w:val="bullet"/>
      <w:lvlText w:val="o"/>
      <w:lvlJc w:val="left"/>
      <w:pPr>
        <w:ind w:left="5760" w:hanging="360"/>
      </w:pPr>
      <w:rPr>
        <w:rFonts w:ascii="Courier New" w:hAnsi="Courier New" w:cs="Times New Roman" w:hint="default"/>
      </w:rPr>
    </w:lvl>
    <w:lvl w:ilvl="8" w:tplc="5CE2A276">
      <w:start w:val="1"/>
      <w:numFmt w:val="bullet"/>
      <w:lvlText w:val=""/>
      <w:lvlJc w:val="left"/>
      <w:pPr>
        <w:ind w:left="6480" w:hanging="360"/>
      </w:pPr>
      <w:rPr>
        <w:rFonts w:ascii="Wingdings" w:hAnsi="Wingdings" w:hint="default"/>
      </w:rPr>
    </w:lvl>
  </w:abstractNum>
  <w:abstractNum w:abstractNumId="5" w15:restartNumberingAfterBreak="0">
    <w:nsid w:val="44C457ED"/>
    <w:multiLevelType w:val="hybridMultilevel"/>
    <w:tmpl w:val="FDBE12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BAC4E74"/>
    <w:multiLevelType w:val="hybridMultilevel"/>
    <w:tmpl w:val="07326DF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C1B7F9D"/>
    <w:multiLevelType w:val="hybridMultilevel"/>
    <w:tmpl w:val="EBEE86AA"/>
    <w:lvl w:ilvl="0" w:tplc="E090A9B0">
      <w:start w:val="24"/>
      <w:numFmt w:val="bullet"/>
      <w:lvlText w:val="-"/>
      <w:lvlJc w:val="left"/>
      <w:pPr>
        <w:ind w:left="1080" w:hanging="360"/>
      </w:pPr>
      <w:rPr>
        <w:rFonts w:ascii="AppleSystemUIFont" w:eastAsiaTheme="minorHAnsi" w:hAnsi="AppleSystemUIFont" w:cs="AppleSystemUIFont"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E779AA"/>
    <w:multiLevelType w:val="hybridMultilevel"/>
    <w:tmpl w:val="A2C63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21CAB"/>
    <w:multiLevelType w:val="multilevel"/>
    <w:tmpl w:val="0B925162"/>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F685C74"/>
    <w:multiLevelType w:val="hybridMultilevel"/>
    <w:tmpl w:val="A83A6B8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797EE4"/>
    <w:multiLevelType w:val="multilevel"/>
    <w:tmpl w:val="67BE3A72"/>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9775688">
    <w:abstractNumId w:val="11"/>
  </w:num>
  <w:num w:numId="2" w16cid:durableId="2026979766">
    <w:abstractNumId w:val="3"/>
  </w:num>
  <w:num w:numId="3" w16cid:durableId="424377293">
    <w:abstractNumId w:val="4"/>
  </w:num>
  <w:num w:numId="4" w16cid:durableId="923222738">
    <w:abstractNumId w:val="8"/>
  </w:num>
  <w:num w:numId="5" w16cid:durableId="5989208">
    <w:abstractNumId w:val="6"/>
  </w:num>
  <w:num w:numId="6" w16cid:durableId="1027566927">
    <w:abstractNumId w:val="7"/>
  </w:num>
  <w:num w:numId="7" w16cid:durableId="204216991">
    <w:abstractNumId w:val="9"/>
  </w:num>
  <w:num w:numId="8" w16cid:durableId="65342852">
    <w:abstractNumId w:val="0"/>
  </w:num>
  <w:num w:numId="9" w16cid:durableId="1541941874">
    <w:abstractNumId w:val="2"/>
  </w:num>
  <w:num w:numId="10" w16cid:durableId="1331131938">
    <w:abstractNumId w:val="5"/>
  </w:num>
  <w:num w:numId="11" w16cid:durableId="625083533">
    <w:abstractNumId w:val="10"/>
  </w:num>
  <w:num w:numId="12" w16cid:durableId="30332056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BC"/>
    <w:rsid w:val="00005E1C"/>
    <w:rsid w:val="00014563"/>
    <w:rsid w:val="0003025D"/>
    <w:rsid w:val="0004067C"/>
    <w:rsid w:val="000524BC"/>
    <w:rsid w:val="000F4799"/>
    <w:rsid w:val="000F6D6D"/>
    <w:rsid w:val="0014638B"/>
    <w:rsid w:val="00160E6D"/>
    <w:rsid w:val="001767CA"/>
    <w:rsid w:val="00177445"/>
    <w:rsid w:val="001856DE"/>
    <w:rsid w:val="001929D3"/>
    <w:rsid w:val="001F20E4"/>
    <w:rsid w:val="001F7C0E"/>
    <w:rsid w:val="002158DF"/>
    <w:rsid w:val="00252805"/>
    <w:rsid w:val="0028014C"/>
    <w:rsid w:val="002C7526"/>
    <w:rsid w:val="002D27FB"/>
    <w:rsid w:val="00301FEB"/>
    <w:rsid w:val="00310C28"/>
    <w:rsid w:val="00324DD3"/>
    <w:rsid w:val="0034000A"/>
    <w:rsid w:val="00347360"/>
    <w:rsid w:val="00372596"/>
    <w:rsid w:val="003C7DEE"/>
    <w:rsid w:val="00406A97"/>
    <w:rsid w:val="00416878"/>
    <w:rsid w:val="00426CA1"/>
    <w:rsid w:val="004631A6"/>
    <w:rsid w:val="004768E5"/>
    <w:rsid w:val="00487FEB"/>
    <w:rsid w:val="004B4A39"/>
    <w:rsid w:val="004B6A41"/>
    <w:rsid w:val="004E4BCF"/>
    <w:rsid w:val="004E6499"/>
    <w:rsid w:val="004F7963"/>
    <w:rsid w:val="0052407B"/>
    <w:rsid w:val="00571E08"/>
    <w:rsid w:val="005904DB"/>
    <w:rsid w:val="005B3FDA"/>
    <w:rsid w:val="00605524"/>
    <w:rsid w:val="006612B6"/>
    <w:rsid w:val="00663597"/>
    <w:rsid w:val="006817A3"/>
    <w:rsid w:val="00681A0A"/>
    <w:rsid w:val="006F02B3"/>
    <w:rsid w:val="006F2D31"/>
    <w:rsid w:val="006F54FD"/>
    <w:rsid w:val="006F6B1B"/>
    <w:rsid w:val="00702B05"/>
    <w:rsid w:val="007039C0"/>
    <w:rsid w:val="00716F88"/>
    <w:rsid w:val="00730771"/>
    <w:rsid w:val="00737937"/>
    <w:rsid w:val="00741715"/>
    <w:rsid w:val="00744E09"/>
    <w:rsid w:val="007576EF"/>
    <w:rsid w:val="0076552B"/>
    <w:rsid w:val="00772FFD"/>
    <w:rsid w:val="00775E89"/>
    <w:rsid w:val="0078206C"/>
    <w:rsid w:val="00783D99"/>
    <w:rsid w:val="007A7B5B"/>
    <w:rsid w:val="007B6448"/>
    <w:rsid w:val="007D6652"/>
    <w:rsid w:val="007E5427"/>
    <w:rsid w:val="007F567B"/>
    <w:rsid w:val="00814A44"/>
    <w:rsid w:val="00843059"/>
    <w:rsid w:val="00852F09"/>
    <w:rsid w:val="008B0225"/>
    <w:rsid w:val="008B5CCC"/>
    <w:rsid w:val="00962FBF"/>
    <w:rsid w:val="00980219"/>
    <w:rsid w:val="009B7B70"/>
    <w:rsid w:val="009E4B1B"/>
    <w:rsid w:val="00A17300"/>
    <w:rsid w:val="00A31854"/>
    <w:rsid w:val="00A35B98"/>
    <w:rsid w:val="00A50EF3"/>
    <w:rsid w:val="00AE6785"/>
    <w:rsid w:val="00AF6318"/>
    <w:rsid w:val="00B66576"/>
    <w:rsid w:val="00BC30A2"/>
    <w:rsid w:val="00BC5911"/>
    <w:rsid w:val="00BF3DA6"/>
    <w:rsid w:val="00C01989"/>
    <w:rsid w:val="00C377D6"/>
    <w:rsid w:val="00C61FFF"/>
    <w:rsid w:val="00C739AC"/>
    <w:rsid w:val="00C92961"/>
    <w:rsid w:val="00CB1AF8"/>
    <w:rsid w:val="00CD6C50"/>
    <w:rsid w:val="00CE6527"/>
    <w:rsid w:val="00D20A96"/>
    <w:rsid w:val="00D334CB"/>
    <w:rsid w:val="00D76A01"/>
    <w:rsid w:val="00DA3D4C"/>
    <w:rsid w:val="00DB1D1E"/>
    <w:rsid w:val="00E24F63"/>
    <w:rsid w:val="00E26158"/>
    <w:rsid w:val="00EC4838"/>
    <w:rsid w:val="00F03248"/>
    <w:rsid w:val="00F15605"/>
    <w:rsid w:val="00F34D8F"/>
    <w:rsid w:val="00F4624D"/>
    <w:rsid w:val="00F53C1B"/>
    <w:rsid w:val="00F561C8"/>
    <w:rsid w:val="00F66A09"/>
    <w:rsid w:val="00F73336"/>
    <w:rsid w:val="00F74EA1"/>
    <w:rsid w:val="00F759F8"/>
    <w:rsid w:val="00F864C5"/>
    <w:rsid w:val="00FB26A6"/>
    <w:rsid w:val="02AA82BF"/>
    <w:rsid w:val="06C38909"/>
    <w:rsid w:val="0765DF90"/>
    <w:rsid w:val="09100C92"/>
    <w:rsid w:val="0A558976"/>
    <w:rsid w:val="0C0A8234"/>
    <w:rsid w:val="0F0BE06C"/>
    <w:rsid w:val="0F28FA99"/>
    <w:rsid w:val="12609B5B"/>
    <w:rsid w:val="13729A58"/>
    <w:rsid w:val="14254CC0"/>
    <w:rsid w:val="14801926"/>
    <w:rsid w:val="15118DD9"/>
    <w:rsid w:val="18D7CA65"/>
    <w:rsid w:val="1A174FC8"/>
    <w:rsid w:val="1E8B9D0A"/>
    <w:rsid w:val="1EDB34C9"/>
    <w:rsid w:val="20E2DC4A"/>
    <w:rsid w:val="227EACAB"/>
    <w:rsid w:val="22A0E0CC"/>
    <w:rsid w:val="27C11CE7"/>
    <w:rsid w:val="27C90046"/>
    <w:rsid w:val="28EDEE2F"/>
    <w:rsid w:val="2A89BE90"/>
    <w:rsid w:val="2B3271EF"/>
    <w:rsid w:val="2DE8A78C"/>
    <w:rsid w:val="2E8CB74F"/>
    <w:rsid w:val="2F99BF7C"/>
    <w:rsid w:val="30E3F280"/>
    <w:rsid w:val="31CBAD24"/>
    <w:rsid w:val="31E87A32"/>
    <w:rsid w:val="3357FD10"/>
    <w:rsid w:val="3487AB9B"/>
    <w:rsid w:val="34B2D425"/>
    <w:rsid w:val="350B3B6C"/>
    <w:rsid w:val="375AD0A8"/>
    <w:rsid w:val="37A4A03E"/>
    <w:rsid w:val="3AB5D454"/>
    <w:rsid w:val="3C3DF976"/>
    <w:rsid w:val="3CE7D7CF"/>
    <w:rsid w:val="40983896"/>
    <w:rsid w:val="40AC00C5"/>
    <w:rsid w:val="4481A918"/>
    <w:rsid w:val="46CA4F6B"/>
    <w:rsid w:val="4841B062"/>
    <w:rsid w:val="49DBA7FC"/>
    <w:rsid w:val="4AC291F8"/>
    <w:rsid w:val="4D88EAF2"/>
    <w:rsid w:val="4E9634F3"/>
    <w:rsid w:val="51FD382E"/>
    <w:rsid w:val="5445CF88"/>
    <w:rsid w:val="5741A6D9"/>
    <w:rsid w:val="5861B278"/>
    <w:rsid w:val="5C798A6E"/>
    <w:rsid w:val="5F4577D4"/>
    <w:rsid w:val="60CB6C24"/>
    <w:rsid w:val="6307F161"/>
    <w:rsid w:val="651C85FB"/>
    <w:rsid w:val="6831471B"/>
    <w:rsid w:val="6A77D324"/>
    <w:rsid w:val="75A61E44"/>
    <w:rsid w:val="784ED963"/>
    <w:rsid w:val="7A23945D"/>
    <w:rsid w:val="7C7349A3"/>
    <w:rsid w:val="7D5B6108"/>
    <w:rsid w:val="7F3D1DC7"/>
    <w:rsid w:val="7F8673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F3C7"/>
  <w15:chartTrackingRefBased/>
  <w15:docId w15:val="{B9D6D23F-31F0-4353-A2AA-22695DDE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4BC"/>
    <w:pPr>
      <w:ind w:left="720"/>
      <w:contextualSpacing/>
    </w:pPr>
  </w:style>
  <w:style w:type="character" w:styleId="Hyperlink">
    <w:name w:val="Hyperlink"/>
    <w:basedOn w:val="DefaultParagraphFont"/>
    <w:uiPriority w:val="99"/>
    <w:unhideWhenUsed/>
    <w:rsid w:val="007A7B5B"/>
    <w:rPr>
      <w:color w:val="0000FF"/>
      <w:u w:val="single"/>
    </w:rPr>
  </w:style>
  <w:style w:type="character" w:styleId="UnresolvedMention">
    <w:name w:val="Unresolved Mention"/>
    <w:basedOn w:val="DefaultParagraphFont"/>
    <w:uiPriority w:val="99"/>
    <w:semiHidden/>
    <w:unhideWhenUsed/>
    <w:rsid w:val="007A7B5B"/>
    <w:rPr>
      <w:color w:val="605E5C"/>
      <w:shd w:val="clear" w:color="auto" w:fill="E1DFDD"/>
    </w:rPr>
  </w:style>
  <w:style w:type="character" w:styleId="FollowedHyperlink">
    <w:name w:val="FollowedHyperlink"/>
    <w:basedOn w:val="DefaultParagraphFont"/>
    <w:uiPriority w:val="99"/>
    <w:semiHidden/>
    <w:unhideWhenUsed/>
    <w:rsid w:val="007A7B5B"/>
    <w:rPr>
      <w:color w:val="954F72" w:themeColor="followedHyperlink"/>
      <w:u w:val="single"/>
    </w:rPr>
  </w:style>
  <w:style w:type="paragraph" w:styleId="FootnoteText">
    <w:name w:val="footnote text"/>
    <w:basedOn w:val="Normal"/>
    <w:link w:val="FootnoteTextChar"/>
    <w:uiPriority w:val="99"/>
    <w:semiHidden/>
    <w:unhideWhenUsed/>
    <w:rsid w:val="00852F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2F09"/>
    <w:rPr>
      <w:sz w:val="20"/>
      <w:szCs w:val="20"/>
    </w:rPr>
  </w:style>
  <w:style w:type="character" w:styleId="FootnoteReference">
    <w:name w:val="footnote reference"/>
    <w:basedOn w:val="DefaultParagraphFont"/>
    <w:uiPriority w:val="99"/>
    <w:semiHidden/>
    <w:unhideWhenUsed/>
    <w:rsid w:val="00852F09"/>
    <w:rPr>
      <w:vertAlign w:val="superscript"/>
    </w:rPr>
  </w:style>
  <w:style w:type="character" w:styleId="CommentReference">
    <w:name w:val="annotation reference"/>
    <w:basedOn w:val="DefaultParagraphFont"/>
    <w:uiPriority w:val="99"/>
    <w:semiHidden/>
    <w:unhideWhenUsed/>
    <w:rsid w:val="00852F09"/>
    <w:rPr>
      <w:sz w:val="16"/>
      <w:szCs w:val="16"/>
    </w:rPr>
  </w:style>
  <w:style w:type="paragraph" w:styleId="CommentText">
    <w:name w:val="annotation text"/>
    <w:basedOn w:val="Normal"/>
    <w:link w:val="CommentTextChar"/>
    <w:uiPriority w:val="99"/>
    <w:unhideWhenUsed/>
    <w:rsid w:val="00852F09"/>
    <w:pPr>
      <w:spacing w:line="240" w:lineRule="auto"/>
    </w:pPr>
    <w:rPr>
      <w:sz w:val="20"/>
      <w:szCs w:val="20"/>
    </w:rPr>
  </w:style>
  <w:style w:type="character" w:customStyle="1" w:styleId="CommentTextChar">
    <w:name w:val="Comment Text Char"/>
    <w:basedOn w:val="DefaultParagraphFont"/>
    <w:link w:val="CommentText"/>
    <w:uiPriority w:val="99"/>
    <w:rsid w:val="00852F09"/>
    <w:rPr>
      <w:sz w:val="20"/>
      <w:szCs w:val="20"/>
    </w:rPr>
  </w:style>
  <w:style w:type="paragraph" w:styleId="CommentSubject">
    <w:name w:val="annotation subject"/>
    <w:basedOn w:val="CommentText"/>
    <w:next w:val="CommentText"/>
    <w:link w:val="CommentSubjectChar"/>
    <w:uiPriority w:val="99"/>
    <w:semiHidden/>
    <w:unhideWhenUsed/>
    <w:rsid w:val="00852F09"/>
    <w:rPr>
      <w:b/>
      <w:bCs/>
    </w:rPr>
  </w:style>
  <w:style w:type="character" w:customStyle="1" w:styleId="CommentSubjectChar">
    <w:name w:val="Comment Subject Char"/>
    <w:basedOn w:val="CommentTextChar"/>
    <w:link w:val="CommentSubject"/>
    <w:uiPriority w:val="99"/>
    <w:semiHidden/>
    <w:rsid w:val="00852F09"/>
    <w:rPr>
      <w:b/>
      <w:bCs/>
      <w:sz w:val="20"/>
      <w:szCs w:val="20"/>
    </w:rPr>
  </w:style>
  <w:style w:type="paragraph" w:styleId="Revision">
    <w:name w:val="Revision"/>
    <w:hidden/>
    <w:uiPriority w:val="99"/>
    <w:semiHidden/>
    <w:rsid w:val="004E6499"/>
    <w:pPr>
      <w:spacing w:after="0" w:line="240" w:lineRule="auto"/>
    </w:pPr>
  </w:style>
  <w:style w:type="paragraph" w:customStyle="1" w:styleId="xmsonormal">
    <w:name w:val="xmsonormal"/>
    <w:basedOn w:val="Normal"/>
    <w:rsid w:val="0052407B"/>
    <w:pPr>
      <w:spacing w:before="100" w:beforeAutospacing="1" w:after="100" w:afterAutospacing="1" w:line="240" w:lineRule="auto"/>
    </w:pPr>
    <w:rPr>
      <w:rFonts w:ascii="Calibri" w:hAnsi="Calibri" w:cs="Calibri"/>
      <w:lang w:eastAsia="en-GB"/>
    </w:rPr>
  </w:style>
  <w:style w:type="paragraph" w:customStyle="1" w:styleId="xmsolistparagraph">
    <w:name w:val="xmsolistparagraph"/>
    <w:basedOn w:val="Normal"/>
    <w:rsid w:val="0052407B"/>
    <w:pPr>
      <w:spacing w:before="100" w:beforeAutospacing="1" w:after="100" w:afterAutospacing="1" w:line="240" w:lineRule="auto"/>
    </w:pPr>
    <w:rPr>
      <w:rFonts w:ascii="Calibri" w:hAnsi="Calibri" w:cs="Calibri"/>
      <w:lang w:eastAsia="en-GB"/>
    </w:rPr>
  </w:style>
  <w:style w:type="character" w:customStyle="1" w:styleId="apple-converted-space">
    <w:name w:val="apple-converted-space"/>
    <w:basedOn w:val="DefaultParagraphFont"/>
    <w:rsid w:val="0052407B"/>
  </w:style>
  <w:style w:type="character" w:customStyle="1" w:styleId="xapple-converted-space">
    <w:name w:val="xapple-converted-space"/>
    <w:basedOn w:val="DefaultParagraphFont"/>
    <w:rsid w:val="0052407B"/>
  </w:style>
  <w:style w:type="paragraph" w:styleId="Header">
    <w:name w:val="header"/>
    <w:basedOn w:val="Normal"/>
    <w:link w:val="HeaderChar"/>
    <w:uiPriority w:val="99"/>
    <w:unhideWhenUsed/>
    <w:rsid w:val="00F46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24D"/>
  </w:style>
  <w:style w:type="paragraph" w:styleId="Footer">
    <w:name w:val="footer"/>
    <w:basedOn w:val="Normal"/>
    <w:link w:val="FooterChar"/>
    <w:uiPriority w:val="99"/>
    <w:unhideWhenUsed/>
    <w:rsid w:val="00F46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7161">
      <w:bodyDiv w:val="1"/>
      <w:marLeft w:val="0"/>
      <w:marRight w:val="0"/>
      <w:marTop w:val="0"/>
      <w:marBottom w:val="0"/>
      <w:divBdr>
        <w:top w:val="none" w:sz="0" w:space="0" w:color="auto"/>
        <w:left w:val="none" w:sz="0" w:space="0" w:color="auto"/>
        <w:bottom w:val="none" w:sz="0" w:space="0" w:color="auto"/>
        <w:right w:val="none" w:sz="0" w:space="0" w:color="auto"/>
      </w:divBdr>
    </w:div>
    <w:div w:id="690227844">
      <w:bodyDiv w:val="1"/>
      <w:marLeft w:val="0"/>
      <w:marRight w:val="0"/>
      <w:marTop w:val="0"/>
      <w:marBottom w:val="0"/>
      <w:divBdr>
        <w:top w:val="none" w:sz="0" w:space="0" w:color="auto"/>
        <w:left w:val="none" w:sz="0" w:space="0" w:color="auto"/>
        <w:bottom w:val="none" w:sz="0" w:space="0" w:color="auto"/>
        <w:right w:val="none" w:sz="0" w:space="0" w:color="auto"/>
      </w:divBdr>
    </w:div>
    <w:div w:id="729962607">
      <w:bodyDiv w:val="1"/>
      <w:marLeft w:val="0"/>
      <w:marRight w:val="0"/>
      <w:marTop w:val="0"/>
      <w:marBottom w:val="0"/>
      <w:divBdr>
        <w:top w:val="none" w:sz="0" w:space="0" w:color="auto"/>
        <w:left w:val="none" w:sz="0" w:space="0" w:color="auto"/>
        <w:bottom w:val="none" w:sz="0" w:space="0" w:color="auto"/>
        <w:right w:val="none" w:sz="0" w:space="0" w:color="auto"/>
      </w:divBdr>
    </w:div>
    <w:div w:id="789661942">
      <w:bodyDiv w:val="1"/>
      <w:marLeft w:val="0"/>
      <w:marRight w:val="0"/>
      <w:marTop w:val="0"/>
      <w:marBottom w:val="0"/>
      <w:divBdr>
        <w:top w:val="none" w:sz="0" w:space="0" w:color="auto"/>
        <w:left w:val="none" w:sz="0" w:space="0" w:color="auto"/>
        <w:bottom w:val="none" w:sz="0" w:space="0" w:color="auto"/>
        <w:right w:val="none" w:sz="0" w:space="0" w:color="auto"/>
      </w:divBdr>
    </w:div>
    <w:div w:id="826365345">
      <w:bodyDiv w:val="1"/>
      <w:marLeft w:val="0"/>
      <w:marRight w:val="0"/>
      <w:marTop w:val="0"/>
      <w:marBottom w:val="0"/>
      <w:divBdr>
        <w:top w:val="none" w:sz="0" w:space="0" w:color="auto"/>
        <w:left w:val="none" w:sz="0" w:space="0" w:color="auto"/>
        <w:bottom w:val="none" w:sz="0" w:space="0" w:color="auto"/>
        <w:right w:val="none" w:sz="0" w:space="0" w:color="auto"/>
      </w:divBdr>
    </w:div>
    <w:div w:id="1455176574">
      <w:bodyDiv w:val="1"/>
      <w:marLeft w:val="0"/>
      <w:marRight w:val="0"/>
      <w:marTop w:val="0"/>
      <w:marBottom w:val="0"/>
      <w:divBdr>
        <w:top w:val="none" w:sz="0" w:space="0" w:color="auto"/>
        <w:left w:val="none" w:sz="0" w:space="0" w:color="auto"/>
        <w:bottom w:val="none" w:sz="0" w:space="0" w:color="auto"/>
        <w:right w:val="none" w:sz="0" w:space="0" w:color="auto"/>
      </w:divBdr>
    </w:div>
    <w:div w:id="1546942322">
      <w:bodyDiv w:val="1"/>
      <w:marLeft w:val="0"/>
      <w:marRight w:val="0"/>
      <w:marTop w:val="0"/>
      <w:marBottom w:val="0"/>
      <w:divBdr>
        <w:top w:val="none" w:sz="0" w:space="0" w:color="auto"/>
        <w:left w:val="none" w:sz="0" w:space="0" w:color="auto"/>
        <w:bottom w:val="none" w:sz="0" w:space="0" w:color="auto"/>
        <w:right w:val="none" w:sz="0" w:space="0" w:color="auto"/>
      </w:divBdr>
    </w:div>
    <w:div w:id="1549293478">
      <w:bodyDiv w:val="1"/>
      <w:marLeft w:val="0"/>
      <w:marRight w:val="0"/>
      <w:marTop w:val="0"/>
      <w:marBottom w:val="0"/>
      <w:divBdr>
        <w:top w:val="none" w:sz="0" w:space="0" w:color="auto"/>
        <w:left w:val="none" w:sz="0" w:space="0" w:color="auto"/>
        <w:bottom w:val="none" w:sz="0" w:space="0" w:color="auto"/>
        <w:right w:val="none" w:sz="0" w:space="0" w:color="auto"/>
      </w:divBdr>
    </w:div>
    <w:div w:id="1575705039">
      <w:bodyDiv w:val="1"/>
      <w:marLeft w:val="0"/>
      <w:marRight w:val="0"/>
      <w:marTop w:val="0"/>
      <w:marBottom w:val="0"/>
      <w:divBdr>
        <w:top w:val="none" w:sz="0" w:space="0" w:color="auto"/>
        <w:left w:val="none" w:sz="0" w:space="0" w:color="auto"/>
        <w:bottom w:val="none" w:sz="0" w:space="0" w:color="auto"/>
        <w:right w:val="none" w:sz="0" w:space="0" w:color="auto"/>
      </w:divBdr>
    </w:div>
    <w:div w:id="1587304799">
      <w:bodyDiv w:val="1"/>
      <w:marLeft w:val="0"/>
      <w:marRight w:val="0"/>
      <w:marTop w:val="0"/>
      <w:marBottom w:val="0"/>
      <w:divBdr>
        <w:top w:val="none" w:sz="0" w:space="0" w:color="auto"/>
        <w:left w:val="none" w:sz="0" w:space="0" w:color="auto"/>
        <w:bottom w:val="none" w:sz="0" w:space="0" w:color="auto"/>
        <w:right w:val="none" w:sz="0" w:space="0" w:color="auto"/>
      </w:divBdr>
    </w:div>
    <w:div w:id="18422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lic.kr/s/aHBqjAXVT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collections.unu.edu%2Fview%2FUNU%3A9076%23viewMetadata&amp;data=05%7C02%7CDonis.Sadushaj%40itu.int%7Cd4f1a14e80574a3ee6b408dc4d9f6a34%7C23e464d704e64b87913c24bd89219fd3%7C0%7C0%7C638470594266363245%7CUnknown%7CTWFpbGZsb3d8eyJWIjoiMC4wLjAwMDAiLCJQIjoiV2luMzIiLCJBTiI6Ik1haWwiLCJXVCI6Mn0%3D%7C0%7C%7C%7C&amp;sdata=iemupXM%2Flwtfus6IDQfDjecfDAlRGWi6S%2Fu3ECcOwOI%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03.safelinks.protection.outlook.com/?url=https%3A%2F%2Fisi-web.org%2F&amp;data=05%7C02%7CDonis.Sadushaj%40itu.int%7Cea36b1de7e68463e66c608dc4d6ea129%7C23e464d704e64b87913c24bd89219fd3%7C0%7C0%7C638470384736835181%7CUnknown%7CTWFpbGZsb3d8eyJWIjoiMC4wLjAwMDAiLCJQIjoiV2luMzIiLCJBTiI6Ik1haWwiLCJXVCI6Mn0%3D%7C0%7C%7C%7C&amp;sdata=F%2Fs9qDK9lSvjIVyzvCarxoJfUGlzLOqPrCjIIQErtCI%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ademy.itu.int/itu-d/projects-activities/itu-academy-training-centres/centres"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ec.europa.eu%2Feurostat%2Fen%2Fweb%2Feuropean-statistical-system%2Fprogrammes-and-activities%2Feducation-and-training%2Feuropan-master-official-statistics&amp;data=05%7C02%7CDonis.Sadushaj%40itu.int%7Cea36b1de7e68463e66c608dc4d6ea129%7C23e464d704e64b87913c24bd89219fd3%7C0%7C0%7C638470384736824803%7CUnknown%7CTWFpbGZsb3d8eyJWIjoiMC4wLjAwMDAiLCJQIjoiV2luMzIiLCJBTiI6Ik1haWwiLCJXVCI6Mn0%3D%7C0%7C%7C%7C&amp;sdata=wf4aruFzapvncYwNS8jfAutzuMuiNHuCK020Sz53%2BzA%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CIS/Pages/Events/2023/Connectivity%20Week.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en/ITU-D/Initiatives/GIGA/Pages/default.aspx" TargetMode="External"/><Relationship Id="rId1" Type="http://schemas.openxmlformats.org/officeDocument/2006/relationships/hyperlink" Target="https://global.upenn.edu/perryworldhouse/world-house-student-fell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Props1.xml><?xml version="1.0" encoding="utf-8"?>
<ds:datastoreItem xmlns:ds="http://schemas.openxmlformats.org/officeDocument/2006/customXml" ds:itemID="{EE35C6DF-8926-476A-8B59-B8835AE5802F}">
  <ds:schemaRefs>
    <ds:schemaRef ds:uri="http://schemas.openxmlformats.org/officeDocument/2006/bibliography"/>
  </ds:schemaRefs>
</ds:datastoreItem>
</file>

<file path=customXml/itemProps2.xml><?xml version="1.0" encoding="utf-8"?>
<ds:datastoreItem xmlns:ds="http://schemas.openxmlformats.org/officeDocument/2006/customXml" ds:itemID="{F8E07E7D-780B-4971-9416-3273F2917228}">
  <ds:schemaRefs>
    <ds:schemaRef ds:uri="http://schemas.microsoft.com/sharepoint/v3/contenttype/forms"/>
  </ds:schemaRefs>
</ds:datastoreItem>
</file>

<file path=customXml/itemProps3.xml><?xml version="1.0" encoding="utf-8"?>
<ds:datastoreItem xmlns:ds="http://schemas.openxmlformats.org/officeDocument/2006/customXml" ds:itemID="{0B0E891D-2C54-4AB2-A8EE-14DD9865F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7F4EAB-B9C4-4EED-8F09-E1E229F89FED}">
  <ds:schemaRefs>
    <ds:schemaRef ds:uri="http://schemas.microsoft.com/office/2006/metadata/properties"/>
    <ds:schemaRef ds:uri="http://schemas.microsoft.com/office/infopath/2007/PartnerControls"/>
    <ds:schemaRef ds:uri="28b57394-764b-4c95-9edc-f65ae3c1af13"/>
    <ds:schemaRef ds:uri="365cf670-b44e-4dbb-b1e7-5ca0e9f395b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3133</Words>
  <Characters>17864</Characters>
  <Application>Microsoft Office Word</Application>
  <DocSecurity>0</DocSecurity>
  <Lines>148</Lines>
  <Paragraphs>41</Paragraphs>
  <ScaleCrop>false</ScaleCrop>
  <Company>ITU</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Sadushaj, Donis</dc:creator>
  <cp:keywords/>
  <dc:description/>
  <cp:lastModifiedBy>BDT-nd</cp:lastModifiedBy>
  <cp:revision>39</cp:revision>
  <dcterms:created xsi:type="dcterms:W3CDTF">2024-04-26T22:10:00Z</dcterms:created>
  <dcterms:modified xsi:type="dcterms:W3CDTF">2024-05-01T14:34:00Z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0x0101000421F7F6C5263B4B928A068E40912AB8</vt:lpwstr>
  </property>
</Properties>
</file>