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3160A4" w14:paraId="59BAB389" w14:textId="77777777" w:rsidTr="00F77022">
        <w:trPr>
          <w:cantSplit/>
          <w:trHeight w:val="1310"/>
          <w:jc w:val="center"/>
        </w:trPr>
        <w:tc>
          <w:tcPr>
            <w:tcW w:w="6548" w:type="dxa"/>
            <w:tcBorders>
              <w:bottom w:val="single" w:sz="12" w:space="0" w:color="auto"/>
            </w:tcBorders>
          </w:tcPr>
          <w:p w14:paraId="26E43485" w14:textId="77777777" w:rsidR="0094065A" w:rsidRPr="003160A4" w:rsidRDefault="0094065A" w:rsidP="00C85CB5">
            <w:pPr>
              <w:spacing w:before="240"/>
              <w:rPr>
                <w:b/>
                <w:bCs/>
                <w:sz w:val="32"/>
                <w:szCs w:val="32"/>
                <w:rtl/>
                <w:lang w:bidi="ar-SY"/>
              </w:rPr>
            </w:pPr>
            <w:r w:rsidRPr="003160A4">
              <w:rPr>
                <w:b/>
                <w:bCs/>
                <w:sz w:val="32"/>
                <w:szCs w:val="32"/>
                <w:rtl/>
                <w:lang w:bidi="ar-EG"/>
              </w:rPr>
              <w:t xml:space="preserve">الفريق الاستشاري لتنمية الاتصالات </w:t>
            </w:r>
            <w:r w:rsidRPr="003160A4">
              <w:rPr>
                <w:b/>
                <w:bCs/>
                <w:sz w:val="32"/>
                <w:szCs w:val="32"/>
                <w:lang w:bidi="ar-EG"/>
              </w:rPr>
              <w:t>(TDAG)</w:t>
            </w:r>
          </w:p>
          <w:p w14:paraId="1BBF9AD9" w14:textId="23F82693" w:rsidR="0094065A" w:rsidRPr="003160A4" w:rsidRDefault="0094065A" w:rsidP="00C85CB5">
            <w:pPr>
              <w:rPr>
                <w:b/>
                <w:bCs/>
                <w:spacing w:val="-6"/>
                <w:sz w:val="28"/>
                <w:szCs w:val="28"/>
                <w:rtl/>
                <w:lang w:bidi="ar-SY"/>
              </w:rPr>
            </w:pPr>
            <w:r w:rsidRPr="003160A4">
              <w:rPr>
                <w:b/>
                <w:bCs/>
                <w:spacing w:val="-6"/>
                <w:sz w:val="26"/>
                <w:szCs w:val="26"/>
                <w:rtl/>
                <w:lang w:bidi="ar-EG"/>
              </w:rPr>
              <w:t xml:space="preserve">الاجتماع </w:t>
            </w:r>
            <w:r w:rsidR="00EA1436" w:rsidRPr="003160A4">
              <w:rPr>
                <w:b/>
                <w:bCs/>
                <w:spacing w:val="-6"/>
                <w:sz w:val="26"/>
                <w:szCs w:val="26"/>
                <w:rtl/>
                <w:lang w:bidi="ar-EG"/>
              </w:rPr>
              <w:t>الحادي و</w:t>
            </w:r>
            <w:r w:rsidRPr="003160A4">
              <w:rPr>
                <w:b/>
                <w:bCs/>
                <w:spacing w:val="-6"/>
                <w:sz w:val="26"/>
                <w:szCs w:val="26"/>
                <w:rtl/>
                <w:lang w:bidi="ar-EG"/>
              </w:rPr>
              <w:t xml:space="preserve">الثلاثون، جنيف، سويسرا، </w:t>
            </w:r>
            <w:r w:rsidR="00EA1436" w:rsidRPr="003160A4">
              <w:rPr>
                <w:b/>
                <w:bCs/>
                <w:spacing w:val="-6"/>
                <w:sz w:val="26"/>
                <w:szCs w:val="26"/>
                <w:lang w:bidi="ar-EG"/>
              </w:rPr>
              <w:t>23-20</w:t>
            </w:r>
            <w:r w:rsidRPr="003160A4">
              <w:rPr>
                <w:b/>
                <w:bCs/>
                <w:spacing w:val="-6"/>
                <w:sz w:val="26"/>
                <w:szCs w:val="26"/>
                <w:rtl/>
                <w:lang w:bidi="ar-EG"/>
              </w:rPr>
              <w:t xml:space="preserve"> </w:t>
            </w:r>
            <w:r w:rsidR="00EA1436" w:rsidRPr="003160A4">
              <w:rPr>
                <w:b/>
                <w:bCs/>
                <w:spacing w:val="-6"/>
                <w:sz w:val="26"/>
                <w:szCs w:val="26"/>
                <w:rtl/>
                <w:lang w:bidi="ar-EG"/>
              </w:rPr>
              <w:t>مايو</w:t>
            </w:r>
            <w:r w:rsidRPr="003160A4">
              <w:rPr>
                <w:b/>
                <w:bCs/>
                <w:spacing w:val="-6"/>
                <w:sz w:val="26"/>
                <w:szCs w:val="26"/>
                <w:rtl/>
                <w:lang w:bidi="ar-EG"/>
              </w:rPr>
              <w:t xml:space="preserve"> </w:t>
            </w:r>
            <w:r w:rsidR="00EA1436" w:rsidRPr="003160A4">
              <w:rPr>
                <w:b/>
                <w:bCs/>
                <w:spacing w:val="-6"/>
                <w:sz w:val="26"/>
                <w:szCs w:val="26"/>
                <w:lang w:bidi="ar-EG"/>
              </w:rPr>
              <w:t>2024</w:t>
            </w:r>
          </w:p>
        </w:tc>
        <w:tc>
          <w:tcPr>
            <w:tcW w:w="3091" w:type="dxa"/>
            <w:tcBorders>
              <w:bottom w:val="single" w:sz="12" w:space="0" w:color="auto"/>
            </w:tcBorders>
          </w:tcPr>
          <w:p w14:paraId="20A44A14" w14:textId="77777777" w:rsidR="0094065A" w:rsidRPr="003160A4" w:rsidRDefault="00F77022" w:rsidP="00F77022">
            <w:pPr>
              <w:spacing w:after="120"/>
              <w:jc w:val="right"/>
              <w:rPr>
                <w:lang w:val="en-GB" w:bidi="ar-EG"/>
              </w:rPr>
            </w:pPr>
            <w:bookmarkStart w:id="0" w:name="ditulogo"/>
            <w:bookmarkEnd w:id="0"/>
            <w:r w:rsidRPr="003160A4">
              <w:rPr>
                <w:noProof/>
                <w:lang w:val="fr-FR" w:eastAsia="fr-FR"/>
              </w:rPr>
              <w:drawing>
                <wp:inline distT="0" distB="0" distL="0" distR="0" wp14:anchorId="4258E643" wp14:editId="6786828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3160A4" w14:paraId="272556A6" w14:textId="77777777" w:rsidTr="00F77022">
        <w:trPr>
          <w:cantSplit/>
          <w:jc w:val="center"/>
        </w:trPr>
        <w:tc>
          <w:tcPr>
            <w:tcW w:w="6548" w:type="dxa"/>
            <w:tcBorders>
              <w:top w:val="single" w:sz="12" w:space="0" w:color="auto"/>
            </w:tcBorders>
          </w:tcPr>
          <w:p w14:paraId="6A86798A" w14:textId="77777777" w:rsidR="00CA08BA" w:rsidRPr="003160A4" w:rsidRDefault="00CA08BA" w:rsidP="00B93B7B">
            <w:pPr>
              <w:spacing w:before="20" w:after="20" w:line="300" w:lineRule="exact"/>
              <w:rPr>
                <w:b/>
                <w:bCs/>
                <w:rtl/>
                <w:lang w:bidi="ar-EG"/>
              </w:rPr>
            </w:pPr>
          </w:p>
        </w:tc>
        <w:tc>
          <w:tcPr>
            <w:tcW w:w="3091" w:type="dxa"/>
            <w:tcBorders>
              <w:top w:val="single" w:sz="12" w:space="0" w:color="auto"/>
            </w:tcBorders>
          </w:tcPr>
          <w:p w14:paraId="43F19D1E" w14:textId="77777777" w:rsidR="00CA08BA" w:rsidRPr="003160A4" w:rsidRDefault="00CA08BA" w:rsidP="00B93B7B">
            <w:pPr>
              <w:spacing w:before="20" w:after="20" w:line="300" w:lineRule="exact"/>
              <w:rPr>
                <w:b/>
                <w:bCs/>
                <w:rtl/>
                <w:lang w:bidi="ar-EG"/>
              </w:rPr>
            </w:pPr>
          </w:p>
        </w:tc>
      </w:tr>
      <w:tr w:rsidR="00783A69" w:rsidRPr="003160A4" w14:paraId="50EC6E48" w14:textId="77777777" w:rsidTr="00F77022">
        <w:trPr>
          <w:cantSplit/>
          <w:jc w:val="center"/>
        </w:trPr>
        <w:tc>
          <w:tcPr>
            <w:tcW w:w="6548" w:type="dxa"/>
          </w:tcPr>
          <w:p w14:paraId="5E79F478" w14:textId="77777777" w:rsidR="00783A69" w:rsidRPr="003160A4" w:rsidRDefault="00783A69" w:rsidP="00B93B7B">
            <w:pPr>
              <w:spacing w:before="20" w:after="20" w:line="300" w:lineRule="exact"/>
              <w:rPr>
                <w:b/>
                <w:bCs/>
                <w:rtl/>
                <w:lang w:bidi="ar-EG"/>
              </w:rPr>
            </w:pPr>
          </w:p>
        </w:tc>
        <w:tc>
          <w:tcPr>
            <w:tcW w:w="3091" w:type="dxa"/>
          </w:tcPr>
          <w:p w14:paraId="07A49B74" w14:textId="220C1796" w:rsidR="00783A69" w:rsidRPr="003160A4" w:rsidRDefault="00783A69" w:rsidP="00B93B7B">
            <w:pPr>
              <w:spacing w:before="20" w:after="20" w:line="300" w:lineRule="exact"/>
              <w:rPr>
                <w:b/>
                <w:bCs/>
                <w:rtl/>
                <w:lang w:bidi="ar-SY"/>
              </w:rPr>
            </w:pPr>
            <w:r w:rsidRPr="003160A4">
              <w:rPr>
                <w:b/>
                <w:bCs/>
                <w:rtl/>
                <w:lang w:bidi="ar-EG"/>
              </w:rPr>
              <w:t xml:space="preserve">الوثيقة </w:t>
            </w:r>
            <w:r w:rsidRPr="003160A4">
              <w:rPr>
                <w:b/>
                <w:bCs/>
                <w:lang w:bidi="ar-EG"/>
              </w:rPr>
              <w:t>TDAG-</w:t>
            </w:r>
            <w:r w:rsidR="00153471" w:rsidRPr="003160A4">
              <w:rPr>
                <w:b/>
                <w:bCs/>
                <w:lang w:bidi="ar-EG"/>
              </w:rPr>
              <w:t>2</w:t>
            </w:r>
            <w:r w:rsidR="00EA1436" w:rsidRPr="003160A4">
              <w:rPr>
                <w:b/>
                <w:bCs/>
                <w:lang w:bidi="ar-EG"/>
              </w:rPr>
              <w:t>4</w:t>
            </w:r>
            <w:r w:rsidR="008562F3" w:rsidRPr="003160A4">
              <w:rPr>
                <w:b/>
                <w:bCs/>
                <w:lang w:bidi="ar-EG"/>
              </w:rPr>
              <w:t>/</w:t>
            </w:r>
            <w:r w:rsidR="00EA1436" w:rsidRPr="003160A4">
              <w:rPr>
                <w:b/>
                <w:bCs/>
                <w:lang w:bidi="ar-EG"/>
              </w:rPr>
              <w:t>9</w:t>
            </w:r>
            <w:r w:rsidRPr="003160A4">
              <w:rPr>
                <w:b/>
                <w:bCs/>
                <w:lang w:bidi="ar-EG"/>
              </w:rPr>
              <w:t>-A</w:t>
            </w:r>
          </w:p>
        </w:tc>
      </w:tr>
      <w:tr w:rsidR="00783A69" w:rsidRPr="003160A4" w14:paraId="19150CD8" w14:textId="77777777" w:rsidTr="00F77022">
        <w:trPr>
          <w:cantSplit/>
          <w:jc w:val="center"/>
        </w:trPr>
        <w:tc>
          <w:tcPr>
            <w:tcW w:w="6548" w:type="dxa"/>
          </w:tcPr>
          <w:p w14:paraId="194FA264" w14:textId="77777777" w:rsidR="00783A69" w:rsidRPr="003160A4" w:rsidRDefault="00783A69" w:rsidP="00B93B7B">
            <w:pPr>
              <w:spacing w:before="20" w:after="20" w:line="300" w:lineRule="exact"/>
              <w:rPr>
                <w:b/>
                <w:bCs/>
                <w:lang w:bidi="ar-EG"/>
              </w:rPr>
            </w:pPr>
          </w:p>
        </w:tc>
        <w:tc>
          <w:tcPr>
            <w:tcW w:w="3091" w:type="dxa"/>
          </w:tcPr>
          <w:p w14:paraId="1F158ED4" w14:textId="6D83E58C" w:rsidR="00783A69" w:rsidRPr="003160A4" w:rsidRDefault="00EA1436" w:rsidP="00B93B7B">
            <w:pPr>
              <w:spacing w:before="20" w:after="20" w:line="300" w:lineRule="exact"/>
              <w:rPr>
                <w:b/>
                <w:bCs/>
                <w:rtl/>
                <w:lang w:bidi="ar-SY"/>
              </w:rPr>
            </w:pPr>
            <w:r w:rsidRPr="003160A4">
              <w:rPr>
                <w:b/>
                <w:bCs/>
                <w:lang w:bidi="ar-EG"/>
              </w:rPr>
              <w:t>19</w:t>
            </w:r>
            <w:r w:rsidR="00783A69" w:rsidRPr="003160A4">
              <w:rPr>
                <w:b/>
                <w:bCs/>
                <w:rtl/>
                <w:lang w:bidi="ar-EG"/>
              </w:rPr>
              <w:t xml:space="preserve"> </w:t>
            </w:r>
            <w:r w:rsidRPr="003160A4">
              <w:rPr>
                <w:b/>
                <w:bCs/>
                <w:rtl/>
                <w:lang w:bidi="ar-EG"/>
              </w:rPr>
              <w:t>مارس</w:t>
            </w:r>
            <w:r w:rsidR="00783A69" w:rsidRPr="003160A4">
              <w:rPr>
                <w:b/>
                <w:bCs/>
                <w:rtl/>
                <w:lang w:bidi="ar-EG"/>
              </w:rPr>
              <w:t xml:space="preserve"> </w:t>
            </w:r>
            <w:r w:rsidR="00295B8A" w:rsidRPr="003160A4">
              <w:rPr>
                <w:b/>
                <w:bCs/>
                <w:lang w:bidi="ar-EG"/>
              </w:rPr>
              <w:t>2024</w:t>
            </w:r>
          </w:p>
        </w:tc>
      </w:tr>
      <w:tr w:rsidR="00783A69" w:rsidRPr="003160A4" w14:paraId="58340F99" w14:textId="77777777" w:rsidTr="00F77022">
        <w:trPr>
          <w:cantSplit/>
          <w:jc w:val="center"/>
        </w:trPr>
        <w:tc>
          <w:tcPr>
            <w:tcW w:w="6548" w:type="dxa"/>
          </w:tcPr>
          <w:p w14:paraId="579A8C4A" w14:textId="77777777" w:rsidR="00783A69" w:rsidRPr="003160A4" w:rsidRDefault="00783A69" w:rsidP="00B93B7B">
            <w:pPr>
              <w:spacing w:before="20" w:after="20" w:line="300" w:lineRule="exact"/>
              <w:rPr>
                <w:b/>
                <w:bCs/>
                <w:lang w:bidi="ar-EG"/>
              </w:rPr>
            </w:pPr>
          </w:p>
        </w:tc>
        <w:tc>
          <w:tcPr>
            <w:tcW w:w="3091" w:type="dxa"/>
          </w:tcPr>
          <w:p w14:paraId="5F04DA35" w14:textId="77777777" w:rsidR="00783A69" w:rsidRPr="003160A4" w:rsidRDefault="00783A69" w:rsidP="00B93B7B">
            <w:pPr>
              <w:spacing w:before="20" w:after="20" w:line="300" w:lineRule="exact"/>
              <w:rPr>
                <w:b/>
                <w:bCs/>
                <w:rtl/>
                <w:lang w:bidi="ar-EG"/>
              </w:rPr>
            </w:pPr>
            <w:r w:rsidRPr="003160A4">
              <w:rPr>
                <w:b/>
                <w:bCs/>
                <w:rtl/>
                <w:lang w:bidi="ar-EG"/>
              </w:rPr>
              <w:t>الأصل: بالإنكليزية</w:t>
            </w:r>
          </w:p>
        </w:tc>
      </w:tr>
      <w:tr w:rsidR="00783A69" w:rsidRPr="003160A4" w14:paraId="2B5927B7" w14:textId="77777777" w:rsidTr="00EE5CF2">
        <w:trPr>
          <w:cantSplit/>
          <w:jc w:val="center"/>
        </w:trPr>
        <w:tc>
          <w:tcPr>
            <w:tcW w:w="9639" w:type="dxa"/>
            <w:gridSpan w:val="2"/>
          </w:tcPr>
          <w:p w14:paraId="60475372" w14:textId="6B75137E" w:rsidR="00783A69" w:rsidRPr="003160A4" w:rsidRDefault="00295B8A" w:rsidP="00EE5CF2">
            <w:pPr>
              <w:pStyle w:val="Source"/>
            </w:pPr>
            <w:r w:rsidRPr="003160A4">
              <w:rPr>
                <w:sz w:val="28"/>
                <w:szCs w:val="28"/>
                <w:rtl/>
                <w:lang w:bidi="ar-SY"/>
              </w:rPr>
              <w:t>رئيس فريق التنسيق بين القطاعات (</w:t>
            </w:r>
            <w:r w:rsidRPr="003160A4">
              <w:rPr>
                <w:sz w:val="28"/>
                <w:szCs w:val="28"/>
                <w:lang w:bidi="ar-SY"/>
              </w:rPr>
              <w:t>ISCG</w:t>
            </w:r>
            <w:r w:rsidRPr="003160A4">
              <w:rPr>
                <w:sz w:val="28"/>
                <w:szCs w:val="28"/>
                <w:rtl/>
                <w:lang w:bidi="ar-SY"/>
              </w:rPr>
              <w:t>)</w:t>
            </w:r>
          </w:p>
        </w:tc>
      </w:tr>
      <w:tr w:rsidR="00783A69" w:rsidRPr="003160A4" w14:paraId="61CA636F" w14:textId="77777777" w:rsidTr="00EE5CF2">
        <w:trPr>
          <w:cantSplit/>
          <w:jc w:val="center"/>
        </w:trPr>
        <w:tc>
          <w:tcPr>
            <w:tcW w:w="9639" w:type="dxa"/>
            <w:gridSpan w:val="2"/>
          </w:tcPr>
          <w:p w14:paraId="16554F28" w14:textId="2A37F2A7" w:rsidR="00783A69" w:rsidRPr="003160A4" w:rsidRDefault="00295B8A" w:rsidP="00EE5CF2">
            <w:pPr>
              <w:pStyle w:val="Title1"/>
              <w:rPr>
                <w:lang w:bidi="ar-EG"/>
              </w:rPr>
            </w:pPr>
            <w:r w:rsidRPr="003160A4">
              <w:rPr>
                <w:rtl/>
                <w:lang w:bidi="ar-SY"/>
              </w:rPr>
              <w:t>تقرير فريق التنسيق بين القطاعات (</w:t>
            </w:r>
            <w:r w:rsidRPr="003160A4">
              <w:rPr>
                <w:lang w:bidi="ar-SY"/>
              </w:rPr>
              <w:t>ISCG</w:t>
            </w:r>
            <w:r w:rsidRPr="003160A4">
              <w:rPr>
                <w:rtl/>
                <w:lang w:bidi="ar-SY"/>
              </w:rPr>
              <w:t xml:space="preserve">) </w:t>
            </w:r>
            <w:r w:rsidR="00BF75AA">
              <w:rPr>
                <w:rtl/>
                <w:lang w:bidi="ar-SY"/>
              </w:rPr>
              <w:br/>
            </w:r>
            <w:r w:rsidRPr="003160A4">
              <w:rPr>
                <w:rtl/>
                <w:lang w:bidi="ar-SY"/>
              </w:rPr>
              <w:t>المعني بالمسائل ذات الاهتمام</w:t>
            </w:r>
            <w:r w:rsidR="009766AE" w:rsidRPr="003160A4">
              <w:rPr>
                <w:rtl/>
                <w:lang w:bidi="ar-EG"/>
              </w:rPr>
              <w:t> </w:t>
            </w:r>
            <w:r w:rsidRPr="003160A4">
              <w:rPr>
                <w:rtl/>
                <w:lang w:bidi="ar-SY"/>
              </w:rPr>
              <w:t>المشترك</w:t>
            </w:r>
          </w:p>
        </w:tc>
      </w:tr>
    </w:tbl>
    <w:p w14:paraId="2C55721E" w14:textId="77777777" w:rsidR="00EE5CF2" w:rsidRPr="003160A4"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3160A4" w14:paraId="1639C156" w14:textId="77777777" w:rsidTr="007C55BE">
        <w:trPr>
          <w:cantSplit/>
          <w:jc w:val="center"/>
        </w:trPr>
        <w:tc>
          <w:tcPr>
            <w:tcW w:w="9638" w:type="dxa"/>
            <w:tcBorders>
              <w:top w:val="single" w:sz="6" w:space="0" w:color="auto"/>
              <w:left w:val="single" w:sz="6" w:space="0" w:color="auto"/>
              <w:bottom w:val="single" w:sz="6" w:space="0" w:color="auto"/>
              <w:right w:val="single" w:sz="6" w:space="0" w:color="auto"/>
            </w:tcBorders>
          </w:tcPr>
          <w:p w14:paraId="6507A5BD" w14:textId="77777777" w:rsidR="00783A69" w:rsidRPr="003160A4" w:rsidRDefault="00783A69" w:rsidP="00EE5CF2">
            <w:pPr>
              <w:rPr>
                <w:b/>
                <w:bCs/>
                <w:rtl/>
                <w:lang w:bidi="ar-SY"/>
              </w:rPr>
            </w:pPr>
            <w:r w:rsidRPr="003160A4">
              <w:rPr>
                <w:b/>
                <w:bCs/>
                <w:rtl/>
                <w:lang w:bidi="ar-SY"/>
              </w:rPr>
              <w:t>ملخص</w:t>
            </w:r>
            <w:r w:rsidR="005874F2" w:rsidRPr="003160A4">
              <w:rPr>
                <w:b/>
                <w:bCs/>
                <w:rtl/>
                <w:lang w:bidi="ar-SY"/>
              </w:rPr>
              <w:t>:</w:t>
            </w:r>
          </w:p>
          <w:p w14:paraId="74200249" w14:textId="16C3F202" w:rsidR="007C55BE" w:rsidRPr="003160A4" w:rsidRDefault="00295B8A" w:rsidP="007C55BE">
            <w:pPr>
              <w:rPr>
                <w:rtl/>
                <w:lang w:bidi="ar-EG"/>
              </w:rPr>
            </w:pPr>
            <w:r w:rsidRPr="003160A4">
              <w:rPr>
                <w:rtl/>
                <w:lang w:bidi="ar-SY"/>
              </w:rPr>
              <w:t>تقدّم هذه الوثيقة تقريرَ فريق التنسيق بين القطاعات (</w:t>
            </w:r>
            <w:r w:rsidRPr="003160A4">
              <w:rPr>
                <w:lang w:bidi="ar-SY"/>
              </w:rPr>
              <w:t>ISCG</w:t>
            </w:r>
            <w:r w:rsidRPr="003160A4">
              <w:rPr>
                <w:rtl/>
                <w:lang w:bidi="ar-SY"/>
              </w:rPr>
              <w:t xml:space="preserve">) </w:t>
            </w:r>
            <w:r w:rsidR="00BF75AA">
              <w:rPr>
                <w:rtl/>
                <w:lang w:bidi="ar-SY"/>
              </w:rPr>
              <w:t>المعني</w:t>
            </w:r>
            <w:r w:rsidRPr="003160A4">
              <w:rPr>
                <w:rtl/>
                <w:lang w:bidi="ar-SY"/>
              </w:rPr>
              <w:t xml:space="preserve"> بالمسائل ذات الاهتمام المشترك، وتسلّط الضوء على</w:t>
            </w:r>
            <w:r w:rsidR="00F3154A">
              <w:rPr>
                <w:rFonts w:hint="cs"/>
                <w:rtl/>
                <w:lang w:bidi="ar-SY"/>
              </w:rPr>
              <w:t> </w:t>
            </w:r>
            <w:r w:rsidRPr="003160A4">
              <w:rPr>
                <w:rtl/>
                <w:lang w:bidi="ar-SY"/>
              </w:rPr>
              <w:t>الاستنتاجات التي خلص إليها اجتماعه الأخير، الذي عُقد في 24 يناير 2024.</w:t>
            </w:r>
          </w:p>
          <w:p w14:paraId="2B42E895" w14:textId="77777777" w:rsidR="00783A69" w:rsidRPr="003160A4" w:rsidRDefault="00783A69" w:rsidP="00EE5CF2">
            <w:pPr>
              <w:rPr>
                <w:b/>
                <w:bCs/>
                <w:rtl/>
                <w:lang w:bidi="ar-SY"/>
              </w:rPr>
            </w:pPr>
            <w:r w:rsidRPr="003160A4">
              <w:rPr>
                <w:b/>
                <w:bCs/>
                <w:rtl/>
                <w:lang w:bidi="ar-SY"/>
              </w:rPr>
              <w:t>الإجراء المطلوب</w:t>
            </w:r>
            <w:r w:rsidR="005874F2" w:rsidRPr="003160A4">
              <w:rPr>
                <w:b/>
                <w:bCs/>
                <w:rtl/>
                <w:lang w:bidi="ar-SY"/>
              </w:rPr>
              <w:t>:</w:t>
            </w:r>
          </w:p>
          <w:p w14:paraId="40E172F9" w14:textId="37391C6B" w:rsidR="00783A69" w:rsidRPr="003160A4" w:rsidRDefault="00295B8A" w:rsidP="00EE5CF2">
            <w:pPr>
              <w:rPr>
                <w:rtl/>
                <w:lang w:bidi="ar-EG"/>
              </w:rPr>
            </w:pPr>
            <w:r w:rsidRPr="003160A4">
              <w:rPr>
                <w:rtl/>
                <w:lang w:bidi="ar-SY"/>
              </w:rPr>
              <w:t>يُدعى الفريق الاستشاري لتنمية الاتصالات (</w:t>
            </w:r>
            <w:r w:rsidRPr="003160A4">
              <w:rPr>
                <w:lang w:bidi="ar-SY"/>
              </w:rPr>
              <w:t>TDAG</w:t>
            </w:r>
            <w:r w:rsidRPr="003160A4">
              <w:rPr>
                <w:rtl/>
                <w:lang w:bidi="ar-SY"/>
              </w:rPr>
              <w:t>) إلى الإحاطة علماً بهذه الوثيقة وتقديم التوجيهات التي يراها مناسبة.</w:t>
            </w:r>
          </w:p>
          <w:p w14:paraId="240481F1" w14:textId="77777777" w:rsidR="00783A69" w:rsidRPr="003160A4" w:rsidRDefault="00783A69" w:rsidP="00EE5CF2">
            <w:pPr>
              <w:rPr>
                <w:b/>
                <w:bCs/>
                <w:rtl/>
                <w:lang w:bidi="ar-SY"/>
              </w:rPr>
            </w:pPr>
            <w:r w:rsidRPr="003160A4">
              <w:rPr>
                <w:b/>
                <w:bCs/>
                <w:rtl/>
                <w:lang w:bidi="ar-SY"/>
              </w:rPr>
              <w:t>المراجع</w:t>
            </w:r>
            <w:r w:rsidR="005874F2" w:rsidRPr="003160A4">
              <w:rPr>
                <w:b/>
                <w:bCs/>
                <w:rtl/>
                <w:lang w:bidi="ar-SY"/>
              </w:rPr>
              <w:t>:</w:t>
            </w:r>
          </w:p>
          <w:p w14:paraId="5BF9B8F7" w14:textId="492AA41B" w:rsidR="00783A69" w:rsidRPr="003160A4" w:rsidRDefault="00F7790B" w:rsidP="00EE5CF2">
            <w:pPr>
              <w:spacing w:after="120"/>
              <w:rPr>
                <w:rtl/>
              </w:rPr>
            </w:pPr>
            <w:hyperlink r:id="rId9" w:history="1">
              <w:r w:rsidR="00295B8A" w:rsidRPr="003160A4">
                <w:rPr>
                  <w:rStyle w:val="Hyperlink"/>
                  <w:rtl/>
                </w:rPr>
                <w:t>القرار 191</w:t>
              </w:r>
            </w:hyperlink>
            <w:r w:rsidR="00295B8A" w:rsidRPr="003160A4">
              <w:rPr>
                <w:rtl/>
              </w:rPr>
              <w:t xml:space="preserve"> لمؤتمر المندوبين المفوَّضين (المراجَع في بوخارست، 2022</w:t>
            </w:r>
            <w:r w:rsidR="00295B8A" w:rsidRPr="003160A4">
              <w:rPr>
                <w:rtl/>
                <w:lang w:bidi="ar-JO"/>
              </w:rPr>
              <w:t>)</w:t>
            </w:r>
          </w:p>
        </w:tc>
      </w:tr>
    </w:tbl>
    <w:p w14:paraId="2F512D50" w14:textId="77777777" w:rsidR="00882A17" w:rsidRPr="003160A4" w:rsidRDefault="00882A17">
      <w:pPr>
        <w:tabs>
          <w:tab w:val="clear" w:pos="794"/>
        </w:tabs>
        <w:bidi w:val="0"/>
        <w:spacing w:before="0" w:after="160" w:line="259" w:lineRule="auto"/>
        <w:jc w:val="left"/>
        <w:rPr>
          <w:lang w:bidi="ar-EG"/>
        </w:rPr>
      </w:pPr>
      <w:r w:rsidRPr="003160A4">
        <w:rPr>
          <w:rtl/>
          <w:lang w:bidi="ar-EG"/>
        </w:rPr>
        <w:br w:type="page"/>
      </w:r>
    </w:p>
    <w:p w14:paraId="796BBC21" w14:textId="7834E006" w:rsidR="007D7F4A" w:rsidRPr="003160A4" w:rsidRDefault="00295B8A" w:rsidP="007D7F4A">
      <w:pPr>
        <w:pStyle w:val="Heading1"/>
      </w:pPr>
      <w:r w:rsidRPr="003160A4">
        <w:rPr>
          <w:rtl/>
        </w:rPr>
        <w:lastRenderedPageBreak/>
        <w:t>مقدّمة</w:t>
      </w:r>
    </w:p>
    <w:p w14:paraId="0E185545" w14:textId="76C0627F" w:rsidR="003160A4" w:rsidRDefault="00295B8A" w:rsidP="00295B8A">
      <w:pPr>
        <w:rPr>
          <w:rtl/>
        </w:rPr>
      </w:pPr>
      <w:r w:rsidRPr="003160A4">
        <w:rPr>
          <w:rtl/>
        </w:rPr>
        <w:t>يودُّ رئيسُ فريق التنسيق بين القطاعات (</w:t>
      </w:r>
      <w:r w:rsidRPr="003160A4">
        <w:t>ISCG</w:t>
      </w:r>
      <w:r w:rsidRPr="003160A4">
        <w:rPr>
          <w:rtl/>
        </w:rPr>
        <w:t xml:space="preserve">) </w:t>
      </w:r>
      <w:r w:rsidR="00BF75AA">
        <w:rPr>
          <w:rtl/>
        </w:rPr>
        <w:t>المعني</w:t>
      </w:r>
      <w:r w:rsidRPr="003160A4">
        <w:rPr>
          <w:rtl/>
        </w:rPr>
        <w:t xml:space="preserve"> بالمسائل ذات الاهتمام المشترك، السيد فابيو بيجي، أن يقدّم إلى</w:t>
      </w:r>
      <w:r w:rsidR="00F3154A">
        <w:rPr>
          <w:rFonts w:hint="cs"/>
          <w:rtl/>
        </w:rPr>
        <w:t> </w:t>
      </w:r>
      <w:r w:rsidRPr="003160A4">
        <w:rPr>
          <w:rtl/>
        </w:rPr>
        <w:t>الفريق الاستشاري لتنمية الاتصالات (</w:t>
      </w:r>
      <w:r w:rsidRPr="003160A4">
        <w:t>TDAG</w:t>
      </w:r>
      <w:r w:rsidRPr="003160A4">
        <w:rPr>
          <w:rtl/>
        </w:rPr>
        <w:t>) نتائجَ الاجتماع الأخير للفريق المذكور الذي عُقد في 24 يناير 2024، في مقرّ الاتحاد الدولي للاتصالات، من الساعة 12:30 حتى الساعة 14:00 (بتوقيت وسط أوروبا).</w:t>
      </w:r>
    </w:p>
    <w:p w14:paraId="1D5CA6CB" w14:textId="5D7935F8" w:rsidR="00295B8A" w:rsidRPr="003160A4" w:rsidRDefault="00295B8A" w:rsidP="00295B8A">
      <w:pPr>
        <w:rPr>
          <w:rtl/>
        </w:rPr>
      </w:pPr>
      <w:r w:rsidRPr="003160A4">
        <w:rPr>
          <w:rtl/>
        </w:rPr>
        <w:t>وعُقد الاجتماع بالتزامن مع اجتماع الفريق الاستشاري لتقييس الاتصالات (</w:t>
      </w:r>
      <w:r w:rsidRPr="003160A4">
        <w:t>TSAG</w:t>
      </w:r>
      <w:r w:rsidRPr="003160A4">
        <w:rPr>
          <w:rtl/>
        </w:rPr>
        <w:t xml:space="preserve">)، وأتيحت فيه المشاركة عن بُعد مثلما أُتيحت فيه خدمة العرض النصي من خلال منصة </w:t>
      </w:r>
      <w:r w:rsidRPr="003160A4">
        <w:t>Zoom</w:t>
      </w:r>
      <w:r w:rsidRPr="003160A4">
        <w:rPr>
          <w:rtl/>
        </w:rPr>
        <w:t>.</w:t>
      </w:r>
    </w:p>
    <w:p w14:paraId="06777159" w14:textId="335BE48B" w:rsidR="00295B8A" w:rsidRPr="003160A4" w:rsidRDefault="00295B8A" w:rsidP="00295B8A">
      <w:pPr>
        <w:rPr>
          <w:rtl/>
        </w:rPr>
      </w:pPr>
      <w:r w:rsidRPr="003160A4">
        <w:rPr>
          <w:rtl/>
        </w:rPr>
        <w:t>ووافق الاجتماعُ على جدول الأعمال (</w:t>
      </w:r>
      <w:hyperlink r:id="rId10" w:history="1">
        <w:r w:rsidR="000F2B81" w:rsidRPr="003160A4">
          <w:rPr>
            <w:rStyle w:val="Hyperlink"/>
            <w:szCs w:val="24"/>
          </w:rPr>
          <w:t>ISCG/24-1/01-R3</w:t>
        </w:r>
      </w:hyperlink>
      <w:r w:rsidRPr="003160A4">
        <w:rPr>
          <w:rtl/>
        </w:rPr>
        <w:t xml:space="preserve">) وكذلك على تقرير الاجتماع السابق لفريق التنسيق بين القطاعات </w:t>
      </w:r>
      <w:r w:rsidRPr="003160A4">
        <w:t>(ISCG)</w:t>
      </w:r>
      <w:r w:rsidR="000F2B81" w:rsidRPr="003160A4">
        <w:rPr>
          <w:rtl/>
        </w:rPr>
        <w:t xml:space="preserve"> </w:t>
      </w:r>
      <w:r w:rsidRPr="003160A4">
        <w:t>(</w:t>
      </w:r>
      <w:hyperlink r:id="rId11" w:history="1">
        <w:r w:rsidR="000F2B81" w:rsidRPr="003160A4">
          <w:rPr>
            <w:rStyle w:val="Hyperlink"/>
            <w:szCs w:val="24"/>
          </w:rPr>
          <w:t>ISCG/24-1/02</w:t>
        </w:r>
      </w:hyperlink>
      <w:r w:rsidRPr="003160A4">
        <w:t>)</w:t>
      </w:r>
      <w:r w:rsidRPr="003160A4">
        <w:rPr>
          <w:rtl/>
        </w:rPr>
        <w:t>.</w:t>
      </w:r>
    </w:p>
    <w:p w14:paraId="2F440E44" w14:textId="69854610" w:rsidR="00295B8A" w:rsidRPr="003160A4" w:rsidRDefault="00295B8A" w:rsidP="00295B8A">
      <w:pPr>
        <w:rPr>
          <w:rtl/>
        </w:rPr>
      </w:pPr>
      <w:r w:rsidRPr="003160A4">
        <w:rPr>
          <w:rtl/>
        </w:rPr>
        <w:t xml:space="preserve">ويمكن النفاذ إلى جميع الوثائق التي عُرضت ونوقشت في أثناء الاجتماع، بما في ذلك جدول الأعمال وقائمة المشاركين، من خلال </w:t>
      </w:r>
      <w:hyperlink r:id="rId12" w:history="1">
        <w:r w:rsidRPr="003160A4">
          <w:rPr>
            <w:rStyle w:val="Hyperlink"/>
            <w:rtl/>
          </w:rPr>
          <w:t>الصفحة الإلكترونية لفريق التنسيق بين القطاعات</w:t>
        </w:r>
      </w:hyperlink>
      <w:r w:rsidRPr="003160A4">
        <w:rPr>
          <w:rtl/>
        </w:rPr>
        <w:t xml:space="preserve"> (</w:t>
      </w:r>
      <w:r w:rsidRPr="003160A4">
        <w:t>ISCG</w:t>
      </w:r>
      <w:r w:rsidRPr="003160A4">
        <w:rPr>
          <w:rtl/>
        </w:rPr>
        <w:t>). وينتظر التقرير النهائي للاجتماع (</w:t>
      </w:r>
      <w:r w:rsidRPr="003160A4">
        <w:t>ISCG/24-2/02</w:t>
      </w:r>
      <w:r w:rsidRPr="003160A4">
        <w:rPr>
          <w:rtl/>
        </w:rPr>
        <w:t>) موافقةً رسميةً من اجتماع أعضاء فريق التنسيق بين القطاعات (</w:t>
      </w:r>
      <w:r w:rsidRPr="003160A4">
        <w:t>ISCG</w:t>
      </w:r>
      <w:r w:rsidRPr="003160A4">
        <w:rPr>
          <w:rtl/>
        </w:rPr>
        <w:t>) المقرّر في 21 مايو 2024.</w:t>
      </w:r>
    </w:p>
    <w:p w14:paraId="18A7318D" w14:textId="13472538" w:rsidR="00AF3582" w:rsidRPr="003160A4" w:rsidRDefault="00295B8A" w:rsidP="00295B8A">
      <w:r w:rsidRPr="003160A4">
        <w:rPr>
          <w:rtl/>
        </w:rPr>
        <w:t>ويودُّ رئيسُ فريق التنسيق بين القطاعات (</w:t>
      </w:r>
      <w:r w:rsidRPr="003160A4">
        <w:t>ISCG</w:t>
      </w:r>
      <w:r w:rsidRPr="003160A4">
        <w:rPr>
          <w:rtl/>
        </w:rPr>
        <w:t>) أن يشكرَ رئيسة الفريق الاستشاري لتنمية الاتصالات (</w:t>
      </w:r>
      <w:r w:rsidRPr="003160A4">
        <w:t>TDAG</w:t>
      </w:r>
      <w:r w:rsidRPr="003160A4">
        <w:rPr>
          <w:rtl/>
        </w:rPr>
        <w:t xml:space="preserve">)، السيدة </w:t>
      </w:r>
      <w:proofErr w:type="spellStart"/>
      <w:r w:rsidRPr="003160A4">
        <w:rPr>
          <w:rtl/>
        </w:rPr>
        <w:t>روكسان</w:t>
      </w:r>
      <w:proofErr w:type="spellEnd"/>
      <w:r w:rsidRPr="003160A4">
        <w:rPr>
          <w:rtl/>
        </w:rPr>
        <w:t xml:space="preserve"> </w:t>
      </w:r>
      <w:proofErr w:type="spellStart"/>
      <w:r w:rsidRPr="003160A4">
        <w:rPr>
          <w:rtl/>
        </w:rPr>
        <w:t>ماكيلفان</w:t>
      </w:r>
      <w:proofErr w:type="spellEnd"/>
      <w:r w:rsidRPr="003160A4">
        <w:rPr>
          <w:rtl/>
        </w:rPr>
        <w:t xml:space="preserve"> ويبر، لموافقتها على تنظيم اجتماع لفريق التنسيق بين القطاعات (</w:t>
      </w:r>
      <w:r w:rsidRPr="003160A4">
        <w:t>ISCG</w:t>
      </w:r>
      <w:r w:rsidRPr="003160A4">
        <w:rPr>
          <w:rtl/>
        </w:rPr>
        <w:t>) في 21 مايو 2024، بالتزامن مع</w:t>
      </w:r>
      <w:r w:rsidR="00A61A52">
        <w:rPr>
          <w:rFonts w:hint="cs"/>
          <w:rtl/>
        </w:rPr>
        <w:t> </w:t>
      </w:r>
      <w:r w:rsidRPr="003160A4">
        <w:rPr>
          <w:rtl/>
        </w:rPr>
        <w:t>الاجتماع الحادي والثلاثين للفريق الاستشاري لتنمية الاتصالات (</w:t>
      </w:r>
      <w:r w:rsidRPr="003160A4">
        <w:t>TDAG</w:t>
      </w:r>
      <w:r w:rsidRPr="003160A4">
        <w:rPr>
          <w:rtl/>
        </w:rPr>
        <w:t>).</w:t>
      </w:r>
    </w:p>
    <w:p w14:paraId="3A61E61F" w14:textId="77777777" w:rsidR="007D7F4A" w:rsidRPr="003160A4" w:rsidRDefault="007D7F4A" w:rsidP="007D7F4A">
      <w:pPr>
        <w:pStyle w:val="Heading1"/>
      </w:pPr>
      <w:r w:rsidRPr="003160A4">
        <w:rPr>
          <w:rtl/>
        </w:rPr>
        <w:t>المناقشات الرئيسية</w:t>
      </w:r>
    </w:p>
    <w:p w14:paraId="58C60AED" w14:textId="6307BBAF" w:rsidR="007D7F4A" w:rsidRPr="003160A4" w:rsidRDefault="007D7F4A" w:rsidP="007D7F4A">
      <w:pPr>
        <w:pStyle w:val="Headingb0"/>
        <w:spacing w:before="240"/>
      </w:pPr>
      <w:bookmarkStart w:id="1" w:name="_Toc22116965"/>
      <w:r w:rsidRPr="003160A4">
        <w:rPr>
          <w:rtl/>
        </w:rPr>
        <w:t xml:space="preserve">التقرير بشأن تنفيذ القرار 191 (المراجَع في بوخارست، 2022) لمؤتمر المندوبين </w:t>
      </w:r>
      <w:r w:rsidR="00295B8A" w:rsidRPr="003160A4">
        <w:rPr>
          <w:rtl/>
        </w:rPr>
        <w:t>المفوَّضين</w:t>
      </w:r>
    </w:p>
    <w:p w14:paraId="725A29E1" w14:textId="39CFFE22" w:rsidR="00295B8A" w:rsidRPr="003160A4" w:rsidRDefault="00295B8A" w:rsidP="00295B8A">
      <w:pPr>
        <w:rPr>
          <w:rtl/>
        </w:rPr>
      </w:pPr>
      <w:r w:rsidRPr="003160A4">
        <w:rPr>
          <w:rtl/>
        </w:rPr>
        <w:t xml:space="preserve">قدّمت أمانة الاتحاد الدولي للاتصالات إطارَ استراتيجية التنسيق بين القطاعات (انظر الوثيقة </w:t>
      </w:r>
      <w:hyperlink r:id="rId13" w:history="1">
        <w:r w:rsidR="000F2B81" w:rsidRPr="003160A4">
          <w:rPr>
            <w:rStyle w:val="Hyperlink"/>
            <w:szCs w:val="24"/>
          </w:rPr>
          <w:t>ISCG/24-1/03-R1</w:t>
        </w:r>
      </w:hyperlink>
      <w:r w:rsidRPr="003160A4">
        <w:rPr>
          <w:rtl/>
        </w:rPr>
        <w:t>). وبالنظر</w:t>
      </w:r>
      <w:r w:rsidR="009721A9">
        <w:rPr>
          <w:rFonts w:hint="cs"/>
          <w:rtl/>
        </w:rPr>
        <w:t> </w:t>
      </w:r>
      <w:r w:rsidRPr="003160A4">
        <w:rPr>
          <w:rtl/>
        </w:rPr>
        <w:t>إلى</w:t>
      </w:r>
      <w:r w:rsidR="009721A9">
        <w:rPr>
          <w:rFonts w:hint="cs"/>
          <w:rtl/>
        </w:rPr>
        <w:t> </w:t>
      </w:r>
      <w:r w:rsidRPr="003160A4">
        <w:rPr>
          <w:rtl/>
        </w:rPr>
        <w:t>طلبات الأعضاء المقدَّمة إلى المجلس في دورته لعام 2023، تتوخى الاستراتيجية التنسيق داخل أمانة الاتحاد عن</w:t>
      </w:r>
      <w:r w:rsidR="009721A9">
        <w:rPr>
          <w:rFonts w:hint="cs"/>
          <w:rtl/>
        </w:rPr>
        <w:t> </w:t>
      </w:r>
      <w:r w:rsidRPr="003160A4">
        <w:rPr>
          <w:rtl/>
        </w:rPr>
        <w:t xml:space="preserve">طريق فريق المهامّ </w:t>
      </w:r>
      <w:r w:rsidR="00BF75AA">
        <w:rPr>
          <w:rtl/>
        </w:rPr>
        <w:t>المعني</w:t>
      </w:r>
      <w:r w:rsidRPr="003160A4">
        <w:rPr>
          <w:rtl/>
        </w:rPr>
        <w:t xml:space="preserve"> بالتنسيق بين القطاعات (</w:t>
      </w:r>
      <w:r w:rsidRPr="003160A4">
        <w:t>ISC-TF</w:t>
      </w:r>
      <w:r w:rsidRPr="003160A4">
        <w:rPr>
          <w:rtl/>
        </w:rPr>
        <w:t>) الذي يقيم اتصالات مع فريق التنسيق بين القطاعات (</w:t>
      </w:r>
      <w:r w:rsidRPr="003160A4">
        <w:t>ISCG</w:t>
      </w:r>
      <w:r w:rsidRPr="003160A4">
        <w:rPr>
          <w:rtl/>
        </w:rPr>
        <w:t>) لتحديد احتياجات الأعضاء وتوفير خيارات لتحسين التعاون والتنسيق داخل الأمانة، كما تعدُّ تقارير بشأن تنفيذ القرار 191</w:t>
      </w:r>
      <w:r w:rsidR="009721A9">
        <w:rPr>
          <w:rFonts w:hint="cs"/>
          <w:rtl/>
        </w:rPr>
        <w:t> </w:t>
      </w:r>
      <w:r w:rsidRPr="003160A4">
        <w:rPr>
          <w:rtl/>
        </w:rPr>
        <w:t>(المراجَع في بوخارست، 2022) لتقديمها إلى المجلس، وإلى فريق العمل التابع للمجلس و</w:t>
      </w:r>
      <w:r w:rsidR="00BF75AA">
        <w:rPr>
          <w:rtl/>
        </w:rPr>
        <w:t>المعني</w:t>
      </w:r>
      <w:r w:rsidRPr="003160A4">
        <w:rPr>
          <w:rtl/>
        </w:rPr>
        <w:t xml:space="preserve"> بالموارد المالية والبشرية (</w:t>
      </w:r>
      <w:r w:rsidRPr="003160A4">
        <w:t>CWG-FHR</w:t>
      </w:r>
      <w:r w:rsidRPr="003160A4">
        <w:rPr>
          <w:rtl/>
        </w:rPr>
        <w:t>) كلما دعت الحاجة إلى ذلك، وإلى مؤتمر المندوبين المفوَّضين (</w:t>
      </w:r>
      <w:r w:rsidRPr="003160A4">
        <w:t>PP</w:t>
      </w:r>
      <w:r w:rsidRPr="003160A4">
        <w:rPr>
          <w:rtl/>
        </w:rPr>
        <w:t>). ومن ناحية أخرى، يجري التنسيق مع الأعضاء في إطار فريق التنسيق بين القطاعات (</w:t>
      </w:r>
      <w:r w:rsidRPr="003160A4">
        <w:t>ISCG</w:t>
      </w:r>
      <w:r w:rsidRPr="003160A4">
        <w:rPr>
          <w:rtl/>
        </w:rPr>
        <w:t>)، وهو الفريق القائم على المساهمات، والذي يقدّم تقاريره إلى الأفرقة الاستشارية للقطاعات وإلى فريق العمل التابع للمجلس و</w:t>
      </w:r>
      <w:r w:rsidR="00BF75AA">
        <w:rPr>
          <w:rtl/>
        </w:rPr>
        <w:t>المعني</w:t>
      </w:r>
      <w:r w:rsidRPr="003160A4">
        <w:rPr>
          <w:rtl/>
        </w:rPr>
        <w:t xml:space="preserve"> بالموارد المالية والبشرية (</w:t>
      </w:r>
      <w:r w:rsidRPr="003160A4">
        <w:t>CWG-FHR</w:t>
      </w:r>
      <w:r w:rsidRPr="003160A4">
        <w:rPr>
          <w:rtl/>
        </w:rPr>
        <w:t xml:space="preserve">). ويأخذ التقرير المتعلق بتنفيذ قرار مؤتمر المندوبين المفوَّضين في الاعتبار أيضاً النتائج </w:t>
      </w:r>
      <w:proofErr w:type="spellStart"/>
      <w:r w:rsidRPr="003160A4">
        <w:rPr>
          <w:rtl/>
        </w:rPr>
        <w:t>المتمخضة</w:t>
      </w:r>
      <w:proofErr w:type="spellEnd"/>
      <w:r w:rsidRPr="003160A4">
        <w:rPr>
          <w:rtl/>
        </w:rPr>
        <w:t xml:space="preserve"> عن فريق التنسيق بين القطاعات (</w:t>
      </w:r>
      <w:r w:rsidRPr="003160A4">
        <w:t>ISCG</w:t>
      </w:r>
      <w:r w:rsidRPr="003160A4">
        <w:rPr>
          <w:rtl/>
        </w:rPr>
        <w:t>).</w:t>
      </w:r>
    </w:p>
    <w:p w14:paraId="0805930E" w14:textId="53D56D3F" w:rsidR="00295B8A" w:rsidRPr="003160A4" w:rsidRDefault="00295B8A" w:rsidP="00295B8A">
      <w:pPr>
        <w:rPr>
          <w:rtl/>
        </w:rPr>
      </w:pPr>
      <w:r w:rsidRPr="003160A4">
        <w:rPr>
          <w:rtl/>
        </w:rPr>
        <w:t xml:space="preserve">ووُضِعَ جدولُ تقابُل بين القرارات وجميع الأنشطة المشتركة بين القطاعات الجارية حالياً داخل الأمانة، ويمكن الاطلاع على قائمة المواضيع التي تدعو إلى التنسيق بين القطاعات إلى جانب جهات الاتصال المعيَّنة من القطاعات والأمانة العامة </w:t>
      </w:r>
      <w:hyperlink r:id="rId14" w:history="1">
        <w:r w:rsidRPr="003160A4">
          <w:rPr>
            <w:rStyle w:val="Hyperlink"/>
            <w:rtl/>
          </w:rPr>
          <w:t>هنا</w:t>
        </w:r>
      </w:hyperlink>
      <w:r w:rsidRPr="003160A4">
        <w:rPr>
          <w:rtl/>
        </w:rPr>
        <w:t>.</w:t>
      </w:r>
    </w:p>
    <w:p w14:paraId="58E72C5E" w14:textId="6D8BD0B5" w:rsidR="00295B8A" w:rsidRPr="003160A4" w:rsidRDefault="00295B8A" w:rsidP="00295B8A">
      <w:pPr>
        <w:rPr>
          <w:rtl/>
        </w:rPr>
      </w:pPr>
      <w:r w:rsidRPr="003160A4">
        <w:rPr>
          <w:rtl/>
        </w:rPr>
        <w:t>وسلَّط أحدُ الأعضاء الضوء على أن فريق التنسيق بين القطاعات (</w:t>
      </w:r>
      <w:r w:rsidRPr="003160A4">
        <w:t>ISCG</w:t>
      </w:r>
      <w:r w:rsidRPr="003160A4">
        <w:rPr>
          <w:rtl/>
        </w:rPr>
        <w:t>) ينبغي ألا يكتفي بالتفاعل مع تقابُل الأنشطة، بل</w:t>
      </w:r>
      <w:r w:rsidR="009721A9">
        <w:rPr>
          <w:rFonts w:hint="cs"/>
          <w:rtl/>
        </w:rPr>
        <w:t> </w:t>
      </w:r>
      <w:r w:rsidRPr="003160A4">
        <w:rPr>
          <w:rtl/>
        </w:rPr>
        <w:t>ينبغي أن يتبع نَهْجاً أكثر استباقية وأن يقدّم المشورة، قبل كل مؤتمر رئيسي/جمعية رئيسية، بشأن الحاجة إلى تبسيط القرارات و/أو</w:t>
      </w:r>
      <w:r w:rsidR="009721A9">
        <w:rPr>
          <w:rFonts w:hint="cs"/>
          <w:rtl/>
        </w:rPr>
        <w:t> </w:t>
      </w:r>
      <w:r w:rsidRPr="003160A4">
        <w:rPr>
          <w:rtl/>
        </w:rPr>
        <w:t>توزيع المواضيع على نحو أفضل في إطار القطاعات و/أو في إطار مؤتمر المندوبين المفوَّضين. وقُدِّم مثالٌ ملموس على</w:t>
      </w:r>
      <w:r w:rsidR="009721A9">
        <w:rPr>
          <w:rFonts w:hint="cs"/>
          <w:rtl/>
        </w:rPr>
        <w:t> </w:t>
      </w:r>
      <w:r w:rsidRPr="003160A4">
        <w:rPr>
          <w:rtl/>
        </w:rPr>
        <w:t>موضوع "التحوُّل الرقمي المستدام"، الذي أصبح من الأهداف الاستراتيجية للاتحاد، لبيان ما إذا ينبغي معالجة هذا الموضوع من خلال قرار يوافق عليه كل قطاع من القطاعات أو ينبغي مناقشة الموضوع على مستوى مؤتمر المندوبين المفوَّضين للخروج بقرار واحد صادر عن مؤتمر المندوبين المفوَّضين.</w:t>
      </w:r>
    </w:p>
    <w:p w14:paraId="2952113A" w14:textId="587E7E22" w:rsidR="007D7F4A" w:rsidRPr="003160A4" w:rsidRDefault="00295B8A" w:rsidP="00295B8A">
      <w:r w:rsidRPr="003160A4">
        <w:rPr>
          <w:rtl/>
        </w:rPr>
        <w:t>ويدعو رئيس فريق التنسيق بين القطاعات (</w:t>
      </w:r>
      <w:r w:rsidRPr="003160A4">
        <w:t>ISCG</w:t>
      </w:r>
      <w:r w:rsidRPr="003160A4">
        <w:rPr>
          <w:rtl/>
        </w:rPr>
        <w:t>) أعضاءَ الفريق الاستشاري لتنمية الاتصالات (</w:t>
      </w:r>
      <w:r w:rsidRPr="003160A4">
        <w:t>TDAG</w:t>
      </w:r>
      <w:r w:rsidRPr="003160A4">
        <w:rPr>
          <w:rtl/>
        </w:rPr>
        <w:t>) إلى أن يقدّموا إلى</w:t>
      </w:r>
      <w:r w:rsidR="009721A9">
        <w:rPr>
          <w:rFonts w:hint="cs"/>
          <w:rtl/>
        </w:rPr>
        <w:t> </w:t>
      </w:r>
      <w:r w:rsidRPr="003160A4">
        <w:rPr>
          <w:rtl/>
        </w:rPr>
        <w:t>الاجتماع المقبل مقترحاتٍ بشأن كيفية معالجة هذا الموضوع على نحو أفضل، وكذلك تقديم تعليقات على قائمة المواضيع التي يتعيَّن تنسيقها بطريقة مشتركة بين القطاعات.</w:t>
      </w:r>
    </w:p>
    <w:p w14:paraId="4C6B99F0" w14:textId="0369F7BF" w:rsidR="007D7F4A" w:rsidRPr="003160A4" w:rsidRDefault="007D7F4A" w:rsidP="007D7F4A">
      <w:pPr>
        <w:pStyle w:val="Headingb0"/>
        <w:spacing w:before="240"/>
      </w:pPr>
      <w:r w:rsidRPr="003160A4">
        <w:rPr>
          <w:rtl/>
        </w:rPr>
        <w:t xml:space="preserve">التقارير </w:t>
      </w:r>
      <w:r w:rsidR="00295B8A" w:rsidRPr="003160A4">
        <w:rPr>
          <w:rtl/>
        </w:rPr>
        <w:t xml:space="preserve">المقدَّمة </w:t>
      </w:r>
      <w:r w:rsidRPr="003160A4">
        <w:rPr>
          <w:rtl/>
        </w:rPr>
        <w:t>من الفريق الاستشاري للاتصالات الراديوية (RAG)</w:t>
      </w:r>
    </w:p>
    <w:p w14:paraId="1113A885" w14:textId="4DA234A9" w:rsidR="00295B8A" w:rsidRPr="003160A4" w:rsidRDefault="00295B8A" w:rsidP="00295B8A">
      <w:pPr>
        <w:rPr>
          <w:rtl/>
          <w:lang w:bidi="ar-SY"/>
        </w:rPr>
      </w:pPr>
      <w:r w:rsidRPr="003160A4">
        <w:rPr>
          <w:rtl/>
          <w:lang w:bidi="ar-SY"/>
        </w:rPr>
        <w:t>قدَّم نائب مدير قطاع الاتصالات الراديوية تقريراً شفوياً عن نتائج جمعية الاتصالات الراديوية لعام 2023 (</w:t>
      </w:r>
      <w:r w:rsidRPr="003160A4">
        <w:rPr>
          <w:lang w:bidi="ar-SY"/>
        </w:rPr>
        <w:t>RA-23</w:t>
      </w:r>
      <w:r w:rsidRPr="003160A4">
        <w:rPr>
          <w:rtl/>
          <w:lang w:bidi="ar-SY"/>
        </w:rPr>
        <w:t>) والمؤتمر العالمي للاتصالات الراديوية لعام 2023 (</w:t>
      </w:r>
      <w:r w:rsidRPr="003160A4">
        <w:rPr>
          <w:lang w:bidi="ar-SY"/>
        </w:rPr>
        <w:t>WRC-23</w:t>
      </w:r>
      <w:r w:rsidRPr="003160A4">
        <w:rPr>
          <w:rtl/>
          <w:lang w:bidi="ar-SY"/>
        </w:rPr>
        <w:t xml:space="preserve">) اللذين عُقدا في دبي في الفترة من 13 نوفمبر إلى 15 ديسمبر </w:t>
      </w:r>
      <w:r w:rsidR="000F2B81" w:rsidRPr="003160A4">
        <w:rPr>
          <w:rtl/>
          <w:lang w:bidi="ar-SY"/>
        </w:rPr>
        <w:t>2024</w:t>
      </w:r>
      <w:r w:rsidRPr="003160A4">
        <w:rPr>
          <w:rtl/>
          <w:lang w:bidi="ar-SY"/>
        </w:rPr>
        <w:t>.</w:t>
      </w:r>
    </w:p>
    <w:p w14:paraId="3A34B9FA" w14:textId="3A430F20" w:rsidR="00295B8A" w:rsidRPr="003160A4" w:rsidRDefault="00295B8A" w:rsidP="00295B8A">
      <w:pPr>
        <w:rPr>
          <w:rtl/>
          <w:lang w:bidi="ar-SY"/>
        </w:rPr>
      </w:pPr>
      <w:r w:rsidRPr="003160A4">
        <w:rPr>
          <w:rtl/>
          <w:lang w:bidi="ar-SY"/>
        </w:rPr>
        <w:lastRenderedPageBreak/>
        <w:t xml:space="preserve">جديرٌ بالذكر أن الاجتماعات شارك بها </w:t>
      </w:r>
      <w:r w:rsidR="000F2B81" w:rsidRPr="003160A4">
        <w:rPr>
          <w:lang w:bidi="ar-SY"/>
        </w:rPr>
        <w:t>3 982</w:t>
      </w:r>
      <w:r w:rsidRPr="003160A4">
        <w:rPr>
          <w:rtl/>
          <w:lang w:bidi="ar-SY"/>
        </w:rPr>
        <w:t xml:space="preserve"> مندوباً، بزيادة قدرها 16% مقارنةً بعام 2019؛ من بينهم 860 مندوبةً، بزيادة قدرها 83% مقارنةً بعام 2019.</w:t>
      </w:r>
    </w:p>
    <w:p w14:paraId="13CF867D" w14:textId="01C09108" w:rsidR="00295B8A" w:rsidRPr="003160A4" w:rsidRDefault="00295B8A" w:rsidP="00295B8A">
      <w:pPr>
        <w:rPr>
          <w:rtl/>
          <w:lang w:bidi="ar-SY"/>
        </w:rPr>
      </w:pPr>
      <w:r w:rsidRPr="003160A4">
        <w:rPr>
          <w:rtl/>
          <w:lang w:bidi="ar-SY"/>
        </w:rPr>
        <w:t>وفيما يتعلق بالمحتوى، وبشأن توصيلية النطاق العريض، خصَّص المؤتمر العالمي للاتصالات الراديوية لعام 2023 (</w:t>
      </w:r>
      <w:r w:rsidRPr="003160A4">
        <w:rPr>
          <w:lang w:bidi="ar-SY"/>
        </w:rPr>
        <w:t>WRC</w:t>
      </w:r>
      <w:r w:rsidR="000F2B81" w:rsidRPr="003160A4">
        <w:rPr>
          <w:lang w:bidi="ar-SY"/>
        </w:rPr>
        <w:noBreakHyphen/>
      </w:r>
      <w:r w:rsidRPr="003160A4">
        <w:rPr>
          <w:lang w:bidi="ar-SY"/>
        </w:rPr>
        <w:t>23</w:t>
      </w:r>
      <w:r w:rsidRPr="003160A4">
        <w:rPr>
          <w:rtl/>
          <w:lang w:bidi="ar-SY"/>
        </w:rPr>
        <w:t>) نطاقاتِ تردُّد إضافية للخدمة المتنقلة على أساس أولي. كما حدَّد بعض النطاقات للاتصالات المتنقلة الدولية (</w:t>
      </w:r>
      <w:r w:rsidRPr="003160A4">
        <w:rPr>
          <w:lang w:bidi="ar-SY"/>
        </w:rPr>
        <w:t>IMT</w:t>
      </w:r>
      <w:r w:rsidRPr="003160A4">
        <w:rPr>
          <w:rtl/>
          <w:lang w:bidi="ar-SY"/>
        </w:rPr>
        <w:t>) التي لا</w:t>
      </w:r>
      <w:r w:rsidR="008F421B">
        <w:rPr>
          <w:rFonts w:hint="cs"/>
          <w:rtl/>
          <w:lang w:bidi="ar-SY"/>
        </w:rPr>
        <w:t> </w:t>
      </w:r>
      <w:r w:rsidRPr="003160A4">
        <w:rPr>
          <w:rtl/>
          <w:lang w:bidi="ar-SY"/>
        </w:rPr>
        <w:t>تسهم في الاتصالات المتنقلة الدولية-2000 (</w:t>
      </w:r>
      <w:r w:rsidRPr="003160A4">
        <w:rPr>
          <w:lang w:bidi="ar-SY"/>
        </w:rPr>
        <w:t>IMT-2000</w:t>
      </w:r>
      <w:r w:rsidRPr="003160A4">
        <w:rPr>
          <w:rtl/>
          <w:lang w:bidi="ar-SY"/>
        </w:rPr>
        <w:t>) فحسب، ولكن أيضاً في التطوير اللاحق لشبكات الجيل السادس. وحدّد</w:t>
      </w:r>
      <w:r w:rsidR="008F421B">
        <w:rPr>
          <w:rFonts w:hint="cs"/>
          <w:rtl/>
          <w:lang w:bidi="ar-SY"/>
        </w:rPr>
        <w:t> </w:t>
      </w:r>
      <w:r w:rsidRPr="003160A4">
        <w:rPr>
          <w:rtl/>
          <w:lang w:bidi="ar-SY"/>
        </w:rPr>
        <w:t xml:space="preserve">بعض الترددات التي يمكن استخدامها في مدى 6 </w:t>
      </w:r>
      <w:r w:rsidRPr="003160A4">
        <w:rPr>
          <w:lang w:bidi="ar-SY"/>
        </w:rPr>
        <w:t>GHz</w:t>
      </w:r>
      <w:r w:rsidRPr="003160A4">
        <w:rPr>
          <w:rtl/>
          <w:lang w:bidi="ar-SY"/>
        </w:rPr>
        <w:t>، للاتصالات المتنقلة الدولية (</w:t>
      </w:r>
      <w:r w:rsidRPr="003160A4">
        <w:rPr>
          <w:lang w:bidi="ar-SY"/>
        </w:rPr>
        <w:t>IMT</w:t>
      </w:r>
      <w:r w:rsidRPr="003160A4">
        <w:rPr>
          <w:rtl/>
          <w:lang w:bidi="ar-SY"/>
        </w:rPr>
        <w:t>) وكذلك الأمر لتنفيذ أنظمة النفاذ اللاسلكي. ووُسِّع أيضاً نطاق الاتصالات العريضة النطاق ليشمل البحر والجو، ووُضعت أحكام تنظيمية وآليات لإدارة التداخل بما يسمح للمحطات الأرضية المتحركة على متن الطائرات والسفن بالاتصال مع الأنظمة الفضائية المستقرة بالنسبة إلى الأرض وغير</w:t>
      </w:r>
      <w:r w:rsidR="008F421B">
        <w:rPr>
          <w:rFonts w:hint="cs"/>
          <w:rtl/>
          <w:lang w:bidi="ar-SY"/>
        </w:rPr>
        <w:t> </w:t>
      </w:r>
      <w:r w:rsidRPr="003160A4">
        <w:rPr>
          <w:rtl/>
          <w:lang w:bidi="ar-SY"/>
        </w:rPr>
        <w:t>المستقرة بالنسبة إلى الأرض على حدّ سواء.</w:t>
      </w:r>
    </w:p>
    <w:p w14:paraId="1B6714A5" w14:textId="77777777" w:rsidR="00295B8A" w:rsidRPr="003160A4" w:rsidRDefault="00295B8A" w:rsidP="00295B8A">
      <w:pPr>
        <w:rPr>
          <w:rtl/>
          <w:lang w:bidi="ar-SY"/>
        </w:rPr>
      </w:pPr>
      <w:r w:rsidRPr="003160A4">
        <w:rPr>
          <w:rtl/>
          <w:lang w:bidi="ar-SY"/>
        </w:rPr>
        <w:t xml:space="preserve">وتمخّض المؤتمر أيضاً عن بعض النتائج على صعيد خدمات الطيران، فقد خصَّص المؤتمر طيفَ </w:t>
      </w:r>
      <w:r w:rsidRPr="003160A4">
        <w:rPr>
          <w:lang w:bidi="ar-SY"/>
        </w:rPr>
        <w:t>VHF</w:t>
      </w:r>
      <w:r w:rsidRPr="003160A4">
        <w:rPr>
          <w:rtl/>
          <w:lang w:bidi="ar-SY"/>
        </w:rPr>
        <w:t xml:space="preserve"> إضافياً للخدمة المتنقلة الساتلية للطيران (عبر المسار) بهدف ترحيل الاتصالات الأرضية إلى الطيارين عبر الأنظمة الساتلية في المدارات غير المستقرة بالنسبة إلى الأرض. وهذا يكمل البنية التحتية للاتصالات الأرضية عندما تعمل الطائرات في المناطق المحيطية والنائية ويسمح للطائرات بالتواصل مع مراقبي الحركة الجوية في كلّ مكان.</w:t>
      </w:r>
    </w:p>
    <w:p w14:paraId="5C8FD05C" w14:textId="4C5FA1F5" w:rsidR="00295B8A" w:rsidRPr="003160A4" w:rsidRDefault="00295B8A" w:rsidP="00295B8A">
      <w:pPr>
        <w:rPr>
          <w:rtl/>
          <w:lang w:bidi="ar-SY"/>
        </w:rPr>
      </w:pPr>
      <w:r w:rsidRPr="003160A4">
        <w:rPr>
          <w:rtl/>
          <w:lang w:bidi="ar-SY"/>
        </w:rPr>
        <w:t>فيما يتعلق ببنود جدول الأعمال العلمية، ولا سيما نقل البيانات العلمية، أنشأ المؤتمر العالمي للاتصالات الراديوية لعام 2023 (</w:t>
      </w:r>
      <w:r w:rsidRPr="003160A4">
        <w:rPr>
          <w:lang w:bidi="ar-SY"/>
        </w:rPr>
        <w:t>WRC-23</w:t>
      </w:r>
      <w:r w:rsidRPr="003160A4">
        <w:rPr>
          <w:rtl/>
          <w:lang w:bidi="ar-SY"/>
        </w:rPr>
        <w:t>) توزيعاتٍ إضافيةً لخدمة استكشاف الأرض الساتلية بما يوفّر معلومات فريدة عن الخصائص الفيزيائية للأرض والغلاف الجوي، وكذلك وصلات هابطة للاتصالات العريضة النطاق من أجل إرسال البيانات العلمية في المستقبل بسرعات إرسال عالية لدعم تحقيق أهداف تغيُّر المناخ من حيث التمكُّن من تحسين رصد الأرض وتأثير ذلك على تغيُّر المناخ. وفيما</w:t>
      </w:r>
      <w:r w:rsidR="008F421B">
        <w:rPr>
          <w:rFonts w:hint="cs"/>
          <w:rtl/>
          <w:lang w:bidi="ar-SY"/>
        </w:rPr>
        <w:t> </w:t>
      </w:r>
      <w:r w:rsidRPr="003160A4">
        <w:rPr>
          <w:rtl/>
          <w:lang w:bidi="ar-SY"/>
        </w:rPr>
        <w:t>يتعلق بالخدمات الفضائية، اعتمد المؤتمر أيضاً إجراءات تنظيمية لتوفير وصلات بين السواتل بما يسمح بإتاحة المزيد من</w:t>
      </w:r>
      <w:r w:rsidR="00A61A52">
        <w:rPr>
          <w:rFonts w:hint="cs"/>
          <w:rtl/>
          <w:lang w:bidi="ar-SY"/>
        </w:rPr>
        <w:t> </w:t>
      </w:r>
      <w:r w:rsidRPr="003160A4">
        <w:rPr>
          <w:rtl/>
          <w:lang w:bidi="ar-SY"/>
        </w:rPr>
        <w:t xml:space="preserve">البيانات في الوقت الفعلي تقريباً، ما يعزز </w:t>
      </w:r>
      <w:proofErr w:type="spellStart"/>
      <w:r w:rsidRPr="003160A4">
        <w:rPr>
          <w:rtl/>
          <w:lang w:bidi="ar-SY"/>
        </w:rPr>
        <w:t>توافرية</w:t>
      </w:r>
      <w:proofErr w:type="spellEnd"/>
      <w:r w:rsidRPr="003160A4">
        <w:rPr>
          <w:rtl/>
          <w:lang w:bidi="ar-SY"/>
        </w:rPr>
        <w:t xml:space="preserve"> بيانات الأجهزة وقيمتها للتطبيقات ذات الكمون المنخفض من قبيل التنبؤ بأحوال الطقس والحد من مخاطر الكوارث.</w:t>
      </w:r>
    </w:p>
    <w:p w14:paraId="530E4BB1" w14:textId="05B4FDD6" w:rsidR="003160A4" w:rsidRDefault="00295B8A" w:rsidP="00295B8A">
      <w:pPr>
        <w:rPr>
          <w:rtl/>
          <w:lang w:bidi="ar-SY"/>
        </w:rPr>
      </w:pPr>
      <w:r w:rsidRPr="003160A4">
        <w:rPr>
          <w:rtl/>
          <w:lang w:bidi="ar-SY"/>
        </w:rPr>
        <w:t>كذلك اعتمدَ المؤتمر العالمي للاتصالات الراديوية لعام 2023 (</w:t>
      </w:r>
      <w:r w:rsidRPr="003160A4">
        <w:rPr>
          <w:lang w:bidi="ar-SY"/>
        </w:rPr>
        <w:t>WRC-23</w:t>
      </w:r>
      <w:r w:rsidRPr="003160A4">
        <w:rPr>
          <w:rtl/>
          <w:lang w:bidi="ar-SY"/>
        </w:rPr>
        <w:t>) عدداً من بنود جدول الأعمال للمؤتمر القادم، يتعلق أحدها بالاتصالات القمرية مع التركيز على خدمة البحوث الفضائية المستخدَمة للأغراض العلمية والتكنولوجية، والنظر في كيفية استخدام أنظمة الاتصالات على سطح القمر في المستقبل القريب، وكذلك على مقربة من القمر، أي في المدارات القمرية. وربما يكون ذلك أحد أكثر مجالات العمل إثارةً التي ستتواصل الاستعدادات لها حتى موعد المؤتمر العالمي للاتصالات الراديوية لعام</w:t>
      </w:r>
      <w:r w:rsidR="008F421B">
        <w:rPr>
          <w:rFonts w:hint="cs"/>
          <w:rtl/>
          <w:lang w:bidi="ar-SY"/>
        </w:rPr>
        <w:t> </w:t>
      </w:r>
      <w:r w:rsidRPr="003160A4">
        <w:rPr>
          <w:rtl/>
          <w:lang w:bidi="ar-SY"/>
        </w:rPr>
        <w:t>2027 (</w:t>
      </w:r>
      <w:r w:rsidRPr="003160A4">
        <w:rPr>
          <w:lang w:bidi="ar-SY"/>
        </w:rPr>
        <w:t>WRC-27</w:t>
      </w:r>
      <w:r w:rsidRPr="003160A4">
        <w:rPr>
          <w:rtl/>
          <w:lang w:bidi="ar-SY"/>
        </w:rPr>
        <w:t>).</w:t>
      </w:r>
    </w:p>
    <w:p w14:paraId="7610ADBA" w14:textId="568BFA4D" w:rsidR="00295B8A" w:rsidRPr="003160A4" w:rsidRDefault="00295B8A" w:rsidP="00295B8A">
      <w:pPr>
        <w:rPr>
          <w:rtl/>
          <w:lang w:bidi="ar-SY"/>
        </w:rPr>
      </w:pPr>
      <w:r w:rsidRPr="003160A4">
        <w:rPr>
          <w:rtl/>
          <w:lang w:bidi="ar-SY"/>
        </w:rPr>
        <w:t xml:space="preserve">هناك أيضاً بند يتعلق باستدامة الفضاء، واتخاذ الإجراءات المناسبة للخدمة الثابتة الساتلية، والشبكات والأنظمة الساتلية ومختلف أجزاء نطاقات التردد فيما يتعلق بالنفاذ المنصِف إلى هذه النطاقات من قِبل جميع البلدان. ويتعلق بند آخر من بنود جدول الأعمال بالتوصيلية المباشرة بين المحطات الفضائية </w:t>
      </w:r>
      <w:proofErr w:type="spellStart"/>
      <w:r w:rsidRPr="003160A4">
        <w:rPr>
          <w:rtl/>
          <w:lang w:bidi="ar-SY"/>
        </w:rPr>
        <w:t>ومطاريف</w:t>
      </w:r>
      <w:proofErr w:type="spellEnd"/>
      <w:r w:rsidRPr="003160A4">
        <w:rPr>
          <w:rtl/>
          <w:lang w:bidi="ar-SY"/>
        </w:rPr>
        <w:t xml:space="preserve"> مستخدمي الاتصالات المتنقلة الدولية (</w:t>
      </w:r>
      <w:r w:rsidRPr="003160A4">
        <w:rPr>
          <w:lang w:bidi="ar-SY"/>
        </w:rPr>
        <w:t>MIT</w:t>
      </w:r>
      <w:r w:rsidRPr="003160A4">
        <w:rPr>
          <w:rtl/>
          <w:lang w:bidi="ar-SY"/>
        </w:rPr>
        <w:t>)، المعروفة بالهواتف الذكية، لاستكمال تغطية شبكة الاتصالات المتنقلة الدولية الأرضية.</w:t>
      </w:r>
    </w:p>
    <w:p w14:paraId="08382544" w14:textId="77777777" w:rsidR="003160A4" w:rsidRDefault="00295B8A" w:rsidP="00295B8A">
      <w:pPr>
        <w:rPr>
          <w:rtl/>
          <w:lang w:bidi="ar-SY"/>
        </w:rPr>
      </w:pPr>
      <w:r w:rsidRPr="003160A4">
        <w:rPr>
          <w:rtl/>
          <w:lang w:bidi="ar-SY"/>
        </w:rPr>
        <w:t>وأخيراً وليس آخراً، اتخذت جمعية الاتصالات الراديوية لعام 2023 (</w:t>
      </w:r>
      <w:r w:rsidRPr="003160A4">
        <w:rPr>
          <w:lang w:bidi="ar-SY"/>
        </w:rPr>
        <w:t>RA-23</w:t>
      </w:r>
      <w:r w:rsidRPr="003160A4">
        <w:rPr>
          <w:rtl/>
          <w:lang w:bidi="ar-SY"/>
        </w:rPr>
        <w:t>) جميع الإجراءات اللازمة فيما يتعلق بمراجعة قرارات قطاع الاتصالات الراديوية في الاتحاد.</w:t>
      </w:r>
    </w:p>
    <w:p w14:paraId="1E61A787" w14:textId="667A9878" w:rsidR="00295B8A" w:rsidRPr="003160A4" w:rsidRDefault="00295B8A" w:rsidP="00295B8A">
      <w:pPr>
        <w:rPr>
          <w:rtl/>
          <w:lang w:bidi="ar-SY"/>
        </w:rPr>
      </w:pPr>
      <w:r w:rsidRPr="003160A4">
        <w:rPr>
          <w:rtl/>
          <w:lang w:bidi="ar-SY"/>
        </w:rPr>
        <w:t>ورحّب أعضاء فريق التنسيق بين القطاعات (</w:t>
      </w:r>
      <w:r w:rsidRPr="003160A4">
        <w:rPr>
          <w:lang w:bidi="ar-SY"/>
        </w:rPr>
        <w:t>ISCG</w:t>
      </w:r>
      <w:r w:rsidRPr="003160A4">
        <w:rPr>
          <w:rtl/>
          <w:lang w:bidi="ar-SY"/>
        </w:rPr>
        <w:t xml:space="preserve">) بالنتائج الناجحة جداً وطلبوا أن يقدّم إلى الاجتماع المقبل للفريق مزيد من المعلومات المتعلقة بالقرار الجديد </w:t>
      </w:r>
      <w:r w:rsidRPr="003160A4">
        <w:rPr>
          <w:lang w:bidi="ar-SY"/>
        </w:rPr>
        <w:t>ITU-R 75</w:t>
      </w:r>
      <w:r w:rsidRPr="003160A4">
        <w:rPr>
          <w:rtl/>
          <w:lang w:bidi="ar-SY"/>
        </w:rPr>
        <w:t xml:space="preserve"> بشأن "تعزيز التنسيق والتعاون بين قطاعات الاتحاد الثلاثة بشأن المسائل ذات الاهتمام المشترك".</w:t>
      </w:r>
    </w:p>
    <w:p w14:paraId="55C38A0B" w14:textId="7FD37621" w:rsidR="007D7F4A" w:rsidRPr="003160A4" w:rsidRDefault="00295B8A" w:rsidP="00295B8A">
      <w:r w:rsidRPr="003160A4">
        <w:rPr>
          <w:rtl/>
          <w:lang w:bidi="ar-SY"/>
        </w:rPr>
        <w:t xml:space="preserve">والنص النهائي لهذا القرار متاح الآن في </w:t>
      </w:r>
      <w:hyperlink r:id="rId15" w:history="1">
        <w:r w:rsidRPr="003160A4">
          <w:rPr>
            <w:rStyle w:val="Hyperlink"/>
            <w:rtl/>
            <w:lang w:bidi="ar-SY"/>
          </w:rPr>
          <w:t>الموقع الإلكتروني لفريق التنسيق بين القطاعات</w:t>
        </w:r>
      </w:hyperlink>
      <w:r w:rsidRPr="003160A4">
        <w:rPr>
          <w:rtl/>
          <w:lang w:bidi="ar-SY"/>
        </w:rPr>
        <w:t xml:space="preserve"> (</w:t>
      </w:r>
      <w:r w:rsidRPr="003160A4">
        <w:rPr>
          <w:lang w:bidi="ar-SY"/>
        </w:rPr>
        <w:t>ISCG</w:t>
      </w:r>
      <w:r w:rsidRPr="003160A4">
        <w:rPr>
          <w:rtl/>
          <w:lang w:bidi="ar-SY"/>
        </w:rPr>
        <w:t>). وقد ألغت جمعية الاتصالات الراديوية لعام 2023 (</w:t>
      </w:r>
      <w:r w:rsidRPr="003160A4">
        <w:rPr>
          <w:lang w:bidi="ar-SY"/>
        </w:rPr>
        <w:t>RA-23</w:t>
      </w:r>
      <w:r w:rsidRPr="003160A4">
        <w:rPr>
          <w:rtl/>
          <w:lang w:bidi="ar-SY"/>
        </w:rPr>
        <w:t xml:space="preserve">) القرارين </w:t>
      </w:r>
      <w:r w:rsidRPr="003160A4">
        <w:rPr>
          <w:lang w:bidi="ar-SY"/>
        </w:rPr>
        <w:t>ITU-R3-6</w:t>
      </w:r>
      <w:r w:rsidRPr="003160A4">
        <w:rPr>
          <w:rtl/>
          <w:lang w:bidi="ar-SY"/>
        </w:rPr>
        <w:t xml:space="preserve"> (2019) و</w:t>
      </w:r>
      <w:r w:rsidRPr="003160A4">
        <w:rPr>
          <w:lang w:bidi="ar-SY"/>
        </w:rPr>
        <w:t>ITU-R4-7</w:t>
      </w:r>
      <w:r w:rsidRPr="003160A4">
        <w:rPr>
          <w:rtl/>
          <w:lang w:bidi="ar-SY"/>
        </w:rPr>
        <w:t xml:space="preserve"> (2019).</w:t>
      </w:r>
    </w:p>
    <w:p w14:paraId="4993AF52" w14:textId="1BBAAECD" w:rsidR="007D7F4A" w:rsidRPr="003160A4" w:rsidRDefault="007D7F4A" w:rsidP="007D7F4A">
      <w:pPr>
        <w:pStyle w:val="Headingb0"/>
        <w:spacing w:before="240"/>
      </w:pPr>
      <w:r w:rsidRPr="003160A4">
        <w:rPr>
          <w:rtl/>
        </w:rPr>
        <w:t xml:space="preserve">التقرير </w:t>
      </w:r>
      <w:r w:rsidR="00295B8A" w:rsidRPr="003160A4">
        <w:rPr>
          <w:rtl/>
        </w:rPr>
        <w:t xml:space="preserve">المقدَّم </w:t>
      </w:r>
      <w:r w:rsidRPr="003160A4">
        <w:rPr>
          <w:rtl/>
        </w:rPr>
        <w:t>من الفريق الاستشاري لتقييس الاتصالات (TSAG)</w:t>
      </w:r>
    </w:p>
    <w:p w14:paraId="1F3C052E" w14:textId="72EA068E" w:rsidR="00295B8A" w:rsidRPr="003160A4" w:rsidRDefault="00295B8A" w:rsidP="00A61A52">
      <w:pPr>
        <w:rPr>
          <w:rtl/>
        </w:rPr>
      </w:pPr>
      <w:r w:rsidRPr="003160A4">
        <w:rPr>
          <w:rtl/>
        </w:rPr>
        <w:t>قدّم نائب مدير قطاع تقييس الاتصالات تقريراً شفوياً يوضح أن اجتماع الفريق الاستشاري لتقييس الاتصالات سيعقد في نفس الوقت وأن البند الرئيسي من جدول أعماله هو الأعمال التحضيرية للجمعية العالمية لتقييس الاتصالات لعام 2024 (</w:t>
      </w:r>
      <w:r w:rsidRPr="003160A4">
        <w:t>WTSA</w:t>
      </w:r>
      <w:r w:rsidR="00A61A52">
        <w:noBreakHyphen/>
      </w:r>
      <w:r w:rsidRPr="003160A4">
        <w:t>24</w:t>
      </w:r>
      <w:r w:rsidRPr="003160A4">
        <w:rPr>
          <w:rtl/>
        </w:rPr>
        <w:t>) التي ستعقد في أكتوبر في الهند. وستعقد هناك أيضاً الندوة العالمية للمعايير. وتجري مناقشات حول إعادة هيكلة لجان دراسات قطاع تقييس الاتصالات، ويبدو أن هناك توافقاً نسبياً في الآراء بشأن دمج لجنتي الدراسات 9 و16.</w:t>
      </w:r>
    </w:p>
    <w:p w14:paraId="5C9F77F2" w14:textId="77777777" w:rsidR="00295B8A" w:rsidRPr="003160A4" w:rsidRDefault="00295B8A" w:rsidP="00295B8A">
      <w:pPr>
        <w:rPr>
          <w:rtl/>
        </w:rPr>
      </w:pPr>
      <w:r w:rsidRPr="003160A4">
        <w:rPr>
          <w:rtl/>
        </w:rPr>
        <w:t>والاجتماعات التنسيقية الأقاليمية بشأن الأعمال التحضيرية للجمعية العالمية لتقييس الاتصالات لعام 2024 (</w:t>
      </w:r>
      <w:r w:rsidRPr="003160A4">
        <w:t>WTSA-24</w:t>
      </w:r>
      <w:r w:rsidRPr="003160A4">
        <w:rPr>
          <w:rtl/>
        </w:rPr>
        <w:t>) جارية بالفعل.</w:t>
      </w:r>
    </w:p>
    <w:p w14:paraId="6CC96EA1" w14:textId="0877EAFF" w:rsidR="00295B8A" w:rsidRPr="003160A4" w:rsidRDefault="00295B8A" w:rsidP="00295B8A">
      <w:pPr>
        <w:rPr>
          <w:rtl/>
        </w:rPr>
      </w:pPr>
      <w:r w:rsidRPr="003160A4">
        <w:rPr>
          <w:rtl/>
        </w:rPr>
        <w:lastRenderedPageBreak/>
        <w:t>وأحيط علماً بأن الفريق الاستشاري لتقييس الاتصالات أطلق مؤخراً شبكة المرأة لقطاع تقييس الاتصالات بهدف مواءمتها مع</w:t>
      </w:r>
      <w:r w:rsidR="00A61A52">
        <w:rPr>
          <w:rFonts w:hint="eastAsia"/>
          <w:rtl/>
          <w:lang w:bidi="ar-EG"/>
        </w:rPr>
        <w:t> </w:t>
      </w:r>
      <w:r w:rsidRPr="003160A4">
        <w:rPr>
          <w:rtl/>
        </w:rPr>
        <w:t>شبكتي القطاعين الآخرين فيما يتعلق بتشكيلها وسير أعمالها، وتم تحديث الاختصاصات ذات الصلة.</w:t>
      </w:r>
    </w:p>
    <w:p w14:paraId="06A61007" w14:textId="5000FD06" w:rsidR="00295B8A" w:rsidRPr="003160A4" w:rsidRDefault="00295B8A" w:rsidP="00295B8A">
      <w:pPr>
        <w:rPr>
          <w:rtl/>
        </w:rPr>
      </w:pPr>
      <w:r w:rsidRPr="003160A4">
        <w:rPr>
          <w:rtl/>
        </w:rPr>
        <w:t xml:space="preserve">وفيما يتعلق بسدّ الفجوة التقييسية، أعلن مدير مكتب تقييس الاتصالات، السيد </w:t>
      </w:r>
      <w:proofErr w:type="spellStart"/>
      <w:r w:rsidRPr="003160A4">
        <w:rPr>
          <w:rtl/>
        </w:rPr>
        <w:t>سيزو</w:t>
      </w:r>
      <w:proofErr w:type="spellEnd"/>
      <w:r w:rsidRPr="003160A4">
        <w:rPr>
          <w:rtl/>
        </w:rPr>
        <w:t xml:space="preserve"> </w:t>
      </w:r>
      <w:proofErr w:type="spellStart"/>
      <w:r w:rsidRPr="003160A4">
        <w:rPr>
          <w:rtl/>
        </w:rPr>
        <w:t>أونوي</w:t>
      </w:r>
      <w:proofErr w:type="spellEnd"/>
      <w:r w:rsidRPr="003160A4">
        <w:rPr>
          <w:rtl/>
        </w:rPr>
        <w:t>، عن برنامج جديد، بدعم من</w:t>
      </w:r>
      <w:r w:rsidR="00A61A52">
        <w:rPr>
          <w:rFonts w:hint="cs"/>
          <w:rtl/>
        </w:rPr>
        <w:t> </w:t>
      </w:r>
      <w:r w:rsidRPr="003160A4">
        <w:rPr>
          <w:rtl/>
        </w:rPr>
        <w:t>اليابان، لتوسيع وتعزيز البرنامج للتركيز على وضع المعايير وعلى تنفيذها أيضاً. وهناك بالفعل تعاون مع مكتب تنمية الاتصالات بشأن تنفيذ المعايير، ويتواصل مكتب تقييس الاتصالات مع مكتب الاتصالات الراديوية لتنسيق طريقة توزيع المِنح.</w:t>
      </w:r>
    </w:p>
    <w:p w14:paraId="2BC181A2" w14:textId="0CA7A084" w:rsidR="00295B8A" w:rsidRPr="003160A4" w:rsidRDefault="00295B8A" w:rsidP="00295B8A">
      <w:pPr>
        <w:rPr>
          <w:rtl/>
        </w:rPr>
      </w:pPr>
      <w:r w:rsidRPr="003160A4">
        <w:rPr>
          <w:rtl/>
        </w:rPr>
        <w:t>وأفيدَ أيضاً بأن الفريق الاستشاري لتقييس الاتصالات (</w:t>
      </w:r>
      <w:r w:rsidRPr="003160A4">
        <w:t>TSAG</w:t>
      </w:r>
      <w:r w:rsidRPr="003160A4">
        <w:rPr>
          <w:rtl/>
        </w:rPr>
        <w:t xml:space="preserve">) قد وافق أيضاً على إعادة تنشيط فريق المقرِّر </w:t>
      </w:r>
      <w:r w:rsidR="00BF75AA">
        <w:rPr>
          <w:rtl/>
        </w:rPr>
        <w:t>المعني</w:t>
      </w:r>
      <w:r w:rsidRPr="003160A4">
        <w:rPr>
          <w:rtl/>
        </w:rPr>
        <w:t xml:space="preserve"> بالخطة الاستراتيجية والخطة التشغيلية وأن هذا الفريق سيجري تحليلاً لمتطلبات قطاع تقييس الاتصالات المتعلقة بالخطة الاستراتيجية للاتحاد، بمجرد أن يوافق المجلس على إعادة تنشيط فريق العمل التابع للمجلس والمعني بالخطتين الاستراتيجية والمالية (</w:t>
      </w:r>
      <w:r w:rsidRPr="003160A4">
        <w:t>CWG-SFP</w:t>
      </w:r>
      <w:r w:rsidRPr="003160A4">
        <w:rPr>
          <w:rtl/>
        </w:rPr>
        <w:t>). وقد يكون فريق التنسيق بين القطاعات الفريق المناسب لمحاولة التوصل إلى اتفاق بشأن نسق ومضمون ما يُتوقع من القطاعات فيما يتعلق بالخطة الاستراتيجية المقبلة.</w:t>
      </w:r>
    </w:p>
    <w:p w14:paraId="580A9542" w14:textId="77777777" w:rsidR="003160A4" w:rsidRDefault="00295B8A" w:rsidP="00295B8A">
      <w:pPr>
        <w:rPr>
          <w:rtl/>
        </w:rPr>
      </w:pPr>
      <w:r w:rsidRPr="003160A4">
        <w:rPr>
          <w:rtl/>
        </w:rPr>
        <w:t xml:space="preserve">وقد أُرسِل بيانُ اتصال بشأن استعمال لغة شاملة في نصوص قطاع تقييس الاتصالات بعدَ الاجتماع الأخير للفريق الاستشاري لتقييس الاتصالات </w:t>
      </w:r>
      <w:r w:rsidRPr="003160A4">
        <w:t>(TSAG)</w:t>
      </w:r>
      <w:r w:rsidR="000F2B81" w:rsidRPr="003160A4">
        <w:rPr>
          <w:rtl/>
        </w:rPr>
        <w:t xml:space="preserve"> </w:t>
      </w:r>
      <w:r w:rsidRPr="003160A4">
        <w:t>(</w:t>
      </w:r>
      <w:hyperlink r:id="rId16" w:history="1">
        <w:r w:rsidR="000F2B81" w:rsidRPr="003160A4">
          <w:rPr>
            <w:rStyle w:val="Hyperlink"/>
            <w:szCs w:val="24"/>
          </w:rPr>
          <w:t>TSAG-LS0020</w:t>
        </w:r>
      </w:hyperlink>
      <w:r w:rsidRPr="003160A4">
        <w:t>)</w:t>
      </w:r>
      <w:r w:rsidRPr="003160A4">
        <w:rPr>
          <w:rtl/>
        </w:rPr>
        <w:t xml:space="preserve"> لإحاطة أعضاء فريق التنسيق بين القطاعات (</w:t>
      </w:r>
      <w:r w:rsidRPr="003160A4">
        <w:t>ISCG</w:t>
      </w:r>
      <w:r w:rsidRPr="003160A4">
        <w:rPr>
          <w:rtl/>
        </w:rPr>
        <w:t>) به، وهو موضوع سيُناقش في إطار الفريق.</w:t>
      </w:r>
    </w:p>
    <w:p w14:paraId="6A08D3DC" w14:textId="6CFA43DE" w:rsidR="007D7F4A" w:rsidRPr="003160A4" w:rsidRDefault="00295B8A" w:rsidP="00295B8A">
      <w:r w:rsidRPr="003160A4">
        <w:rPr>
          <w:rtl/>
        </w:rPr>
        <w:t>وأشار رئيس فريق التنسيق بين القطاعات (</w:t>
      </w:r>
      <w:r w:rsidRPr="003160A4">
        <w:t>ISCG</w:t>
      </w:r>
      <w:r w:rsidRPr="003160A4">
        <w:rPr>
          <w:rtl/>
        </w:rPr>
        <w:t>) أيضاً إلى وجود فريق تابع لقطاع تقييس الاتصالات معني بموضوع "التحول الرقمي المستدام" وإلى الحاجة إلى إبقاء الفريقين الاستشاريين للقطاعين الآخرين على علم بأنشطته وإشراكهما فيها.</w:t>
      </w:r>
    </w:p>
    <w:p w14:paraId="6FB4838C" w14:textId="5FC48228" w:rsidR="007D7F4A" w:rsidRPr="003160A4" w:rsidRDefault="007D7F4A" w:rsidP="007D7F4A">
      <w:pPr>
        <w:pStyle w:val="Headingb0"/>
        <w:spacing w:before="240"/>
      </w:pPr>
      <w:r w:rsidRPr="003160A4">
        <w:rPr>
          <w:rtl/>
        </w:rPr>
        <w:t xml:space="preserve">التقرير </w:t>
      </w:r>
      <w:r w:rsidR="00295B8A" w:rsidRPr="003160A4">
        <w:rPr>
          <w:rtl/>
        </w:rPr>
        <w:t xml:space="preserve">المقدَّم </w:t>
      </w:r>
      <w:r w:rsidRPr="003160A4">
        <w:rPr>
          <w:rtl/>
        </w:rPr>
        <w:t>من الفريق الاستشاري لتنمية الاتصالات (TDAG)</w:t>
      </w:r>
    </w:p>
    <w:p w14:paraId="6F3966F7" w14:textId="1B48632B" w:rsidR="00295B8A" w:rsidRPr="003160A4" w:rsidRDefault="00295B8A" w:rsidP="00295B8A">
      <w:pPr>
        <w:rPr>
          <w:rtl/>
        </w:rPr>
      </w:pPr>
      <w:r w:rsidRPr="003160A4">
        <w:rPr>
          <w:rtl/>
        </w:rPr>
        <w:t>قدَّم القائم بأعمال نائب مدير قطاع تنمية الاتصالات تقريراً شفوياً.</w:t>
      </w:r>
    </w:p>
    <w:p w14:paraId="160DA25C" w14:textId="326596BF" w:rsidR="007D7F4A" w:rsidRPr="003160A4" w:rsidRDefault="00295B8A" w:rsidP="00295B8A">
      <w:pPr>
        <w:rPr>
          <w:spacing w:val="-2"/>
        </w:rPr>
      </w:pPr>
      <w:r w:rsidRPr="003160A4">
        <w:rPr>
          <w:rtl/>
        </w:rPr>
        <w:t>وأشير إلى أن الفريق الاستشاري لتنمية الاتصالات (</w:t>
      </w:r>
      <w:r w:rsidRPr="003160A4">
        <w:t>TDAG</w:t>
      </w:r>
      <w:r w:rsidRPr="003160A4">
        <w:rPr>
          <w:rtl/>
        </w:rPr>
        <w:t xml:space="preserve">) قد ردّ على ثلاثة بيانات اتصال، نُشرت في الوثائق </w:t>
      </w:r>
      <w:hyperlink r:id="rId17" w:history="1">
        <w:r w:rsidR="000F2B81" w:rsidRPr="003160A4">
          <w:rPr>
            <w:rStyle w:val="Hyperlink"/>
            <w:szCs w:val="24"/>
          </w:rPr>
          <w:t>TDAG-LS1</w:t>
        </w:r>
      </w:hyperlink>
      <w:r w:rsidRPr="003160A4">
        <w:rPr>
          <w:rtl/>
        </w:rPr>
        <w:t xml:space="preserve"> و</w:t>
      </w:r>
      <w:hyperlink r:id="rId18" w:history="1">
        <w:r w:rsidR="000F2B81" w:rsidRPr="003160A4">
          <w:rPr>
            <w:rStyle w:val="Hyperlink"/>
            <w:szCs w:val="24"/>
          </w:rPr>
          <w:t>TDAG-LS2</w:t>
        </w:r>
      </w:hyperlink>
      <w:r w:rsidRPr="003160A4">
        <w:rPr>
          <w:rtl/>
        </w:rPr>
        <w:t xml:space="preserve"> و</w:t>
      </w:r>
      <w:hyperlink r:id="rId19" w:history="1">
        <w:r w:rsidR="000F2B81" w:rsidRPr="003160A4">
          <w:rPr>
            <w:rStyle w:val="Hyperlink"/>
            <w:szCs w:val="24"/>
          </w:rPr>
          <w:t>TDAG-LS4</w:t>
        </w:r>
      </w:hyperlink>
      <w:r w:rsidR="003160A4">
        <w:rPr>
          <w:rtl/>
        </w:rPr>
        <w:t>،</w:t>
      </w:r>
      <w:r w:rsidRPr="003160A4">
        <w:rPr>
          <w:rtl/>
        </w:rPr>
        <w:t xml:space="preserve"> حيث أقرَّ فيها باستلام الرسائل التي أرسلها فريق التنسيق بين القطاعات (</w:t>
      </w:r>
      <w:r w:rsidRPr="003160A4">
        <w:t>ISCG</w:t>
      </w:r>
      <w:r w:rsidRPr="003160A4">
        <w:rPr>
          <w:rtl/>
        </w:rPr>
        <w:t>)</w:t>
      </w:r>
      <w:r w:rsidR="003160A4">
        <w:rPr>
          <w:rtl/>
        </w:rPr>
        <w:t xml:space="preserve"> </w:t>
      </w:r>
      <w:r w:rsidRPr="003160A4">
        <w:rPr>
          <w:rtl/>
        </w:rPr>
        <w:t>وتحديداً بشأن المسألة المتعلقة بموضوع "إدارة الاجتماعات الافتراضية وتسيير أعمالها". وأعرب الفريق الاستشاري عن اهتمامه لأن قطاع تنمية الاتصالات ليس لديه بعد مبادئ توجيهية شاملة منفصلة للاجتماعات الافتراضية.</w:t>
      </w:r>
    </w:p>
    <w:p w14:paraId="241A5879" w14:textId="77777777" w:rsidR="007D7F4A" w:rsidRPr="003160A4" w:rsidRDefault="007D7F4A" w:rsidP="007D7F4A">
      <w:pPr>
        <w:pStyle w:val="Headingb0"/>
        <w:spacing w:before="240"/>
      </w:pPr>
      <w:r w:rsidRPr="003160A4">
        <w:rPr>
          <w:rtl/>
        </w:rPr>
        <w:t>إمكانية النفاذ</w:t>
      </w:r>
    </w:p>
    <w:bookmarkEnd w:id="1"/>
    <w:p w14:paraId="7B205B56" w14:textId="5C0FDEB3" w:rsidR="00295B8A" w:rsidRPr="003160A4" w:rsidRDefault="00295B8A" w:rsidP="00295B8A">
      <w:pPr>
        <w:rPr>
          <w:rtl/>
        </w:rPr>
      </w:pPr>
      <w:r w:rsidRPr="003160A4">
        <w:rPr>
          <w:rtl/>
        </w:rPr>
        <w:t xml:space="preserve">وقدّمت المنسّقة </w:t>
      </w:r>
      <w:r w:rsidR="00BF75AA">
        <w:rPr>
          <w:rtl/>
        </w:rPr>
        <w:t>المعني</w:t>
      </w:r>
      <w:r w:rsidRPr="003160A4">
        <w:rPr>
          <w:rtl/>
        </w:rPr>
        <w:t xml:space="preserve">ة بإمكانية النفاذ، السيدة أندريا ساكس، تقريراً عن ورقتين تقنيتين صادرتين عن قطاع تقييس الاتصالات، إحداهما بشأن "مبادئ توجيهية لإمكانية النفاذ إلى الاجتماعات" </w:t>
      </w:r>
      <w:r w:rsidR="009155BC" w:rsidRPr="003160A4">
        <w:rPr>
          <w:szCs w:val="24"/>
          <w:rtl/>
        </w:rPr>
        <w:t>(</w:t>
      </w:r>
      <w:hyperlink r:id="rId20" w:history="1">
        <w:r w:rsidR="009155BC" w:rsidRPr="003160A4">
          <w:rPr>
            <w:rStyle w:val="Hyperlink"/>
            <w:szCs w:val="24"/>
          </w:rPr>
          <w:t>FSTP-ACC-</w:t>
        </w:r>
        <w:proofErr w:type="spellStart"/>
        <w:r w:rsidR="009155BC" w:rsidRPr="003160A4">
          <w:rPr>
            <w:rStyle w:val="Hyperlink"/>
            <w:szCs w:val="24"/>
          </w:rPr>
          <w:t>RemPart</w:t>
        </w:r>
        <w:proofErr w:type="spellEnd"/>
      </w:hyperlink>
      <w:r w:rsidR="009155BC" w:rsidRPr="003160A4">
        <w:rPr>
          <w:szCs w:val="24"/>
          <w:rtl/>
        </w:rPr>
        <w:t xml:space="preserve">، </w:t>
      </w:r>
      <w:r w:rsidR="009155BC" w:rsidRPr="003160A4">
        <w:rPr>
          <w:szCs w:val="24"/>
        </w:rPr>
        <w:t>2015</w:t>
      </w:r>
      <w:r w:rsidR="009155BC" w:rsidRPr="003160A4">
        <w:rPr>
          <w:szCs w:val="24"/>
          <w:rtl/>
        </w:rPr>
        <w:t>)</w:t>
      </w:r>
      <w:r w:rsidRPr="003160A4">
        <w:rPr>
          <w:rtl/>
        </w:rPr>
        <w:t>، والأخرى بشأن "مبادئ توجيهية لدعم مشاركة الجميع عن بُعد في الاجتماعات"</w:t>
      </w:r>
      <w:r w:rsidR="009155BC" w:rsidRPr="003160A4">
        <w:rPr>
          <w:rtl/>
        </w:rPr>
        <w:t xml:space="preserve"> </w:t>
      </w:r>
      <w:r w:rsidR="009155BC" w:rsidRPr="003160A4">
        <w:rPr>
          <w:szCs w:val="24"/>
          <w:rtl/>
        </w:rPr>
        <w:t>(</w:t>
      </w:r>
      <w:hyperlink r:id="rId21" w:history="1">
        <w:r w:rsidR="009155BC" w:rsidRPr="003160A4">
          <w:rPr>
            <w:rStyle w:val="Hyperlink"/>
            <w:szCs w:val="24"/>
          </w:rPr>
          <w:t>FSTP-AM</w:t>
        </w:r>
      </w:hyperlink>
      <w:r w:rsidR="009155BC" w:rsidRPr="003160A4">
        <w:rPr>
          <w:szCs w:val="24"/>
          <w:rtl/>
        </w:rPr>
        <w:t xml:space="preserve">، </w:t>
      </w:r>
      <w:r w:rsidR="009155BC" w:rsidRPr="003160A4">
        <w:rPr>
          <w:szCs w:val="24"/>
        </w:rPr>
        <w:t>2015</w:t>
      </w:r>
      <w:r w:rsidR="009155BC" w:rsidRPr="003160A4">
        <w:rPr>
          <w:szCs w:val="24"/>
          <w:rtl/>
        </w:rPr>
        <w:t>)</w:t>
      </w:r>
      <w:r w:rsidRPr="003160A4">
        <w:rPr>
          <w:rtl/>
        </w:rPr>
        <w:t>.</w:t>
      </w:r>
    </w:p>
    <w:p w14:paraId="235CE40F" w14:textId="77777777" w:rsidR="00295B8A" w:rsidRPr="003160A4" w:rsidRDefault="00295B8A" w:rsidP="00295B8A">
      <w:pPr>
        <w:rPr>
          <w:rtl/>
        </w:rPr>
      </w:pPr>
      <w:r w:rsidRPr="003160A4">
        <w:rPr>
          <w:rtl/>
        </w:rPr>
        <w:t xml:space="preserve">وطلبت المنسّقة أيضاً إتاحة خيار العرض النصي في اجتماعات الاتحاد، وكذلك إتاحة نص التدفق بحيث يتمكن الأشخاص الصم وضعاف السمع من الاطلاع على النص الكامل بعد الاجتماع. وسيكون ذلك مفيداً أيضاً لتقاسم نتائج الاجتماع مع نشاط التنسيق المشترك بشأن إمكانية النفاذ والعوامل البشرية، المسألة 26، ومع لجنة الدراسات 2 لقطاع تقييس الاتصالات. وسلطت المنسقة الضوء على أهمية الطريقة التي يتعامل بها الاتحاد مع العرض النصي، وظهور الترجمة بلغة الإشارة عند الطلب في نهاية المطاف، وكيفية جعل اجتماعات الاتحاد أيسر نفاذاً. ويتعين إجراء تقييم دقيق لإيجابيات وسلبيات العرض النصي </w:t>
      </w:r>
      <w:proofErr w:type="spellStart"/>
      <w:r w:rsidRPr="003160A4">
        <w:rPr>
          <w:rtl/>
        </w:rPr>
        <w:t>الأوتوماتي</w:t>
      </w:r>
      <w:proofErr w:type="spellEnd"/>
      <w:r w:rsidRPr="003160A4">
        <w:rPr>
          <w:rtl/>
        </w:rPr>
        <w:t xml:space="preserve"> مقارنةً بالعرض النصي البشري فيما يتعلق بالتكلفة والدقة.</w:t>
      </w:r>
    </w:p>
    <w:p w14:paraId="3DA5E9FE" w14:textId="77777777" w:rsidR="00295B8A" w:rsidRPr="003160A4" w:rsidRDefault="00295B8A" w:rsidP="00295B8A">
      <w:pPr>
        <w:rPr>
          <w:rtl/>
        </w:rPr>
      </w:pPr>
      <w:r w:rsidRPr="003160A4">
        <w:rPr>
          <w:rtl/>
        </w:rPr>
        <w:t>ورحّب رئيس فريق التنسيق بين القطاعات (</w:t>
      </w:r>
      <w:r w:rsidRPr="003160A4">
        <w:t>ISCG</w:t>
      </w:r>
      <w:r w:rsidRPr="003160A4">
        <w:rPr>
          <w:rtl/>
        </w:rPr>
        <w:t>) بالعرض وطلبَ تقديم تقرير خطي إلى الاجتماع المقبل.</w:t>
      </w:r>
    </w:p>
    <w:p w14:paraId="210E873F" w14:textId="77777777" w:rsidR="00295B8A" w:rsidRPr="003160A4" w:rsidRDefault="00295B8A" w:rsidP="00295B8A">
      <w:pPr>
        <w:pStyle w:val="Headingb0"/>
        <w:spacing w:before="240"/>
        <w:rPr>
          <w:rtl/>
        </w:rPr>
      </w:pPr>
      <w:r w:rsidRPr="003160A4">
        <w:rPr>
          <w:rtl/>
        </w:rPr>
        <w:t>تغيُّر المناخ</w:t>
      </w:r>
    </w:p>
    <w:p w14:paraId="45674AC9" w14:textId="0C413DFD" w:rsidR="00295B8A" w:rsidRPr="003160A4" w:rsidRDefault="00295B8A" w:rsidP="00295B8A">
      <w:pPr>
        <w:rPr>
          <w:rtl/>
        </w:rPr>
      </w:pPr>
      <w:r w:rsidRPr="003160A4">
        <w:rPr>
          <w:rtl/>
        </w:rPr>
        <w:t xml:space="preserve">عرضَ مسؤول الاتصال في أمانة الاتحاد الوثيقة </w:t>
      </w:r>
      <w:hyperlink r:id="rId22" w:history="1">
        <w:r w:rsidR="009155BC" w:rsidRPr="003160A4">
          <w:rPr>
            <w:rStyle w:val="Hyperlink"/>
            <w:szCs w:val="24"/>
          </w:rPr>
          <w:t>ISCG/24-1-06</w:t>
        </w:r>
      </w:hyperlink>
      <w:r w:rsidR="003160A4">
        <w:rPr>
          <w:szCs w:val="24"/>
          <w:rtl/>
        </w:rPr>
        <w:t xml:space="preserve"> </w:t>
      </w:r>
      <w:r w:rsidRPr="003160A4">
        <w:rPr>
          <w:rtl/>
        </w:rPr>
        <w:t>التي تتضمن معلومات تفصيلية عن مشاركة الاتحاد في الدورة الثامنة والعشرين لمؤتمر الأطراف في اتفاقية الأمم المتحدة الإطارية بشأن تغيُّر المناخ (</w:t>
      </w:r>
      <w:r w:rsidRPr="003160A4">
        <w:t>COP 28</w:t>
      </w:r>
      <w:r w:rsidRPr="003160A4">
        <w:rPr>
          <w:rtl/>
        </w:rPr>
        <w:t>)، حيث أُطلق العمل الرقمي المراعي للبيئة.</w:t>
      </w:r>
    </w:p>
    <w:p w14:paraId="26ACE520" w14:textId="77777777" w:rsidR="00295B8A" w:rsidRPr="003160A4" w:rsidRDefault="00295B8A" w:rsidP="00295B8A">
      <w:pPr>
        <w:rPr>
          <w:rtl/>
        </w:rPr>
      </w:pPr>
      <w:r w:rsidRPr="003160A4">
        <w:rPr>
          <w:rtl/>
        </w:rPr>
        <w:t>وضمت هذه المبادرة أكثر من 40 شريكاً، منهم أعضاء في الاتحاد، وكذلك وكالات شقيقة تابعة للأمم المتحدة، بهدف زيادة التعاون بين دوائر الصناعة الرقمية من أجل بذل جهود ملموسة وأكثر واقعية في مجال المناخ. ويرتكز التحالف على 6 دعامات أحرزت 4 منها بالفعل نتائج رائعة في مؤتمر الأطراف. ويمكن الاطلاع على جميع التفاصيل في العرض، كمثال واضح على نهج الاتحاد الواحد (</w:t>
      </w:r>
      <w:proofErr w:type="spellStart"/>
      <w:r w:rsidRPr="003160A4">
        <w:t>OneITU</w:t>
      </w:r>
      <w:proofErr w:type="spellEnd"/>
      <w:r w:rsidRPr="003160A4">
        <w:rPr>
          <w:rtl/>
        </w:rPr>
        <w:t>) في مجال المناخ والذي يمكن اتباعه في مواضيع أخرى.</w:t>
      </w:r>
    </w:p>
    <w:p w14:paraId="51DEC9E0" w14:textId="77777777" w:rsidR="00295B8A" w:rsidRPr="003160A4" w:rsidRDefault="00295B8A" w:rsidP="00295B8A">
      <w:pPr>
        <w:rPr>
          <w:rtl/>
        </w:rPr>
      </w:pPr>
      <w:r w:rsidRPr="003160A4">
        <w:rPr>
          <w:rtl/>
        </w:rPr>
        <w:lastRenderedPageBreak/>
        <w:t>ويُدعى الأعضاء إلى الانضمام إلى التحالف الرقمي المراعي للبيئة من خلال مسح شفرة الاستجابة السريعة (</w:t>
      </w:r>
      <w:r w:rsidRPr="003160A4">
        <w:t>QR</w:t>
      </w:r>
      <w:r w:rsidRPr="003160A4">
        <w:rPr>
          <w:rtl/>
        </w:rPr>
        <w:t>) في العرض.</w:t>
      </w:r>
    </w:p>
    <w:p w14:paraId="1B752B11" w14:textId="7D278411" w:rsidR="003160A4" w:rsidRDefault="00295B8A" w:rsidP="00295B8A">
      <w:pPr>
        <w:rPr>
          <w:rtl/>
        </w:rPr>
      </w:pPr>
      <w:r w:rsidRPr="003160A4">
        <w:rPr>
          <w:rtl/>
        </w:rPr>
        <w:t xml:space="preserve">وعرض المنسّق </w:t>
      </w:r>
      <w:r w:rsidR="00BF75AA">
        <w:rPr>
          <w:rtl/>
        </w:rPr>
        <w:t>المعني</w:t>
      </w:r>
      <w:r w:rsidRPr="003160A4">
        <w:rPr>
          <w:rtl/>
        </w:rPr>
        <w:t xml:space="preserve"> بتغيُّر المناخ، السيد باولو جيما، الوثيقة </w:t>
      </w:r>
      <w:hyperlink r:id="rId23" w:history="1">
        <w:r w:rsidR="009155BC" w:rsidRPr="003160A4">
          <w:rPr>
            <w:rStyle w:val="Hyperlink"/>
            <w:szCs w:val="24"/>
          </w:rPr>
          <w:t>ISCG/24-1-07</w:t>
        </w:r>
      </w:hyperlink>
      <w:r w:rsidRPr="003160A4">
        <w:rPr>
          <w:rtl/>
        </w:rPr>
        <w:t xml:space="preserve"> مع الأنشطة التي يضطلع بها قطاع تقييس الاتصالات بالتعاون مع القطاعين الآخرين.</w:t>
      </w:r>
    </w:p>
    <w:p w14:paraId="19B44DAE" w14:textId="2B9C340F" w:rsidR="00295B8A" w:rsidRPr="003160A4" w:rsidRDefault="00295B8A" w:rsidP="00295B8A">
      <w:pPr>
        <w:rPr>
          <w:rtl/>
        </w:rPr>
      </w:pPr>
      <w:r w:rsidRPr="003160A4">
        <w:rPr>
          <w:rtl/>
        </w:rPr>
        <w:t xml:space="preserve">وعرضَ منسّق قطاع الاتصالات الراديوية </w:t>
      </w:r>
      <w:r w:rsidR="00BF75AA">
        <w:rPr>
          <w:rtl/>
        </w:rPr>
        <w:t>المعني</w:t>
      </w:r>
      <w:r w:rsidRPr="003160A4">
        <w:rPr>
          <w:rtl/>
        </w:rPr>
        <w:t xml:space="preserve"> بإمكانية النفاذ وتغيُّر المناخ الوثيقة </w:t>
      </w:r>
      <w:hyperlink r:id="rId24" w:history="1">
        <w:r w:rsidR="009155BC" w:rsidRPr="003160A4">
          <w:rPr>
            <w:rStyle w:val="Hyperlink"/>
            <w:szCs w:val="24"/>
          </w:rPr>
          <w:t>ISCG/24-1-08</w:t>
        </w:r>
      </w:hyperlink>
      <w:r w:rsidRPr="003160A4">
        <w:rPr>
          <w:rtl/>
        </w:rPr>
        <w:t>، مسلطاً الضوء على</w:t>
      </w:r>
      <w:r w:rsidR="00A61A52">
        <w:rPr>
          <w:rFonts w:hint="cs"/>
          <w:rtl/>
        </w:rPr>
        <w:t> </w:t>
      </w:r>
      <w:r w:rsidRPr="003160A4">
        <w:rPr>
          <w:rtl/>
        </w:rPr>
        <w:t xml:space="preserve">الموافقة على تقريرين جديدين هما: </w:t>
      </w:r>
      <w:r w:rsidR="009155BC" w:rsidRPr="003160A4">
        <w:rPr>
          <w:szCs w:val="24"/>
        </w:rPr>
        <w:t>BS/</w:t>
      </w:r>
      <w:hyperlink r:id="rId25" w:history="1">
        <w:r w:rsidR="009155BC" w:rsidRPr="003160A4">
          <w:rPr>
            <w:rStyle w:val="Hyperlink"/>
            <w:szCs w:val="24"/>
          </w:rPr>
          <w:t>BT.2522</w:t>
        </w:r>
      </w:hyperlink>
      <w:r w:rsidRPr="003160A4">
        <w:rPr>
          <w:rtl/>
        </w:rPr>
        <w:t xml:space="preserve"> </w:t>
      </w:r>
      <w:r w:rsidRPr="003160A4">
        <w:rPr>
          <w:i/>
          <w:iCs/>
          <w:rtl/>
        </w:rPr>
        <w:t>إطار لمستقبل الإذاعة</w:t>
      </w:r>
      <w:r w:rsidRPr="003160A4">
        <w:rPr>
          <w:rtl/>
        </w:rPr>
        <w:t xml:space="preserve"> و</w:t>
      </w:r>
      <w:r w:rsidR="009155BC" w:rsidRPr="003160A4">
        <w:rPr>
          <w:szCs w:val="24"/>
        </w:rPr>
        <w:t>BS/</w:t>
      </w:r>
      <w:hyperlink r:id="rId26" w:history="1">
        <w:r w:rsidR="009155BC" w:rsidRPr="003160A4">
          <w:rPr>
            <w:rStyle w:val="Hyperlink"/>
            <w:szCs w:val="24"/>
          </w:rPr>
          <w:t>BT.2524</w:t>
        </w:r>
      </w:hyperlink>
      <w:r w:rsidRPr="003160A4">
        <w:rPr>
          <w:rtl/>
        </w:rPr>
        <w:t xml:space="preserve"> </w:t>
      </w:r>
      <w:r w:rsidRPr="003160A4">
        <w:rPr>
          <w:i/>
          <w:iCs/>
          <w:rtl/>
        </w:rPr>
        <w:t>إطار لمستقبل الإنتاج الإذاعي</w:t>
      </w:r>
      <w:r w:rsidRPr="003160A4">
        <w:rPr>
          <w:rtl/>
        </w:rPr>
        <w:t>. ويتضمن كلا التقريرين معلومات عن تطوير مبادرات إذاعية مستدامة لسلسلة الإذاعة من طرف إلى طرف وكيفية استفادة المعالجة الجديدة للتخصيص القائمة على الذكاء الاصطناعي استفادة كاملة من المنصات والخدمات التقليدية والهجينة والقائمة كلياً على بروتوكول الإنترنت (</w:t>
      </w:r>
      <w:r w:rsidRPr="003160A4">
        <w:t>IP</w:t>
      </w:r>
      <w:r w:rsidRPr="003160A4">
        <w:rPr>
          <w:rtl/>
        </w:rPr>
        <w:t>).</w:t>
      </w:r>
    </w:p>
    <w:p w14:paraId="5817FAB8" w14:textId="0548001E" w:rsidR="003160A4" w:rsidRDefault="00295B8A" w:rsidP="00295B8A">
      <w:pPr>
        <w:rPr>
          <w:rtl/>
        </w:rPr>
      </w:pPr>
      <w:r w:rsidRPr="003160A4">
        <w:rPr>
          <w:rtl/>
        </w:rPr>
        <w:t>وأشيرَ إلى أنّ منتدى الأمم المتحدة السياسي الرفيع المستوى المعني بالتنمية المستدامة لعام 2024 سيركز على الهدف الرقمي المستدام 13 (</w:t>
      </w:r>
      <w:r w:rsidRPr="003160A4">
        <w:t>SDG13</w:t>
      </w:r>
      <w:r w:rsidRPr="003160A4">
        <w:rPr>
          <w:rtl/>
        </w:rPr>
        <w:t>) بشأن العمل المناخي، ضمن أهداف أخرى، ولذا ينبغي إدراج أنشطة الاتحاد ونتائجه بشأن هذا</w:t>
      </w:r>
      <w:r w:rsidR="00A61A52">
        <w:rPr>
          <w:rFonts w:hint="cs"/>
          <w:rtl/>
        </w:rPr>
        <w:t> </w:t>
      </w:r>
      <w:r w:rsidRPr="003160A4">
        <w:rPr>
          <w:rtl/>
        </w:rPr>
        <w:t xml:space="preserve">الموضوع في تقرير المجلس إلى المنتدى السياسي الرفيع المستوى </w:t>
      </w:r>
      <w:r w:rsidR="00BF75AA">
        <w:rPr>
          <w:rtl/>
        </w:rPr>
        <w:t>المعني</w:t>
      </w:r>
      <w:r w:rsidRPr="003160A4">
        <w:rPr>
          <w:rtl/>
        </w:rPr>
        <w:t xml:space="preserve"> بالتنمية المستدامة لعام 2024 (</w:t>
      </w:r>
      <w:r w:rsidRPr="003160A4">
        <w:t>HLPF-24</w:t>
      </w:r>
      <w:r w:rsidRPr="003160A4">
        <w:rPr>
          <w:rtl/>
        </w:rPr>
        <w:t>).</w:t>
      </w:r>
    </w:p>
    <w:p w14:paraId="7860D0BA" w14:textId="7901E0BF" w:rsidR="00295B8A" w:rsidRPr="003160A4" w:rsidRDefault="00295B8A" w:rsidP="00295B8A">
      <w:pPr>
        <w:pStyle w:val="Headingb0"/>
        <w:spacing w:before="240"/>
        <w:rPr>
          <w:rtl/>
        </w:rPr>
      </w:pPr>
      <w:r w:rsidRPr="003160A4">
        <w:rPr>
          <w:rtl/>
        </w:rPr>
        <w:t>الاجتماعات الافتراضية/المشاركة عن بُعد</w:t>
      </w:r>
    </w:p>
    <w:p w14:paraId="353466C8" w14:textId="7375B73B" w:rsidR="00295B8A" w:rsidRPr="003160A4" w:rsidRDefault="00295B8A" w:rsidP="00295B8A">
      <w:pPr>
        <w:rPr>
          <w:rtl/>
        </w:rPr>
      </w:pPr>
      <w:r w:rsidRPr="003160A4">
        <w:rPr>
          <w:rtl/>
        </w:rPr>
        <w:t xml:space="preserve">سلّط المنسق المعني بهذا الموضوع ورئيس لجنة الدراسات 2 لقطاع تقييس الاتصالات، السيد فيليب </w:t>
      </w:r>
      <w:proofErr w:type="spellStart"/>
      <w:r w:rsidRPr="003160A4">
        <w:rPr>
          <w:rtl/>
        </w:rPr>
        <w:t>روشتون</w:t>
      </w:r>
      <w:proofErr w:type="spellEnd"/>
      <w:r w:rsidRPr="003160A4">
        <w:rPr>
          <w:rtl/>
        </w:rPr>
        <w:t>، الضوء على</w:t>
      </w:r>
      <w:r w:rsidR="00A61A52">
        <w:rPr>
          <w:rFonts w:hint="cs"/>
          <w:rtl/>
        </w:rPr>
        <w:t> </w:t>
      </w:r>
      <w:r w:rsidRPr="003160A4">
        <w:rPr>
          <w:rtl/>
        </w:rPr>
        <w:t>أهمية تبادل المعلومات مع المجلس بشأن العمل الذي تضطلع به القطاعات من أجل التعاون ووضع قواعد استشرافية مشتركة وواضحة وشفافة يستفيد الأعضاء من اتباعها.</w:t>
      </w:r>
    </w:p>
    <w:p w14:paraId="3657E032" w14:textId="4C595246" w:rsidR="00295B8A" w:rsidRPr="003160A4" w:rsidRDefault="00295B8A" w:rsidP="00295B8A">
      <w:pPr>
        <w:rPr>
          <w:rtl/>
        </w:rPr>
      </w:pPr>
      <w:r w:rsidRPr="003160A4">
        <w:rPr>
          <w:rtl/>
        </w:rPr>
        <w:t xml:space="preserve">وعلّقت أمانة الاتحاد قائلة إن الوثيقة نفسها التي ستقدم إلى الفريق </w:t>
      </w:r>
      <w:r w:rsidRPr="003160A4">
        <w:t>CWG-FHR</w:t>
      </w:r>
      <w:r w:rsidRPr="003160A4">
        <w:rPr>
          <w:rtl/>
        </w:rPr>
        <w:t xml:space="preserve">، والتي تسرد أساساً الممارسات القائمة، منشورة أيضاً في الموقع الإلكتروني للفريق </w:t>
      </w:r>
      <w:r w:rsidRPr="003160A4">
        <w:t>ISCG</w:t>
      </w:r>
      <w:r w:rsidR="003160A4">
        <w:rPr>
          <w:rtl/>
        </w:rPr>
        <w:t xml:space="preserve"> </w:t>
      </w:r>
      <w:r w:rsidRPr="003160A4">
        <w:rPr>
          <w:rtl/>
        </w:rPr>
        <w:t xml:space="preserve">(انظر الوثيقة </w:t>
      </w:r>
      <w:hyperlink r:id="rId27" w:history="1">
        <w:r w:rsidR="009155BC" w:rsidRPr="003160A4">
          <w:rPr>
            <w:rStyle w:val="Hyperlink"/>
            <w:szCs w:val="24"/>
          </w:rPr>
          <w:t>CWG-FHR-17/INF/4</w:t>
        </w:r>
      </w:hyperlink>
      <w:r w:rsidRPr="003160A4">
        <w:rPr>
          <w:rtl/>
        </w:rPr>
        <w:t>). ويُدعى الفريق الاستشاري لتنمية الاتصالات (</w:t>
      </w:r>
      <w:r w:rsidRPr="003160A4">
        <w:t>TDAG</w:t>
      </w:r>
      <w:r w:rsidRPr="003160A4">
        <w:rPr>
          <w:rtl/>
        </w:rPr>
        <w:t>) إلى النظر في هذه الوثيقة.</w:t>
      </w:r>
    </w:p>
    <w:p w14:paraId="6440BA53" w14:textId="77777777" w:rsidR="00295B8A" w:rsidRPr="003160A4" w:rsidRDefault="00295B8A" w:rsidP="00295B8A">
      <w:pPr>
        <w:rPr>
          <w:rtl/>
        </w:rPr>
      </w:pPr>
      <w:r w:rsidRPr="003160A4">
        <w:rPr>
          <w:rtl/>
        </w:rPr>
        <w:t>وأضاف رئيس فريق التنسيق بين القطاعات (</w:t>
      </w:r>
      <w:r w:rsidRPr="003160A4">
        <w:t>ISCG</w:t>
      </w:r>
      <w:r w:rsidRPr="003160A4">
        <w:rPr>
          <w:rtl/>
        </w:rPr>
        <w:t>) أن التوجيه السياسي ينبغي أن يأتي من الأعضاء ومن مؤتمر المندوبين المفوضين، حيث لا يزال هناك العديد من الحلول التي تستخدمها القطاعات في الاجتماعات الافتراضية.</w:t>
      </w:r>
    </w:p>
    <w:p w14:paraId="2238EC07" w14:textId="77777777" w:rsidR="00295B8A" w:rsidRPr="003160A4" w:rsidRDefault="00295B8A" w:rsidP="00295B8A">
      <w:pPr>
        <w:pStyle w:val="Headingb0"/>
        <w:spacing w:before="240"/>
        <w:rPr>
          <w:rtl/>
        </w:rPr>
      </w:pPr>
      <w:r w:rsidRPr="003160A4">
        <w:rPr>
          <w:rtl/>
        </w:rPr>
        <w:t>الموقع الإلكتروني للاتحاد</w:t>
      </w:r>
    </w:p>
    <w:p w14:paraId="7CC39544" w14:textId="193EF7C0" w:rsidR="00295B8A" w:rsidRPr="003160A4" w:rsidRDefault="00295B8A" w:rsidP="00295B8A">
      <w:pPr>
        <w:rPr>
          <w:rtl/>
        </w:rPr>
      </w:pPr>
      <w:r w:rsidRPr="003160A4">
        <w:rPr>
          <w:rtl/>
        </w:rPr>
        <w:t xml:space="preserve">قدم مسؤول الاتصال في أمانة الاتحاد الوثيقة </w:t>
      </w:r>
      <w:hyperlink r:id="rId28" w:history="1">
        <w:r w:rsidR="009155BC" w:rsidRPr="003160A4">
          <w:rPr>
            <w:rStyle w:val="Hyperlink"/>
            <w:szCs w:val="24"/>
          </w:rPr>
          <w:t>ISCG/24-1/05</w:t>
        </w:r>
      </w:hyperlink>
      <w:r w:rsidRPr="003160A4">
        <w:rPr>
          <w:rtl/>
        </w:rPr>
        <w:t xml:space="preserve"> التي عُرضت أيضاً على الفريق </w:t>
      </w:r>
      <w:r w:rsidRPr="003160A4">
        <w:t>CWG-FHR</w:t>
      </w:r>
      <w:r w:rsidRPr="003160A4">
        <w:rPr>
          <w:rtl/>
        </w:rPr>
        <w:t>، وأفاد بأن لجنة التنسيق (</w:t>
      </w:r>
      <w:proofErr w:type="spellStart"/>
      <w:r w:rsidRPr="003160A4">
        <w:t>CoCo</w:t>
      </w:r>
      <w:proofErr w:type="spellEnd"/>
      <w:r w:rsidRPr="003160A4">
        <w:rPr>
          <w:rtl/>
        </w:rPr>
        <w:t>) وافقت على تجديد الموقع الإلكتروني للاتحاد لزيادة سهولة استعماله وإمكانية البحث فيه وتصفحه والاستجابة لطلبات الأعضاء. وقد حُددت هذه العملية وستقَّدم قريباً خارطة طريق بشأنها.</w:t>
      </w:r>
    </w:p>
    <w:p w14:paraId="764251E7" w14:textId="77777777" w:rsidR="00295B8A" w:rsidRPr="003160A4" w:rsidRDefault="00295B8A" w:rsidP="00295B8A">
      <w:pPr>
        <w:rPr>
          <w:rtl/>
        </w:rPr>
      </w:pPr>
      <w:r w:rsidRPr="003160A4">
        <w:rPr>
          <w:rtl/>
        </w:rPr>
        <w:t xml:space="preserve">وطلب أعضاء الفريق </w:t>
      </w:r>
      <w:r w:rsidRPr="003160A4">
        <w:t>ISCG</w:t>
      </w:r>
      <w:r w:rsidRPr="003160A4">
        <w:rPr>
          <w:rtl/>
        </w:rPr>
        <w:t xml:space="preserve"> إبلاغهم بجميع خطوات العملية لكي يتمكنوا من تقديم تعليقاتهم، لأن الموقع الإلكتروني للاتحاد مسألة بالغة الأهمية عندما يتعلق الأمر بتيسير إمكانية النفاذ، وضمان استخدام اللغات الست على قدم المساواة، ومواءمة تصميم المحتوى وتيسير البحث عن مختلف العناصر.</w:t>
      </w:r>
    </w:p>
    <w:p w14:paraId="694D0307" w14:textId="77777777" w:rsidR="00295B8A" w:rsidRPr="003160A4" w:rsidRDefault="00295B8A" w:rsidP="00295B8A">
      <w:pPr>
        <w:pStyle w:val="Headingb0"/>
        <w:spacing w:before="240"/>
        <w:rPr>
          <w:rtl/>
        </w:rPr>
      </w:pPr>
      <w:r w:rsidRPr="003160A4">
        <w:rPr>
          <w:rtl/>
        </w:rPr>
        <w:t>جداول التقابل</w:t>
      </w:r>
    </w:p>
    <w:p w14:paraId="5D2C9247" w14:textId="77777777" w:rsidR="003160A4" w:rsidRDefault="00295B8A" w:rsidP="00295B8A">
      <w:pPr>
        <w:rPr>
          <w:rtl/>
        </w:rPr>
      </w:pPr>
      <w:r w:rsidRPr="003160A4">
        <w:rPr>
          <w:rtl/>
        </w:rPr>
        <w:t xml:space="preserve">أفادت أمانة الاتحاد بأن </w:t>
      </w:r>
      <w:hyperlink r:id="rId29" w:history="1">
        <w:r w:rsidRPr="003160A4">
          <w:rPr>
            <w:rStyle w:val="Hyperlink"/>
            <w:rtl/>
          </w:rPr>
          <w:t>جداول تقابُل القرارات</w:t>
        </w:r>
      </w:hyperlink>
      <w:r w:rsidRPr="003160A4">
        <w:rPr>
          <w:rtl/>
        </w:rPr>
        <w:t xml:space="preserve">، وجميع جداول التقابل، يجري تحديثها ويمكن الاطلاع عليها في الموقع الإلكتروني للفريق </w:t>
      </w:r>
      <w:r w:rsidRPr="003160A4">
        <w:t>ISCG</w:t>
      </w:r>
      <w:r w:rsidRPr="003160A4">
        <w:rPr>
          <w:rtl/>
        </w:rPr>
        <w:t>.</w:t>
      </w:r>
    </w:p>
    <w:p w14:paraId="45F75EE5" w14:textId="57A0B669" w:rsidR="00295B8A" w:rsidRPr="003160A4" w:rsidRDefault="00295B8A" w:rsidP="00295B8A">
      <w:pPr>
        <w:rPr>
          <w:rtl/>
        </w:rPr>
      </w:pPr>
      <w:r w:rsidRPr="003160A4">
        <w:rPr>
          <w:rtl/>
        </w:rPr>
        <w:t xml:space="preserve">وعرض مسؤول الاتصال في قطاع تنمية الاتصالات المعني بهذه المسألة </w:t>
      </w:r>
      <w:hyperlink r:id="rId30" w:history="1">
        <w:r w:rsidRPr="003160A4">
          <w:rPr>
            <w:rStyle w:val="Hyperlink"/>
            <w:rtl/>
          </w:rPr>
          <w:t>الجدول 3</w:t>
        </w:r>
      </w:hyperlink>
      <w:r w:rsidRPr="003160A4">
        <w:rPr>
          <w:rtl/>
        </w:rPr>
        <w:t xml:space="preserve"> (التقابل بين قطاعي تقييس الاتصالات وتنمية الاتصالات) للموافقة عليه رسمياً حيث تواصلت المناقشات داخل القطاعين بعد الاجتماع الأخير للفريق </w:t>
      </w:r>
      <w:r w:rsidRPr="003160A4">
        <w:t>ISCG</w:t>
      </w:r>
      <w:r w:rsidRPr="003160A4">
        <w:rPr>
          <w:rtl/>
        </w:rPr>
        <w:t xml:space="preserve"> في</w:t>
      </w:r>
      <w:r w:rsidR="00A61A52">
        <w:rPr>
          <w:rFonts w:hint="cs"/>
          <w:rtl/>
        </w:rPr>
        <w:t> </w:t>
      </w:r>
      <w:r w:rsidRPr="003160A4">
        <w:rPr>
          <w:rtl/>
        </w:rPr>
        <w:t>عام</w:t>
      </w:r>
      <w:r w:rsidR="00A61A52">
        <w:rPr>
          <w:rFonts w:hint="cs"/>
          <w:rtl/>
        </w:rPr>
        <w:t> </w:t>
      </w:r>
      <w:r w:rsidRPr="003160A4">
        <w:rPr>
          <w:rtl/>
        </w:rPr>
        <w:t>2023.</w:t>
      </w:r>
    </w:p>
    <w:p w14:paraId="3E003F33" w14:textId="77777777" w:rsidR="00295B8A" w:rsidRPr="003160A4" w:rsidRDefault="00295B8A" w:rsidP="00295B8A">
      <w:pPr>
        <w:rPr>
          <w:rtl/>
        </w:rPr>
      </w:pPr>
      <w:r w:rsidRPr="003160A4">
        <w:rPr>
          <w:rtl/>
        </w:rPr>
        <w:t>ويعرض هذا الجدول بعض التحسينات بحيث يتضمن معلومات تفصيلية عن المواضيع ذات الاهتمام المشترك بين القطاعات.</w:t>
      </w:r>
    </w:p>
    <w:p w14:paraId="2A85505C" w14:textId="77777777" w:rsidR="00295B8A" w:rsidRPr="003160A4" w:rsidRDefault="00295B8A" w:rsidP="00295B8A">
      <w:pPr>
        <w:rPr>
          <w:rtl/>
        </w:rPr>
      </w:pPr>
      <w:r w:rsidRPr="003160A4">
        <w:rPr>
          <w:rtl/>
        </w:rPr>
        <w:t>وقُدِّم هذا الجدول إلى الفريق الاستشاري لتنمية الاتصالات (</w:t>
      </w:r>
      <w:r w:rsidRPr="003160A4">
        <w:t>TDAG</w:t>
      </w:r>
      <w:r w:rsidRPr="003160A4">
        <w:rPr>
          <w:rtl/>
        </w:rPr>
        <w:t>) من خلال بيان اتصال لاتخاذ الإجراء اللازم، لاتّباع النسق نفسه عند استعراض الجدول 1 استناداً إلى نتائج جمعية الاتصالات الراديوية لعام 2023 (</w:t>
      </w:r>
      <w:r w:rsidRPr="003160A4">
        <w:t>RA-23</w:t>
      </w:r>
      <w:r w:rsidRPr="003160A4">
        <w:rPr>
          <w:rtl/>
        </w:rPr>
        <w:t>).</w:t>
      </w:r>
    </w:p>
    <w:p w14:paraId="5768A22D" w14:textId="77777777" w:rsidR="00295B8A" w:rsidRPr="003160A4" w:rsidRDefault="00295B8A" w:rsidP="00295B8A">
      <w:pPr>
        <w:pStyle w:val="Headingb0"/>
        <w:spacing w:before="240"/>
        <w:rPr>
          <w:rtl/>
        </w:rPr>
      </w:pPr>
      <w:r w:rsidRPr="003160A4">
        <w:rPr>
          <w:rtl/>
        </w:rPr>
        <w:t>ما يستجد من أعمال</w:t>
      </w:r>
    </w:p>
    <w:p w14:paraId="6422807F" w14:textId="77777777" w:rsidR="00295B8A" w:rsidRPr="003160A4" w:rsidRDefault="00295B8A" w:rsidP="00295B8A">
      <w:pPr>
        <w:rPr>
          <w:rtl/>
        </w:rPr>
      </w:pPr>
      <w:r w:rsidRPr="003160A4">
        <w:rPr>
          <w:rtl/>
        </w:rPr>
        <w:t>أكد رئيس فريق التنسيق بين القطاعات (</w:t>
      </w:r>
      <w:r w:rsidRPr="003160A4">
        <w:t>ISCG</w:t>
      </w:r>
      <w:r w:rsidRPr="003160A4">
        <w:rPr>
          <w:rtl/>
        </w:rPr>
        <w:t>) الحاجة إلى مراجعة اختصاصات الفريق (</w:t>
      </w:r>
      <w:proofErr w:type="spellStart"/>
      <w:r w:rsidRPr="003160A4">
        <w:t>ToR</w:t>
      </w:r>
      <w:proofErr w:type="spellEnd"/>
      <w:r w:rsidRPr="003160A4">
        <w:rPr>
          <w:rtl/>
        </w:rPr>
        <w:t>)، وشجّع فريقَ إدارة فريق التنسيق بين القطاعات (</w:t>
      </w:r>
      <w:r w:rsidRPr="003160A4">
        <w:t>ISCG</w:t>
      </w:r>
      <w:r w:rsidRPr="003160A4">
        <w:rPr>
          <w:rtl/>
        </w:rPr>
        <w:t>) على العمل ضمن فريق صياغة افتراضي وتقديم مقترح إلى الاجتماع المقبل.</w:t>
      </w:r>
    </w:p>
    <w:p w14:paraId="71E3AB65" w14:textId="77777777" w:rsidR="003160A4" w:rsidRDefault="00295B8A" w:rsidP="00295B8A">
      <w:pPr>
        <w:pStyle w:val="Headingb0"/>
        <w:spacing w:before="240"/>
        <w:rPr>
          <w:rtl/>
        </w:rPr>
      </w:pPr>
      <w:r w:rsidRPr="003160A4">
        <w:rPr>
          <w:rtl/>
        </w:rPr>
        <w:lastRenderedPageBreak/>
        <w:t>الخلاصة</w:t>
      </w:r>
    </w:p>
    <w:p w14:paraId="33D069D7" w14:textId="77777777" w:rsidR="003160A4" w:rsidRDefault="00295B8A" w:rsidP="00295B8A">
      <w:pPr>
        <w:rPr>
          <w:rtl/>
        </w:rPr>
      </w:pPr>
      <w:r w:rsidRPr="003160A4">
        <w:rPr>
          <w:rtl/>
        </w:rPr>
        <w:t>يُدعى الفريق الاستشاري لتنمية الاتصالات (</w:t>
      </w:r>
      <w:r w:rsidRPr="003160A4">
        <w:t>TDAG</w:t>
      </w:r>
      <w:r w:rsidRPr="003160A4">
        <w:rPr>
          <w:rtl/>
        </w:rPr>
        <w:t>) إلى مناقشة هذه الوثيقة وتقديم تعليقات ومقترحات إلى فريق التنسيق بين القطاعات (</w:t>
      </w:r>
      <w:r w:rsidRPr="003160A4">
        <w:t>ISCG</w:t>
      </w:r>
      <w:r w:rsidRPr="003160A4">
        <w:rPr>
          <w:rtl/>
        </w:rPr>
        <w:t>) بشأن المواضيع التي عُرضت وبشأن أي نشاط مشترك آخر محتمل و/أو آليات مشتركة أخرى محتملة لتعزيز التعاون.</w:t>
      </w:r>
    </w:p>
    <w:p w14:paraId="078ECD45" w14:textId="4633299E" w:rsidR="00295B8A" w:rsidRPr="003160A4" w:rsidRDefault="00295B8A" w:rsidP="00295B8A">
      <w:pPr>
        <w:rPr>
          <w:rtl/>
        </w:rPr>
      </w:pPr>
      <w:r w:rsidRPr="003160A4">
        <w:rPr>
          <w:rtl/>
        </w:rPr>
        <w:t>ويُدعى أعضاء الفريق الاستشاري لتنمية الاتصالات (</w:t>
      </w:r>
      <w:r w:rsidRPr="003160A4">
        <w:t>TDAG</w:t>
      </w:r>
      <w:r w:rsidRPr="003160A4">
        <w:rPr>
          <w:rtl/>
        </w:rPr>
        <w:t>) إلى متابعة جميع أنشطة فريق التنسيق بين القطاعات (</w:t>
      </w:r>
      <w:r w:rsidRPr="003160A4">
        <w:t>ISCG</w:t>
      </w:r>
      <w:r w:rsidRPr="003160A4">
        <w:rPr>
          <w:rtl/>
        </w:rPr>
        <w:t xml:space="preserve">) من خلال الموقع الإلكتروني المخصص </w:t>
      </w:r>
      <w:hyperlink r:id="rId31" w:history="1">
        <w:r w:rsidRPr="003160A4">
          <w:rPr>
            <w:rStyle w:val="Hyperlink"/>
            <w:rtl/>
          </w:rPr>
          <w:t>هنا</w:t>
        </w:r>
      </w:hyperlink>
      <w:r w:rsidRPr="003160A4">
        <w:rPr>
          <w:rtl/>
        </w:rPr>
        <w:t>.</w:t>
      </w:r>
    </w:p>
    <w:p w14:paraId="72E2F02D" w14:textId="1D57BC75" w:rsidR="00E63699" w:rsidRPr="003160A4" w:rsidRDefault="00295B8A" w:rsidP="00295B8A">
      <w:r w:rsidRPr="003160A4">
        <w:rPr>
          <w:rtl/>
        </w:rPr>
        <w:t>ويودُّ رئيس فريق التنسيق بين القطاعات (</w:t>
      </w:r>
      <w:r w:rsidRPr="003160A4">
        <w:t>ISCG</w:t>
      </w:r>
      <w:r w:rsidRPr="003160A4">
        <w:rPr>
          <w:rtl/>
        </w:rPr>
        <w:t>) أن يشكر الفريق الاستشاري لتنمية الاتصالات (</w:t>
      </w:r>
      <w:r w:rsidRPr="003160A4">
        <w:t>TDAG</w:t>
      </w:r>
      <w:r w:rsidRPr="003160A4">
        <w:rPr>
          <w:rtl/>
        </w:rPr>
        <w:t>) على الفرصة التي</w:t>
      </w:r>
      <w:r w:rsidR="00A61A52">
        <w:rPr>
          <w:rFonts w:hint="cs"/>
          <w:rtl/>
        </w:rPr>
        <w:t> </w:t>
      </w:r>
      <w:r w:rsidRPr="003160A4">
        <w:rPr>
          <w:rtl/>
        </w:rPr>
        <w:t>أتيحت له لتقديم هذا التقرير وتنظيم اجتماع فريق التنسيق بين القطاعات (</w:t>
      </w:r>
      <w:r w:rsidRPr="003160A4">
        <w:t>ISCG</w:t>
      </w:r>
      <w:r w:rsidRPr="003160A4">
        <w:rPr>
          <w:rtl/>
        </w:rPr>
        <w:t>) بالتزامن مع هذا الاجتماع.</w:t>
      </w:r>
    </w:p>
    <w:p w14:paraId="78D5EFAE" w14:textId="4197C406" w:rsidR="007B4FA0" w:rsidRPr="003160A4" w:rsidRDefault="00BF41A5" w:rsidP="00BF41A5">
      <w:pPr>
        <w:spacing w:before="600"/>
        <w:jc w:val="center"/>
        <w:rPr>
          <w:lang w:bidi="ar-EG"/>
        </w:rPr>
      </w:pPr>
      <w:r w:rsidRPr="003160A4">
        <w:rPr>
          <w:rtl/>
          <w:lang w:bidi="ar-EG"/>
        </w:rPr>
        <w:t>ــــــــــــــــــــــــــــــــــــــــــــــــــــــــــــــــــــــــــــــــــــــ</w:t>
      </w:r>
    </w:p>
    <w:sectPr w:rsidR="007B4FA0" w:rsidRPr="003160A4" w:rsidSect="0038003C">
      <w:headerReference w:type="default" r:id="rId32"/>
      <w:foot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1048" w14:textId="77777777" w:rsidR="0038003C" w:rsidRDefault="0038003C" w:rsidP="006C3242">
      <w:pPr>
        <w:spacing w:before="0" w:line="240" w:lineRule="auto"/>
      </w:pPr>
      <w:r>
        <w:separator/>
      </w:r>
    </w:p>
  </w:endnote>
  <w:endnote w:type="continuationSeparator" w:id="0">
    <w:p w14:paraId="0055637D" w14:textId="77777777" w:rsidR="0038003C" w:rsidRDefault="0038003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295B8A" w14:paraId="5A26CC1F" w14:textId="77777777" w:rsidTr="00F03E94">
      <w:tc>
        <w:tcPr>
          <w:tcW w:w="991" w:type="dxa"/>
          <w:tcBorders>
            <w:top w:val="single" w:sz="4" w:space="0" w:color="auto"/>
            <w:left w:val="nil"/>
            <w:bottom w:val="nil"/>
            <w:right w:val="nil"/>
          </w:tcBorders>
          <w:shd w:val="clear" w:color="auto" w:fill="FFFFFF" w:themeFill="background1"/>
          <w:hideMark/>
        </w:tcPr>
        <w:p w14:paraId="1D432941" w14:textId="77777777" w:rsidR="00882A17" w:rsidRPr="00295B8A" w:rsidRDefault="00882A17" w:rsidP="00882A17">
          <w:pPr>
            <w:spacing w:before="60" w:after="40" w:line="260" w:lineRule="exact"/>
            <w:rPr>
              <w:position w:val="2"/>
              <w:sz w:val="18"/>
              <w:szCs w:val="18"/>
              <w:lang w:val="en-GB"/>
            </w:rPr>
          </w:pPr>
          <w:r w:rsidRPr="00295B8A">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34925E2F" w14:textId="77777777" w:rsidR="00882A17" w:rsidRPr="00295B8A" w:rsidRDefault="00882A17" w:rsidP="00882A17">
          <w:pPr>
            <w:spacing w:before="60" w:after="40" w:line="260" w:lineRule="exact"/>
            <w:rPr>
              <w:position w:val="2"/>
              <w:sz w:val="18"/>
              <w:szCs w:val="18"/>
              <w:lang w:val="en-GB"/>
            </w:rPr>
          </w:pPr>
          <w:r w:rsidRPr="00295B8A">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E33F40F" w14:textId="470C71AF" w:rsidR="00882A17" w:rsidRPr="00295B8A" w:rsidRDefault="007D7F4A" w:rsidP="00882A17">
          <w:pPr>
            <w:spacing w:before="60" w:after="40" w:line="260" w:lineRule="exact"/>
            <w:rPr>
              <w:position w:val="2"/>
              <w:sz w:val="18"/>
              <w:szCs w:val="18"/>
              <w:rtl/>
              <w:lang w:val="en-GB" w:bidi="ar-EG"/>
            </w:rPr>
          </w:pPr>
          <w:r w:rsidRPr="00295B8A">
            <w:rPr>
              <w:position w:val="2"/>
              <w:sz w:val="18"/>
              <w:szCs w:val="18"/>
              <w:rtl/>
              <w:lang w:val="en-GB" w:bidi="ar-SY"/>
            </w:rPr>
            <w:t>السيد فابيو بيجي</w:t>
          </w:r>
          <w:r w:rsidRPr="00295B8A">
            <w:rPr>
              <w:rFonts w:hint="cs"/>
              <w:position w:val="2"/>
              <w:sz w:val="18"/>
              <w:szCs w:val="18"/>
              <w:rtl/>
              <w:lang w:val="en-GB" w:bidi="ar-SY"/>
            </w:rPr>
            <w:t>،</w:t>
          </w:r>
          <w:r w:rsidRPr="00295B8A">
            <w:rPr>
              <w:position w:val="2"/>
              <w:sz w:val="18"/>
              <w:szCs w:val="18"/>
              <w:rtl/>
              <w:lang w:val="en-GB" w:bidi="ar-SY"/>
            </w:rPr>
            <w:t xml:space="preserve"> رئيس فريق التنسيق بين القطاعات (</w:t>
          </w:r>
          <w:r w:rsidRPr="00295B8A">
            <w:rPr>
              <w:position w:val="2"/>
              <w:sz w:val="18"/>
              <w:szCs w:val="18"/>
              <w:lang w:val="en-GB" w:bidi="ar-SY"/>
            </w:rPr>
            <w:t>ISCG</w:t>
          </w:r>
          <w:r w:rsidRPr="00295B8A">
            <w:rPr>
              <w:position w:val="2"/>
              <w:sz w:val="18"/>
              <w:szCs w:val="18"/>
              <w:rtl/>
              <w:lang w:val="en-GB" w:bidi="ar-SY"/>
            </w:rPr>
            <w:t>)</w:t>
          </w:r>
        </w:p>
      </w:tc>
    </w:tr>
    <w:tr w:rsidR="00882A17" w:rsidRPr="00295B8A" w14:paraId="32108161" w14:textId="77777777" w:rsidTr="00F03E94">
      <w:tc>
        <w:tcPr>
          <w:tcW w:w="991" w:type="dxa"/>
        </w:tcPr>
        <w:p w14:paraId="1D71B807" w14:textId="77777777" w:rsidR="00882A17" w:rsidRPr="00295B8A" w:rsidRDefault="00882A17" w:rsidP="00882A17">
          <w:pPr>
            <w:spacing w:before="60" w:after="40" w:line="260" w:lineRule="exact"/>
            <w:rPr>
              <w:position w:val="2"/>
              <w:sz w:val="18"/>
              <w:szCs w:val="18"/>
              <w:lang w:val="en-GB"/>
            </w:rPr>
          </w:pPr>
        </w:p>
      </w:tc>
      <w:tc>
        <w:tcPr>
          <w:tcW w:w="2411" w:type="dxa"/>
          <w:hideMark/>
        </w:tcPr>
        <w:p w14:paraId="2EAD9433" w14:textId="77777777" w:rsidR="00882A17" w:rsidRPr="00295B8A" w:rsidRDefault="00882A17" w:rsidP="00882A17">
          <w:pPr>
            <w:spacing w:before="60" w:after="40" w:line="260" w:lineRule="exact"/>
            <w:rPr>
              <w:position w:val="2"/>
              <w:sz w:val="18"/>
              <w:szCs w:val="18"/>
              <w:lang w:val="en-GB"/>
            </w:rPr>
          </w:pPr>
          <w:r w:rsidRPr="00295B8A">
            <w:rPr>
              <w:position w:val="2"/>
              <w:sz w:val="18"/>
              <w:szCs w:val="18"/>
              <w:rtl/>
              <w:lang w:val="fr-FR" w:bidi="ar-EG"/>
            </w:rPr>
            <w:t>رقم الهاتف:</w:t>
          </w:r>
        </w:p>
      </w:tc>
      <w:tc>
        <w:tcPr>
          <w:tcW w:w="6237" w:type="dxa"/>
        </w:tcPr>
        <w:p w14:paraId="541B3015" w14:textId="58142E09" w:rsidR="00882A17" w:rsidRPr="00295B8A" w:rsidRDefault="007D7F4A" w:rsidP="00882A17">
          <w:pPr>
            <w:spacing w:before="60" w:after="40" w:line="260" w:lineRule="exact"/>
            <w:rPr>
              <w:position w:val="2"/>
              <w:sz w:val="18"/>
              <w:szCs w:val="18"/>
              <w:lang w:val="en-GB" w:bidi="ar-EG"/>
            </w:rPr>
          </w:pPr>
          <w:r w:rsidRPr="00295B8A">
            <w:rPr>
              <w:position w:val="2"/>
              <w:sz w:val="18"/>
              <w:szCs w:val="18"/>
              <w:rtl/>
              <w:lang w:val="en-GB" w:bidi="ar-EG"/>
            </w:rPr>
            <w:t>لا يوجد</w:t>
          </w:r>
        </w:p>
      </w:tc>
    </w:tr>
    <w:tr w:rsidR="007D7F4A" w:rsidRPr="00295B8A" w14:paraId="37C1A8DB" w14:textId="77777777" w:rsidTr="00F03E94">
      <w:tc>
        <w:tcPr>
          <w:tcW w:w="991" w:type="dxa"/>
        </w:tcPr>
        <w:p w14:paraId="3E40215B" w14:textId="77777777" w:rsidR="007D7F4A" w:rsidRPr="00295B8A" w:rsidRDefault="007D7F4A" w:rsidP="007D7F4A">
          <w:pPr>
            <w:spacing w:before="60" w:after="40" w:line="260" w:lineRule="exact"/>
            <w:rPr>
              <w:position w:val="2"/>
              <w:sz w:val="18"/>
              <w:szCs w:val="18"/>
              <w:lang w:val="en-GB"/>
            </w:rPr>
          </w:pPr>
        </w:p>
      </w:tc>
      <w:tc>
        <w:tcPr>
          <w:tcW w:w="2411" w:type="dxa"/>
          <w:hideMark/>
        </w:tcPr>
        <w:p w14:paraId="3D4C85F6" w14:textId="77777777" w:rsidR="007D7F4A" w:rsidRPr="00295B8A" w:rsidRDefault="007D7F4A" w:rsidP="007D7F4A">
          <w:pPr>
            <w:spacing w:before="60" w:after="40" w:line="260" w:lineRule="exact"/>
            <w:rPr>
              <w:position w:val="2"/>
              <w:sz w:val="18"/>
              <w:szCs w:val="18"/>
              <w:lang w:val="en-GB"/>
            </w:rPr>
          </w:pPr>
          <w:r w:rsidRPr="00295B8A">
            <w:rPr>
              <w:position w:val="2"/>
              <w:sz w:val="18"/>
              <w:szCs w:val="18"/>
              <w:rtl/>
              <w:lang w:val="fr-FR" w:bidi="ar-EG"/>
            </w:rPr>
            <w:t>البريد الإلكتروني:</w:t>
          </w:r>
        </w:p>
      </w:tc>
      <w:tc>
        <w:tcPr>
          <w:tcW w:w="6237" w:type="dxa"/>
        </w:tcPr>
        <w:p w14:paraId="3BBC0968" w14:textId="30AE5A19" w:rsidR="007D7F4A" w:rsidRPr="00295B8A" w:rsidRDefault="00F7790B" w:rsidP="007D7F4A">
          <w:pPr>
            <w:spacing w:before="60" w:after="40" w:line="260" w:lineRule="exact"/>
            <w:rPr>
              <w:position w:val="2"/>
              <w:sz w:val="18"/>
              <w:szCs w:val="18"/>
              <w:rtl/>
              <w:lang w:val="fr-FR" w:bidi="ar-EG"/>
            </w:rPr>
          </w:pPr>
          <w:hyperlink r:id="rId1" w:history="1">
            <w:r w:rsidR="007D7F4A" w:rsidRPr="00295B8A">
              <w:rPr>
                <w:rStyle w:val="Hyperlink"/>
                <w:sz w:val="18"/>
              </w:rPr>
              <w:t>fabio.bigi@virgilio.it</w:t>
            </w:r>
          </w:hyperlink>
          <w:r w:rsidR="007D7F4A" w:rsidRPr="00295B8A">
            <w:rPr>
              <w:rFonts w:hint="cs"/>
              <w:rtl/>
            </w:rPr>
            <w:t xml:space="preserve">؛ </w:t>
          </w:r>
          <w:hyperlink r:id="rId2" w:history="1">
            <w:r w:rsidR="007D7F4A" w:rsidRPr="00295B8A">
              <w:rPr>
                <w:rStyle w:val="Hyperlink"/>
                <w:sz w:val="18"/>
              </w:rPr>
              <w:t>iscg@itu.int</w:t>
            </w:r>
          </w:hyperlink>
          <w:r w:rsidR="007D7F4A" w:rsidRPr="00295B8A">
            <w:rPr>
              <w:sz w:val="18"/>
            </w:rPr>
            <w:t xml:space="preserve"> </w:t>
          </w:r>
        </w:p>
      </w:tc>
    </w:tr>
  </w:tbl>
  <w:p w14:paraId="1B77BDBE" w14:textId="77777777" w:rsidR="0006468A" w:rsidRPr="007D7F4A" w:rsidRDefault="00F7790B" w:rsidP="003971E3">
    <w:pPr>
      <w:pStyle w:val="Footer"/>
      <w:tabs>
        <w:tab w:val="clear" w:pos="4153"/>
        <w:tab w:val="clear" w:pos="8306"/>
        <w:tab w:val="center" w:pos="5103"/>
        <w:tab w:val="right" w:pos="9639"/>
      </w:tabs>
      <w:spacing w:before="120"/>
      <w:jc w:val="center"/>
      <w:rPr>
        <w:sz w:val="18"/>
        <w:szCs w:val="18"/>
        <w:lang w:val="fr-FR"/>
      </w:rPr>
    </w:pPr>
    <w:hyperlink r:id="rId3" w:history="1">
      <w:r w:rsidR="003971E3" w:rsidRPr="00295B8A">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5527" w14:textId="77777777" w:rsidR="0038003C" w:rsidRDefault="0038003C" w:rsidP="006C3242">
      <w:pPr>
        <w:spacing w:before="0" w:line="240" w:lineRule="auto"/>
      </w:pPr>
      <w:r>
        <w:separator/>
      </w:r>
    </w:p>
  </w:footnote>
  <w:footnote w:type="continuationSeparator" w:id="0">
    <w:p w14:paraId="0EBF6EB2" w14:textId="77777777" w:rsidR="0038003C" w:rsidRDefault="0038003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899D7F3" w14:textId="6B8AE6B0"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w:t>
        </w:r>
        <w:bookmarkStart w:id="2" w:name="DocNo2"/>
        <w:bookmarkEnd w:id="2"/>
        <w:r w:rsidR="007D7F4A">
          <w:rPr>
            <w:sz w:val="20"/>
            <w:szCs w:val="20"/>
            <w:lang w:val="es-ES_tradnl"/>
          </w:rPr>
          <w:t>24</w:t>
        </w:r>
        <w:r w:rsidR="00D8311F">
          <w:rPr>
            <w:sz w:val="20"/>
            <w:szCs w:val="20"/>
            <w:lang w:val="es-ES_tradnl"/>
          </w:rPr>
          <w:t>/</w:t>
        </w:r>
        <w:r w:rsidR="007D7F4A">
          <w:rPr>
            <w:sz w:val="20"/>
            <w:szCs w:val="20"/>
            <w:lang w:val="es-ES_tradnl"/>
          </w:rPr>
          <w:t>9</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3C"/>
    <w:rsid w:val="00026D7C"/>
    <w:rsid w:val="0006468A"/>
    <w:rsid w:val="0008510C"/>
    <w:rsid w:val="00090574"/>
    <w:rsid w:val="000C1C0E"/>
    <w:rsid w:val="000C548A"/>
    <w:rsid w:val="000F2B81"/>
    <w:rsid w:val="00153471"/>
    <w:rsid w:val="0019128D"/>
    <w:rsid w:val="001C0169"/>
    <w:rsid w:val="001D1D50"/>
    <w:rsid w:val="001D6745"/>
    <w:rsid w:val="001E446E"/>
    <w:rsid w:val="0021016E"/>
    <w:rsid w:val="002154EE"/>
    <w:rsid w:val="002276D2"/>
    <w:rsid w:val="0023283D"/>
    <w:rsid w:val="0026373E"/>
    <w:rsid w:val="00271C43"/>
    <w:rsid w:val="00290728"/>
    <w:rsid w:val="00295B8A"/>
    <w:rsid w:val="002978F4"/>
    <w:rsid w:val="002B028D"/>
    <w:rsid w:val="002E6541"/>
    <w:rsid w:val="003160A4"/>
    <w:rsid w:val="00317741"/>
    <w:rsid w:val="00334924"/>
    <w:rsid w:val="003409BC"/>
    <w:rsid w:val="00357185"/>
    <w:rsid w:val="0038003C"/>
    <w:rsid w:val="00383829"/>
    <w:rsid w:val="003971E3"/>
    <w:rsid w:val="003C4402"/>
    <w:rsid w:val="003F4B29"/>
    <w:rsid w:val="00406ECA"/>
    <w:rsid w:val="0042686F"/>
    <w:rsid w:val="004317D8"/>
    <w:rsid w:val="00434183"/>
    <w:rsid w:val="00443869"/>
    <w:rsid w:val="00447F32"/>
    <w:rsid w:val="004A4E31"/>
    <w:rsid w:val="004E11DC"/>
    <w:rsid w:val="004F3C48"/>
    <w:rsid w:val="00506E94"/>
    <w:rsid w:val="00525DDD"/>
    <w:rsid w:val="005409AC"/>
    <w:rsid w:val="0055516A"/>
    <w:rsid w:val="0058491B"/>
    <w:rsid w:val="005874F2"/>
    <w:rsid w:val="00592EA5"/>
    <w:rsid w:val="005A3170"/>
    <w:rsid w:val="005B2C89"/>
    <w:rsid w:val="005D610E"/>
    <w:rsid w:val="005E1E6D"/>
    <w:rsid w:val="006128FC"/>
    <w:rsid w:val="00677396"/>
    <w:rsid w:val="0069200F"/>
    <w:rsid w:val="006A65CB"/>
    <w:rsid w:val="006C3242"/>
    <w:rsid w:val="006C7CC0"/>
    <w:rsid w:val="006F63F7"/>
    <w:rsid w:val="007025C7"/>
    <w:rsid w:val="00706D7A"/>
    <w:rsid w:val="00722F0D"/>
    <w:rsid w:val="0074420E"/>
    <w:rsid w:val="00747A70"/>
    <w:rsid w:val="00783A69"/>
    <w:rsid w:val="00783E26"/>
    <w:rsid w:val="007A1D77"/>
    <w:rsid w:val="007B4FA0"/>
    <w:rsid w:val="007C3BC7"/>
    <w:rsid w:val="007C3BCD"/>
    <w:rsid w:val="007C55BE"/>
    <w:rsid w:val="007D2A16"/>
    <w:rsid w:val="007D4ACF"/>
    <w:rsid w:val="007D7F4A"/>
    <w:rsid w:val="007F0787"/>
    <w:rsid w:val="00810B7B"/>
    <w:rsid w:val="0082358A"/>
    <w:rsid w:val="008235CD"/>
    <w:rsid w:val="008247DE"/>
    <w:rsid w:val="00840B10"/>
    <w:rsid w:val="008513CB"/>
    <w:rsid w:val="008562F3"/>
    <w:rsid w:val="00874F08"/>
    <w:rsid w:val="00882A17"/>
    <w:rsid w:val="008A7F84"/>
    <w:rsid w:val="008F421B"/>
    <w:rsid w:val="009155BC"/>
    <w:rsid w:val="0091702E"/>
    <w:rsid w:val="00923B0C"/>
    <w:rsid w:val="0094021C"/>
    <w:rsid w:val="0094065A"/>
    <w:rsid w:val="00952F86"/>
    <w:rsid w:val="009721A9"/>
    <w:rsid w:val="009766AE"/>
    <w:rsid w:val="00982B28"/>
    <w:rsid w:val="00983DA5"/>
    <w:rsid w:val="009D313F"/>
    <w:rsid w:val="00A24359"/>
    <w:rsid w:val="00A47A5A"/>
    <w:rsid w:val="00A61A52"/>
    <w:rsid w:val="00A6683B"/>
    <w:rsid w:val="00A97F94"/>
    <w:rsid w:val="00AA7EA2"/>
    <w:rsid w:val="00AF3582"/>
    <w:rsid w:val="00B03099"/>
    <w:rsid w:val="00B05BC8"/>
    <w:rsid w:val="00B15BE6"/>
    <w:rsid w:val="00B64B47"/>
    <w:rsid w:val="00B93B7B"/>
    <w:rsid w:val="00BF41A5"/>
    <w:rsid w:val="00BF75AA"/>
    <w:rsid w:val="00C002DE"/>
    <w:rsid w:val="00C53BF8"/>
    <w:rsid w:val="00C54159"/>
    <w:rsid w:val="00C56B5F"/>
    <w:rsid w:val="00C66157"/>
    <w:rsid w:val="00C674FE"/>
    <w:rsid w:val="00C67501"/>
    <w:rsid w:val="00C75633"/>
    <w:rsid w:val="00C85CB5"/>
    <w:rsid w:val="00CA08BA"/>
    <w:rsid w:val="00CE2EE1"/>
    <w:rsid w:val="00CE3349"/>
    <w:rsid w:val="00CE36E5"/>
    <w:rsid w:val="00CF27F5"/>
    <w:rsid w:val="00CF3FFD"/>
    <w:rsid w:val="00D10CCF"/>
    <w:rsid w:val="00D77D0F"/>
    <w:rsid w:val="00D8311F"/>
    <w:rsid w:val="00DA1CF0"/>
    <w:rsid w:val="00DC1E02"/>
    <w:rsid w:val="00DC24B4"/>
    <w:rsid w:val="00DC5FB0"/>
    <w:rsid w:val="00DF16DC"/>
    <w:rsid w:val="00E45211"/>
    <w:rsid w:val="00E473C5"/>
    <w:rsid w:val="00E63699"/>
    <w:rsid w:val="00E92863"/>
    <w:rsid w:val="00EA1436"/>
    <w:rsid w:val="00EB796D"/>
    <w:rsid w:val="00EE5CF2"/>
    <w:rsid w:val="00F058DC"/>
    <w:rsid w:val="00F24FC4"/>
    <w:rsid w:val="00F2676C"/>
    <w:rsid w:val="00F3154A"/>
    <w:rsid w:val="00F43D01"/>
    <w:rsid w:val="00F77022"/>
    <w:rsid w:val="00F7790B"/>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FE7E4"/>
  <w15:chartTrackingRefBased/>
  <w15:docId w15:val="{97BE84F9-424B-4489-A339-CAA1A2F0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Style 58,超?级链,超????,하이퍼링크2,超链接1,超?级链?,Style?,S"/>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7D7F4A"/>
    <w:rPr>
      <w:color w:val="605E5C"/>
      <w:shd w:val="clear" w:color="auto" w:fill="E1DFDD"/>
    </w:rPr>
  </w:style>
  <w:style w:type="paragraph" w:customStyle="1" w:styleId="Headingb0">
    <w:name w:val="Heading_b"/>
    <w:basedOn w:val="Heading2"/>
    <w:rsid w:val="007D7F4A"/>
    <w:pPr>
      <w:keepLines w:val="0"/>
      <w:tabs>
        <w:tab w:val="clear" w:pos="794"/>
        <w:tab w:val="left" w:pos="1134"/>
        <w:tab w:val="left" w:pos="1871"/>
        <w:tab w:val="left" w:pos="2268"/>
      </w:tabs>
      <w:spacing w:before="180"/>
      <w:ind w:left="0" w:firstLine="0"/>
    </w:pPr>
    <w:rPr>
      <w:rFonts w:eastAsia="Times New Roman"/>
      <w:kern w:val="14"/>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general-secretariat/ties/ISCGDocumentLibrary/1st%20Meeting%202024/ISCM-Res%20191-R1.pptx" TargetMode="External"/><Relationship Id="rId18" Type="http://schemas.openxmlformats.org/officeDocument/2006/relationships/hyperlink" Target="https://www.itu.int/en/general-secretariat/ties/ISCGDocumentLibrary/1st%20Meeting%202024/TDAG-LS002-Machine%20translation.docx" TargetMode="External"/><Relationship Id="rId26" Type="http://schemas.openxmlformats.org/officeDocument/2006/relationships/hyperlink" Target="https://www.itu.int/pub/R-REP-BT/publications.aspx?lang=en&amp;parent=R-REP-BT.2524" TargetMode="External"/><Relationship Id="rId21" Type="http://schemas.openxmlformats.org/officeDocument/2006/relationships/hyperlink" Target="https://ituint.sharepoint.com/sites/MaitesTeam/Shared%20Documents/BDT_Meetings%20from%202020/TDAG/2023-2025/TDAG-24/Documents/Cs/&#8226;%09FSTP-A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general-secretariat/Pages/ISCG/default.aspx" TargetMode="External"/><Relationship Id="rId17" Type="http://schemas.openxmlformats.org/officeDocument/2006/relationships/hyperlink" Target="https://www.itu.int/en/general-secretariat/ties/ISCGDocumentLibrary/1st%20Meeting%202024/TDAG-LS001-Access%20to%20documents%20on%20intersectoral%20activities.docx" TargetMode="External"/><Relationship Id="rId25" Type="http://schemas.openxmlformats.org/officeDocument/2006/relationships/hyperlink" Target="https://www.itu.int/pub/R-REP-BT/publications.aspx?lang=en&amp;parent=R-REP-BT.252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general-secretariat/ties/ISCGDocumentLibrary/1st%20Meeting%202024/TSAG-LS00020-Inclusive%20language.docx" TargetMode="External"/><Relationship Id="rId20" Type="http://schemas.openxmlformats.org/officeDocument/2006/relationships/hyperlink" Target="https://www.itu.int/dms_pub/itu-t/opb/tut/T-TUT-FSTP-2015-ACC-PDF-E.pdf" TargetMode="External"/><Relationship Id="rId29" Type="http://schemas.openxmlformats.org/officeDocument/2006/relationships/hyperlink" Target="https://www.itu.int/en/general-secretariat/ties/ISCGDocumentLibrary/1st%20Meeting%202023/Mapping-of-resolutions-Updated%20Oct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ties/ISCGDocumentLibrary/1st%20Meeting%202024/ISCG-24-1-02-1st%20Meeting%202023-Final%20Report.docx" TargetMode="External"/><Relationship Id="rId24" Type="http://schemas.openxmlformats.org/officeDocument/2006/relationships/hyperlink" Target="https://www.itu.int/en/general-secretariat/ties/ISCGDocumentLibrary/1st%20Meeting%202024/ISCG-24-1-08-ITU-R%20Focal%20Point-Contribution.docx" TargetMode="External"/><Relationship Id="rId32" Type="http://schemas.openxmlformats.org/officeDocument/2006/relationships/header" Target="head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itu.int/en/general-secretariat/Pages/ISCG/default.aspx" TargetMode="External"/><Relationship Id="rId23" Type="http://schemas.openxmlformats.org/officeDocument/2006/relationships/hyperlink" Target="https://www.itu.int/en/general-secretariat/ties/ISCGDocumentLibrary/1st%20Meeting%202024/ISCG-24-1-07-Report%20Climate%20change%20Coordinator.docx" TargetMode="External"/><Relationship Id="rId28" Type="http://schemas.openxmlformats.org/officeDocument/2006/relationships/hyperlink" Target="https://www.itu.int/en/general-secretariat/ties/ISCGDocumentLibrary/1st%20Meeting%202024/ITUWebsite.docx" TargetMode="External"/><Relationship Id="rId36" Type="http://schemas.openxmlformats.org/officeDocument/2006/relationships/customXml" Target="../customXml/item2.xml"/><Relationship Id="rId10" Type="http://schemas.openxmlformats.org/officeDocument/2006/relationships/hyperlink" Target="https://www.itu.int/en/general-secretariat/ties/ISCGDocumentLibrary/1st%20Meeting%202024/ISCG-24-1-01-E-R3-Agenda.docx" TargetMode="External"/><Relationship Id="rId19" Type="http://schemas.openxmlformats.org/officeDocument/2006/relationships/hyperlink" Target="https://www.itu.int/en/general-secretariat/ties/ISCGDocumentLibrary/1st%20Meeting%202024/TDAG-LS004-Governance%20and%20management%20of%20virtual%20meetings.docx" TargetMode="External"/><Relationship Id="rId31" Type="http://schemas.openxmlformats.org/officeDocument/2006/relationships/hyperlink" Target="https://www.itu.int/en/general-secretariat/Pages/ISCG/default.aspx" TargetMode="External"/><Relationship Id="rId4" Type="http://schemas.openxmlformats.org/officeDocument/2006/relationships/settings" Target="settings.xml"/><Relationship Id="rId9" Type="http://schemas.openxmlformats.org/officeDocument/2006/relationships/hyperlink" Target="https://www.itu.int/en/council/Documents/basic-texts-2023/RES-191-E.pdf" TargetMode="External"/><Relationship Id="rId14" Type="http://schemas.openxmlformats.org/officeDocument/2006/relationships/hyperlink" Target="https://www.itu.int/en/general-secretariat/ties/ISCGDocumentLibrary/Liaisons%20Statements%20on%20Inter-Sectoral%20Coordination%20Activities/ISCM-List%20of%20Focal%20Points.pdf" TargetMode="External"/><Relationship Id="rId22" Type="http://schemas.openxmlformats.org/officeDocument/2006/relationships/hyperlink" Target="https://www.itu.int/en/general-secretariat/ties/ISCGDocumentLibrary/1st%20Meeting%202024/Green%20Digital%20Action%20at%20COP%2028.pdf" TargetMode="External"/><Relationship Id="rId27" Type="http://schemas.openxmlformats.org/officeDocument/2006/relationships/hyperlink" Target="https://www.itu.int/md/S24-CWGFHR17-INF-0004/en" TargetMode="External"/><Relationship Id="rId30" Type="http://schemas.openxmlformats.org/officeDocument/2006/relationships/hyperlink" Target="https://www.itu.int/en/general-secretariat/ties/ISCGDocumentLibrary/1st%20Meeting%202024/ISCG-24-1-04-Mapping%20Table%203.docx" TargetMode="External"/><Relationship Id="rId35"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iscg@itu.int" TargetMode="External"/><Relationship Id="rId1" Type="http://schemas.openxmlformats.org/officeDocument/2006/relationships/hyperlink" Target="mailto:fabio.bigi@virgilio.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D%20(BDT)\PA_TDA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3A231891-104A-483D-B2CF-73FB59905EEC}"/>
</file>

<file path=customXml/itemProps3.xml><?xml version="1.0" encoding="utf-8"?>
<ds:datastoreItem xmlns:ds="http://schemas.openxmlformats.org/officeDocument/2006/customXml" ds:itemID="{2B8269D2-A35C-4C6E-B4D4-5C1498028628}"/>
</file>

<file path=docProps/app.xml><?xml version="1.0" encoding="utf-8"?>
<Properties xmlns="http://schemas.openxmlformats.org/officeDocument/2006/extended-properties" xmlns:vt="http://schemas.openxmlformats.org/officeDocument/2006/docPropsVTypes">
  <Template>PA_TDAG-23.dotx</Template>
  <TotalTime>5</TotalTime>
  <Pages>6</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KAAA</dc:creator>
  <cp:keywords/>
  <dc:description/>
  <cp:lastModifiedBy>Arabic-IR</cp:lastModifiedBy>
  <cp:revision>5</cp:revision>
  <dcterms:created xsi:type="dcterms:W3CDTF">2024-03-28T10:09:00Z</dcterms:created>
  <dcterms:modified xsi:type="dcterms:W3CDTF">2024-03-28T10:15:00Z</dcterms:modified>
</cp:coreProperties>
</file>