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9577F8" w14:paraId="3F0E9EC4" w14:textId="77777777" w:rsidTr="00952667">
        <w:trPr>
          <w:cantSplit/>
          <w:trHeight w:val="1134"/>
        </w:trPr>
        <w:tc>
          <w:tcPr>
            <w:tcW w:w="6379" w:type="dxa"/>
          </w:tcPr>
          <w:p w14:paraId="68FE8375" w14:textId="60D4E501" w:rsidR="00307769" w:rsidRPr="009577F8" w:rsidRDefault="001011EB" w:rsidP="00307769">
            <w:pPr>
              <w:tabs>
                <w:tab w:val="clear" w:pos="1191"/>
                <w:tab w:val="clear" w:pos="1588"/>
                <w:tab w:val="clear" w:pos="1985"/>
              </w:tabs>
              <w:ind w:left="34"/>
              <w:rPr>
                <w:b/>
                <w:bCs/>
                <w:sz w:val="32"/>
                <w:szCs w:val="32"/>
                <w:lang w:val="fr-FR"/>
              </w:rPr>
            </w:pPr>
            <w:r w:rsidRPr="009577F8">
              <w:rPr>
                <w:b/>
                <w:bCs/>
                <w:sz w:val="32"/>
                <w:szCs w:val="32"/>
                <w:lang w:val="fr-FR"/>
              </w:rPr>
              <w:t xml:space="preserve">Groupe consultatif pour le développement </w:t>
            </w:r>
            <w:r w:rsidR="00307769" w:rsidRPr="009577F8">
              <w:rPr>
                <w:b/>
                <w:bCs/>
                <w:sz w:val="32"/>
                <w:szCs w:val="32"/>
                <w:lang w:val="fr-FR"/>
              </w:rPr>
              <w:br/>
            </w:r>
            <w:r w:rsidRPr="009577F8">
              <w:rPr>
                <w:b/>
                <w:bCs/>
                <w:sz w:val="32"/>
                <w:szCs w:val="32"/>
                <w:lang w:val="fr-FR"/>
              </w:rPr>
              <w:t>des télécommunications (GCDT</w:t>
            </w:r>
            <w:r w:rsidR="00307769" w:rsidRPr="009577F8">
              <w:rPr>
                <w:b/>
                <w:bCs/>
                <w:sz w:val="32"/>
                <w:szCs w:val="32"/>
                <w:lang w:val="fr-FR"/>
              </w:rPr>
              <w:t>)</w:t>
            </w:r>
          </w:p>
          <w:p w14:paraId="5F5F590A" w14:textId="114AEE46" w:rsidR="00307769" w:rsidRPr="009577F8" w:rsidRDefault="00307769" w:rsidP="001011EB">
            <w:pPr>
              <w:tabs>
                <w:tab w:val="clear" w:pos="1191"/>
                <w:tab w:val="clear" w:pos="1588"/>
                <w:tab w:val="clear" w:pos="1985"/>
              </w:tabs>
              <w:spacing w:after="120"/>
              <w:ind w:left="34"/>
              <w:rPr>
                <w:rFonts w:ascii="Verdana" w:hAnsi="Verdana"/>
                <w:sz w:val="28"/>
                <w:szCs w:val="28"/>
                <w:lang w:val="fr-FR"/>
              </w:rPr>
            </w:pPr>
            <w:r w:rsidRPr="009577F8">
              <w:rPr>
                <w:b/>
                <w:bCs/>
                <w:sz w:val="26"/>
                <w:szCs w:val="26"/>
                <w:lang w:val="fr-FR"/>
              </w:rPr>
              <w:t>3</w:t>
            </w:r>
            <w:r w:rsidR="00873313" w:rsidRPr="009577F8">
              <w:rPr>
                <w:b/>
                <w:bCs/>
                <w:sz w:val="26"/>
                <w:szCs w:val="26"/>
                <w:lang w:val="fr-FR"/>
              </w:rPr>
              <w:t>1</w:t>
            </w:r>
            <w:r w:rsidR="001011EB" w:rsidRPr="009577F8">
              <w:rPr>
                <w:b/>
                <w:bCs/>
                <w:sz w:val="26"/>
                <w:szCs w:val="26"/>
                <w:lang w:val="fr-FR"/>
              </w:rPr>
              <w:t>ème réunion</w:t>
            </w:r>
            <w:r w:rsidRPr="009577F8">
              <w:rPr>
                <w:b/>
                <w:bCs/>
                <w:sz w:val="26"/>
                <w:szCs w:val="26"/>
                <w:lang w:val="fr-FR"/>
              </w:rPr>
              <w:t xml:space="preserve">, </w:t>
            </w:r>
            <w:r w:rsidR="001011EB" w:rsidRPr="009577F8">
              <w:rPr>
                <w:b/>
                <w:bCs/>
                <w:sz w:val="26"/>
                <w:szCs w:val="26"/>
                <w:lang w:val="fr-FR"/>
              </w:rPr>
              <w:t>Genève</w:t>
            </w:r>
            <w:r w:rsidR="00D47E23" w:rsidRPr="009577F8">
              <w:rPr>
                <w:b/>
                <w:bCs/>
                <w:sz w:val="26"/>
                <w:szCs w:val="26"/>
                <w:lang w:val="fr-FR"/>
              </w:rPr>
              <w:t xml:space="preserve">, </w:t>
            </w:r>
            <w:r w:rsidR="001011EB" w:rsidRPr="009577F8">
              <w:rPr>
                <w:b/>
                <w:bCs/>
                <w:sz w:val="26"/>
                <w:szCs w:val="26"/>
                <w:lang w:val="fr-FR"/>
              </w:rPr>
              <w:t>Suisse</w:t>
            </w:r>
            <w:r w:rsidRPr="009577F8">
              <w:rPr>
                <w:b/>
                <w:bCs/>
                <w:sz w:val="26"/>
                <w:szCs w:val="26"/>
                <w:lang w:val="fr-FR"/>
              </w:rPr>
              <w:t xml:space="preserve">, </w:t>
            </w:r>
            <w:r w:rsidR="00873313" w:rsidRPr="009577F8">
              <w:rPr>
                <w:b/>
                <w:bCs/>
                <w:sz w:val="26"/>
                <w:szCs w:val="26"/>
                <w:lang w:val="fr-FR"/>
              </w:rPr>
              <w:t>20</w:t>
            </w:r>
            <w:r w:rsidRPr="009577F8">
              <w:rPr>
                <w:b/>
                <w:bCs/>
                <w:sz w:val="26"/>
                <w:szCs w:val="26"/>
                <w:lang w:val="fr-FR"/>
              </w:rPr>
              <w:t>-</w:t>
            </w:r>
            <w:r w:rsidR="00873313" w:rsidRPr="009577F8">
              <w:rPr>
                <w:b/>
                <w:bCs/>
                <w:sz w:val="26"/>
                <w:szCs w:val="26"/>
                <w:lang w:val="fr-FR"/>
              </w:rPr>
              <w:t>2</w:t>
            </w:r>
            <w:r w:rsidR="00930514" w:rsidRPr="009577F8">
              <w:rPr>
                <w:b/>
                <w:bCs/>
                <w:sz w:val="26"/>
                <w:szCs w:val="26"/>
                <w:lang w:val="fr-FR"/>
              </w:rPr>
              <w:t>3</w:t>
            </w:r>
            <w:r w:rsidR="00873313" w:rsidRPr="009577F8">
              <w:rPr>
                <w:b/>
                <w:bCs/>
                <w:sz w:val="26"/>
                <w:szCs w:val="26"/>
                <w:lang w:val="fr-FR"/>
              </w:rPr>
              <w:t xml:space="preserve"> mai</w:t>
            </w:r>
            <w:r w:rsidRPr="009577F8">
              <w:rPr>
                <w:b/>
                <w:bCs/>
                <w:sz w:val="26"/>
                <w:szCs w:val="26"/>
                <w:lang w:val="fr-FR"/>
              </w:rPr>
              <w:t xml:space="preserve"> 202</w:t>
            </w:r>
            <w:r w:rsidR="00873313" w:rsidRPr="009577F8">
              <w:rPr>
                <w:b/>
                <w:bCs/>
                <w:sz w:val="26"/>
                <w:szCs w:val="26"/>
                <w:lang w:val="fr-FR"/>
              </w:rPr>
              <w:t>4</w:t>
            </w:r>
          </w:p>
        </w:tc>
        <w:tc>
          <w:tcPr>
            <w:tcW w:w="3509" w:type="dxa"/>
          </w:tcPr>
          <w:p w14:paraId="67E7B4C4" w14:textId="0F52E4CC" w:rsidR="00307769" w:rsidRPr="009577F8" w:rsidRDefault="00307769" w:rsidP="00952667">
            <w:pPr>
              <w:spacing w:after="120"/>
              <w:ind w:right="142"/>
              <w:jc w:val="right"/>
              <w:rPr>
                <w:lang w:val="fr-FR"/>
              </w:rPr>
            </w:pPr>
            <w:r w:rsidRPr="009577F8">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577F8" w14:paraId="3C13197B" w14:textId="77777777" w:rsidTr="0009076F">
        <w:trPr>
          <w:cantSplit/>
        </w:trPr>
        <w:tc>
          <w:tcPr>
            <w:tcW w:w="6379" w:type="dxa"/>
            <w:tcBorders>
              <w:top w:val="single" w:sz="12" w:space="0" w:color="auto"/>
            </w:tcBorders>
          </w:tcPr>
          <w:p w14:paraId="2EED9DB2" w14:textId="77777777" w:rsidR="00683C32" w:rsidRPr="009577F8"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9577F8" w:rsidRDefault="00683C32" w:rsidP="00107E85">
            <w:pPr>
              <w:spacing w:before="0"/>
              <w:rPr>
                <w:b/>
                <w:bCs/>
                <w:sz w:val="20"/>
                <w:lang w:val="fr-FR"/>
              </w:rPr>
            </w:pPr>
          </w:p>
        </w:tc>
      </w:tr>
      <w:tr w:rsidR="00683C32" w:rsidRPr="009577F8" w14:paraId="0BB3FBC4" w14:textId="77777777" w:rsidTr="0009076F">
        <w:trPr>
          <w:cantSplit/>
        </w:trPr>
        <w:tc>
          <w:tcPr>
            <w:tcW w:w="6379" w:type="dxa"/>
          </w:tcPr>
          <w:p w14:paraId="43C54B3D" w14:textId="77777777" w:rsidR="00683C32" w:rsidRPr="009577F8" w:rsidRDefault="00683C32" w:rsidP="00400CCF">
            <w:pPr>
              <w:pStyle w:val="Committee"/>
              <w:spacing w:before="0"/>
              <w:rPr>
                <w:b w:val="0"/>
                <w:szCs w:val="24"/>
                <w:lang w:val="fr-FR"/>
              </w:rPr>
            </w:pPr>
          </w:p>
        </w:tc>
        <w:tc>
          <w:tcPr>
            <w:tcW w:w="3509" w:type="dxa"/>
          </w:tcPr>
          <w:p w14:paraId="02E44EE9" w14:textId="6D4DE379" w:rsidR="00683C32" w:rsidRPr="009577F8" w:rsidRDefault="0096201B" w:rsidP="00E25345">
            <w:pPr>
              <w:spacing w:before="0"/>
              <w:jc w:val="both"/>
              <w:rPr>
                <w:bCs/>
                <w:szCs w:val="24"/>
                <w:lang w:val="fr-FR"/>
              </w:rPr>
            </w:pPr>
            <w:r w:rsidRPr="009577F8">
              <w:rPr>
                <w:b/>
                <w:bCs/>
                <w:lang w:val="fr-FR"/>
              </w:rPr>
              <w:t xml:space="preserve">Document </w:t>
            </w:r>
            <w:bookmarkStart w:id="0" w:name="DocRef1"/>
            <w:bookmarkEnd w:id="0"/>
            <w:r w:rsidRPr="009577F8">
              <w:rPr>
                <w:b/>
                <w:bCs/>
                <w:lang w:val="fr-FR"/>
              </w:rPr>
              <w:t>TDAG</w:t>
            </w:r>
            <w:r w:rsidR="003242AB" w:rsidRPr="009577F8">
              <w:rPr>
                <w:b/>
                <w:bCs/>
                <w:lang w:val="fr-FR"/>
              </w:rPr>
              <w:t>-</w:t>
            </w:r>
            <w:r w:rsidR="00B648C7" w:rsidRPr="009577F8">
              <w:rPr>
                <w:b/>
                <w:bCs/>
                <w:lang w:val="fr-FR"/>
              </w:rPr>
              <w:t>2</w:t>
            </w:r>
            <w:bookmarkStart w:id="1" w:name="DocNo1"/>
            <w:bookmarkEnd w:id="1"/>
            <w:r w:rsidR="00873313" w:rsidRPr="009577F8">
              <w:rPr>
                <w:b/>
                <w:bCs/>
                <w:lang w:val="fr-FR"/>
              </w:rPr>
              <w:t>4</w:t>
            </w:r>
            <w:r w:rsidR="0009076F" w:rsidRPr="009577F8">
              <w:rPr>
                <w:b/>
                <w:bCs/>
                <w:lang w:val="fr-FR"/>
              </w:rPr>
              <w:t>/</w:t>
            </w:r>
            <w:r w:rsidR="00B21FDE" w:rsidRPr="009577F8">
              <w:rPr>
                <w:b/>
                <w:bCs/>
                <w:lang w:val="fr-FR"/>
              </w:rPr>
              <w:t>12</w:t>
            </w:r>
            <w:r w:rsidRPr="009577F8">
              <w:rPr>
                <w:b/>
                <w:bCs/>
                <w:lang w:val="fr-FR"/>
              </w:rPr>
              <w:t>-</w:t>
            </w:r>
            <w:r w:rsidR="00E25345" w:rsidRPr="009577F8">
              <w:rPr>
                <w:b/>
                <w:bCs/>
                <w:lang w:val="fr-FR"/>
              </w:rPr>
              <w:t>F</w:t>
            </w:r>
          </w:p>
        </w:tc>
      </w:tr>
      <w:tr w:rsidR="00683C32" w:rsidRPr="009577F8" w14:paraId="24D04936" w14:textId="77777777" w:rsidTr="0009076F">
        <w:trPr>
          <w:cantSplit/>
        </w:trPr>
        <w:tc>
          <w:tcPr>
            <w:tcW w:w="6379" w:type="dxa"/>
          </w:tcPr>
          <w:p w14:paraId="12CE4DBF" w14:textId="77777777" w:rsidR="00683C32" w:rsidRPr="009577F8" w:rsidRDefault="00683C32" w:rsidP="00400CCF">
            <w:pPr>
              <w:spacing w:before="0"/>
              <w:rPr>
                <w:b/>
                <w:bCs/>
                <w:smallCaps/>
                <w:szCs w:val="24"/>
                <w:lang w:val="fr-FR"/>
              </w:rPr>
            </w:pPr>
          </w:p>
        </w:tc>
        <w:tc>
          <w:tcPr>
            <w:tcW w:w="3509" w:type="dxa"/>
          </w:tcPr>
          <w:p w14:paraId="0F89640F" w14:textId="6CC41FEF" w:rsidR="00683C32" w:rsidRPr="009577F8" w:rsidRDefault="00B21FDE" w:rsidP="00B648C7">
            <w:pPr>
              <w:spacing w:before="0"/>
              <w:rPr>
                <w:b/>
                <w:szCs w:val="24"/>
                <w:lang w:val="fr-FR"/>
              </w:rPr>
            </w:pPr>
            <w:bookmarkStart w:id="2" w:name="CreationDate"/>
            <w:bookmarkEnd w:id="2"/>
            <w:r w:rsidRPr="009577F8">
              <w:rPr>
                <w:b/>
                <w:bCs/>
                <w:lang w:val="fr-FR"/>
              </w:rPr>
              <w:t>29 avril 2024</w:t>
            </w:r>
          </w:p>
        </w:tc>
      </w:tr>
      <w:tr w:rsidR="00683C32" w:rsidRPr="009577F8" w14:paraId="7B96545F" w14:textId="77777777" w:rsidTr="0009076F">
        <w:trPr>
          <w:cantSplit/>
        </w:trPr>
        <w:tc>
          <w:tcPr>
            <w:tcW w:w="6379" w:type="dxa"/>
          </w:tcPr>
          <w:p w14:paraId="65956FD3" w14:textId="77777777" w:rsidR="00683C32" w:rsidRPr="009577F8" w:rsidRDefault="00683C32" w:rsidP="00400CCF">
            <w:pPr>
              <w:spacing w:before="0"/>
              <w:rPr>
                <w:b/>
                <w:bCs/>
                <w:smallCaps/>
                <w:szCs w:val="24"/>
                <w:lang w:val="fr-FR"/>
              </w:rPr>
            </w:pPr>
          </w:p>
        </w:tc>
        <w:tc>
          <w:tcPr>
            <w:tcW w:w="3509" w:type="dxa"/>
          </w:tcPr>
          <w:p w14:paraId="30EFD39F" w14:textId="33ACFB79" w:rsidR="00514D2F" w:rsidRPr="009577F8" w:rsidRDefault="0096201B" w:rsidP="001011EB">
            <w:pPr>
              <w:spacing w:before="0"/>
              <w:rPr>
                <w:szCs w:val="24"/>
                <w:lang w:val="fr-FR"/>
              </w:rPr>
            </w:pPr>
            <w:r w:rsidRPr="009577F8">
              <w:rPr>
                <w:b/>
                <w:lang w:val="fr-FR"/>
              </w:rPr>
              <w:t>Original:</w:t>
            </w:r>
            <w:bookmarkStart w:id="3" w:name="Original"/>
            <w:bookmarkEnd w:id="3"/>
            <w:r w:rsidR="00CE0422" w:rsidRPr="009577F8">
              <w:rPr>
                <w:b/>
                <w:lang w:val="fr-FR"/>
              </w:rPr>
              <w:t xml:space="preserve"> </w:t>
            </w:r>
            <w:r w:rsidR="001011EB" w:rsidRPr="009577F8">
              <w:rPr>
                <w:b/>
                <w:lang w:val="fr-FR"/>
              </w:rPr>
              <w:t>anglais</w:t>
            </w:r>
          </w:p>
        </w:tc>
      </w:tr>
      <w:tr w:rsidR="00A13162" w:rsidRPr="009577F8" w14:paraId="31656E31" w14:textId="77777777" w:rsidTr="00107E85">
        <w:trPr>
          <w:cantSplit/>
          <w:trHeight w:val="852"/>
        </w:trPr>
        <w:tc>
          <w:tcPr>
            <w:tcW w:w="9888" w:type="dxa"/>
            <w:gridSpan w:val="2"/>
          </w:tcPr>
          <w:p w14:paraId="512FCA01" w14:textId="263979E3" w:rsidR="00A13162" w:rsidRPr="009577F8" w:rsidRDefault="00B21FDE" w:rsidP="0030353C">
            <w:pPr>
              <w:pStyle w:val="Source"/>
              <w:rPr>
                <w:lang w:val="fr-FR"/>
              </w:rPr>
            </w:pPr>
            <w:bookmarkStart w:id="4" w:name="Source"/>
            <w:bookmarkEnd w:id="4"/>
            <w:r w:rsidRPr="009577F8">
              <w:rPr>
                <w:bCs/>
                <w:lang w:val="fr-FR"/>
              </w:rPr>
              <w:t>Directeur du Bureau de développement des télécommunications</w:t>
            </w:r>
          </w:p>
        </w:tc>
      </w:tr>
      <w:tr w:rsidR="00AC6F14" w:rsidRPr="009577F8" w14:paraId="2CBD3A36" w14:textId="77777777" w:rsidTr="00107E85">
        <w:trPr>
          <w:cantSplit/>
        </w:trPr>
        <w:tc>
          <w:tcPr>
            <w:tcW w:w="9888" w:type="dxa"/>
            <w:gridSpan w:val="2"/>
          </w:tcPr>
          <w:p w14:paraId="1B4121DF" w14:textId="120B1CDD" w:rsidR="00AC6F14" w:rsidRPr="009577F8" w:rsidRDefault="00B21FDE" w:rsidP="001011EB">
            <w:pPr>
              <w:pStyle w:val="Title1"/>
              <w:rPr>
                <w:lang w:val="fr-FR"/>
              </w:rPr>
            </w:pPr>
            <w:bookmarkStart w:id="5" w:name="Title"/>
            <w:bookmarkEnd w:id="5"/>
            <w:r w:rsidRPr="009577F8">
              <w:rPr>
                <w:lang w:val="fr-FR"/>
              </w:rPr>
              <w:t>Plan opérationnel de l'UIT-D pour 2024</w:t>
            </w:r>
          </w:p>
        </w:tc>
      </w:tr>
      <w:tr w:rsidR="00A721F4" w:rsidRPr="009577F8" w14:paraId="23A30231" w14:textId="77777777" w:rsidTr="00A721F4">
        <w:trPr>
          <w:cantSplit/>
        </w:trPr>
        <w:tc>
          <w:tcPr>
            <w:tcW w:w="9888" w:type="dxa"/>
            <w:gridSpan w:val="2"/>
            <w:tcBorders>
              <w:bottom w:val="single" w:sz="4" w:space="0" w:color="auto"/>
            </w:tcBorders>
          </w:tcPr>
          <w:p w14:paraId="726EE70E" w14:textId="77777777" w:rsidR="00A721F4" w:rsidRPr="009577F8" w:rsidRDefault="00A721F4" w:rsidP="0030353C">
            <w:pPr>
              <w:rPr>
                <w:lang w:val="fr-FR"/>
              </w:rPr>
            </w:pPr>
          </w:p>
        </w:tc>
      </w:tr>
      <w:tr w:rsidR="00A721F4" w:rsidRPr="009577F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9577F8" w:rsidRDefault="001011EB" w:rsidP="00EA0C51">
            <w:pPr>
              <w:spacing w:after="120"/>
              <w:rPr>
                <w:b/>
                <w:bCs/>
                <w:szCs w:val="24"/>
                <w:lang w:val="fr-FR"/>
              </w:rPr>
            </w:pPr>
            <w:r w:rsidRPr="009577F8">
              <w:rPr>
                <w:b/>
                <w:bCs/>
                <w:szCs w:val="24"/>
                <w:lang w:val="fr-FR"/>
              </w:rPr>
              <w:t>Résumé</w:t>
            </w:r>
            <w:r w:rsidR="00A721F4" w:rsidRPr="009577F8">
              <w:rPr>
                <w:b/>
                <w:bCs/>
                <w:szCs w:val="24"/>
                <w:lang w:val="fr-FR"/>
              </w:rPr>
              <w:t>:</w:t>
            </w:r>
          </w:p>
          <w:p w14:paraId="008CA604" w14:textId="0C2F25D2" w:rsidR="00B21FDE" w:rsidRPr="009577F8" w:rsidRDefault="00B21FDE" w:rsidP="00B21FDE">
            <w:pPr>
              <w:spacing w:after="120"/>
              <w:rPr>
                <w:rFonts w:cstheme="minorHAnsi"/>
                <w:lang w:val="fr-FR"/>
              </w:rPr>
            </w:pPr>
            <w:r w:rsidRPr="009577F8">
              <w:rPr>
                <w:lang w:val="fr-FR"/>
              </w:rPr>
              <w:t>On trouvera dans le présent document un aperçu du processus entrepris par le Bureau de développement des télécommunications pour planifier les activités actuellement déployées dans le cadre du Plan opérationnel de l'UIT-D pour 2024, tant à l'échelle régionale qu'à l'échelle mondiale, conformément aux priorités et aux catalyseurs de l'UIT-D.</w:t>
            </w:r>
          </w:p>
          <w:p w14:paraId="4082D7E8" w14:textId="2EC9A725" w:rsidR="00A721F4" w:rsidRPr="009577F8" w:rsidRDefault="00B21FDE" w:rsidP="00B21FDE">
            <w:pPr>
              <w:spacing w:after="120"/>
              <w:rPr>
                <w:szCs w:val="24"/>
                <w:lang w:val="fr-FR"/>
              </w:rPr>
            </w:pPr>
            <w:r w:rsidRPr="009577F8">
              <w:rPr>
                <w:lang w:val="fr-FR"/>
              </w:rPr>
              <w:t>Ce document contient une présentation de l'affectation des fonds par région de l'UIT-D et à l'échelle multirégionale, ainsi que par priorité et catalyseur de l'UIT-D.</w:t>
            </w:r>
          </w:p>
          <w:p w14:paraId="76A1C541" w14:textId="23209CDB" w:rsidR="00A721F4" w:rsidRPr="009577F8" w:rsidRDefault="001011EB" w:rsidP="00EA0C51">
            <w:pPr>
              <w:spacing w:after="120"/>
              <w:rPr>
                <w:b/>
                <w:bCs/>
                <w:szCs w:val="24"/>
                <w:lang w:val="fr-FR"/>
              </w:rPr>
            </w:pPr>
            <w:r w:rsidRPr="009577F8">
              <w:rPr>
                <w:b/>
                <w:bCs/>
                <w:lang w:val="fr-FR"/>
              </w:rPr>
              <w:t>Suite à donner</w:t>
            </w:r>
            <w:r w:rsidR="00A721F4" w:rsidRPr="009577F8">
              <w:rPr>
                <w:b/>
                <w:bCs/>
                <w:lang w:val="fr-FR"/>
              </w:rPr>
              <w:t>:</w:t>
            </w:r>
          </w:p>
          <w:p w14:paraId="371956FC" w14:textId="449F6F1A" w:rsidR="00A721F4" w:rsidRPr="009577F8" w:rsidRDefault="00B21FDE" w:rsidP="00D72ABF">
            <w:pPr>
              <w:rPr>
                <w:szCs w:val="24"/>
                <w:lang w:val="fr-FR"/>
              </w:rPr>
            </w:pPr>
            <w:r w:rsidRPr="009577F8">
              <w:rPr>
                <w:lang w:val="fr-FR"/>
              </w:rPr>
              <w:t>Le GCDT est invité à prendre note du présent document et à fournir les indications qu'il jugera utiles.</w:t>
            </w:r>
          </w:p>
          <w:p w14:paraId="622ACB80" w14:textId="39EE560D" w:rsidR="00A721F4" w:rsidRPr="009577F8" w:rsidRDefault="00A721F4" w:rsidP="00EA0C51">
            <w:pPr>
              <w:spacing w:after="120"/>
              <w:rPr>
                <w:b/>
                <w:bCs/>
                <w:szCs w:val="24"/>
                <w:lang w:val="fr-FR"/>
              </w:rPr>
            </w:pPr>
            <w:r w:rsidRPr="009577F8">
              <w:rPr>
                <w:b/>
                <w:bCs/>
                <w:szCs w:val="24"/>
                <w:lang w:val="fr-FR"/>
              </w:rPr>
              <w:t>R</w:t>
            </w:r>
            <w:r w:rsidR="001011EB" w:rsidRPr="009577F8">
              <w:rPr>
                <w:b/>
                <w:bCs/>
                <w:szCs w:val="24"/>
                <w:lang w:val="fr-FR"/>
              </w:rPr>
              <w:t>é</w:t>
            </w:r>
            <w:r w:rsidRPr="009577F8">
              <w:rPr>
                <w:b/>
                <w:bCs/>
                <w:szCs w:val="24"/>
                <w:lang w:val="fr-FR"/>
              </w:rPr>
              <w:t>f</w:t>
            </w:r>
            <w:r w:rsidR="001011EB" w:rsidRPr="009577F8">
              <w:rPr>
                <w:b/>
                <w:bCs/>
                <w:szCs w:val="24"/>
                <w:lang w:val="fr-FR"/>
              </w:rPr>
              <w:t>é</w:t>
            </w:r>
            <w:r w:rsidRPr="009577F8">
              <w:rPr>
                <w:b/>
                <w:bCs/>
                <w:szCs w:val="24"/>
                <w:lang w:val="fr-FR"/>
              </w:rPr>
              <w:t>rences:</w:t>
            </w:r>
          </w:p>
          <w:p w14:paraId="395F9E69" w14:textId="77777777" w:rsidR="00B21FDE" w:rsidRPr="009577F8" w:rsidRDefault="00B21FDE" w:rsidP="00D72ABF">
            <w:pPr>
              <w:spacing w:after="120"/>
              <w:rPr>
                <w:lang w:val="fr-FR"/>
              </w:rPr>
            </w:pPr>
            <w:r w:rsidRPr="009577F8">
              <w:rPr>
                <w:lang w:val="fr-FR"/>
              </w:rPr>
              <w:t>Plan d'action de Kigali (CMDT-22)</w:t>
            </w:r>
          </w:p>
          <w:p w14:paraId="1ECDD20E" w14:textId="244CED00" w:rsidR="00A721F4" w:rsidRPr="009577F8" w:rsidRDefault="00B21FDE" w:rsidP="00D72ABF">
            <w:pPr>
              <w:spacing w:after="120"/>
              <w:rPr>
                <w:lang w:val="fr-FR"/>
              </w:rPr>
            </w:pPr>
            <w:r w:rsidRPr="009577F8">
              <w:rPr>
                <w:lang w:val="fr-FR"/>
              </w:rPr>
              <w:t>Document TDAG-23/DT/3</w:t>
            </w:r>
          </w:p>
        </w:tc>
      </w:tr>
    </w:tbl>
    <w:p w14:paraId="5B29B2A3" w14:textId="77777777" w:rsidR="00923CF1" w:rsidRPr="009577F8" w:rsidRDefault="00923CF1">
      <w:pPr>
        <w:tabs>
          <w:tab w:val="clear" w:pos="794"/>
          <w:tab w:val="clear" w:pos="1191"/>
          <w:tab w:val="clear" w:pos="1588"/>
          <w:tab w:val="clear" w:pos="1985"/>
        </w:tabs>
        <w:overflowPunct/>
        <w:autoSpaceDE/>
        <w:autoSpaceDN/>
        <w:adjustRightInd/>
        <w:spacing w:before="0"/>
        <w:textAlignment w:val="auto"/>
        <w:rPr>
          <w:lang w:val="fr-FR"/>
        </w:rPr>
      </w:pPr>
      <w:r w:rsidRPr="009577F8">
        <w:rPr>
          <w:lang w:val="fr-FR"/>
        </w:rPr>
        <w:br w:type="page"/>
      </w:r>
    </w:p>
    <w:p w14:paraId="17FB571C" w14:textId="365D51E8" w:rsidR="00B21FDE" w:rsidRPr="009577F8" w:rsidRDefault="00B21FDE" w:rsidP="00B21FDE">
      <w:pPr>
        <w:pStyle w:val="Heading1"/>
        <w:rPr>
          <w:lang w:val="fr-FR"/>
        </w:rPr>
      </w:pPr>
      <w:r w:rsidRPr="009577F8">
        <w:rPr>
          <w:lang w:val="fr-FR"/>
        </w:rPr>
        <w:lastRenderedPageBreak/>
        <w:t>1</w:t>
      </w:r>
      <w:r w:rsidRPr="009577F8">
        <w:rPr>
          <w:lang w:val="fr-FR"/>
        </w:rPr>
        <w:tab/>
      </w:r>
      <w:r w:rsidRPr="009577F8">
        <w:rPr>
          <w:lang w:val="fr-FR"/>
        </w:rPr>
        <w:t>Introduction</w:t>
      </w:r>
    </w:p>
    <w:p w14:paraId="20499BC6" w14:textId="77777777" w:rsidR="00B21FDE" w:rsidRPr="00B21FDE" w:rsidRDefault="00B21FDE" w:rsidP="00B21FDE">
      <w:pPr>
        <w:rPr>
          <w:lang w:val="fr-FR"/>
        </w:rPr>
      </w:pPr>
      <w:r w:rsidRPr="00B21FDE">
        <w:rPr>
          <w:lang w:val="fr-FR"/>
        </w:rPr>
        <w:t>Le Plan opérationnel de l'UIT-D pour 2024 est aligné sur la structure du Plan stratégique de l'Union pour la période 2024-2027. La structure de ce plan est conforme au Plan d'action de Kigali, qui définit les priorités et les catalyseurs de l'UIT-D, ainsi que les réalisations, produits et services correspondants, et les indicateurs de performance permettant de mesurer leur niveau de réalisation découlant des activités du Secteur.</w:t>
      </w:r>
    </w:p>
    <w:p w14:paraId="42E9C329" w14:textId="77777777" w:rsidR="00B21FDE" w:rsidRPr="00B21FDE" w:rsidRDefault="00B21FDE" w:rsidP="00B21FDE">
      <w:pPr>
        <w:rPr>
          <w:lang w:val="fr-FR"/>
        </w:rPr>
      </w:pPr>
      <w:r w:rsidRPr="00B21FDE">
        <w:rPr>
          <w:lang w:val="fr-FR"/>
        </w:rPr>
        <w:t>Le processus de planification du plan opérationnel pour 2024 suit la structure du plan opérationnel pour 2023, qui a consisté à définir les principes fondamentaux pour entamer les activités, à mener des consultations lors de la retraite des responsables du BDT en février 2023, à harmoniser les activités avec le Plan d'action de Kigali et à assurer une cohérence d'ensemble. Les activités proposées au titre du plan opérationnel pour 2024 ont fait l'objet de consultations approfondies avec les États Membres.</w:t>
      </w:r>
    </w:p>
    <w:p w14:paraId="1CF0D9A2" w14:textId="0E6AE6E1" w:rsidR="00B21FDE" w:rsidRPr="009577F8" w:rsidRDefault="00B21FDE" w:rsidP="00B21FDE">
      <w:pPr>
        <w:pStyle w:val="Heading1"/>
        <w:rPr>
          <w:lang w:val="fr-FR"/>
        </w:rPr>
      </w:pPr>
      <w:r w:rsidRPr="009577F8">
        <w:rPr>
          <w:lang w:val="fr-FR"/>
        </w:rPr>
        <w:t>2</w:t>
      </w:r>
      <w:r w:rsidRPr="009577F8">
        <w:rPr>
          <w:lang w:val="fr-FR"/>
        </w:rPr>
        <w:tab/>
      </w:r>
      <w:r w:rsidRPr="009577F8">
        <w:rPr>
          <w:lang w:val="fr-FR"/>
        </w:rPr>
        <w:t>Affectation des fonds par région bénéficiaire</w:t>
      </w:r>
    </w:p>
    <w:p w14:paraId="5ED9D83E" w14:textId="77777777" w:rsidR="00B21FDE" w:rsidRPr="00B21FDE" w:rsidRDefault="00B21FDE" w:rsidP="00B21FDE">
      <w:pPr>
        <w:rPr>
          <w:lang w:val="fr-FR"/>
        </w:rPr>
      </w:pPr>
      <w:r w:rsidRPr="00B21FDE">
        <w:rPr>
          <w:lang w:val="fr-FR"/>
        </w:rPr>
        <w:t>Actuellement, un total de cent vingt-sept (127) activités sont déployées à l'échelle mondiale et dans les diverses régions. Comme pour le plan opérationnel pour 2023, un peu plus de la moitié du budget prévu dans le plan opérationnel pour 2024 (54%) a été affecté à des produits de portée mondiale et à des activités multirégionales, qui devraient avoir de vastes répercussions et permettre de tirer parti des gains d'efficacité. Environ 7 à 8% du budget a été affecté à parts égales à des produits conformes aux différentes priorités et aux différents catalyseurs de l'UIT-D, au profit des six régions de l'UIT. Pour renforcer la mise en œuvre, d'autres synergies seront recherchées en ce qui concerne les produits régionaux, et entre les initiatives régionales et les initiatives mondiales, en collaboration avec les autres Bureaux et le Secrétariat général de l'UIT. En outre, les partenariats avec des entités nationales, régionales ou mondiales et les projets mis en œuvre par le BDT renforceront encore les incidences de la mise en œuvre du Plan d'action de Kigali dans les régions et à l'échelle mondiale.</w:t>
      </w:r>
    </w:p>
    <w:p w14:paraId="6649ABCC" w14:textId="77777777" w:rsidR="00B21FDE" w:rsidRPr="009577F8" w:rsidRDefault="00B21FDE" w:rsidP="00D72ABF">
      <w:pPr>
        <w:pStyle w:val="Figuretitle"/>
        <w:keepNext/>
        <w:spacing w:before="240" w:after="240"/>
        <w:rPr>
          <w:lang w:val="fr-FR"/>
        </w:rPr>
      </w:pPr>
      <w:r w:rsidRPr="009577F8">
        <w:rPr>
          <w:lang w:val="fr-FR"/>
        </w:rPr>
        <w:t>Figure 1: Aperçu de l'affection des fonds dans le cadre du plan opérationnel pour 2024,</w:t>
      </w:r>
      <w:r w:rsidRPr="009577F8">
        <w:rPr>
          <w:lang w:val="fr-FR"/>
        </w:rPr>
        <w:br/>
        <w:t>par région bénéficiaire</w:t>
      </w:r>
    </w:p>
    <w:p w14:paraId="335092D1" w14:textId="77777777" w:rsidR="00B21FDE" w:rsidRPr="009577F8" w:rsidRDefault="00B21FDE" w:rsidP="009577F8">
      <w:pPr>
        <w:pStyle w:val="Figure"/>
        <w:jc w:val="center"/>
        <w:rPr>
          <w:lang w:val="fr-FR"/>
        </w:rPr>
      </w:pPr>
      <w:r w:rsidRPr="009577F8">
        <w:rPr>
          <w:lang w:val="fr-FR"/>
        </w:rPr>
        <w:drawing>
          <wp:inline distT="0" distB="0" distL="0" distR="0" wp14:anchorId="5E226602" wp14:editId="5510F5C8">
            <wp:extent cx="5952227" cy="3062377"/>
            <wp:effectExtent l="0" t="0" r="17780" b="13970"/>
            <wp:docPr id="684669779" name="Chart 1">
              <a:extLst xmlns:a="http://schemas.openxmlformats.org/drawingml/2006/main">
                <a:ext uri="{FF2B5EF4-FFF2-40B4-BE49-F238E27FC236}">
                  <a16:creationId xmlns:a16="http://schemas.microsoft.com/office/drawing/2014/main" id="{4ACF8E96-3162-8812-4B47-C397194319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D57B30" w14:textId="3E5E5B65" w:rsidR="00B21FDE" w:rsidRPr="009577F8" w:rsidRDefault="00B21FDE" w:rsidP="00D72ABF">
      <w:pPr>
        <w:pStyle w:val="Figuretitle"/>
        <w:spacing w:before="360" w:after="240"/>
        <w:rPr>
          <w:lang w:val="fr-FR"/>
        </w:rPr>
      </w:pPr>
      <w:r w:rsidRPr="009577F8">
        <w:rPr>
          <w:lang w:val="fr-FR"/>
        </w:rPr>
        <w:lastRenderedPageBreak/>
        <w:t>Figure 2: Aperçu des fonds affectés dans le cadre du plan opérationnel pour 2024,</w:t>
      </w:r>
      <w:r w:rsidRPr="009577F8">
        <w:rPr>
          <w:lang w:val="fr-FR"/>
        </w:rPr>
        <w:br/>
        <w:t>par priorité et catalyseur de l'UIT-D (en CHF)</w:t>
      </w:r>
    </w:p>
    <w:tbl>
      <w:tblPr>
        <w:tblStyle w:val="GridTable4-Accent1"/>
        <w:tblW w:w="9776" w:type="dxa"/>
        <w:tblLayout w:type="fixed"/>
        <w:tblLook w:val="04A0" w:firstRow="1" w:lastRow="0" w:firstColumn="1" w:lastColumn="0" w:noHBand="0" w:noVBand="1"/>
      </w:tblPr>
      <w:tblGrid>
        <w:gridCol w:w="6658"/>
        <w:gridCol w:w="1842"/>
        <w:gridCol w:w="1276"/>
      </w:tblGrid>
      <w:tr w:rsidR="00B21FDE" w:rsidRPr="00B21FDE" w14:paraId="6F57DA31" w14:textId="77777777" w:rsidTr="00D72ABF">
        <w:trPr>
          <w:cnfStyle w:val="100000000000" w:firstRow="1" w:lastRow="0" w:firstColumn="0" w:lastColumn="0" w:oddVBand="0" w:evenVBand="0" w:oddHBand="0" w:evenHBand="0" w:firstRowFirstColumn="0" w:firstRowLastColumn="0" w:lastRowFirstColumn="0" w:lastRowLastColumn="0"/>
          <w:trHeight w:val="380"/>
          <w:tblHeader/>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7E3AFA4" w14:textId="77777777" w:rsidR="00B21FDE" w:rsidRPr="009577F8" w:rsidRDefault="00B21FDE" w:rsidP="00B21FDE">
            <w:pPr>
              <w:pStyle w:val="Tablehead"/>
              <w:rPr>
                <w:b/>
                <w:lang w:val="fr-FR"/>
              </w:rPr>
            </w:pPr>
            <w:r w:rsidRPr="009577F8">
              <w:rPr>
                <w:b/>
                <w:lang w:val="fr-FR"/>
              </w:rPr>
              <w:t>Priorités et catalyseurs de l'UIT-D</w:t>
            </w:r>
          </w:p>
        </w:tc>
        <w:tc>
          <w:tcPr>
            <w:tcW w:w="1842" w:type="dxa"/>
            <w:hideMark/>
          </w:tcPr>
          <w:p w14:paraId="44D5D9D4" w14:textId="77777777" w:rsidR="00B21FDE" w:rsidRPr="009577F8" w:rsidRDefault="00B21FDE" w:rsidP="00B21FDE">
            <w:pPr>
              <w:pStyle w:val="Tablehead"/>
              <w:cnfStyle w:val="100000000000" w:firstRow="1" w:lastRow="0" w:firstColumn="0" w:lastColumn="0" w:oddVBand="0" w:evenVBand="0" w:oddHBand="0" w:evenHBand="0" w:firstRowFirstColumn="0" w:firstRowLastColumn="0" w:lastRowFirstColumn="0" w:lastRowLastColumn="0"/>
              <w:rPr>
                <w:b/>
                <w:lang w:val="fr-FR"/>
              </w:rPr>
            </w:pPr>
            <w:r w:rsidRPr="009577F8">
              <w:rPr>
                <w:b/>
                <w:lang w:val="fr-FR"/>
              </w:rPr>
              <w:t>Budget 2024 (CHF)</w:t>
            </w:r>
          </w:p>
        </w:tc>
        <w:tc>
          <w:tcPr>
            <w:tcW w:w="1276" w:type="dxa"/>
            <w:hideMark/>
          </w:tcPr>
          <w:p w14:paraId="5B127D25" w14:textId="77777777" w:rsidR="00B21FDE" w:rsidRPr="009577F8" w:rsidRDefault="00B21FDE" w:rsidP="00B21FDE">
            <w:pPr>
              <w:pStyle w:val="Tablehead"/>
              <w:cnfStyle w:val="100000000000" w:firstRow="1" w:lastRow="0" w:firstColumn="0" w:lastColumn="0" w:oddVBand="0" w:evenVBand="0" w:oddHBand="0" w:evenHBand="0" w:firstRowFirstColumn="0" w:firstRowLastColumn="0" w:lastRowFirstColumn="0" w:lastRowLastColumn="0"/>
              <w:rPr>
                <w:b/>
                <w:lang w:val="fr-FR"/>
              </w:rPr>
            </w:pPr>
            <w:r w:rsidRPr="009577F8">
              <w:rPr>
                <w:b/>
                <w:lang w:val="fr-FR"/>
              </w:rPr>
              <w:t>% du budget</w:t>
            </w:r>
          </w:p>
        </w:tc>
      </w:tr>
      <w:tr w:rsidR="00B21FDE" w:rsidRPr="00B21FDE" w14:paraId="142EDD0B" w14:textId="77777777" w:rsidTr="007367A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658" w:type="dxa"/>
            <w:hideMark/>
          </w:tcPr>
          <w:p w14:paraId="185A7D45" w14:textId="77777777" w:rsidR="00B21FDE" w:rsidRPr="009577F8" w:rsidRDefault="00B21FDE" w:rsidP="00B21FDE">
            <w:pPr>
              <w:pStyle w:val="Tabletext"/>
              <w:rPr>
                <w:lang w:val="fr-FR"/>
              </w:rPr>
            </w:pPr>
            <w:r w:rsidRPr="009577F8">
              <w:rPr>
                <w:lang w:val="fr-FR"/>
              </w:rPr>
              <w:t>P1 – Connectivité financièrement abordable</w:t>
            </w:r>
            <w:r w:rsidRPr="009577F8">
              <w:rPr>
                <w:lang w:val="fr-FR"/>
              </w:rPr>
              <w:br/>
            </w:r>
            <w:r w:rsidRPr="009577F8">
              <w:rPr>
                <w:b w:val="0"/>
                <w:bCs w:val="0"/>
                <w:lang w:val="fr-FR"/>
              </w:rPr>
              <w:t>(réseau et infrastructure numérique, télécommunications d'urgence compris)</w:t>
            </w:r>
          </w:p>
        </w:tc>
        <w:tc>
          <w:tcPr>
            <w:tcW w:w="1842" w:type="dxa"/>
            <w:noWrap/>
            <w:hideMark/>
          </w:tcPr>
          <w:p w14:paraId="62847018" w14:textId="77777777" w:rsidR="00B21FDE" w:rsidRPr="009577F8" w:rsidRDefault="00B21FDE" w:rsidP="00B21FD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9577F8">
              <w:rPr>
                <w:lang w:val="fr-FR"/>
              </w:rPr>
              <w:t>595 500</w:t>
            </w:r>
          </w:p>
        </w:tc>
        <w:tc>
          <w:tcPr>
            <w:tcW w:w="1276" w:type="dxa"/>
            <w:noWrap/>
            <w:hideMark/>
          </w:tcPr>
          <w:p w14:paraId="0DCD331F" w14:textId="77777777" w:rsidR="00B21FDE" w:rsidRPr="009577F8" w:rsidRDefault="00B21FDE" w:rsidP="00B21FD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9577F8">
              <w:rPr>
                <w:lang w:val="fr-FR"/>
              </w:rPr>
              <w:t>14,8%</w:t>
            </w:r>
          </w:p>
        </w:tc>
      </w:tr>
      <w:tr w:rsidR="00B21FDE" w:rsidRPr="00B21FDE" w14:paraId="161FB9B8" w14:textId="77777777" w:rsidTr="007367AE">
        <w:trPr>
          <w:trHeight w:val="620"/>
        </w:trPr>
        <w:tc>
          <w:tcPr>
            <w:cnfStyle w:val="001000000000" w:firstRow="0" w:lastRow="0" w:firstColumn="1" w:lastColumn="0" w:oddVBand="0" w:evenVBand="0" w:oddHBand="0" w:evenHBand="0" w:firstRowFirstColumn="0" w:firstRowLastColumn="0" w:lastRowFirstColumn="0" w:lastRowLastColumn="0"/>
            <w:tcW w:w="6658" w:type="dxa"/>
            <w:hideMark/>
          </w:tcPr>
          <w:p w14:paraId="64E2ABFC" w14:textId="77777777" w:rsidR="00B21FDE" w:rsidRPr="009577F8" w:rsidRDefault="00B21FDE" w:rsidP="00B21FDE">
            <w:pPr>
              <w:pStyle w:val="Tabletext"/>
              <w:rPr>
                <w:lang w:val="fr-FR"/>
              </w:rPr>
            </w:pPr>
            <w:r w:rsidRPr="009577F8">
              <w:rPr>
                <w:lang w:val="fr-FR"/>
              </w:rPr>
              <w:t>P2 – Transformation numérique</w:t>
            </w:r>
            <w:r w:rsidRPr="009577F8">
              <w:rPr>
                <w:lang w:val="fr-FR"/>
              </w:rPr>
              <w:br/>
            </w:r>
            <w:r w:rsidRPr="009577F8">
              <w:rPr>
                <w:b w:val="0"/>
                <w:bCs w:val="0"/>
                <w:lang w:val="fr-FR"/>
              </w:rPr>
              <w:t>(services et applications numériques, écosystèmes de l'innovation numérique compris)</w:t>
            </w:r>
          </w:p>
        </w:tc>
        <w:tc>
          <w:tcPr>
            <w:tcW w:w="1842" w:type="dxa"/>
            <w:noWrap/>
            <w:hideMark/>
          </w:tcPr>
          <w:p w14:paraId="66ECDD34" w14:textId="77777777" w:rsidR="00B21FDE" w:rsidRPr="009577F8" w:rsidRDefault="00B21FDE" w:rsidP="00B21FD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9577F8">
              <w:rPr>
                <w:lang w:val="fr-FR"/>
              </w:rPr>
              <w:t>628 000</w:t>
            </w:r>
          </w:p>
        </w:tc>
        <w:tc>
          <w:tcPr>
            <w:tcW w:w="1276" w:type="dxa"/>
            <w:noWrap/>
            <w:hideMark/>
          </w:tcPr>
          <w:p w14:paraId="27EEFAFE" w14:textId="77777777" w:rsidR="00B21FDE" w:rsidRPr="009577F8" w:rsidRDefault="00B21FDE" w:rsidP="00B21FD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9577F8">
              <w:rPr>
                <w:lang w:val="fr-FR"/>
              </w:rPr>
              <w:t>15,6%</w:t>
            </w:r>
          </w:p>
        </w:tc>
      </w:tr>
      <w:tr w:rsidR="00B21FDE" w:rsidRPr="00B21FDE" w14:paraId="6AF1A190" w14:textId="77777777" w:rsidTr="007367AE">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6658" w:type="dxa"/>
            <w:hideMark/>
          </w:tcPr>
          <w:p w14:paraId="5A247A58" w14:textId="77777777" w:rsidR="00B21FDE" w:rsidRPr="009577F8" w:rsidRDefault="00B21FDE" w:rsidP="00B21FDE">
            <w:pPr>
              <w:pStyle w:val="Tabletext"/>
              <w:rPr>
                <w:lang w:val="fr-FR"/>
              </w:rPr>
            </w:pPr>
            <w:r w:rsidRPr="009577F8">
              <w:rPr>
                <w:lang w:val="fr-FR"/>
              </w:rPr>
              <w:t>P3 – Environnement politique et réglementaire propice</w:t>
            </w:r>
            <w:r w:rsidRPr="009577F8">
              <w:rPr>
                <w:lang w:val="fr-FR"/>
              </w:rPr>
              <w:br/>
            </w:r>
            <w:r w:rsidRPr="009577F8">
              <w:rPr>
                <w:b w:val="0"/>
                <w:bCs w:val="0"/>
                <w:lang w:val="fr-FR"/>
              </w:rPr>
              <w:t>(politiques et réglementation, renforcement des capacités et statistiques compris)</w:t>
            </w:r>
          </w:p>
        </w:tc>
        <w:tc>
          <w:tcPr>
            <w:tcW w:w="1842" w:type="dxa"/>
            <w:noWrap/>
            <w:hideMark/>
          </w:tcPr>
          <w:p w14:paraId="44766C24" w14:textId="77777777" w:rsidR="00B21FDE" w:rsidRPr="009577F8" w:rsidRDefault="00B21FDE" w:rsidP="00B21FD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9577F8">
              <w:rPr>
                <w:lang w:val="fr-FR"/>
              </w:rPr>
              <w:t>1 199 000</w:t>
            </w:r>
          </w:p>
        </w:tc>
        <w:tc>
          <w:tcPr>
            <w:tcW w:w="1276" w:type="dxa"/>
            <w:noWrap/>
            <w:hideMark/>
          </w:tcPr>
          <w:p w14:paraId="0E1F89AE" w14:textId="77777777" w:rsidR="00B21FDE" w:rsidRPr="009577F8" w:rsidRDefault="00B21FDE" w:rsidP="00B21FD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9577F8">
              <w:rPr>
                <w:lang w:val="fr-FR"/>
              </w:rPr>
              <w:t>29,8%</w:t>
            </w:r>
          </w:p>
        </w:tc>
      </w:tr>
      <w:tr w:rsidR="00B21FDE" w:rsidRPr="00B21FDE" w14:paraId="58BDA4EA" w14:textId="77777777" w:rsidTr="007367AE">
        <w:trPr>
          <w:trHeight w:val="620"/>
        </w:trPr>
        <w:tc>
          <w:tcPr>
            <w:cnfStyle w:val="001000000000" w:firstRow="0" w:lastRow="0" w:firstColumn="1" w:lastColumn="0" w:oddVBand="0" w:evenVBand="0" w:oddHBand="0" w:evenHBand="0" w:firstRowFirstColumn="0" w:firstRowLastColumn="0" w:lastRowFirstColumn="0" w:lastRowLastColumn="0"/>
            <w:tcW w:w="6658" w:type="dxa"/>
            <w:hideMark/>
          </w:tcPr>
          <w:p w14:paraId="52D00AD8" w14:textId="77777777" w:rsidR="00B21FDE" w:rsidRPr="009577F8" w:rsidRDefault="00B21FDE" w:rsidP="00B21FDE">
            <w:pPr>
              <w:pStyle w:val="Tabletext"/>
              <w:rPr>
                <w:lang w:val="fr-FR"/>
              </w:rPr>
            </w:pPr>
            <w:r w:rsidRPr="009577F8">
              <w:rPr>
                <w:lang w:val="fr-FR"/>
              </w:rPr>
              <w:t>P4 – Télécommunications/TIC inclusives et sûres au service du développement durable</w:t>
            </w:r>
            <w:r w:rsidRPr="009577F8">
              <w:rPr>
                <w:lang w:val="fr-FR"/>
              </w:rPr>
              <w:br/>
            </w:r>
            <w:r w:rsidRPr="009577F8">
              <w:rPr>
                <w:b w:val="0"/>
                <w:bCs w:val="0"/>
                <w:lang w:val="fr-FR"/>
              </w:rPr>
              <w:t>(cybersécurité et renforcement des capacités compris)</w:t>
            </w:r>
          </w:p>
        </w:tc>
        <w:tc>
          <w:tcPr>
            <w:tcW w:w="1842" w:type="dxa"/>
            <w:noWrap/>
            <w:hideMark/>
          </w:tcPr>
          <w:p w14:paraId="123CF24A" w14:textId="77777777" w:rsidR="00B21FDE" w:rsidRPr="009577F8" w:rsidRDefault="00B21FDE" w:rsidP="00B21FD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9577F8">
              <w:rPr>
                <w:lang w:val="fr-FR"/>
              </w:rPr>
              <w:t>572 500</w:t>
            </w:r>
          </w:p>
        </w:tc>
        <w:tc>
          <w:tcPr>
            <w:tcW w:w="1276" w:type="dxa"/>
            <w:noWrap/>
            <w:hideMark/>
          </w:tcPr>
          <w:p w14:paraId="4727B0FD" w14:textId="77777777" w:rsidR="00B21FDE" w:rsidRPr="009577F8" w:rsidRDefault="00B21FDE" w:rsidP="00B21FD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9577F8">
              <w:rPr>
                <w:lang w:val="fr-FR"/>
              </w:rPr>
              <w:t>14,2%</w:t>
            </w:r>
          </w:p>
        </w:tc>
      </w:tr>
      <w:tr w:rsidR="00B21FDE" w:rsidRPr="00B21FDE" w14:paraId="1E229B42" w14:textId="77777777" w:rsidTr="007367A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658" w:type="dxa"/>
            <w:hideMark/>
          </w:tcPr>
          <w:p w14:paraId="7E6C7806" w14:textId="77777777" w:rsidR="00B21FDE" w:rsidRPr="009577F8" w:rsidRDefault="00B21FDE" w:rsidP="00B21FDE">
            <w:pPr>
              <w:pStyle w:val="Tabletext"/>
              <w:rPr>
                <w:lang w:val="fr-FR"/>
              </w:rPr>
            </w:pPr>
            <w:r w:rsidRPr="009577F8">
              <w:rPr>
                <w:lang w:val="fr-FR"/>
              </w:rPr>
              <w:t>P5/E6/E7 – Mobilisation de ressources, partenariats et coopération internationale</w:t>
            </w:r>
          </w:p>
        </w:tc>
        <w:tc>
          <w:tcPr>
            <w:tcW w:w="1842" w:type="dxa"/>
            <w:noWrap/>
            <w:hideMark/>
          </w:tcPr>
          <w:p w14:paraId="22458846" w14:textId="77777777" w:rsidR="00B21FDE" w:rsidRPr="009577F8" w:rsidRDefault="00B21FDE" w:rsidP="00B21FD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9577F8">
              <w:rPr>
                <w:lang w:val="fr-FR"/>
              </w:rPr>
              <w:t>327 000</w:t>
            </w:r>
          </w:p>
        </w:tc>
        <w:tc>
          <w:tcPr>
            <w:tcW w:w="1276" w:type="dxa"/>
            <w:noWrap/>
            <w:hideMark/>
          </w:tcPr>
          <w:p w14:paraId="6089B647" w14:textId="77777777" w:rsidR="00B21FDE" w:rsidRPr="009577F8" w:rsidRDefault="00B21FDE" w:rsidP="00B21FD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9577F8">
              <w:rPr>
                <w:lang w:val="fr-FR"/>
              </w:rPr>
              <w:t>8,1%</w:t>
            </w:r>
          </w:p>
        </w:tc>
      </w:tr>
      <w:tr w:rsidR="00B21FDE" w:rsidRPr="00B21FDE" w14:paraId="7B4F571B" w14:textId="77777777" w:rsidTr="007367AE">
        <w:trPr>
          <w:trHeight w:val="310"/>
        </w:trPr>
        <w:tc>
          <w:tcPr>
            <w:cnfStyle w:val="001000000000" w:firstRow="0" w:lastRow="0" w:firstColumn="1" w:lastColumn="0" w:oddVBand="0" w:evenVBand="0" w:oddHBand="0" w:evenHBand="0" w:firstRowFirstColumn="0" w:firstRowLastColumn="0" w:lastRowFirstColumn="0" w:lastRowLastColumn="0"/>
            <w:tcW w:w="6658" w:type="dxa"/>
            <w:hideMark/>
          </w:tcPr>
          <w:p w14:paraId="30AB082C" w14:textId="77777777" w:rsidR="00B21FDE" w:rsidRPr="009577F8" w:rsidRDefault="00B21FDE" w:rsidP="00B21FDE">
            <w:pPr>
              <w:pStyle w:val="Tabletext"/>
              <w:rPr>
                <w:lang w:val="fr-FR"/>
              </w:rPr>
            </w:pPr>
            <w:r w:rsidRPr="009577F8">
              <w:rPr>
                <w:lang w:val="fr-FR"/>
              </w:rPr>
              <w:t>E1 – Travaux reposant sur les contributions des membres</w:t>
            </w:r>
          </w:p>
        </w:tc>
        <w:tc>
          <w:tcPr>
            <w:tcW w:w="1842" w:type="dxa"/>
            <w:noWrap/>
            <w:hideMark/>
          </w:tcPr>
          <w:p w14:paraId="2C65479E" w14:textId="77777777" w:rsidR="00B21FDE" w:rsidRPr="009577F8" w:rsidRDefault="00B21FDE" w:rsidP="00B21FD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9577F8">
              <w:rPr>
                <w:lang w:val="fr-FR"/>
              </w:rPr>
              <w:t>15 000</w:t>
            </w:r>
          </w:p>
        </w:tc>
        <w:tc>
          <w:tcPr>
            <w:tcW w:w="1276" w:type="dxa"/>
            <w:noWrap/>
            <w:hideMark/>
          </w:tcPr>
          <w:p w14:paraId="447944C0" w14:textId="77777777" w:rsidR="00B21FDE" w:rsidRPr="009577F8" w:rsidRDefault="00B21FDE" w:rsidP="00B21FD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9577F8">
              <w:rPr>
                <w:lang w:val="fr-FR"/>
              </w:rPr>
              <w:t>0,4%</w:t>
            </w:r>
          </w:p>
        </w:tc>
      </w:tr>
      <w:tr w:rsidR="00B21FDE" w:rsidRPr="00B21FDE" w14:paraId="42E74235" w14:textId="77777777" w:rsidTr="007367A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658" w:type="dxa"/>
            <w:hideMark/>
          </w:tcPr>
          <w:p w14:paraId="2DCDB373" w14:textId="77777777" w:rsidR="00B21FDE" w:rsidRPr="009577F8" w:rsidRDefault="00B21FDE" w:rsidP="00B21FDE">
            <w:pPr>
              <w:pStyle w:val="Tabletext"/>
              <w:rPr>
                <w:lang w:val="fr-FR"/>
              </w:rPr>
            </w:pPr>
            <w:r w:rsidRPr="009577F8">
              <w:rPr>
                <w:lang w:val="fr-FR"/>
              </w:rPr>
              <w:t>E2 – Présence régionale</w:t>
            </w:r>
          </w:p>
        </w:tc>
        <w:tc>
          <w:tcPr>
            <w:tcW w:w="1842" w:type="dxa"/>
            <w:noWrap/>
            <w:hideMark/>
          </w:tcPr>
          <w:p w14:paraId="476A1A5E" w14:textId="77777777" w:rsidR="00B21FDE" w:rsidRPr="009577F8" w:rsidRDefault="00B21FDE" w:rsidP="00B21FD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9577F8">
              <w:rPr>
                <w:lang w:val="fr-FR"/>
              </w:rPr>
              <w:t>95 000</w:t>
            </w:r>
          </w:p>
        </w:tc>
        <w:tc>
          <w:tcPr>
            <w:tcW w:w="1276" w:type="dxa"/>
            <w:noWrap/>
            <w:hideMark/>
          </w:tcPr>
          <w:p w14:paraId="4C826EF3" w14:textId="77777777" w:rsidR="00B21FDE" w:rsidRPr="009577F8" w:rsidRDefault="00B21FDE" w:rsidP="00B21FD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9577F8">
              <w:rPr>
                <w:lang w:val="fr-FR"/>
              </w:rPr>
              <w:t>2,4%</w:t>
            </w:r>
          </w:p>
        </w:tc>
      </w:tr>
      <w:tr w:rsidR="00B21FDE" w:rsidRPr="00B21FDE" w14:paraId="3617AF0B" w14:textId="77777777" w:rsidTr="007367AE">
        <w:trPr>
          <w:trHeight w:val="310"/>
        </w:trPr>
        <w:tc>
          <w:tcPr>
            <w:cnfStyle w:val="001000000000" w:firstRow="0" w:lastRow="0" w:firstColumn="1" w:lastColumn="0" w:oddVBand="0" w:evenVBand="0" w:oddHBand="0" w:evenHBand="0" w:firstRowFirstColumn="0" w:firstRowLastColumn="0" w:lastRowFirstColumn="0" w:lastRowLastColumn="0"/>
            <w:tcW w:w="6658" w:type="dxa"/>
            <w:hideMark/>
          </w:tcPr>
          <w:p w14:paraId="3CE3D49B" w14:textId="77777777" w:rsidR="00B21FDE" w:rsidRPr="009577F8" w:rsidRDefault="00B21FDE" w:rsidP="00B21FDE">
            <w:pPr>
              <w:pStyle w:val="Tabletext"/>
              <w:rPr>
                <w:lang w:val="fr-FR"/>
              </w:rPr>
            </w:pPr>
            <w:r w:rsidRPr="009577F8">
              <w:rPr>
                <w:lang w:val="fr-FR"/>
              </w:rPr>
              <w:t>E3 – Diversité et inclusion</w:t>
            </w:r>
            <w:r w:rsidRPr="009577F8">
              <w:rPr>
                <w:lang w:val="fr-FR"/>
              </w:rPr>
              <w:br/>
            </w:r>
            <w:r w:rsidRPr="009577F8">
              <w:rPr>
                <w:b w:val="0"/>
                <w:bCs w:val="0"/>
                <w:lang w:val="fr-FR"/>
              </w:rPr>
              <w:t>(inclusion numérique comprise)</w:t>
            </w:r>
          </w:p>
        </w:tc>
        <w:tc>
          <w:tcPr>
            <w:tcW w:w="1842" w:type="dxa"/>
            <w:noWrap/>
            <w:hideMark/>
          </w:tcPr>
          <w:p w14:paraId="0B6000A0" w14:textId="77777777" w:rsidR="00B21FDE" w:rsidRPr="009577F8" w:rsidRDefault="00B21FDE" w:rsidP="00B21FD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9577F8">
              <w:rPr>
                <w:lang w:val="fr-FR"/>
              </w:rPr>
              <w:t>292 000</w:t>
            </w:r>
          </w:p>
        </w:tc>
        <w:tc>
          <w:tcPr>
            <w:tcW w:w="1276" w:type="dxa"/>
            <w:noWrap/>
            <w:hideMark/>
          </w:tcPr>
          <w:p w14:paraId="7D04A415" w14:textId="77777777" w:rsidR="00B21FDE" w:rsidRPr="009577F8" w:rsidRDefault="00B21FDE" w:rsidP="00B21FD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9577F8">
              <w:rPr>
                <w:lang w:val="fr-FR"/>
              </w:rPr>
              <w:t>7,3%</w:t>
            </w:r>
          </w:p>
        </w:tc>
      </w:tr>
      <w:tr w:rsidR="00B21FDE" w:rsidRPr="00B21FDE" w14:paraId="3B6AE3A9" w14:textId="77777777" w:rsidTr="007367A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658" w:type="dxa"/>
            <w:hideMark/>
          </w:tcPr>
          <w:p w14:paraId="45A304C0" w14:textId="77777777" w:rsidR="00B21FDE" w:rsidRPr="009577F8" w:rsidRDefault="00B21FDE" w:rsidP="00B21FDE">
            <w:pPr>
              <w:pStyle w:val="Tabletext"/>
              <w:rPr>
                <w:lang w:val="fr-FR"/>
              </w:rPr>
            </w:pPr>
            <w:r w:rsidRPr="009577F8">
              <w:rPr>
                <w:lang w:val="fr-FR"/>
              </w:rPr>
              <w:t>E4 – Engagement en faveur de la durabilité environnementale</w:t>
            </w:r>
            <w:r w:rsidRPr="009577F8">
              <w:rPr>
                <w:lang w:val="fr-FR"/>
              </w:rPr>
              <w:br/>
            </w:r>
            <w:r w:rsidRPr="009577F8">
              <w:rPr>
                <w:b w:val="0"/>
                <w:bCs w:val="0"/>
                <w:lang w:val="fr-FR"/>
              </w:rPr>
              <w:t>(environnement compris)</w:t>
            </w:r>
          </w:p>
        </w:tc>
        <w:tc>
          <w:tcPr>
            <w:tcW w:w="1842" w:type="dxa"/>
            <w:noWrap/>
            <w:hideMark/>
          </w:tcPr>
          <w:p w14:paraId="19FA05BB" w14:textId="77777777" w:rsidR="00B21FDE" w:rsidRPr="009577F8" w:rsidRDefault="00B21FDE" w:rsidP="00B21FD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9577F8">
              <w:rPr>
                <w:lang w:val="fr-FR"/>
              </w:rPr>
              <w:t>165 000</w:t>
            </w:r>
          </w:p>
        </w:tc>
        <w:tc>
          <w:tcPr>
            <w:tcW w:w="1276" w:type="dxa"/>
            <w:noWrap/>
            <w:hideMark/>
          </w:tcPr>
          <w:p w14:paraId="27BA9174" w14:textId="77777777" w:rsidR="00B21FDE" w:rsidRPr="009577F8" w:rsidRDefault="00B21FDE" w:rsidP="00B21FD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9577F8">
              <w:rPr>
                <w:lang w:val="fr-FR"/>
              </w:rPr>
              <w:t>4,1%</w:t>
            </w:r>
          </w:p>
        </w:tc>
      </w:tr>
      <w:tr w:rsidR="00B21FDE" w:rsidRPr="00B21FDE" w14:paraId="749DC56A" w14:textId="77777777" w:rsidTr="007367AE">
        <w:trPr>
          <w:trHeight w:val="310"/>
        </w:trPr>
        <w:tc>
          <w:tcPr>
            <w:cnfStyle w:val="001000000000" w:firstRow="0" w:lastRow="0" w:firstColumn="1" w:lastColumn="0" w:oddVBand="0" w:evenVBand="0" w:oddHBand="0" w:evenHBand="0" w:firstRowFirstColumn="0" w:firstRowLastColumn="0" w:lastRowFirstColumn="0" w:lastRowLastColumn="0"/>
            <w:tcW w:w="6658" w:type="dxa"/>
            <w:hideMark/>
          </w:tcPr>
          <w:p w14:paraId="0EACA00A" w14:textId="77777777" w:rsidR="00B21FDE" w:rsidRPr="009577F8" w:rsidRDefault="00B21FDE" w:rsidP="00B21FDE">
            <w:pPr>
              <w:pStyle w:val="Tabletext"/>
              <w:rPr>
                <w:lang w:val="fr-FR"/>
              </w:rPr>
            </w:pPr>
            <w:r w:rsidRPr="009577F8">
              <w:rPr>
                <w:lang w:val="fr-FR"/>
              </w:rPr>
              <w:t>E5 – Excellence en matière de ressources humaines et innovation organisationnelle</w:t>
            </w:r>
          </w:p>
        </w:tc>
        <w:tc>
          <w:tcPr>
            <w:tcW w:w="1842" w:type="dxa"/>
            <w:noWrap/>
            <w:hideMark/>
          </w:tcPr>
          <w:p w14:paraId="0F846AB7" w14:textId="77777777" w:rsidR="00B21FDE" w:rsidRPr="009577F8" w:rsidRDefault="00B21FDE" w:rsidP="00B21FD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9577F8">
              <w:rPr>
                <w:lang w:val="fr-FR"/>
              </w:rPr>
              <w:t>131 000</w:t>
            </w:r>
          </w:p>
        </w:tc>
        <w:tc>
          <w:tcPr>
            <w:tcW w:w="1276" w:type="dxa"/>
            <w:noWrap/>
            <w:hideMark/>
          </w:tcPr>
          <w:p w14:paraId="65FEA21B" w14:textId="77777777" w:rsidR="00B21FDE" w:rsidRPr="009577F8" w:rsidRDefault="00B21FDE" w:rsidP="00B21FD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9577F8">
              <w:rPr>
                <w:lang w:val="fr-FR"/>
              </w:rPr>
              <w:t>3,3%</w:t>
            </w:r>
          </w:p>
        </w:tc>
      </w:tr>
      <w:tr w:rsidR="00B21FDE" w:rsidRPr="00B21FDE" w14:paraId="11A0C087" w14:textId="77777777" w:rsidTr="007367A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658" w:type="dxa"/>
            <w:hideMark/>
          </w:tcPr>
          <w:p w14:paraId="63AB6B04" w14:textId="77777777" w:rsidR="00B21FDE" w:rsidRPr="009577F8" w:rsidRDefault="00B21FDE" w:rsidP="00B21FDE">
            <w:pPr>
              <w:pStyle w:val="Tabletext"/>
              <w:rPr>
                <w:lang w:val="fr-FR"/>
              </w:rPr>
            </w:pPr>
            <w:r w:rsidRPr="009577F8">
              <w:rPr>
                <w:lang w:val="fr-FR"/>
              </w:rPr>
              <w:t>Total général</w:t>
            </w:r>
          </w:p>
        </w:tc>
        <w:tc>
          <w:tcPr>
            <w:tcW w:w="1842" w:type="dxa"/>
            <w:noWrap/>
            <w:hideMark/>
          </w:tcPr>
          <w:p w14:paraId="42356DDE" w14:textId="77777777" w:rsidR="00B21FDE" w:rsidRPr="009577F8" w:rsidRDefault="00B21FDE" w:rsidP="00B21FD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9577F8">
              <w:rPr>
                <w:b/>
                <w:bCs/>
                <w:lang w:val="fr-FR"/>
              </w:rPr>
              <w:t>4 020 000</w:t>
            </w:r>
          </w:p>
        </w:tc>
        <w:tc>
          <w:tcPr>
            <w:tcW w:w="1276" w:type="dxa"/>
            <w:noWrap/>
            <w:hideMark/>
          </w:tcPr>
          <w:p w14:paraId="16C4A954" w14:textId="77777777" w:rsidR="00B21FDE" w:rsidRPr="009577F8" w:rsidRDefault="00B21FDE" w:rsidP="00B21FD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9577F8">
              <w:rPr>
                <w:b/>
                <w:bCs/>
                <w:lang w:val="fr-FR"/>
              </w:rPr>
              <w:t>100,0%</w:t>
            </w:r>
          </w:p>
        </w:tc>
      </w:tr>
    </w:tbl>
    <w:p w14:paraId="5F06B9AE" w14:textId="36E9A0A5" w:rsidR="00B21FDE" w:rsidRPr="009577F8" w:rsidRDefault="00B21FDE" w:rsidP="00B21FDE">
      <w:pPr>
        <w:pStyle w:val="Heading1"/>
        <w:rPr>
          <w:lang w:val="fr-FR"/>
        </w:rPr>
      </w:pPr>
      <w:r w:rsidRPr="009577F8">
        <w:rPr>
          <w:lang w:val="fr-FR"/>
        </w:rPr>
        <w:t>3</w:t>
      </w:r>
      <w:r w:rsidRPr="009577F8">
        <w:rPr>
          <w:lang w:val="fr-FR"/>
        </w:rPr>
        <w:tab/>
      </w:r>
      <w:r w:rsidRPr="009577F8">
        <w:rPr>
          <w:lang w:val="fr-FR"/>
        </w:rPr>
        <w:t>Conclusion</w:t>
      </w:r>
    </w:p>
    <w:p w14:paraId="69B70EE0" w14:textId="200E42B9" w:rsidR="00EC6FED" w:rsidRPr="009577F8" w:rsidRDefault="00B21FDE" w:rsidP="00B21FDE">
      <w:pPr>
        <w:rPr>
          <w:lang w:val="fr-FR"/>
        </w:rPr>
      </w:pPr>
      <w:r w:rsidRPr="009577F8">
        <w:rPr>
          <w:lang w:val="fr-FR"/>
        </w:rPr>
        <w:t>Le GCDT est invité à prendre note du présent document et à donner des orientations et des conseils sur la manière de continuer de produire des résultats concrets, que ce soit à l'échelle mondiale et ou dans les diverses régions, tout en veillant à s'aligner sur les réalisations énoncées dans le Plan d'action de Kigali.</w:t>
      </w:r>
    </w:p>
    <w:p w14:paraId="2EC2844A" w14:textId="77777777" w:rsidR="00821996" w:rsidRPr="009577F8" w:rsidRDefault="003C58BF" w:rsidP="00A50CA0">
      <w:pPr>
        <w:tabs>
          <w:tab w:val="clear" w:pos="794"/>
          <w:tab w:val="clear" w:pos="1191"/>
          <w:tab w:val="clear" w:pos="1588"/>
          <w:tab w:val="clear" w:pos="1985"/>
        </w:tabs>
        <w:spacing w:after="120"/>
        <w:jc w:val="center"/>
        <w:rPr>
          <w:lang w:val="fr-FR"/>
        </w:rPr>
      </w:pPr>
      <w:bookmarkStart w:id="6" w:name="Proposal"/>
      <w:bookmarkEnd w:id="6"/>
      <w:r w:rsidRPr="009577F8">
        <w:rPr>
          <w:lang w:val="fr-FR"/>
        </w:rPr>
        <w:t>_____________</w:t>
      </w:r>
      <w:r w:rsidR="004122C5" w:rsidRPr="009577F8">
        <w:rPr>
          <w:lang w:val="fr-FR"/>
        </w:rPr>
        <w:t>_</w:t>
      </w:r>
      <w:r w:rsidR="00922EC1" w:rsidRPr="009577F8">
        <w:rPr>
          <w:lang w:val="fr-FR"/>
        </w:rPr>
        <w:t>_</w:t>
      </w:r>
    </w:p>
    <w:sectPr w:rsidR="00821996" w:rsidRPr="009577F8" w:rsidSect="00473791">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B21FDE" w:rsidRPr="00B21FDE" w14:paraId="695D1810" w14:textId="77777777" w:rsidTr="00B21FDE">
      <w:tc>
        <w:tcPr>
          <w:tcW w:w="1526" w:type="dxa"/>
          <w:tcBorders>
            <w:top w:val="single" w:sz="4" w:space="0" w:color="000000"/>
          </w:tcBorders>
          <w:shd w:val="clear" w:color="auto" w:fill="auto"/>
        </w:tcPr>
        <w:p w14:paraId="746E5A61" w14:textId="77777777" w:rsidR="00B21FDE" w:rsidRPr="001011EB" w:rsidRDefault="00B21FDE" w:rsidP="00B21FDE">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B21FDE" w:rsidRPr="001011EB" w:rsidRDefault="00B21FDE" w:rsidP="00B21FDE">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008E9D79" w14:textId="628C85E0" w:rsidR="00B21FDE" w:rsidRPr="00B21FDE" w:rsidRDefault="00B21FDE" w:rsidP="00B21FDE">
          <w:pPr>
            <w:pStyle w:val="FirstFooter"/>
            <w:tabs>
              <w:tab w:val="left" w:pos="2302"/>
            </w:tabs>
            <w:rPr>
              <w:sz w:val="18"/>
              <w:szCs w:val="18"/>
              <w:lang w:val="fr-CH"/>
            </w:rPr>
          </w:pPr>
          <w:r w:rsidRPr="00B21FDE">
            <w:rPr>
              <w:sz w:val="18"/>
              <w:szCs w:val="18"/>
            </w:rPr>
            <w:t>M. Bruno Ramos, Adjoint par intérim au Directeur du Bureau de développement des télécommunications</w:t>
          </w:r>
        </w:p>
      </w:tc>
      <w:bookmarkStart w:id="7" w:name="OrgName"/>
      <w:bookmarkEnd w:id="7"/>
    </w:tr>
    <w:tr w:rsidR="00B21FDE" w:rsidRPr="001011EB" w14:paraId="61167678" w14:textId="77777777" w:rsidTr="00B21FDE">
      <w:tc>
        <w:tcPr>
          <w:tcW w:w="1526" w:type="dxa"/>
          <w:shd w:val="clear" w:color="auto" w:fill="auto"/>
        </w:tcPr>
        <w:p w14:paraId="33710823" w14:textId="77777777" w:rsidR="00B21FDE" w:rsidRPr="001011EB" w:rsidRDefault="00B21FDE" w:rsidP="00B21FDE">
          <w:pPr>
            <w:pStyle w:val="FirstFooter"/>
            <w:tabs>
              <w:tab w:val="left" w:pos="1559"/>
              <w:tab w:val="left" w:pos="3828"/>
            </w:tabs>
            <w:rPr>
              <w:sz w:val="20"/>
              <w:lang w:val="fr-CH"/>
            </w:rPr>
          </w:pPr>
        </w:p>
      </w:tc>
      <w:tc>
        <w:tcPr>
          <w:tcW w:w="2410" w:type="dxa"/>
          <w:shd w:val="clear" w:color="auto" w:fill="auto"/>
        </w:tcPr>
        <w:p w14:paraId="1251F6E4" w14:textId="7949FD7A" w:rsidR="00B21FDE" w:rsidRPr="001011EB" w:rsidRDefault="00B21FDE" w:rsidP="00B21FDE">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715EB62" w14:textId="148C92A1" w:rsidR="00B21FDE" w:rsidRPr="00B21FDE" w:rsidRDefault="00B21FDE" w:rsidP="00B21FDE">
          <w:pPr>
            <w:pStyle w:val="FirstFooter"/>
            <w:tabs>
              <w:tab w:val="left" w:pos="2302"/>
            </w:tabs>
            <w:rPr>
              <w:sz w:val="18"/>
              <w:szCs w:val="18"/>
              <w:lang w:val="fr-CH"/>
            </w:rPr>
          </w:pPr>
          <w:r w:rsidRPr="00B21FDE">
            <w:rPr>
              <w:sz w:val="18"/>
              <w:szCs w:val="18"/>
            </w:rPr>
            <w:t>Sans objet</w:t>
          </w:r>
        </w:p>
      </w:tc>
      <w:bookmarkStart w:id="8" w:name="PhoneNo"/>
      <w:bookmarkEnd w:id="8"/>
    </w:tr>
    <w:tr w:rsidR="00B21FDE" w:rsidRPr="001011EB" w14:paraId="0299A231" w14:textId="77777777" w:rsidTr="00B21FDE">
      <w:tc>
        <w:tcPr>
          <w:tcW w:w="1526" w:type="dxa"/>
          <w:shd w:val="clear" w:color="auto" w:fill="auto"/>
        </w:tcPr>
        <w:p w14:paraId="35CBC438" w14:textId="77777777" w:rsidR="00B21FDE" w:rsidRPr="001011EB" w:rsidRDefault="00B21FDE" w:rsidP="00B21FDE">
          <w:pPr>
            <w:pStyle w:val="FirstFooter"/>
            <w:tabs>
              <w:tab w:val="left" w:pos="1559"/>
              <w:tab w:val="left" w:pos="3828"/>
            </w:tabs>
            <w:rPr>
              <w:sz w:val="20"/>
              <w:lang w:val="fr-CH"/>
            </w:rPr>
          </w:pPr>
        </w:p>
      </w:tc>
      <w:tc>
        <w:tcPr>
          <w:tcW w:w="2410" w:type="dxa"/>
          <w:shd w:val="clear" w:color="auto" w:fill="auto"/>
        </w:tcPr>
        <w:p w14:paraId="65335E06" w14:textId="490F0FC2" w:rsidR="00B21FDE" w:rsidRPr="001011EB" w:rsidRDefault="00B21FDE" w:rsidP="00B21FDE">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F093EA2" w14:textId="4DE51D48" w:rsidR="00B21FDE" w:rsidRPr="00B21FDE" w:rsidRDefault="00B21FDE" w:rsidP="00B21FDE">
          <w:pPr>
            <w:pStyle w:val="FirstFooter"/>
            <w:tabs>
              <w:tab w:val="left" w:pos="2302"/>
            </w:tabs>
            <w:rPr>
              <w:rStyle w:val="Hyperlink"/>
              <w:sz w:val="18"/>
              <w:szCs w:val="18"/>
            </w:rPr>
          </w:pPr>
          <w:hyperlink r:id="rId1" w:history="1">
            <w:r w:rsidRPr="00B21FDE">
              <w:rPr>
                <w:rStyle w:val="Hyperlink"/>
                <w:sz w:val="18"/>
                <w:szCs w:val="18"/>
              </w:rPr>
              <w:t>bruno.ram</w:t>
            </w:r>
            <w:r w:rsidRPr="00B21FDE">
              <w:rPr>
                <w:rStyle w:val="Hyperlink"/>
                <w:sz w:val="18"/>
                <w:szCs w:val="18"/>
              </w:rPr>
              <w:t>o</w:t>
            </w:r>
            <w:r w:rsidRPr="00B21FDE">
              <w:rPr>
                <w:rStyle w:val="Hyperlink"/>
                <w:sz w:val="18"/>
                <w:szCs w:val="18"/>
              </w:rPr>
              <w:t>s@itu.int</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50FEB05F" w:rsidR="00721657" w:rsidRPr="001011EB" w:rsidRDefault="003D1B55" w:rsidP="00B80157">
    <w:pPr>
      <w:pStyle w:val="Footer"/>
      <w:jc w:val="center"/>
      <w:rPr>
        <w:lang w:val="fr-CH"/>
      </w:rPr>
    </w:pPr>
    <w:hyperlink r:id="rId2" w:history="1">
      <w:r w:rsidR="008B47C7" w:rsidRPr="001011EB">
        <w:rPr>
          <w:rStyle w:val="Hyperlink"/>
          <w:caps w:val="0"/>
          <w:noProof w:val="0"/>
          <w:sz w:val="18"/>
          <w:szCs w:val="18"/>
          <w:lang w:val="fr-CH"/>
        </w:rPr>
        <w:t>TDA</w:t>
      </w:r>
      <w:r w:rsidR="008B47C7" w:rsidRPr="001011EB">
        <w:rPr>
          <w:rStyle w:val="Hyperlink"/>
          <w:caps w:val="0"/>
          <w:noProof w:val="0"/>
          <w:sz w:val="18"/>
          <w:szCs w:val="18"/>
          <w:lang w:val="fr-CH"/>
        </w:rPr>
        <w:t>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DC6845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B21FDE">
      <w:rPr>
        <w:sz w:val="22"/>
        <w:szCs w:val="22"/>
        <w:lang w:val="de-CH"/>
      </w:rPr>
      <w:t>12</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998776287">
    <w:abstractNumId w:val="1"/>
  </w:num>
  <w:num w:numId="2" w16cid:durableId="25525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1B55"/>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577F8"/>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21FDE"/>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72ABF"/>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4-Accent1">
    <w:name w:val="Grid Table 4 Accent 1"/>
    <w:basedOn w:val="TableNormal"/>
    <w:uiPriority w:val="49"/>
    <w:rsid w:val="00B21FD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gure">
    <w:name w:val="Figure"/>
    <w:basedOn w:val="Normal"/>
    <w:rsid w:val="0095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bruno.ramos@itu.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ahmad_al-abadi_itu_int1/Documents/Microsoft%20Teams%20Chat%20Files/Budget%20OP23%20and%20OP24%20Priorities%20and%20Enablers%20Charts%20UPDATED%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fr-CH" sz="1100" b="1" i="0" u="none" strike="noStrike" baseline="0">
                <a:effectLst/>
              </a:rPr>
              <a:t>Affectation du budget dans le cadre du plan opérationnel pour 2024, par région</a:t>
            </a:r>
            <a:endParaRPr lang="en-US" sz="1100" b="1" i="0" u="none" strike="noStrike" kern="1200" baseline="0">
              <a:solidFill>
                <a:sysClr val="windowText" lastClr="000000">
                  <a:lumMod val="75000"/>
                  <a:lumOff val="25000"/>
                </a:sysClr>
              </a:solidFill>
              <a:latin typeface="Calibri" panose="020F0502020204030204" pitchFamily="34" charset="0"/>
              <a:ea typeface="Calibri" panose="020F0502020204030204" pitchFamily="34" charset="0"/>
              <a:cs typeface="Calibri" panose="020F0502020204030204" pitchFamily="34" charset="0"/>
            </a:endParaRPr>
          </a:p>
        </c:rich>
      </c:tx>
      <c:layout>
        <c:manualLayout>
          <c:xMode val="edge"/>
          <c:yMode val="edge"/>
          <c:x val="0.11473173696425201"/>
          <c:y val="1.3277812214237054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fr-FR"/>
        </a:p>
      </c:txPr>
    </c:title>
    <c:autoTitleDeleted val="0"/>
    <c:plotArea>
      <c:layout>
        <c:manualLayout>
          <c:layoutTarget val="inner"/>
          <c:xMode val="edge"/>
          <c:yMode val="edge"/>
          <c:x val="0.3106376408831249"/>
          <c:y val="0.2374227481112795"/>
          <c:w val="0.3666610301163335"/>
          <c:h val="0.68866829097648841"/>
        </c:manualLayout>
      </c:layout>
      <c:pieChart>
        <c:varyColors val="1"/>
        <c:ser>
          <c:idx val="0"/>
          <c:order val="0"/>
          <c:tx>
            <c:strRef>
              <c:f>'[Budget OP23 and OP24 Priorities and Enablers Charts UPDATED 1.xlsx]Budget by Region OP24'!$C$1</c:f>
              <c:strCache>
                <c:ptCount val="1"/>
                <c:pt idx="0">
                  <c:v> Budget % </c:v>
                </c:pt>
              </c:strCache>
            </c:strRef>
          </c:tx>
          <c:dPt>
            <c:idx val="0"/>
            <c:bubble3D val="0"/>
            <c:spPr>
              <a:solidFill>
                <a:srgbClr val="0070C0"/>
              </a:solidFill>
              <a:ln w="19050">
                <a:solidFill>
                  <a:schemeClr val="lt1"/>
                </a:solidFill>
              </a:ln>
              <a:effectLst/>
            </c:spPr>
            <c:extLst>
              <c:ext xmlns:c16="http://schemas.microsoft.com/office/drawing/2014/chart" uri="{C3380CC4-5D6E-409C-BE32-E72D297353CC}">
                <c16:uniqueId val="{00000001-86C7-4F76-915E-AD71385DF35A}"/>
              </c:ext>
            </c:extLst>
          </c:dPt>
          <c:dPt>
            <c:idx val="1"/>
            <c:bubble3D val="0"/>
            <c:spPr>
              <a:solidFill>
                <a:schemeClr val="tx2">
                  <a:lumMod val="25000"/>
                  <a:lumOff val="75000"/>
                </a:schemeClr>
              </a:solidFill>
              <a:ln w="19050">
                <a:solidFill>
                  <a:schemeClr val="lt1"/>
                </a:solidFill>
              </a:ln>
              <a:effectLst/>
            </c:spPr>
            <c:extLst>
              <c:ext xmlns:c16="http://schemas.microsoft.com/office/drawing/2014/chart" uri="{C3380CC4-5D6E-409C-BE32-E72D297353CC}">
                <c16:uniqueId val="{00000003-86C7-4F76-915E-AD71385DF35A}"/>
              </c:ext>
            </c:extLst>
          </c:dPt>
          <c:dPt>
            <c:idx val="2"/>
            <c:bubble3D val="0"/>
            <c:spPr>
              <a:solidFill>
                <a:schemeClr val="tx2">
                  <a:lumMod val="90000"/>
                  <a:lumOff val="10000"/>
                </a:schemeClr>
              </a:solidFill>
              <a:ln w="19050">
                <a:solidFill>
                  <a:schemeClr val="lt1"/>
                </a:solidFill>
              </a:ln>
              <a:effectLst/>
            </c:spPr>
            <c:extLst>
              <c:ext xmlns:c16="http://schemas.microsoft.com/office/drawing/2014/chart" uri="{C3380CC4-5D6E-409C-BE32-E72D297353CC}">
                <c16:uniqueId val="{00000005-86C7-4F76-915E-AD71385DF35A}"/>
              </c:ext>
            </c:extLst>
          </c:dPt>
          <c:dPt>
            <c:idx val="3"/>
            <c:bubble3D val="0"/>
            <c:spPr>
              <a:solidFill>
                <a:srgbClr val="00B0F0"/>
              </a:solidFill>
              <a:ln w="19050">
                <a:solidFill>
                  <a:schemeClr val="lt1"/>
                </a:solidFill>
              </a:ln>
              <a:effectLst/>
            </c:spPr>
            <c:extLst>
              <c:ext xmlns:c16="http://schemas.microsoft.com/office/drawing/2014/chart" uri="{C3380CC4-5D6E-409C-BE32-E72D297353CC}">
                <c16:uniqueId val="{00000007-86C7-4F76-915E-AD71385DF35A}"/>
              </c:ext>
            </c:extLst>
          </c:dPt>
          <c:dPt>
            <c:idx val="4"/>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9-86C7-4F76-915E-AD71385DF35A}"/>
              </c:ext>
            </c:extLst>
          </c:dPt>
          <c:dPt>
            <c:idx val="5"/>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0B-86C7-4F76-915E-AD71385DF35A}"/>
              </c:ext>
            </c:extLst>
          </c:dPt>
          <c:dPt>
            <c:idx val="6"/>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D-86C7-4F76-915E-AD71385DF35A}"/>
              </c:ext>
            </c:extLst>
          </c:dPt>
          <c:dLbls>
            <c:dLbl>
              <c:idx val="0"/>
              <c:layout>
                <c:manualLayout>
                  <c:x val="1.4549669401724467E-2"/>
                  <c:y val="-3.5410655745764109E-2"/>
                </c:manualLayout>
              </c:layout>
              <c:tx>
                <c:rich>
                  <a:bodyPr/>
                  <a:lstStyle/>
                  <a:p>
                    <a:r>
                      <a:rPr lang="en-US" sz="1000" b="1" i="0" u="none" strike="noStrike" baseline="0">
                        <a:effectLst/>
                      </a:rPr>
                      <a:t>États arabes</a:t>
                    </a:r>
                    <a:r>
                      <a:rPr lang="en-US" baseline="0"/>
                      <a:t>
</a:t>
                    </a:r>
                    <a:fld id="{3D57B233-6FDA-42A5-8237-DC38069AAAF4}"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6C7-4F76-915E-AD71385DF35A}"/>
                </c:ext>
              </c:extLst>
            </c:dLbl>
            <c:dLbl>
              <c:idx val="1"/>
              <c:layout>
                <c:manualLayout>
                  <c:x val="3.2979250643908796E-2"/>
                  <c:y val="-3.7274374469225382E-3"/>
                </c:manualLayout>
              </c:layout>
              <c:tx>
                <c:rich>
                  <a:bodyPr/>
                  <a:lstStyle/>
                  <a:p>
                    <a:r>
                      <a:rPr lang="en-US" baseline="0"/>
                      <a:t>Afrique
</a:t>
                    </a:r>
                    <a:fld id="{3F65D9C4-1944-4FD5-BE55-7F137EF2F6EE}"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6C7-4F76-915E-AD71385DF35A}"/>
                </c:ext>
              </c:extLst>
            </c:dLbl>
            <c:dLbl>
              <c:idx val="2"/>
              <c:layout>
                <c:manualLayout>
                  <c:x val="1.9399559202299292E-2"/>
                  <c:y val="0"/>
                </c:manualLayout>
              </c:layout>
              <c:tx>
                <c:rich>
                  <a:bodyPr/>
                  <a:lstStyle/>
                  <a:p>
                    <a:r>
                      <a:rPr lang="en-US" baseline="0"/>
                      <a:t>Amériques
</a:t>
                    </a:r>
                    <a:fld id="{394F333C-36C3-4D22-809D-ACE3BB182B08}"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6C7-4F76-915E-AD71385DF35A}"/>
                </c:ext>
              </c:extLst>
            </c:dLbl>
            <c:dLbl>
              <c:idx val="3"/>
              <c:layout>
                <c:manualLayout>
                  <c:x val="2.327947104275915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6C7-4F76-915E-AD71385DF35A}"/>
                </c:ext>
              </c:extLst>
            </c:dLbl>
            <c:dLbl>
              <c:idx val="4"/>
              <c:layout>
                <c:manualLayout>
                  <c:x val="1.7299430284204061E-2"/>
                  <c:y val="5.2362849534046225E-3"/>
                </c:manualLayout>
              </c:layout>
              <c:tx>
                <c:rich>
                  <a:bodyPr/>
                  <a:lstStyle/>
                  <a:p>
                    <a:r>
                      <a:rPr lang="en-US" baseline="0"/>
                      <a:t>Asie-Pacifique
</a:t>
                    </a:r>
                    <a:fld id="{0D3145E0-B8ED-43F0-ADE4-138B761C317B}"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6C7-4F76-915E-AD71385DF35A}"/>
                </c:ext>
              </c:extLst>
            </c:dLbl>
            <c:dLbl>
              <c:idx val="5"/>
              <c:layout>
                <c:manualLayout>
                  <c:x val="3.8443178409341655E-3"/>
                  <c:y val="1.2217998224610787E-2"/>
                </c:manualLayout>
              </c:layout>
              <c:tx>
                <c:rich>
                  <a:bodyPr/>
                  <a:lstStyle/>
                  <a:p>
                    <a:r>
                      <a:rPr lang="en-US" sz="1000" b="1" i="0" u="none" strike="noStrike" baseline="0">
                        <a:effectLst/>
                      </a:rPr>
                      <a:t>Pays de la CEI</a:t>
                    </a:r>
                    <a:r>
                      <a:rPr lang="en-US" baseline="0"/>
                      <a:t>
</a:t>
                    </a:r>
                    <a:fld id="{3373A96D-48CB-43B4-88C8-6D69A46FB38E}"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6C7-4F76-915E-AD71385DF35A}"/>
                </c:ext>
              </c:extLst>
            </c:dLbl>
            <c:dLbl>
              <c:idx val="6"/>
              <c:layout>
                <c:manualLayout>
                  <c:x val="-1.0571874062569148E-2"/>
                  <c:y val="-3.490856635603095E-2"/>
                </c:manualLayout>
              </c:layout>
              <c:tx>
                <c:rich>
                  <a:bodyPr/>
                  <a:lstStyle/>
                  <a:p>
                    <a:r>
                      <a:rPr lang="en-US" sz="1000" b="1" i="0" u="none" strike="noStrike" baseline="0">
                        <a:effectLst/>
                      </a:rPr>
                      <a:t>Monde ou multirégional</a:t>
                    </a:r>
                    <a:r>
                      <a:rPr lang="en-US" baseline="0"/>
                      <a:t>
</a:t>
                    </a:r>
                    <a:fld id="{925183D4-D3E6-4607-B919-78910A305C74}"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86C7-4F76-915E-AD71385DF35A}"/>
                </c:ext>
              </c:extLst>
            </c:dLbl>
            <c:numFmt formatCode="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'[Budget OP23 and OP24 Priorities and Enablers Charts UPDATED 1.xlsx]Budget by Region OP24'!$A$2:$A$8</c:f>
              <c:strCache>
                <c:ptCount val="7"/>
                <c:pt idx="0">
                  <c:v>Arab States</c:v>
                </c:pt>
                <c:pt idx="1">
                  <c:v>Africa</c:v>
                </c:pt>
                <c:pt idx="2">
                  <c:v>Americas</c:v>
                </c:pt>
                <c:pt idx="3">
                  <c:v>Europe</c:v>
                </c:pt>
                <c:pt idx="4">
                  <c:v>Asia &amp; Pacific</c:v>
                </c:pt>
                <c:pt idx="5">
                  <c:v>CIS countries</c:v>
                </c:pt>
                <c:pt idx="6">
                  <c:v>World or Multi-Regional</c:v>
                </c:pt>
              </c:strCache>
            </c:strRef>
          </c:cat>
          <c:val>
            <c:numRef>
              <c:f>'[Budget OP23 and OP24 Priorities and Enablers Charts UPDATED 1.xlsx]Budget by Region OP24'!$C$2:$C$8</c:f>
              <c:numCache>
                <c:formatCode>0%</c:formatCode>
                <c:ptCount val="7"/>
                <c:pt idx="0">
                  <c:v>7.3999999999999996E-2</c:v>
                </c:pt>
                <c:pt idx="1">
                  <c:v>7.3999999999999996E-2</c:v>
                </c:pt>
                <c:pt idx="2">
                  <c:v>7.3999999999999996E-2</c:v>
                </c:pt>
                <c:pt idx="3">
                  <c:v>7.8E-2</c:v>
                </c:pt>
                <c:pt idx="4">
                  <c:v>7.8E-2</c:v>
                </c:pt>
                <c:pt idx="5">
                  <c:v>8.2000000000000003E-2</c:v>
                </c:pt>
                <c:pt idx="6">
                  <c:v>0.53700000000000003</c:v>
                </c:pt>
              </c:numCache>
            </c:numRef>
          </c:val>
          <c:extLst>
            <c:ext xmlns:c16="http://schemas.microsoft.com/office/drawing/2014/chart" uri="{C3380CC4-5D6E-409C-BE32-E72D297353CC}">
              <c16:uniqueId val="{0000000E-86C7-4F76-915E-AD71385DF35A}"/>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gradFill>
        <a:gsLst>
          <a:gs pos="0">
            <a:schemeClr val="tx2">
              <a:lumMod val="50000"/>
              <a:lumOff val="5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721</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2024-05-01T10:04:00Z</dcterms:created>
  <dcterms:modified xsi:type="dcterms:W3CDTF">2024-05-01T10:22:00Z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