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982196" w:rsidRPr="00B37B54" w14:paraId="3863D628" w14:textId="77777777" w:rsidTr="00D94AA3">
        <w:trPr>
          <w:trHeight w:val="1134"/>
        </w:trPr>
        <w:tc>
          <w:tcPr>
            <w:tcW w:w="6663" w:type="dxa"/>
          </w:tcPr>
          <w:p w14:paraId="61B5BA80" w14:textId="77777777" w:rsidR="00982196" w:rsidRPr="00B37B54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B37B5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B37B5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3DF924A" w14:textId="25AC5775" w:rsidR="00982196" w:rsidRPr="00B37B54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B37B5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B37B5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B37B5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B37B54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B37B54">
              <w:rPr>
                <w:b/>
                <w:bCs/>
                <w:sz w:val="24"/>
                <w:szCs w:val="24"/>
              </w:rPr>
              <w:t>20</w:t>
            </w:r>
            <w:r w:rsidR="003A5506" w:rsidRPr="00B37B54">
              <w:rPr>
                <w:b/>
                <w:bCs/>
                <w:sz w:val="24"/>
                <w:szCs w:val="24"/>
              </w:rPr>
              <w:t>−</w:t>
            </w:r>
            <w:r w:rsidR="003C01D0" w:rsidRPr="00B37B54">
              <w:rPr>
                <w:b/>
                <w:bCs/>
                <w:sz w:val="24"/>
                <w:szCs w:val="24"/>
              </w:rPr>
              <w:t>2</w:t>
            </w:r>
            <w:r w:rsidR="00085DEC" w:rsidRPr="00B37B54">
              <w:rPr>
                <w:b/>
                <w:bCs/>
                <w:sz w:val="24"/>
                <w:szCs w:val="24"/>
              </w:rPr>
              <w:t>3</w:t>
            </w:r>
            <w:r w:rsidRPr="00B37B54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B37B54">
              <w:rPr>
                <w:b/>
                <w:bCs/>
                <w:sz w:val="24"/>
                <w:szCs w:val="24"/>
              </w:rPr>
              <w:t>мая</w:t>
            </w:r>
            <w:r w:rsidRPr="00B37B54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B37B54">
              <w:rPr>
                <w:b/>
                <w:bCs/>
                <w:sz w:val="24"/>
                <w:szCs w:val="24"/>
              </w:rPr>
              <w:t>4</w:t>
            </w:r>
            <w:r w:rsidRPr="00B37B5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22FBFE9F" w14:textId="77777777" w:rsidR="00982196" w:rsidRPr="00B37B54" w:rsidRDefault="00982196" w:rsidP="00D94AA3">
            <w:pPr>
              <w:widowControl w:val="0"/>
              <w:ind w:right="171"/>
              <w:jc w:val="right"/>
            </w:pPr>
            <w:r w:rsidRPr="00B37B54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37B5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B37B5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EF4F3C1" w14:textId="77777777" w:rsidR="00CD34AE" w:rsidRPr="00B37B5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B37B5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B37B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78DC7F" w14:textId="15A40118" w:rsidR="00F105F5" w:rsidRPr="00B37B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37B5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B37B54">
              <w:rPr>
                <w:rFonts w:cstheme="minorHAnsi"/>
                <w:b/>
                <w:bCs/>
              </w:rPr>
              <w:t xml:space="preserve"> TDAG-2</w:t>
            </w:r>
            <w:r w:rsidR="00453874" w:rsidRPr="00B37B54">
              <w:rPr>
                <w:rFonts w:cstheme="minorHAnsi"/>
                <w:b/>
                <w:bCs/>
              </w:rPr>
              <w:t>4</w:t>
            </w:r>
            <w:r w:rsidRPr="00B37B5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6E7E77" w:rsidRPr="00B37B54">
              <w:rPr>
                <w:rFonts w:cstheme="minorHAnsi"/>
                <w:b/>
                <w:bCs/>
              </w:rPr>
              <w:t>12</w:t>
            </w:r>
            <w:r w:rsidRPr="00B37B5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B37B5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B37B5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30F6CD9A" w14:textId="2EC08B67" w:rsidR="00F105F5" w:rsidRPr="00B37B54" w:rsidRDefault="005E79E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B37B54">
              <w:rPr>
                <w:b/>
                <w:bCs/>
              </w:rPr>
              <w:t>29 апреля</w:t>
            </w:r>
            <w:r w:rsidR="00F105F5" w:rsidRPr="00B37B54">
              <w:rPr>
                <w:b/>
                <w:bCs/>
              </w:rPr>
              <w:t xml:space="preserve"> 202</w:t>
            </w:r>
            <w:r w:rsidR="00453874" w:rsidRPr="00B37B54">
              <w:rPr>
                <w:b/>
                <w:bCs/>
              </w:rPr>
              <w:t>4</w:t>
            </w:r>
            <w:r w:rsidR="00F105F5" w:rsidRPr="00B37B54">
              <w:rPr>
                <w:b/>
                <w:bCs/>
              </w:rPr>
              <w:t xml:space="preserve"> года</w:t>
            </w:r>
          </w:p>
        </w:tc>
      </w:tr>
      <w:tr w:rsidR="00F105F5" w:rsidRPr="00B37B5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B37B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BC39A25" w14:textId="5C636D41" w:rsidR="00F105F5" w:rsidRPr="00B37B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37B5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B37B5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B37B54" w14:paraId="33BA05C8" w14:textId="77777777" w:rsidTr="00CD34AE">
        <w:trPr>
          <w:trHeight w:val="850"/>
        </w:trPr>
        <w:tc>
          <w:tcPr>
            <w:tcW w:w="9923" w:type="dxa"/>
            <w:gridSpan w:val="2"/>
          </w:tcPr>
          <w:p w14:paraId="0785D145" w14:textId="049DAC7F" w:rsidR="00CD34AE" w:rsidRPr="00B37B54" w:rsidRDefault="005E79EF" w:rsidP="00085DE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B37B54">
              <w:t>Директор Бюро развития электросвязи</w:t>
            </w:r>
          </w:p>
        </w:tc>
      </w:tr>
      <w:tr w:rsidR="00CD34AE" w:rsidRPr="00B37B54" w14:paraId="7E911F3C" w14:textId="77777777" w:rsidTr="00270876">
        <w:tc>
          <w:tcPr>
            <w:tcW w:w="9923" w:type="dxa"/>
            <w:gridSpan w:val="2"/>
          </w:tcPr>
          <w:p w14:paraId="027C889A" w14:textId="2B6A35F7" w:rsidR="00CD34AE" w:rsidRPr="00B37B54" w:rsidRDefault="006E7E77" w:rsidP="00085DEC">
            <w:pPr>
              <w:pStyle w:val="Title1"/>
            </w:pPr>
            <w:bookmarkStart w:id="5" w:name="Title"/>
            <w:bookmarkEnd w:id="5"/>
            <w:r w:rsidRPr="00B37B54">
              <w:rPr>
                <w:caps w:val="0"/>
              </w:rPr>
              <w:t>Оперативный план МСЭ-D на 2024 год</w:t>
            </w:r>
          </w:p>
        </w:tc>
      </w:tr>
      <w:tr w:rsidR="00CD34AE" w:rsidRPr="00B37B54" w14:paraId="5800435D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682FD8" w14:textId="77777777" w:rsidR="00CD34AE" w:rsidRPr="00B37B54" w:rsidRDefault="00CD34AE" w:rsidP="00CD34AE"/>
        </w:tc>
      </w:tr>
      <w:tr w:rsidR="00CD34AE" w:rsidRPr="00B37B54" w14:paraId="63362209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B37B54" w:rsidRDefault="00F105F5" w:rsidP="00F105F5">
            <w:pPr>
              <w:pStyle w:val="Headingb"/>
              <w:jc w:val="both"/>
            </w:pPr>
            <w:r w:rsidRPr="00B37B54">
              <w:t>Резюме</w:t>
            </w:r>
          </w:p>
          <w:p w14:paraId="77C4220D" w14:textId="3F8734BB" w:rsidR="006E7E77" w:rsidRPr="00B37B54" w:rsidRDefault="006E7E77" w:rsidP="006E7E77">
            <w:pPr>
              <w:spacing w:after="120"/>
              <w:rPr>
                <w:rFonts w:cstheme="minorHAnsi"/>
              </w:rPr>
            </w:pPr>
            <w:r w:rsidRPr="00B37B54">
              <w:t>В настоящем документе представлен обзор процесса, реализуемого Бюро развития электросвязи при планировании деятельности, осуществляемой в настоящее время в соответствии с Оперативным планом МСЭ-D на 2024 год, как на региональном, так и на глобальном уровне в соответствии с приоритетами и средствами достижения целей МСЭ-D.</w:t>
            </w:r>
          </w:p>
          <w:p w14:paraId="4751683A" w14:textId="05CDB082" w:rsidR="00F105F5" w:rsidRPr="00B37B54" w:rsidRDefault="006E7E77" w:rsidP="006E7E77">
            <w:r w:rsidRPr="00B37B54">
              <w:t>В документе излагается распределение средств по каждому региону МСЭ-D и по многим регионам, а</w:t>
            </w:r>
            <w:r w:rsidR="00CA760F" w:rsidRPr="00B37B54">
              <w:t> </w:t>
            </w:r>
            <w:r w:rsidRPr="00B37B54">
              <w:t>также по каждому конкретному приоритету и средству достижения целей МСЭ-D.</w:t>
            </w:r>
          </w:p>
          <w:p w14:paraId="19185981" w14:textId="77777777" w:rsidR="00F105F5" w:rsidRPr="00B37B54" w:rsidRDefault="00F105F5" w:rsidP="00135135">
            <w:pPr>
              <w:pStyle w:val="Headingb"/>
            </w:pPr>
            <w:r w:rsidRPr="00B37B54">
              <w:t>Необходимые действия</w:t>
            </w:r>
          </w:p>
          <w:p w14:paraId="562E7AEF" w14:textId="7FB21FCC" w:rsidR="00F105F5" w:rsidRPr="00B37B54" w:rsidRDefault="006E7E77" w:rsidP="00F105F5">
            <w:r w:rsidRPr="00B37B54">
              <w:t>КГРЭ предлагается принять настоящий документ к сведению и, в случае необходимости, предоставить руководящие указания.</w:t>
            </w:r>
          </w:p>
          <w:p w14:paraId="502F1131" w14:textId="77777777" w:rsidR="00F105F5" w:rsidRPr="00B37B54" w:rsidRDefault="00F105F5" w:rsidP="00F105F5">
            <w:pPr>
              <w:pStyle w:val="Headingb"/>
              <w:jc w:val="both"/>
            </w:pPr>
            <w:r w:rsidRPr="00B37B54">
              <w:t>Справочные материалы</w:t>
            </w:r>
          </w:p>
          <w:p w14:paraId="3E9D9EFE" w14:textId="77777777" w:rsidR="006E7E77" w:rsidRPr="00B37B54" w:rsidRDefault="006E7E77" w:rsidP="006E7E77">
            <w:pPr>
              <w:spacing w:after="120"/>
              <w:jc w:val="both"/>
            </w:pPr>
            <w:r w:rsidRPr="00B37B54">
              <w:t>Кигалийский план действий ВКРЭ-22</w:t>
            </w:r>
          </w:p>
          <w:p w14:paraId="1E7E0297" w14:textId="3FE947A5" w:rsidR="00CD34AE" w:rsidRPr="00B37B54" w:rsidRDefault="006E7E77" w:rsidP="006E7E77">
            <w:pPr>
              <w:spacing w:after="120"/>
            </w:pPr>
            <w:r w:rsidRPr="00B37B54">
              <w:t>Документ TDAG-23/DT/3</w:t>
            </w:r>
          </w:p>
        </w:tc>
      </w:tr>
    </w:tbl>
    <w:p w14:paraId="6839E72B" w14:textId="77777777" w:rsidR="002931FA" w:rsidRPr="00B37B5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B37B54">
        <w:br w:type="page"/>
      </w:r>
    </w:p>
    <w:p w14:paraId="1993F444" w14:textId="306924F6" w:rsidR="006E7E77" w:rsidRPr="00B37B54" w:rsidRDefault="00710066" w:rsidP="00710066">
      <w:pPr>
        <w:pStyle w:val="Heading1"/>
        <w:ind w:left="0" w:firstLine="0"/>
      </w:pPr>
      <w:r w:rsidRPr="00B37B54">
        <w:lastRenderedPageBreak/>
        <w:t>1</w:t>
      </w:r>
      <w:r w:rsidRPr="00B37B54">
        <w:tab/>
      </w:r>
      <w:r w:rsidR="006E7E77" w:rsidRPr="00B37B54">
        <w:t>Введение</w:t>
      </w:r>
    </w:p>
    <w:p w14:paraId="5C0E8914" w14:textId="298B11A7" w:rsidR="006E7E77" w:rsidRPr="00B37B54" w:rsidRDefault="006E7E77" w:rsidP="00710066">
      <w:r w:rsidRPr="00B37B54">
        <w:t>Оперативный план (ОП) МСЭ-D на 2024 год соответствует структуре Стратегического плана Союза на</w:t>
      </w:r>
      <w:r w:rsidR="0046629A" w:rsidRPr="00B37B54">
        <w:t> </w:t>
      </w:r>
      <w:r w:rsidRPr="00B37B54">
        <w:t>2024−2027 годы. Структура соответствует Кигалийскому плану действий (КПД), поскольку в ней определяются приоритеты и средства достижения целей МСЭ-D, и соответствующие им конечные результаты, продукты и услуги, а также показатели деятельности для измерения уровня их достижения, достигаемые при выполнении видов деятельности Сектора.</w:t>
      </w:r>
    </w:p>
    <w:p w14:paraId="34AD9CD5" w14:textId="77777777" w:rsidR="006E7E77" w:rsidRPr="00B37B54" w:rsidRDefault="006E7E77" w:rsidP="00710066">
      <w:r w:rsidRPr="00B37B54">
        <w:t>Процесс планирования ОП-24 соответствует структуре ОП-23, включающей определение принципов формирования основы для начала деятельности, консультации на выездном совещании руководителей БРЭ в феврале 2023 года, согласование деятельности с КПД и обеспечение общей согласованности. В отношении деятельности, предложенной в рамках ОП-24, были проведены подробные консультации с Государствами-Членами.</w:t>
      </w:r>
    </w:p>
    <w:p w14:paraId="036665AF" w14:textId="6490E5DA" w:rsidR="006E7E77" w:rsidRPr="00B37B54" w:rsidRDefault="00710066" w:rsidP="00710066">
      <w:pPr>
        <w:pStyle w:val="Heading1"/>
      </w:pPr>
      <w:r w:rsidRPr="00B37B54">
        <w:t>2</w:t>
      </w:r>
      <w:r w:rsidRPr="00B37B54">
        <w:tab/>
      </w:r>
      <w:r w:rsidR="006E7E77" w:rsidRPr="00B37B54">
        <w:t>Распределение средств по регионам-бенефициарам</w:t>
      </w:r>
    </w:p>
    <w:p w14:paraId="0A5796EF" w14:textId="0744E4A4" w:rsidR="006E7E77" w:rsidRPr="00B37B54" w:rsidRDefault="006E7E77" w:rsidP="00710066">
      <w:pPr>
        <w:rPr>
          <w:szCs w:val="24"/>
        </w:rPr>
      </w:pPr>
      <w:r w:rsidRPr="00B37B54">
        <w:t>В настоящее время во всем мире и в регионах осуществляется в общей сложности сто двадцать семь (127) видов деятельности. По аналогии с ОП-23, немногим более половины бюджета ОП-24 (54</w:t>
      </w:r>
      <w:r w:rsidR="00710066" w:rsidRPr="00B37B54">
        <w:t> </w:t>
      </w:r>
      <w:r w:rsidRPr="00B37B54">
        <w:t>процента) было направлено на достижение результатов деятельности глобального характера и на мероприятия, направленные сразу на несколько регионов, что, как ожидается, обеспечит широкое воздействие и повысит оперативную эффективность. Почти равное финансирование (7</w:t>
      </w:r>
      <w:r w:rsidR="0046629A" w:rsidRPr="00B37B54">
        <w:t>−</w:t>
      </w:r>
      <w:r w:rsidRPr="00B37B54">
        <w:t>8 процентов) было выделено на мероприятия в рамках различных приоритетов и средств достижения целей МСЭ</w:t>
      </w:r>
      <w:r w:rsidR="00B37B54" w:rsidRPr="00B37B54">
        <w:noBreakHyphen/>
      </w:r>
      <w:r w:rsidRPr="00B37B54">
        <w:t>D в интересах всех шести регионов МСЭ. В дальнейшем будет необходимо добиться эффекта синергии в рамках региональных мероприятий и между региональными и глобальными мероприятиями, а также с мероприятиями других бюро МСЭ и Генерального секретариата. Дальнейшему усилению воздействия выполнения КПД в регионах и на глобальном уровне будут способствовать партнерские отношения с национальными, региональными и глобальными организациями и проектами, выполняемыми БРЭ.</w:t>
      </w:r>
    </w:p>
    <w:p w14:paraId="5D4616AE" w14:textId="77777777" w:rsidR="006E7E77" w:rsidRPr="00B37B54" w:rsidRDefault="006E7E77" w:rsidP="00CA760F">
      <w:pPr>
        <w:pStyle w:val="Figuretitle"/>
        <w:spacing w:after="240"/>
        <w:rPr>
          <w:rFonts w:cstheme="minorHAnsi"/>
          <w:szCs w:val="24"/>
          <w:lang w:val="ru-RU"/>
        </w:rPr>
      </w:pPr>
      <w:r w:rsidRPr="00B37B54">
        <w:rPr>
          <w:lang w:val="ru-RU"/>
        </w:rPr>
        <w:t>Рисунок 1 – Обзор распределения средств ОП-24 по регионам-бенефициарам</w:t>
      </w:r>
    </w:p>
    <w:p w14:paraId="393F5614" w14:textId="18F52337" w:rsidR="00E82D47" w:rsidRPr="00B37B54" w:rsidRDefault="004C4A04" w:rsidP="00E82D47">
      <w:pPr>
        <w:jc w:val="center"/>
      </w:pPr>
      <w:r w:rsidRPr="00B37B54">
        <w:drawing>
          <wp:inline distT="0" distB="0" distL="0" distR="0" wp14:anchorId="0F54A9F5" wp14:editId="515D97FB">
            <wp:extent cx="5324475" cy="3529013"/>
            <wp:effectExtent l="0" t="0" r="9525" b="14605"/>
            <wp:docPr id="387436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673AE8D-02C2-8C80-B97D-B70E11A09F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725A4" w14:textId="1A9F3D53" w:rsidR="006E7E77" w:rsidRPr="00B37B54" w:rsidRDefault="006E7E77" w:rsidP="00CA760F">
      <w:pPr>
        <w:pStyle w:val="Figuretitle"/>
        <w:spacing w:after="240"/>
        <w:rPr>
          <w:rFonts w:cstheme="minorHAnsi"/>
          <w:szCs w:val="24"/>
          <w:lang w:val="ru-RU"/>
        </w:rPr>
      </w:pPr>
      <w:r w:rsidRPr="00B37B54">
        <w:rPr>
          <w:lang w:val="ru-RU"/>
        </w:rPr>
        <w:lastRenderedPageBreak/>
        <w:t xml:space="preserve">Рисунок 2 – Обзор средств ОП-24, выделенных в рамках приоритетов </w:t>
      </w:r>
      <w:r w:rsidR="004C4A04" w:rsidRPr="00B37B54">
        <w:rPr>
          <w:lang w:val="ru-RU"/>
        </w:rPr>
        <w:br/>
      </w:r>
      <w:r w:rsidRPr="00B37B54">
        <w:rPr>
          <w:lang w:val="ru-RU"/>
        </w:rPr>
        <w:t>и средств достижения целей МСЭ-D (в шв. фр.)</w:t>
      </w:r>
    </w:p>
    <w:tbl>
      <w:tblPr>
        <w:tblStyle w:val="GridTable4-Accent1"/>
        <w:tblW w:w="9640" w:type="dxa"/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423"/>
      </w:tblGrid>
      <w:tr w:rsidR="006E7E77" w:rsidRPr="00B37B54" w14:paraId="1034B48F" w14:textId="77777777" w:rsidTr="00CA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noWrap/>
            <w:vAlign w:val="center"/>
            <w:hideMark/>
          </w:tcPr>
          <w:p w14:paraId="1EEBCFF5" w14:textId="77777777" w:rsidR="006E7E77" w:rsidRPr="00B37B54" w:rsidRDefault="006E7E77" w:rsidP="00CA760F">
            <w:pPr>
              <w:pStyle w:val="Tablehead"/>
              <w:spacing w:before="80" w:after="80"/>
              <w:jc w:val="left"/>
              <w:rPr>
                <w:rFonts w:cs="Calibri"/>
                <w:b/>
                <w:bCs w:val="0"/>
                <w:color w:val="FFFFFF"/>
                <w:sz w:val="22"/>
                <w:szCs w:val="22"/>
              </w:rPr>
            </w:pPr>
            <w:r w:rsidRPr="00B37B54">
              <w:rPr>
                <w:b/>
                <w:bCs w:val="0"/>
              </w:rPr>
              <w:t>Приоритеты и средства достижения целей МСЭ-D</w:t>
            </w:r>
          </w:p>
        </w:tc>
        <w:tc>
          <w:tcPr>
            <w:tcW w:w="1843" w:type="dxa"/>
            <w:vAlign w:val="center"/>
            <w:hideMark/>
          </w:tcPr>
          <w:p w14:paraId="5795B980" w14:textId="77777777" w:rsidR="006E7E77" w:rsidRPr="00B37B54" w:rsidRDefault="006E7E77" w:rsidP="00CA760F">
            <w:pPr>
              <w:pStyle w:val="Tablehead"/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 w:val="0"/>
                <w:color w:val="FFFFFF"/>
                <w:sz w:val="22"/>
                <w:szCs w:val="22"/>
              </w:rPr>
            </w:pPr>
            <w:r w:rsidRPr="00B37B54">
              <w:rPr>
                <w:b/>
                <w:bCs w:val="0"/>
              </w:rPr>
              <w:t>Бюджет на 2024 г.</w:t>
            </w:r>
            <w:r w:rsidRPr="00B37B54">
              <w:rPr>
                <w:b/>
                <w:bCs w:val="0"/>
              </w:rPr>
              <w:br/>
              <w:t>(шв. фр.)</w:t>
            </w:r>
          </w:p>
        </w:tc>
        <w:tc>
          <w:tcPr>
            <w:tcW w:w="1423" w:type="dxa"/>
            <w:vAlign w:val="center"/>
            <w:hideMark/>
          </w:tcPr>
          <w:p w14:paraId="25FA58FD" w14:textId="77777777" w:rsidR="006E7E77" w:rsidRPr="00B37B54" w:rsidRDefault="006E7E77" w:rsidP="00CA760F">
            <w:pPr>
              <w:pStyle w:val="Tablehead"/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 w:val="0"/>
                <w:color w:val="FFFFFF"/>
                <w:sz w:val="22"/>
                <w:szCs w:val="22"/>
              </w:rPr>
            </w:pPr>
            <w:r w:rsidRPr="00B37B54">
              <w:rPr>
                <w:b/>
                <w:bCs w:val="0"/>
              </w:rPr>
              <w:t>Доля бюджета</w:t>
            </w:r>
          </w:p>
        </w:tc>
      </w:tr>
      <w:tr w:rsidR="006E7E77" w:rsidRPr="00B37B54" w14:paraId="6E9B1306" w14:textId="77777777" w:rsidTr="00CA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50FF92D6" w14:textId="1F1D5201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P1 − Приемлемые в ценовом отношении соединения</w:t>
            </w:r>
            <w:r w:rsidR="00CA760F" w:rsidRPr="00B37B54">
              <w:t xml:space="preserve"> </w:t>
            </w:r>
            <w:r w:rsidRPr="00B37B54">
              <w:t>(в том числе сети и цифровая инфраструктура, электросвязь в чрезвычайных ситуациях)</w:t>
            </w:r>
          </w:p>
        </w:tc>
        <w:tc>
          <w:tcPr>
            <w:tcW w:w="1843" w:type="dxa"/>
            <w:noWrap/>
            <w:hideMark/>
          </w:tcPr>
          <w:p w14:paraId="77B1011E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595 500</w:t>
            </w:r>
          </w:p>
        </w:tc>
        <w:tc>
          <w:tcPr>
            <w:tcW w:w="1423" w:type="dxa"/>
            <w:noWrap/>
            <w:hideMark/>
          </w:tcPr>
          <w:p w14:paraId="5C84D2E2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14,8%</w:t>
            </w:r>
          </w:p>
        </w:tc>
      </w:tr>
      <w:tr w:rsidR="006E7E77" w:rsidRPr="00B37B54" w14:paraId="5D157F83" w14:textId="77777777" w:rsidTr="00CA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4E35AEBC" w14:textId="00C1E779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P2 − Цифровая трансформация (в том числе цифровые приложения и</w:t>
            </w:r>
            <w:r w:rsidR="00CA760F" w:rsidRPr="00B37B54">
              <w:t> </w:t>
            </w:r>
            <w:r w:rsidRPr="00B37B54">
              <w:t>услуги, экосистемы цифровых инноваций)</w:t>
            </w:r>
          </w:p>
        </w:tc>
        <w:tc>
          <w:tcPr>
            <w:tcW w:w="1843" w:type="dxa"/>
            <w:noWrap/>
            <w:hideMark/>
          </w:tcPr>
          <w:p w14:paraId="7C7D4F50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628 000</w:t>
            </w:r>
          </w:p>
        </w:tc>
        <w:tc>
          <w:tcPr>
            <w:tcW w:w="1423" w:type="dxa"/>
            <w:noWrap/>
            <w:hideMark/>
          </w:tcPr>
          <w:p w14:paraId="6E58BB47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15,6%</w:t>
            </w:r>
          </w:p>
        </w:tc>
      </w:tr>
      <w:tr w:rsidR="006E7E77" w:rsidRPr="00B37B54" w14:paraId="5C677E25" w14:textId="77777777" w:rsidTr="00CA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1CC9B403" w14:textId="77777777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P3 − Благоприятная политическая и регуляторная среда (в том числе политика и регулирование, развитие потенциала, статистика)</w:t>
            </w:r>
          </w:p>
        </w:tc>
        <w:tc>
          <w:tcPr>
            <w:tcW w:w="1843" w:type="dxa"/>
            <w:noWrap/>
            <w:hideMark/>
          </w:tcPr>
          <w:p w14:paraId="010B8E64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1 199 000</w:t>
            </w:r>
          </w:p>
        </w:tc>
        <w:tc>
          <w:tcPr>
            <w:tcW w:w="1423" w:type="dxa"/>
            <w:noWrap/>
            <w:hideMark/>
          </w:tcPr>
          <w:p w14:paraId="336247C1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29,8%</w:t>
            </w:r>
          </w:p>
        </w:tc>
      </w:tr>
      <w:tr w:rsidR="006E7E77" w:rsidRPr="00B37B54" w14:paraId="2665F45B" w14:textId="77777777" w:rsidTr="00CA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095F3E47" w14:textId="1F326548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P4 − Инклюзивная и защищенная электросвязь/ИКТ для устойчивого развития (в том числе кибербезопасность, развитие потенциала)</w:t>
            </w:r>
          </w:p>
        </w:tc>
        <w:tc>
          <w:tcPr>
            <w:tcW w:w="1843" w:type="dxa"/>
            <w:noWrap/>
            <w:hideMark/>
          </w:tcPr>
          <w:p w14:paraId="25E4EA15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572 500</w:t>
            </w:r>
          </w:p>
        </w:tc>
        <w:tc>
          <w:tcPr>
            <w:tcW w:w="1423" w:type="dxa"/>
            <w:noWrap/>
            <w:hideMark/>
          </w:tcPr>
          <w:p w14:paraId="59F4FB9F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14,2%</w:t>
            </w:r>
          </w:p>
        </w:tc>
      </w:tr>
      <w:tr w:rsidR="006E7E77" w:rsidRPr="00B37B54" w14:paraId="7AAA0E65" w14:textId="77777777" w:rsidTr="00CA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305C089F" w14:textId="3313F1DC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P5/E6/E7 − Мобилизации ресурсов, партнерские отношения и</w:t>
            </w:r>
            <w:r w:rsidR="00CA760F" w:rsidRPr="00B37B54">
              <w:t> </w:t>
            </w:r>
            <w:r w:rsidRPr="00B37B54">
              <w:t>международное сотрудничество</w:t>
            </w:r>
          </w:p>
        </w:tc>
        <w:tc>
          <w:tcPr>
            <w:tcW w:w="1843" w:type="dxa"/>
            <w:noWrap/>
            <w:hideMark/>
          </w:tcPr>
          <w:p w14:paraId="55C39321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327 000</w:t>
            </w:r>
          </w:p>
        </w:tc>
        <w:tc>
          <w:tcPr>
            <w:tcW w:w="1423" w:type="dxa"/>
            <w:noWrap/>
            <w:hideMark/>
          </w:tcPr>
          <w:p w14:paraId="4AF02AE2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8,1%</w:t>
            </w:r>
          </w:p>
        </w:tc>
      </w:tr>
      <w:tr w:rsidR="006E7E77" w:rsidRPr="00B37B54" w14:paraId="7715693A" w14:textId="77777777" w:rsidTr="00CA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68F720EA" w14:textId="77777777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E1 − Ориентация на интересы членов</w:t>
            </w:r>
          </w:p>
        </w:tc>
        <w:tc>
          <w:tcPr>
            <w:tcW w:w="1843" w:type="dxa"/>
            <w:noWrap/>
            <w:hideMark/>
          </w:tcPr>
          <w:p w14:paraId="6BB6A452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15 000</w:t>
            </w:r>
          </w:p>
        </w:tc>
        <w:tc>
          <w:tcPr>
            <w:tcW w:w="1423" w:type="dxa"/>
            <w:noWrap/>
            <w:hideMark/>
          </w:tcPr>
          <w:p w14:paraId="58CACC88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0,4%</w:t>
            </w:r>
          </w:p>
        </w:tc>
      </w:tr>
      <w:tr w:rsidR="006E7E77" w:rsidRPr="00B37B54" w14:paraId="71919E78" w14:textId="77777777" w:rsidTr="00CA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0B72BE86" w14:textId="77777777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E2 − Региональное присутствие</w:t>
            </w:r>
          </w:p>
        </w:tc>
        <w:tc>
          <w:tcPr>
            <w:tcW w:w="1843" w:type="dxa"/>
            <w:noWrap/>
            <w:hideMark/>
          </w:tcPr>
          <w:p w14:paraId="4C03D63F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95 000</w:t>
            </w:r>
          </w:p>
        </w:tc>
        <w:tc>
          <w:tcPr>
            <w:tcW w:w="1423" w:type="dxa"/>
            <w:noWrap/>
            <w:hideMark/>
          </w:tcPr>
          <w:p w14:paraId="4A3F183C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2,4%</w:t>
            </w:r>
          </w:p>
        </w:tc>
      </w:tr>
      <w:tr w:rsidR="006E7E77" w:rsidRPr="00B37B54" w14:paraId="173E9AB5" w14:textId="77777777" w:rsidTr="00CA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7A795847" w14:textId="77777777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E3 − Разнообразие и интеграция (в том числе охват цифровыми технологиями)</w:t>
            </w:r>
          </w:p>
        </w:tc>
        <w:tc>
          <w:tcPr>
            <w:tcW w:w="1843" w:type="dxa"/>
            <w:noWrap/>
            <w:hideMark/>
          </w:tcPr>
          <w:p w14:paraId="1C3C9135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292 000</w:t>
            </w:r>
          </w:p>
        </w:tc>
        <w:tc>
          <w:tcPr>
            <w:tcW w:w="1423" w:type="dxa"/>
            <w:noWrap/>
            <w:hideMark/>
          </w:tcPr>
          <w:p w14:paraId="5A9B6A01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7,3%</w:t>
            </w:r>
          </w:p>
        </w:tc>
      </w:tr>
      <w:tr w:rsidR="006E7E77" w:rsidRPr="00B37B54" w14:paraId="78B2A0CF" w14:textId="77777777" w:rsidTr="00CA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57C1CC46" w14:textId="2F54E553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E4 − Приверженность экологической устойчивости (в том числе</w:t>
            </w:r>
            <w:r w:rsidR="00B37B54" w:rsidRPr="00B37B54">
              <w:t> </w:t>
            </w:r>
            <w:r w:rsidRPr="00B37B54">
              <w:t>окружающая среда)</w:t>
            </w:r>
          </w:p>
        </w:tc>
        <w:tc>
          <w:tcPr>
            <w:tcW w:w="1843" w:type="dxa"/>
            <w:noWrap/>
            <w:hideMark/>
          </w:tcPr>
          <w:p w14:paraId="40C66DF3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165 000</w:t>
            </w:r>
          </w:p>
        </w:tc>
        <w:tc>
          <w:tcPr>
            <w:tcW w:w="1423" w:type="dxa"/>
            <w:noWrap/>
            <w:hideMark/>
          </w:tcPr>
          <w:p w14:paraId="1774D8EC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4,1%</w:t>
            </w:r>
          </w:p>
        </w:tc>
      </w:tr>
      <w:tr w:rsidR="006E7E77" w:rsidRPr="00B37B54" w14:paraId="673D58C7" w14:textId="77777777" w:rsidTr="00CA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77D0258C" w14:textId="77777777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E5 − Развитие людских ресурсов и организационные инновации</w:t>
            </w:r>
          </w:p>
        </w:tc>
        <w:tc>
          <w:tcPr>
            <w:tcW w:w="1843" w:type="dxa"/>
            <w:noWrap/>
            <w:hideMark/>
          </w:tcPr>
          <w:p w14:paraId="073D71E9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131 000</w:t>
            </w:r>
          </w:p>
        </w:tc>
        <w:tc>
          <w:tcPr>
            <w:tcW w:w="1423" w:type="dxa"/>
            <w:noWrap/>
            <w:hideMark/>
          </w:tcPr>
          <w:p w14:paraId="5B47A978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3,3%</w:t>
            </w:r>
          </w:p>
        </w:tc>
      </w:tr>
      <w:tr w:rsidR="006E7E77" w:rsidRPr="00B37B54" w14:paraId="75A864C2" w14:textId="77777777" w:rsidTr="00CA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3783B19F" w14:textId="77777777" w:rsidR="006E7E77" w:rsidRPr="00B37B54" w:rsidRDefault="006E7E77" w:rsidP="00CA760F">
            <w:pPr>
              <w:pStyle w:val="Tabletext"/>
              <w:spacing w:before="40" w:after="40"/>
              <w:rPr>
                <w:rFonts w:cs="Calibri"/>
                <w:color w:val="000000"/>
                <w:sz w:val="22"/>
                <w:szCs w:val="22"/>
              </w:rPr>
            </w:pPr>
            <w:r w:rsidRPr="00B37B54">
              <w:t>ИТОГО</w:t>
            </w:r>
          </w:p>
        </w:tc>
        <w:tc>
          <w:tcPr>
            <w:tcW w:w="1843" w:type="dxa"/>
            <w:noWrap/>
            <w:hideMark/>
          </w:tcPr>
          <w:p w14:paraId="5241E6BE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B37B54">
              <w:rPr>
                <w:b/>
                <w:bCs/>
              </w:rPr>
              <w:t>4 020 000</w:t>
            </w:r>
          </w:p>
        </w:tc>
        <w:tc>
          <w:tcPr>
            <w:tcW w:w="1423" w:type="dxa"/>
            <w:noWrap/>
            <w:hideMark/>
          </w:tcPr>
          <w:p w14:paraId="453DF9E3" w14:textId="77777777" w:rsidR="006E7E77" w:rsidRPr="00B37B54" w:rsidRDefault="006E7E77" w:rsidP="00CA760F">
            <w:pPr>
              <w:pStyle w:val="Tabletext"/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B37B54">
              <w:rPr>
                <w:b/>
                <w:bCs/>
              </w:rPr>
              <w:t>100,0%</w:t>
            </w:r>
          </w:p>
        </w:tc>
      </w:tr>
    </w:tbl>
    <w:p w14:paraId="582E6AE0" w14:textId="5D1F581E" w:rsidR="006E7E77" w:rsidRPr="00B37B54" w:rsidRDefault="00710066" w:rsidP="00710066">
      <w:pPr>
        <w:pStyle w:val="Heading1"/>
        <w:ind w:left="0" w:firstLine="0"/>
      </w:pPr>
      <w:r w:rsidRPr="00B37B54">
        <w:t>3</w:t>
      </w:r>
      <w:r w:rsidRPr="00B37B54">
        <w:tab/>
      </w:r>
      <w:r w:rsidR="006E7E77" w:rsidRPr="00B37B54">
        <w:t>Заключение</w:t>
      </w:r>
    </w:p>
    <w:p w14:paraId="07C6EBB8" w14:textId="0761FD2A" w:rsidR="006E7E77" w:rsidRPr="00B37B54" w:rsidRDefault="006E7E77" w:rsidP="00710066">
      <w:pPr>
        <w:rPr>
          <w:rFonts w:cstheme="minorHAnsi"/>
        </w:rPr>
      </w:pPr>
      <w:r w:rsidRPr="00B37B54">
        <w:t>КГРЭ предлагается принять к сведению настоящий документ и предоставить руководящие указания и рекомендации по тому, как именно продолжать оказывать воздействие на глобальном уровне и в</w:t>
      </w:r>
      <w:r w:rsidR="004A539B" w:rsidRPr="00B37B54">
        <w:t> </w:t>
      </w:r>
      <w:r w:rsidRPr="00B37B54">
        <w:t>различных регионах, обеспечивая при этом согласование с конечными результатами, установленными в Кигалийском плане действий.</w:t>
      </w:r>
    </w:p>
    <w:p w14:paraId="6012B2C9" w14:textId="77777777" w:rsidR="006E7E77" w:rsidRPr="00B37B54" w:rsidRDefault="006E7E77" w:rsidP="006E7E77">
      <w:pPr>
        <w:spacing w:before="720"/>
        <w:jc w:val="center"/>
      </w:pPr>
      <w:r w:rsidRPr="00B37B54">
        <w:t>______________</w:t>
      </w:r>
    </w:p>
    <w:sectPr w:rsidR="006E7E77" w:rsidRPr="00B37B54" w:rsidSect="002502FE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F048" w14:textId="54F80CFF" w:rsidR="004D0E96" w:rsidRPr="00D94AA3" w:rsidRDefault="0046629A">
    <w:pPr>
      <w:pStyle w:val="Footer"/>
    </w:pPr>
    <w:fldSimple w:instr=" FILENAME \p  \* MERGEFORMAT ">
      <w:r w:rsidR="00710066">
        <w:t>P:\RUS\2400617R.docx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E79EF" w:rsidRPr="004D495C" w14:paraId="3A450548" w14:textId="77777777" w:rsidTr="005E79E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5E79EF" w:rsidRPr="004D495C" w:rsidRDefault="005E79EF" w:rsidP="005E79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5E79EF" w:rsidRPr="00EB2F10" w:rsidRDefault="005E79EF" w:rsidP="005E79EF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ECAABEB" w14:textId="3B0DADFF" w:rsidR="005E79EF" w:rsidRPr="00B37B54" w:rsidRDefault="005E79EF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E79EF">
            <w:rPr>
              <w:sz w:val="18"/>
              <w:szCs w:val="18"/>
            </w:rPr>
            <w:t>г-н Бруно Рамос (Mr Bruno Ramos), и.о. заместителя Директора Бюро развития электросвязи</w:t>
          </w:r>
        </w:p>
      </w:tc>
    </w:tr>
    <w:tr w:rsidR="005E79EF" w:rsidRPr="004D495C" w14:paraId="59221345" w14:textId="77777777" w:rsidTr="005E79EF">
      <w:tc>
        <w:tcPr>
          <w:tcW w:w="1418" w:type="dxa"/>
          <w:shd w:val="clear" w:color="auto" w:fill="auto"/>
        </w:tcPr>
        <w:p w14:paraId="04E87779" w14:textId="77777777" w:rsidR="005E79EF" w:rsidRPr="00B37B54" w:rsidRDefault="005E79EF" w:rsidP="005E79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5E79EF" w:rsidRPr="00EB2F10" w:rsidRDefault="005E79EF" w:rsidP="005E79EF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B68933A" w14:textId="16D8DD91" w:rsidR="005E79EF" w:rsidRPr="005E79EF" w:rsidRDefault="005E79EF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E79EF">
            <w:rPr>
              <w:sz w:val="18"/>
              <w:szCs w:val="18"/>
            </w:rPr>
            <w:t>н/д</w:t>
          </w:r>
        </w:p>
      </w:tc>
    </w:tr>
    <w:tr w:rsidR="005E79EF" w:rsidRPr="004D495C" w14:paraId="00A1C1CA" w14:textId="77777777" w:rsidTr="005E79EF">
      <w:tc>
        <w:tcPr>
          <w:tcW w:w="1418" w:type="dxa"/>
          <w:shd w:val="clear" w:color="auto" w:fill="auto"/>
        </w:tcPr>
        <w:p w14:paraId="0B4A2F10" w14:textId="77777777" w:rsidR="005E79EF" w:rsidRPr="004D495C" w:rsidRDefault="005E79EF" w:rsidP="005E79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5E79EF" w:rsidRPr="00EB2F10" w:rsidRDefault="005E79EF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5BC801E4" w14:textId="18B8B38F" w:rsidR="005E79EF" w:rsidRPr="005E79EF" w:rsidRDefault="00B37B54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hyperlink r:id="rId2" w:history="1">
              <w:r w:rsidR="005E79EF" w:rsidRPr="005E79EF">
                <w:rPr>
                  <w:rStyle w:val="Hyperlink"/>
                  <w:sz w:val="18"/>
                  <w:szCs w:val="18"/>
                  <w:lang w:val="en-US"/>
                </w:rPr>
                <w:t>bruno.ramos@itu.int</w:t>
              </w:r>
            </w:hyperlink>
            <w:r w:rsidR="005E79EF" w:rsidRPr="005E79EF">
              <w:rPr>
                <w:sz w:val="18"/>
                <w:szCs w:val="18"/>
              </w:rPr>
              <w:t xml:space="preserve"> </w:t>
            </w:r>
          </w:hyperlink>
        </w:p>
      </w:tc>
    </w:tr>
  </w:tbl>
  <w:p w14:paraId="45A138E1" w14:textId="1D6B4459" w:rsidR="00B52E6E" w:rsidRPr="006E4AB3" w:rsidRDefault="00B37B54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6F7AC189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5E79EF">
      <w:t>23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779A6"/>
    <w:multiLevelType w:val="hybridMultilevel"/>
    <w:tmpl w:val="620E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21"/>
        </w:tabs>
        <w:ind w:left="1221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011834853">
    <w:abstractNumId w:val="2"/>
  </w:num>
  <w:num w:numId="2" w16cid:durableId="901064663">
    <w:abstractNumId w:val="3"/>
  </w:num>
  <w:num w:numId="3" w16cid:durableId="1344165972">
    <w:abstractNumId w:val="4"/>
  </w:num>
  <w:num w:numId="4" w16cid:durableId="509221162">
    <w:abstractNumId w:val="1"/>
  </w:num>
  <w:num w:numId="5" w16cid:durableId="25525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31A9C"/>
    <w:rsid w:val="00085DEC"/>
    <w:rsid w:val="000C09B0"/>
    <w:rsid w:val="000E7EAE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2F3110"/>
    <w:rsid w:val="00316454"/>
    <w:rsid w:val="00366978"/>
    <w:rsid w:val="003A294B"/>
    <w:rsid w:val="003A5506"/>
    <w:rsid w:val="003C01D0"/>
    <w:rsid w:val="003C6E83"/>
    <w:rsid w:val="003E6E87"/>
    <w:rsid w:val="0040328D"/>
    <w:rsid w:val="004143D5"/>
    <w:rsid w:val="00422053"/>
    <w:rsid w:val="00436E55"/>
    <w:rsid w:val="00453874"/>
    <w:rsid w:val="0046629A"/>
    <w:rsid w:val="004713B8"/>
    <w:rsid w:val="00492670"/>
    <w:rsid w:val="004A539B"/>
    <w:rsid w:val="004C4A04"/>
    <w:rsid w:val="004D0E96"/>
    <w:rsid w:val="004E4490"/>
    <w:rsid w:val="00525DEF"/>
    <w:rsid w:val="0056204A"/>
    <w:rsid w:val="005773D4"/>
    <w:rsid w:val="005C0551"/>
    <w:rsid w:val="005D4DF3"/>
    <w:rsid w:val="005E006A"/>
    <w:rsid w:val="005E79EF"/>
    <w:rsid w:val="00631202"/>
    <w:rsid w:val="00655923"/>
    <w:rsid w:val="00694764"/>
    <w:rsid w:val="006E7E77"/>
    <w:rsid w:val="006F5E91"/>
    <w:rsid w:val="00701E31"/>
    <w:rsid w:val="00710066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37B54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A760F"/>
    <w:rsid w:val="00CD1F3E"/>
    <w:rsid w:val="00CD34AE"/>
    <w:rsid w:val="00CD6DB6"/>
    <w:rsid w:val="00CE37A1"/>
    <w:rsid w:val="00CE5E7B"/>
    <w:rsid w:val="00D16175"/>
    <w:rsid w:val="00D712FE"/>
    <w:rsid w:val="00D923CD"/>
    <w:rsid w:val="00D93FCC"/>
    <w:rsid w:val="00D94AA3"/>
    <w:rsid w:val="00DA4610"/>
    <w:rsid w:val="00DC354B"/>
    <w:rsid w:val="00DD19E1"/>
    <w:rsid w:val="00DD5D8C"/>
    <w:rsid w:val="00E06A7D"/>
    <w:rsid w:val="00E30170"/>
    <w:rsid w:val="00E54FD2"/>
    <w:rsid w:val="00E82D31"/>
    <w:rsid w:val="00E82D47"/>
    <w:rsid w:val="00EE153D"/>
    <w:rsid w:val="00EF1133"/>
    <w:rsid w:val="00F105F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85DEC"/>
    <w:pPr>
      <w:framePr w:hSpace="180" w:wrap="around" w:vAnchor="page" w:hAnchor="margin" w:y="790"/>
      <w:spacing w:before="36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basedOn w:val="Normal"/>
    <w:uiPriority w:val="34"/>
    <w:qFormat/>
    <w:rsid w:val="005E79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table" w:styleId="GridTable4-Accent1">
    <w:name w:val="Grid Table 4 Accent 1"/>
    <w:basedOn w:val="TableNormal"/>
    <w:uiPriority w:val="49"/>
    <w:rsid w:val="006E7E7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Figure">
    <w:name w:val="Figure"/>
    <w:basedOn w:val="Normal"/>
    <w:next w:val="Normal"/>
    <w:rsid w:val="00CA760F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legend">
    <w:name w:val="Figure_legend"/>
    <w:basedOn w:val="Normal"/>
    <w:rsid w:val="00CA76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CA760F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CA760F"/>
    <w:pPr>
      <w:tabs>
        <w:tab w:val="clear" w:pos="2948"/>
        <w:tab w:val="clear" w:pos="4082"/>
      </w:tabs>
      <w:spacing w:before="240" w:after="480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mailto:bruno.ramos@itu.int" TargetMode="External"/><Relationship Id="rId1" Type="http://schemas.openxmlformats.org/officeDocument/2006/relationships/hyperlink" Target="mailto:bruno.ramos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Выделенный бюджет ОП-24 в разбивке по регионам</a:t>
            </a:r>
            <a:endParaRPr lang="en-US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839772935359825"/>
          <c:y val="4.25039522382037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779281042908311"/>
          <c:y val="0.22924948880508525"/>
          <c:w val="0.41950339080543109"/>
          <c:h val="0.648052083040873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76-40B5-AA2C-0A1B403C2C63}"/>
              </c:ext>
            </c:extLst>
          </c:dPt>
          <c:dPt>
            <c:idx val="1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76-40B5-AA2C-0A1B403C2C63}"/>
              </c:ext>
            </c:extLst>
          </c:dPt>
          <c:dPt>
            <c:idx val="2"/>
            <c:bubble3D val="0"/>
            <c:spPr>
              <a:solidFill>
                <a:schemeClr val="accent1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76-40B5-AA2C-0A1B403C2C63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76-40B5-AA2C-0A1B403C2C63}"/>
              </c:ext>
            </c:extLst>
          </c:dPt>
          <c:dPt>
            <c:idx val="4"/>
            <c:bubble3D val="0"/>
            <c:spPr>
              <a:solidFill>
                <a:schemeClr val="accent1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576-40B5-AA2C-0A1B403C2C63}"/>
              </c:ext>
            </c:extLst>
          </c:dPt>
          <c:dPt>
            <c:idx val="5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576-40B5-AA2C-0A1B403C2C63}"/>
              </c:ext>
            </c:extLst>
          </c:dPt>
          <c:dPt>
            <c:idx val="6"/>
            <c:bubble3D val="0"/>
            <c:spPr>
              <a:solidFill>
                <a:schemeClr val="accent1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576-40B5-AA2C-0A1B403C2C63}"/>
              </c:ext>
            </c:extLst>
          </c:dPt>
          <c:dLbls>
            <c:dLbl>
              <c:idx val="0"/>
              <c:layout>
                <c:manualLayout>
                  <c:x val="4.6515008521966952E-2"/>
                  <c:y val="3.1713423801150269E-2"/>
                </c:manualLayout>
              </c:layout>
              <c:tx>
                <c:rich>
                  <a:bodyPr/>
                  <a:lstStyle/>
                  <a:p>
                    <a:fld id="{395D0B57-235D-414C-B7D7-40D18AE7B7FF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fld id="{ED574017-52BE-4D05-B317-CFC1DA6553C4}" type="VALUE">
                      <a:rPr lang="ru-RU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28622540250447"/>
                      <c:h val="0.12940449656317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576-40B5-AA2C-0A1B403C2C63}"/>
                </c:ext>
              </c:extLst>
            </c:dLbl>
            <c:dLbl>
              <c:idx val="1"/>
              <c:layout>
                <c:manualLayout>
                  <c:x val="7.0436052380751235E-2"/>
                  <c:y val="2.2839321618898737E-2"/>
                </c:manualLayout>
              </c:layout>
              <c:tx>
                <c:rich>
                  <a:bodyPr/>
                  <a:lstStyle/>
                  <a:p>
                    <a:fld id="{EFF46F61-68D0-4DE7-B277-DD0AE8A6A01E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r>
                      <a:rPr lang="ru-RU" baseline="0"/>
                      <a:t> </a:t>
                    </a:r>
                    <a:fld id="{6C67B4F1-7909-4733-822D-F4A3808F74E6}" type="VALUE">
                      <a:rPr lang="ru-RU" baseline="0"/>
                      <a:pPr/>
                      <a:t>[VALUE]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576-40B5-AA2C-0A1B403C2C63}"/>
                </c:ext>
              </c:extLst>
            </c:dLbl>
            <c:dLbl>
              <c:idx val="2"/>
              <c:layout>
                <c:manualLayout>
                  <c:x val="4.5173279994741265E-2"/>
                  <c:y val="3.6772801276392549E-2"/>
                </c:manualLayout>
              </c:layout>
              <c:tx>
                <c:rich>
                  <a:bodyPr/>
                  <a:lstStyle/>
                  <a:p>
                    <a:fld id="{D38EB140-4D76-403C-B893-5C47060BA589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fld id="{011C7872-CFD8-4092-898E-B1EFFF95027A}" type="VALUE">
                      <a:rPr lang="ru-RU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576-40B5-AA2C-0A1B403C2C63}"/>
                </c:ext>
              </c:extLst>
            </c:dLbl>
            <c:dLbl>
              <c:idx val="3"/>
              <c:layout>
                <c:manualLayout>
                  <c:x val="6.0688049056479745E-2"/>
                  <c:y val="1.1477330854607723E-3"/>
                </c:manualLayout>
              </c:layout>
              <c:tx>
                <c:rich>
                  <a:bodyPr/>
                  <a:lstStyle/>
                  <a:p>
                    <a:fld id="{7B9BC179-C336-45B2-BC86-2EA342EF4157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fld id="{12629D2C-4727-4251-8B62-C6D45F62469D}" type="VALUE">
                      <a:rPr lang="ru-RU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576-40B5-AA2C-0A1B403C2C63}"/>
                </c:ext>
              </c:extLst>
            </c:dLbl>
            <c:dLbl>
              <c:idx val="4"/>
              <c:layout>
                <c:manualLayout>
                  <c:x val="4.7823776053038093E-2"/>
                  <c:y val="-2.4929329397978706E-2"/>
                </c:manualLayout>
              </c:layout>
              <c:tx>
                <c:rich>
                  <a:bodyPr/>
                  <a:lstStyle/>
                  <a:p>
                    <a:fld id="{4812DA6C-DF07-4194-B3F7-E60780986E03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fld id="{AE3EEDD2-E10E-4A1C-B984-74BE11A84456}" type="VALUE">
                      <a:rPr lang="ru-RU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62254025044718"/>
                      <c:h val="0.16894007558034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576-40B5-AA2C-0A1B403C2C63}"/>
                </c:ext>
              </c:extLst>
            </c:dLbl>
            <c:dLbl>
              <c:idx val="5"/>
              <c:layout>
                <c:manualLayout>
                  <c:x val="2.6220425487958818E-2"/>
                  <c:y val="2.290478491340283E-2"/>
                </c:manualLayout>
              </c:layout>
              <c:tx>
                <c:rich>
                  <a:bodyPr/>
                  <a:lstStyle/>
                  <a:p>
                    <a:fld id="{D4B4EE5B-E593-40E4-A08C-52FAF408160B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fld id="{D20A56CC-03A9-4F59-A84D-56C162D3FD3B}" type="VALUE">
                      <a:rPr lang="ru-RU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576-40B5-AA2C-0A1B403C2C63}"/>
                </c:ext>
              </c:extLst>
            </c:dLbl>
            <c:dLbl>
              <c:idx val="6"/>
              <c:layout>
                <c:manualLayout>
                  <c:x val="-1.0077801097760818E-2"/>
                  <c:y val="-9.9855398662458877E-2"/>
                </c:manualLayout>
              </c:layout>
              <c:tx>
                <c:rich>
                  <a:bodyPr/>
                  <a:lstStyle/>
                  <a:p>
                    <a:fld id="{4314B8C3-4893-42AE-A5CF-62C9405D944D}" type="CATEGORYNAME">
                      <a:rPr lang="ru-RU"/>
                      <a:pPr/>
                      <a:t>[CATEGORY NAME]</a:t>
                    </a:fld>
                    <a:endParaRPr lang="ru-RU" baseline="0"/>
                  </a:p>
                  <a:p>
                    <a:fld id="{B22050C4-31C1-47B9-B102-29683F2CEC20}" type="VALUE">
                      <a:rPr lang="ru-RU" baseline="0"/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52644157405191"/>
                      <c:h val="0.16894007558034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576-40B5-AA2C-0A1B403C2C6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Арабские государства</c:v>
                </c:pt>
                <c:pt idx="1">
                  <c:v>Африка</c:v>
                </c:pt>
                <c:pt idx="2">
                  <c:v>Северная и Южная Америка</c:v>
                </c:pt>
                <c:pt idx="3">
                  <c:v>Европа</c:v>
                </c:pt>
                <c:pt idx="4">
                  <c:v>Азиатско-Тихоокеанский регион</c:v>
                </c:pt>
                <c:pt idx="5">
                  <c:v>Страны СНГ</c:v>
                </c:pt>
                <c:pt idx="6">
                  <c:v>Весь мир или несколько регионов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0.08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576-40B5-AA2C-0A1B403C2C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DE6FE-8F50-4405-B74E-D1EC4B85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CED1B-D4AD-42E3-ADFA-FD2E6EB854DD}"/>
</file>

<file path=customXml/itemProps3.xml><?xml version="1.0" encoding="utf-8"?>
<ds:datastoreItem xmlns:ds="http://schemas.openxmlformats.org/officeDocument/2006/customXml" ds:itemID="{C0A874DB-7160-4D13-95D7-E96B66CFB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Sikacheva, Violetta</cp:lastModifiedBy>
  <cp:revision>7</cp:revision>
  <cp:lastPrinted>2015-03-02T13:42:00Z</cp:lastPrinted>
  <dcterms:created xsi:type="dcterms:W3CDTF">2024-05-07T08:12:00Z</dcterms:created>
  <dcterms:modified xsi:type="dcterms:W3CDTF">2024-05-07T09:13:00Z</dcterms:modified>
</cp:coreProperties>
</file>