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FC55CF" w14:paraId="3F0E9EC4" w14:textId="77777777" w:rsidTr="00952667">
        <w:trPr>
          <w:cantSplit/>
          <w:trHeight w:val="1134"/>
        </w:trPr>
        <w:tc>
          <w:tcPr>
            <w:tcW w:w="6379" w:type="dxa"/>
          </w:tcPr>
          <w:p w14:paraId="68FE8375" w14:textId="6390CADE" w:rsidR="00307769" w:rsidRPr="00FC55CF" w:rsidRDefault="00B42366" w:rsidP="00307769">
            <w:pPr>
              <w:tabs>
                <w:tab w:val="clear" w:pos="1191"/>
                <w:tab w:val="clear" w:pos="1588"/>
                <w:tab w:val="clear" w:pos="1985"/>
              </w:tabs>
              <w:ind w:left="34"/>
              <w:rPr>
                <w:b/>
                <w:bCs/>
                <w:sz w:val="32"/>
                <w:szCs w:val="32"/>
                <w:lang w:val="es-ES_tradnl"/>
              </w:rPr>
            </w:pPr>
            <w:r w:rsidRPr="00FC55CF">
              <w:rPr>
                <w:b/>
                <w:bCs/>
                <w:sz w:val="32"/>
                <w:szCs w:val="32"/>
                <w:lang w:val="es-ES_tradnl"/>
              </w:rPr>
              <w:t>Grupo Asesor de Desarrollo de las Telecomunicaciones</w:t>
            </w:r>
            <w:r w:rsidR="00307769" w:rsidRPr="00FC55CF">
              <w:rPr>
                <w:b/>
                <w:bCs/>
                <w:sz w:val="32"/>
                <w:szCs w:val="32"/>
                <w:lang w:val="es-ES_tradnl"/>
              </w:rPr>
              <w:t xml:space="preserve"> (</w:t>
            </w:r>
            <w:r w:rsidRPr="00FC55CF">
              <w:rPr>
                <w:b/>
                <w:bCs/>
                <w:sz w:val="32"/>
                <w:szCs w:val="32"/>
                <w:lang w:val="es-ES_tradnl"/>
              </w:rPr>
              <w:t>GADT</w:t>
            </w:r>
            <w:r w:rsidR="00307769" w:rsidRPr="00FC55CF">
              <w:rPr>
                <w:b/>
                <w:bCs/>
                <w:sz w:val="32"/>
                <w:szCs w:val="32"/>
                <w:lang w:val="es-ES_tradnl"/>
              </w:rPr>
              <w:t>)</w:t>
            </w:r>
          </w:p>
          <w:p w14:paraId="5F5F590A" w14:textId="09229892" w:rsidR="00307769" w:rsidRPr="00FC55CF" w:rsidRDefault="00307769" w:rsidP="00307769">
            <w:pPr>
              <w:tabs>
                <w:tab w:val="clear" w:pos="1191"/>
                <w:tab w:val="clear" w:pos="1588"/>
                <w:tab w:val="clear" w:pos="1985"/>
              </w:tabs>
              <w:spacing w:after="120"/>
              <w:ind w:left="34"/>
              <w:rPr>
                <w:rFonts w:ascii="Verdana" w:hAnsi="Verdana"/>
                <w:sz w:val="28"/>
                <w:szCs w:val="28"/>
                <w:lang w:val="es-ES_tradnl"/>
              </w:rPr>
            </w:pPr>
            <w:r w:rsidRPr="00FC55CF">
              <w:rPr>
                <w:b/>
                <w:bCs/>
                <w:sz w:val="26"/>
                <w:szCs w:val="26"/>
                <w:lang w:val="es-ES_tradnl"/>
              </w:rPr>
              <w:t>3</w:t>
            </w:r>
            <w:r w:rsidR="00341DA6" w:rsidRPr="00FC55CF">
              <w:rPr>
                <w:b/>
                <w:bCs/>
                <w:sz w:val="26"/>
                <w:szCs w:val="26"/>
                <w:lang w:val="es-ES_tradnl"/>
              </w:rPr>
              <w:t>1</w:t>
            </w:r>
            <w:r w:rsidR="00B42366" w:rsidRPr="00FC55CF">
              <w:rPr>
                <w:b/>
                <w:bCs/>
                <w:sz w:val="26"/>
                <w:szCs w:val="26"/>
                <w:lang w:val="es-ES_tradnl"/>
              </w:rPr>
              <w:t xml:space="preserve">ª reunión, Ginebra, Suiza, </w:t>
            </w:r>
            <w:r w:rsidR="00341DA6" w:rsidRPr="00FC55CF">
              <w:rPr>
                <w:b/>
                <w:bCs/>
                <w:sz w:val="26"/>
                <w:szCs w:val="26"/>
                <w:lang w:val="es-ES_tradnl"/>
              </w:rPr>
              <w:t>20</w:t>
            </w:r>
            <w:r w:rsidRPr="00FC55CF">
              <w:rPr>
                <w:b/>
                <w:bCs/>
                <w:sz w:val="26"/>
                <w:szCs w:val="26"/>
                <w:lang w:val="es-ES_tradnl"/>
              </w:rPr>
              <w:t>-2</w:t>
            </w:r>
            <w:r w:rsidR="00B9710C" w:rsidRPr="00FC55CF">
              <w:rPr>
                <w:b/>
                <w:bCs/>
                <w:sz w:val="26"/>
                <w:szCs w:val="26"/>
                <w:lang w:val="es-ES_tradnl"/>
              </w:rPr>
              <w:t>3</w:t>
            </w:r>
            <w:r w:rsidRPr="00FC55CF">
              <w:rPr>
                <w:b/>
                <w:bCs/>
                <w:sz w:val="26"/>
                <w:szCs w:val="26"/>
                <w:lang w:val="es-ES_tradnl"/>
              </w:rPr>
              <w:t xml:space="preserve"> </w:t>
            </w:r>
            <w:r w:rsidR="00B42366" w:rsidRPr="00FC55CF">
              <w:rPr>
                <w:b/>
                <w:bCs/>
                <w:sz w:val="26"/>
                <w:szCs w:val="26"/>
                <w:lang w:val="es-ES_tradnl"/>
              </w:rPr>
              <w:t xml:space="preserve">de </w:t>
            </w:r>
            <w:r w:rsidR="00341DA6" w:rsidRPr="00FC55CF">
              <w:rPr>
                <w:b/>
                <w:bCs/>
                <w:sz w:val="26"/>
                <w:szCs w:val="26"/>
                <w:lang w:val="es-ES_tradnl"/>
              </w:rPr>
              <w:t>mayo</w:t>
            </w:r>
            <w:r w:rsidR="00B42366" w:rsidRPr="00FC55CF">
              <w:rPr>
                <w:b/>
                <w:bCs/>
                <w:sz w:val="26"/>
                <w:szCs w:val="26"/>
                <w:lang w:val="es-ES_tradnl"/>
              </w:rPr>
              <w:t xml:space="preserve"> de</w:t>
            </w:r>
            <w:r w:rsidRPr="00FC55CF">
              <w:rPr>
                <w:b/>
                <w:bCs/>
                <w:sz w:val="26"/>
                <w:szCs w:val="26"/>
                <w:lang w:val="es-ES_tradnl"/>
              </w:rPr>
              <w:t xml:space="preserve"> 2023</w:t>
            </w:r>
          </w:p>
        </w:tc>
        <w:tc>
          <w:tcPr>
            <w:tcW w:w="3509" w:type="dxa"/>
          </w:tcPr>
          <w:p w14:paraId="67E7B4C4" w14:textId="0F52E4CC" w:rsidR="00307769" w:rsidRPr="00FC55CF" w:rsidRDefault="00307769" w:rsidP="00952667">
            <w:pPr>
              <w:spacing w:after="120"/>
              <w:ind w:right="142"/>
              <w:jc w:val="right"/>
              <w:rPr>
                <w:lang w:val="es-ES_tradnl"/>
              </w:rPr>
            </w:pPr>
            <w:r w:rsidRPr="00FC55CF">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C55CF" w14:paraId="3C13197B" w14:textId="77777777" w:rsidTr="0009076F">
        <w:trPr>
          <w:cantSplit/>
        </w:trPr>
        <w:tc>
          <w:tcPr>
            <w:tcW w:w="6379" w:type="dxa"/>
            <w:tcBorders>
              <w:top w:val="single" w:sz="12" w:space="0" w:color="auto"/>
            </w:tcBorders>
          </w:tcPr>
          <w:p w14:paraId="2EED9DB2" w14:textId="77777777" w:rsidR="00683C32" w:rsidRPr="00FC55CF"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FC55CF" w:rsidRDefault="00683C32" w:rsidP="00107E85">
            <w:pPr>
              <w:spacing w:before="0"/>
              <w:rPr>
                <w:b/>
                <w:bCs/>
                <w:sz w:val="20"/>
                <w:lang w:val="es-ES_tradnl"/>
              </w:rPr>
            </w:pPr>
          </w:p>
        </w:tc>
      </w:tr>
      <w:tr w:rsidR="00683C32" w:rsidRPr="00FC55CF" w14:paraId="0BB3FBC4" w14:textId="77777777" w:rsidTr="0009076F">
        <w:trPr>
          <w:cantSplit/>
        </w:trPr>
        <w:tc>
          <w:tcPr>
            <w:tcW w:w="6379" w:type="dxa"/>
          </w:tcPr>
          <w:p w14:paraId="43C54B3D" w14:textId="77777777" w:rsidR="00683C32" w:rsidRPr="00FC55CF" w:rsidRDefault="00683C32" w:rsidP="00400CCF">
            <w:pPr>
              <w:pStyle w:val="Committee"/>
              <w:spacing w:before="0"/>
              <w:rPr>
                <w:b w:val="0"/>
                <w:szCs w:val="24"/>
                <w:lang w:val="es-ES_tradnl"/>
              </w:rPr>
            </w:pPr>
          </w:p>
        </w:tc>
        <w:tc>
          <w:tcPr>
            <w:tcW w:w="3509" w:type="dxa"/>
          </w:tcPr>
          <w:p w14:paraId="02E44EE9" w14:textId="46808CD5" w:rsidR="00683C32" w:rsidRPr="00FC55CF" w:rsidRDefault="004F3495" w:rsidP="00B648C7">
            <w:pPr>
              <w:spacing w:before="0"/>
              <w:jc w:val="both"/>
              <w:rPr>
                <w:bCs/>
                <w:szCs w:val="24"/>
                <w:lang w:val="es-ES_tradnl"/>
              </w:rPr>
            </w:pPr>
            <w:r w:rsidRPr="00FC55CF">
              <w:rPr>
                <w:b/>
                <w:bCs/>
                <w:lang w:val="es-ES_tradnl"/>
              </w:rPr>
              <w:t>Revisión 1 al</w:t>
            </w:r>
            <w:r w:rsidRPr="00FC55CF">
              <w:rPr>
                <w:b/>
                <w:bCs/>
                <w:lang w:val="es-ES_tradnl"/>
              </w:rPr>
              <w:br/>
            </w:r>
            <w:r w:rsidR="0096201B" w:rsidRPr="00FC55CF">
              <w:rPr>
                <w:b/>
                <w:bCs/>
                <w:lang w:val="es-ES_tradnl"/>
              </w:rPr>
              <w:t>Document</w:t>
            </w:r>
            <w:r w:rsidR="00B42366" w:rsidRPr="00FC55CF">
              <w:rPr>
                <w:b/>
                <w:bCs/>
                <w:lang w:val="es-ES_tradnl"/>
              </w:rPr>
              <w:t>o</w:t>
            </w:r>
            <w:r w:rsidR="0096201B" w:rsidRPr="00FC55CF">
              <w:rPr>
                <w:b/>
                <w:bCs/>
                <w:lang w:val="es-ES_tradnl"/>
              </w:rPr>
              <w:t xml:space="preserve"> </w:t>
            </w:r>
            <w:bookmarkStart w:id="0" w:name="DocRef1"/>
            <w:bookmarkEnd w:id="0"/>
            <w:r w:rsidR="0096201B" w:rsidRPr="00FC55CF">
              <w:rPr>
                <w:b/>
                <w:bCs/>
                <w:lang w:val="es-ES_tradnl"/>
              </w:rPr>
              <w:t>TDAG</w:t>
            </w:r>
            <w:r w:rsidR="003242AB" w:rsidRPr="00FC55CF">
              <w:rPr>
                <w:b/>
                <w:bCs/>
                <w:lang w:val="es-ES_tradnl"/>
              </w:rPr>
              <w:t>-</w:t>
            </w:r>
            <w:r w:rsidR="00B648C7" w:rsidRPr="00FC55CF">
              <w:rPr>
                <w:b/>
                <w:bCs/>
                <w:lang w:val="es-ES_tradnl"/>
              </w:rPr>
              <w:t>2</w:t>
            </w:r>
            <w:bookmarkStart w:id="1" w:name="DocNo1"/>
            <w:bookmarkEnd w:id="1"/>
            <w:r w:rsidR="00341DA6" w:rsidRPr="00FC55CF">
              <w:rPr>
                <w:b/>
                <w:bCs/>
                <w:lang w:val="es-ES_tradnl"/>
              </w:rPr>
              <w:t>4</w:t>
            </w:r>
            <w:r w:rsidR="0009076F" w:rsidRPr="00FC55CF">
              <w:rPr>
                <w:b/>
                <w:bCs/>
                <w:lang w:val="es-ES_tradnl"/>
              </w:rPr>
              <w:t>/</w:t>
            </w:r>
            <w:r w:rsidRPr="00FC55CF">
              <w:rPr>
                <w:b/>
                <w:bCs/>
                <w:lang w:val="es-ES_tradnl"/>
              </w:rPr>
              <w:t>23</w:t>
            </w:r>
            <w:r w:rsidR="0096201B" w:rsidRPr="00FC55CF">
              <w:rPr>
                <w:b/>
                <w:bCs/>
                <w:lang w:val="es-ES_tradnl"/>
              </w:rPr>
              <w:t>-</w:t>
            </w:r>
            <w:r w:rsidR="00B42366" w:rsidRPr="00FC55CF">
              <w:rPr>
                <w:b/>
                <w:bCs/>
                <w:lang w:val="es-ES_tradnl"/>
              </w:rPr>
              <w:t>S</w:t>
            </w:r>
          </w:p>
        </w:tc>
      </w:tr>
      <w:tr w:rsidR="00683C32" w:rsidRPr="00FC55CF" w14:paraId="24D04936" w14:textId="77777777" w:rsidTr="0009076F">
        <w:trPr>
          <w:cantSplit/>
        </w:trPr>
        <w:tc>
          <w:tcPr>
            <w:tcW w:w="6379" w:type="dxa"/>
          </w:tcPr>
          <w:p w14:paraId="12CE4DBF" w14:textId="77777777" w:rsidR="00683C32" w:rsidRPr="00FC55CF" w:rsidRDefault="00683C32" w:rsidP="00400CCF">
            <w:pPr>
              <w:spacing w:before="0"/>
              <w:rPr>
                <w:b/>
                <w:bCs/>
                <w:smallCaps/>
                <w:szCs w:val="24"/>
                <w:lang w:val="es-ES_tradnl"/>
              </w:rPr>
            </w:pPr>
          </w:p>
        </w:tc>
        <w:tc>
          <w:tcPr>
            <w:tcW w:w="3509" w:type="dxa"/>
          </w:tcPr>
          <w:p w14:paraId="0F89640F" w14:textId="70230789" w:rsidR="00683C32" w:rsidRPr="00FC55CF" w:rsidRDefault="004F3495" w:rsidP="00B648C7">
            <w:pPr>
              <w:spacing w:before="0"/>
              <w:rPr>
                <w:b/>
                <w:szCs w:val="24"/>
                <w:lang w:val="es-ES_tradnl"/>
              </w:rPr>
            </w:pPr>
            <w:bookmarkStart w:id="2" w:name="CreationDate"/>
            <w:bookmarkEnd w:id="2"/>
            <w:r w:rsidRPr="00FC55CF">
              <w:rPr>
                <w:b/>
                <w:bCs/>
                <w:szCs w:val="28"/>
                <w:lang w:val="es-ES_tradnl"/>
              </w:rPr>
              <w:t xml:space="preserve">15 de mayo </w:t>
            </w:r>
            <w:r w:rsidR="00B42366" w:rsidRPr="00FC55CF">
              <w:rPr>
                <w:b/>
                <w:bCs/>
                <w:szCs w:val="28"/>
                <w:lang w:val="es-ES_tradnl"/>
              </w:rPr>
              <w:t xml:space="preserve">de </w:t>
            </w:r>
            <w:r w:rsidR="00CE0422" w:rsidRPr="00FC55CF">
              <w:rPr>
                <w:b/>
                <w:bCs/>
                <w:szCs w:val="28"/>
                <w:lang w:val="es-ES_tradnl"/>
              </w:rPr>
              <w:t>20</w:t>
            </w:r>
            <w:r w:rsidR="00B648C7" w:rsidRPr="00FC55CF">
              <w:rPr>
                <w:b/>
                <w:bCs/>
                <w:szCs w:val="28"/>
                <w:lang w:val="es-ES_tradnl"/>
              </w:rPr>
              <w:t>2</w:t>
            </w:r>
            <w:r w:rsidR="00341DA6" w:rsidRPr="00FC55CF">
              <w:rPr>
                <w:b/>
                <w:bCs/>
                <w:szCs w:val="28"/>
                <w:lang w:val="es-ES_tradnl"/>
              </w:rPr>
              <w:t>4</w:t>
            </w:r>
          </w:p>
        </w:tc>
      </w:tr>
      <w:tr w:rsidR="00683C32" w:rsidRPr="00FC55CF" w14:paraId="7B96545F" w14:textId="77777777" w:rsidTr="0009076F">
        <w:trPr>
          <w:cantSplit/>
        </w:trPr>
        <w:tc>
          <w:tcPr>
            <w:tcW w:w="6379" w:type="dxa"/>
          </w:tcPr>
          <w:p w14:paraId="65956FD3" w14:textId="77777777" w:rsidR="00683C32" w:rsidRPr="00FC55CF" w:rsidRDefault="00683C32" w:rsidP="00400CCF">
            <w:pPr>
              <w:spacing w:before="0"/>
              <w:rPr>
                <w:b/>
                <w:bCs/>
                <w:smallCaps/>
                <w:szCs w:val="24"/>
                <w:lang w:val="es-ES_tradnl"/>
              </w:rPr>
            </w:pPr>
          </w:p>
        </w:tc>
        <w:tc>
          <w:tcPr>
            <w:tcW w:w="3509" w:type="dxa"/>
          </w:tcPr>
          <w:p w14:paraId="30EFD39F" w14:textId="560C5C27" w:rsidR="00514D2F" w:rsidRPr="00FC55CF" w:rsidRDefault="0096201B" w:rsidP="00400CCF">
            <w:pPr>
              <w:spacing w:before="0"/>
              <w:rPr>
                <w:szCs w:val="24"/>
                <w:lang w:val="es-ES_tradnl"/>
              </w:rPr>
            </w:pPr>
            <w:r w:rsidRPr="00FC55CF">
              <w:rPr>
                <w:b/>
                <w:lang w:val="es-ES_tradnl"/>
              </w:rPr>
              <w:t>Original:</w:t>
            </w:r>
            <w:bookmarkStart w:id="3" w:name="Original"/>
            <w:bookmarkEnd w:id="3"/>
            <w:r w:rsidR="00CE0422" w:rsidRPr="00FC55CF">
              <w:rPr>
                <w:b/>
                <w:lang w:val="es-ES_tradnl"/>
              </w:rPr>
              <w:t xml:space="preserve"> </w:t>
            </w:r>
            <w:r w:rsidR="00B42366" w:rsidRPr="00FC55CF">
              <w:rPr>
                <w:b/>
                <w:lang w:val="es-ES_tradnl"/>
              </w:rPr>
              <w:t>inglés</w:t>
            </w:r>
          </w:p>
        </w:tc>
      </w:tr>
      <w:tr w:rsidR="004F3495" w:rsidRPr="00FC55CF" w14:paraId="31656E31" w14:textId="77777777" w:rsidTr="00107E85">
        <w:trPr>
          <w:cantSplit/>
          <w:trHeight w:val="852"/>
        </w:trPr>
        <w:tc>
          <w:tcPr>
            <w:tcW w:w="9888" w:type="dxa"/>
            <w:gridSpan w:val="2"/>
          </w:tcPr>
          <w:p w14:paraId="512FCA01" w14:textId="42CCE35D" w:rsidR="004F3495" w:rsidRPr="00FC55CF" w:rsidRDefault="004F3495" w:rsidP="004F3495">
            <w:pPr>
              <w:pStyle w:val="Source"/>
              <w:rPr>
                <w:lang w:val="es-ES_tradnl"/>
              </w:rPr>
            </w:pPr>
            <w:bookmarkStart w:id="4" w:name="Source"/>
            <w:bookmarkEnd w:id="4"/>
            <w:r w:rsidRPr="00FC55CF">
              <w:rPr>
                <w:lang w:val="es-ES_tradnl"/>
              </w:rPr>
              <w:t>Director de la Oficina de Desarrollo de las Telecomunicaciones</w:t>
            </w:r>
          </w:p>
        </w:tc>
      </w:tr>
      <w:tr w:rsidR="004F3495" w:rsidRPr="00FC55CF" w14:paraId="2CBD3A36" w14:textId="77777777" w:rsidTr="00107E85">
        <w:trPr>
          <w:cantSplit/>
        </w:trPr>
        <w:tc>
          <w:tcPr>
            <w:tcW w:w="9888" w:type="dxa"/>
            <w:gridSpan w:val="2"/>
          </w:tcPr>
          <w:p w14:paraId="1B4121DF" w14:textId="164988C4" w:rsidR="004F3495" w:rsidRPr="00FC55CF" w:rsidRDefault="004F3495" w:rsidP="004F3495">
            <w:pPr>
              <w:pStyle w:val="Title1"/>
              <w:rPr>
                <w:lang w:val="es-ES_tradnl"/>
              </w:rPr>
            </w:pPr>
            <w:bookmarkStart w:id="5" w:name="Title"/>
            <w:bookmarkEnd w:id="5"/>
            <w:r w:rsidRPr="00FC55CF">
              <w:rPr>
                <w:bCs/>
                <w:lang w:val="es-ES_tradnl"/>
              </w:rPr>
              <w:t>Preparativos de la Conferencia Mundial de Desarrollo de las Telecomunicaciones de 2025 (CMDT-25)</w:t>
            </w:r>
          </w:p>
        </w:tc>
      </w:tr>
      <w:tr w:rsidR="004F3495" w:rsidRPr="00FC55CF" w14:paraId="23A30231" w14:textId="77777777" w:rsidTr="00A721F4">
        <w:trPr>
          <w:cantSplit/>
        </w:trPr>
        <w:tc>
          <w:tcPr>
            <w:tcW w:w="9888" w:type="dxa"/>
            <w:gridSpan w:val="2"/>
            <w:tcBorders>
              <w:bottom w:val="single" w:sz="4" w:space="0" w:color="auto"/>
            </w:tcBorders>
          </w:tcPr>
          <w:p w14:paraId="726EE70E" w14:textId="77777777" w:rsidR="004F3495" w:rsidRPr="00FC55CF" w:rsidRDefault="004F3495" w:rsidP="004F3495">
            <w:pPr>
              <w:rPr>
                <w:lang w:val="es-ES_tradnl"/>
              </w:rPr>
            </w:pPr>
          </w:p>
        </w:tc>
      </w:tr>
      <w:tr w:rsidR="004F3495" w:rsidRPr="00FC55C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4F3495" w:rsidRPr="00FC55CF" w:rsidRDefault="004F3495" w:rsidP="004F3495">
            <w:pPr>
              <w:spacing w:after="120"/>
              <w:rPr>
                <w:b/>
                <w:bCs/>
                <w:szCs w:val="24"/>
                <w:lang w:val="es-ES_tradnl"/>
              </w:rPr>
            </w:pPr>
            <w:r w:rsidRPr="00FC55CF">
              <w:rPr>
                <w:b/>
                <w:bCs/>
                <w:szCs w:val="24"/>
                <w:lang w:val="es-ES_tradnl"/>
              </w:rPr>
              <w:t>Resumen:</w:t>
            </w:r>
          </w:p>
          <w:p w14:paraId="797014AE" w14:textId="77777777" w:rsidR="004F3495" w:rsidRPr="00FC55CF" w:rsidRDefault="004F3495" w:rsidP="004F3495">
            <w:pPr>
              <w:spacing w:after="120"/>
              <w:rPr>
                <w:szCs w:val="24"/>
                <w:lang w:val="es-ES_tradnl"/>
              </w:rPr>
            </w:pPr>
            <w:r w:rsidRPr="00FC55CF">
              <w:rPr>
                <w:lang w:val="es-ES_tradnl"/>
              </w:rPr>
              <w:t>Este documento trata de los preparativos hasta la fecha para la organización de la Conferencia Mundial de Desarrollo de las Telecomunicaciones de 2025 (CMDT-25), que está previsto se celebre en Baku (Azerbaiyán), del 17 al 28 de noviembre de 2025.</w:t>
            </w:r>
          </w:p>
          <w:p w14:paraId="76A1C541" w14:textId="70BC879D" w:rsidR="004F3495" w:rsidRPr="00FC55CF" w:rsidRDefault="004F3495" w:rsidP="004F3495">
            <w:pPr>
              <w:spacing w:after="120"/>
              <w:rPr>
                <w:b/>
                <w:bCs/>
                <w:szCs w:val="24"/>
                <w:lang w:val="es-ES_tradnl"/>
              </w:rPr>
            </w:pPr>
            <w:r w:rsidRPr="00FC55CF">
              <w:rPr>
                <w:b/>
                <w:bCs/>
                <w:lang w:val="es-ES_tradnl"/>
              </w:rPr>
              <w:t>Acción solicitada:</w:t>
            </w:r>
          </w:p>
          <w:p w14:paraId="26D44EC7" w14:textId="77777777" w:rsidR="004F3495" w:rsidRPr="00FC55CF" w:rsidRDefault="004F3495" w:rsidP="004F3495">
            <w:pPr>
              <w:spacing w:after="120"/>
              <w:rPr>
                <w:lang w:val="es-ES_tradnl"/>
              </w:rPr>
            </w:pPr>
            <w:r w:rsidRPr="00FC55CF">
              <w:rPr>
                <w:lang w:val="es-ES_tradnl"/>
              </w:rPr>
              <w:t>Se invita al GADT a tomar nota de este documento y a facilitar las orientaciones que estime oportunas.</w:t>
            </w:r>
          </w:p>
          <w:p w14:paraId="622ACB80" w14:textId="6D46991A" w:rsidR="004F3495" w:rsidRPr="00FC55CF" w:rsidRDefault="004F3495" w:rsidP="004F3495">
            <w:pPr>
              <w:spacing w:after="120"/>
              <w:rPr>
                <w:b/>
                <w:bCs/>
                <w:szCs w:val="24"/>
                <w:lang w:val="es-ES_tradnl"/>
              </w:rPr>
            </w:pPr>
            <w:r w:rsidRPr="00FC55CF">
              <w:rPr>
                <w:b/>
                <w:bCs/>
                <w:szCs w:val="24"/>
                <w:lang w:val="es-ES_tradnl"/>
              </w:rPr>
              <w:t>Referencias:</w:t>
            </w:r>
          </w:p>
          <w:p w14:paraId="1ECDD20E" w14:textId="49AD8D51" w:rsidR="004F3495" w:rsidRPr="00FC55CF" w:rsidRDefault="004F3495" w:rsidP="004F3495">
            <w:pPr>
              <w:spacing w:after="120"/>
              <w:rPr>
                <w:lang w:val="es-ES_tradnl"/>
              </w:rPr>
            </w:pPr>
            <w:r w:rsidRPr="00FC55CF">
              <w:rPr>
                <w:lang w:val="es-ES_tradnl"/>
              </w:rPr>
              <w:t>N/A</w:t>
            </w:r>
          </w:p>
        </w:tc>
      </w:tr>
    </w:tbl>
    <w:p w14:paraId="11B9DBDD" w14:textId="77777777" w:rsidR="004F3495" w:rsidRPr="00FC55CF" w:rsidRDefault="004F3495">
      <w:pPr>
        <w:tabs>
          <w:tab w:val="clear" w:pos="794"/>
          <w:tab w:val="clear" w:pos="1191"/>
          <w:tab w:val="clear" w:pos="1588"/>
          <w:tab w:val="clear" w:pos="1985"/>
        </w:tabs>
        <w:overflowPunct/>
        <w:autoSpaceDE/>
        <w:autoSpaceDN/>
        <w:adjustRightInd/>
        <w:spacing w:before="0"/>
        <w:textAlignment w:val="auto"/>
        <w:rPr>
          <w:lang w:val="es-ES_tradnl"/>
        </w:rPr>
      </w:pPr>
    </w:p>
    <w:p w14:paraId="184F2325" w14:textId="173CC763" w:rsidR="004F3495" w:rsidRPr="00FC55CF" w:rsidRDefault="004F3495">
      <w:pPr>
        <w:tabs>
          <w:tab w:val="clear" w:pos="794"/>
          <w:tab w:val="clear" w:pos="1191"/>
          <w:tab w:val="clear" w:pos="1588"/>
          <w:tab w:val="clear" w:pos="1985"/>
        </w:tabs>
        <w:overflowPunct/>
        <w:autoSpaceDE/>
        <w:autoSpaceDN/>
        <w:adjustRightInd/>
        <w:spacing w:before="0"/>
        <w:textAlignment w:val="auto"/>
        <w:rPr>
          <w:b/>
          <w:sz w:val="28"/>
          <w:lang w:val="es-ES_tradnl"/>
        </w:rPr>
      </w:pPr>
      <w:r w:rsidRPr="00FC55CF">
        <w:rPr>
          <w:lang w:val="es-ES_tradnl"/>
        </w:rPr>
        <w:br w:type="page"/>
      </w:r>
    </w:p>
    <w:p w14:paraId="558940E7" w14:textId="54AC258A" w:rsidR="004F3495" w:rsidRPr="00FC55CF" w:rsidRDefault="004F3495" w:rsidP="004F3495">
      <w:pPr>
        <w:pStyle w:val="Heading1"/>
        <w:rPr>
          <w:lang w:val="es-ES_tradnl"/>
        </w:rPr>
      </w:pPr>
      <w:r w:rsidRPr="00FC55CF">
        <w:rPr>
          <w:lang w:val="es-ES_tradnl"/>
        </w:rPr>
        <w:lastRenderedPageBreak/>
        <w:t>1</w:t>
      </w:r>
      <w:r w:rsidRPr="00FC55CF">
        <w:rPr>
          <w:lang w:val="es-ES_tradnl"/>
        </w:rPr>
        <w:tab/>
        <w:t>Antecedentes</w:t>
      </w:r>
    </w:p>
    <w:p w14:paraId="0D8BC1BA" w14:textId="77777777" w:rsidR="004F3495" w:rsidRPr="00FC55CF" w:rsidRDefault="004F3495" w:rsidP="004F3495">
      <w:pPr>
        <w:rPr>
          <w:lang w:val="es-ES_tradnl"/>
        </w:rPr>
      </w:pPr>
      <w:r w:rsidRPr="00FC55CF">
        <w:rPr>
          <w:lang w:val="es-ES_tradnl"/>
        </w:rPr>
        <w:t>1.1</w:t>
      </w:r>
      <w:r w:rsidRPr="00FC55CF">
        <w:rPr>
          <w:lang w:val="es-ES_tradnl"/>
        </w:rPr>
        <w:tab/>
        <w:t>En el número 141 de la Constitución de la UIT se estipula que habrá de celebrarse una Conferencia Mundial de Desarrollo de las Telecomunicaciones (CMDT) entre dos Conferencias de Plenipotenciarios.</w:t>
      </w:r>
    </w:p>
    <w:p w14:paraId="4593ADF3" w14:textId="77777777" w:rsidR="004F3495" w:rsidRPr="00FC55CF" w:rsidRDefault="004F3495" w:rsidP="004F3495">
      <w:pPr>
        <w:rPr>
          <w:lang w:val="es-ES_tradnl"/>
        </w:rPr>
      </w:pPr>
      <w:r w:rsidRPr="00FC55CF">
        <w:rPr>
          <w:lang w:val="es-ES_tradnl"/>
        </w:rPr>
        <w:t>1.2</w:t>
      </w:r>
      <w:r w:rsidRPr="00FC55CF">
        <w:rPr>
          <w:lang w:val="es-ES_tradnl"/>
        </w:rPr>
        <w:tab/>
        <w:t>En la Resolución 77 (Rev. Bucarest, 2022) se resuelve celebrar la CMDT en el último trimestre de 2025.</w:t>
      </w:r>
    </w:p>
    <w:p w14:paraId="4D8511A7" w14:textId="77777777" w:rsidR="004F3495" w:rsidRPr="00FC55CF" w:rsidRDefault="004F3495" w:rsidP="004F3495">
      <w:pPr>
        <w:rPr>
          <w:rFonts w:eastAsia="SimHei" w:cstheme="minorHAnsi"/>
          <w:lang w:val="es-ES_tradnl"/>
        </w:rPr>
      </w:pPr>
      <w:r w:rsidRPr="00FC55CF">
        <w:rPr>
          <w:lang w:val="es-ES_tradnl"/>
        </w:rPr>
        <w:t>1.3</w:t>
      </w:r>
      <w:r w:rsidRPr="00FC55CF">
        <w:rPr>
          <w:lang w:val="es-ES_tradnl"/>
        </w:rPr>
        <w:tab/>
        <w:t>En la Resolución 31 (Rev. Kigali, 2022) de la CMDT se expresa la firme convicción de que la coordinación de los preparativos a nivel regional para las seis regiones del Sector de Desarrollo de las Telecomunicaciones de la UIT (UIT-D) es sumamente beneficiosa para los Estados Miembros.</w:t>
      </w:r>
    </w:p>
    <w:p w14:paraId="05030D5C" w14:textId="77777777" w:rsidR="004F3495" w:rsidRPr="00FC55CF" w:rsidRDefault="004F3495" w:rsidP="004F3495">
      <w:pPr>
        <w:pStyle w:val="Heading1"/>
        <w:rPr>
          <w:bCs/>
          <w:lang w:val="es-ES_tradnl"/>
        </w:rPr>
      </w:pPr>
      <w:r w:rsidRPr="00FC55CF">
        <w:rPr>
          <w:lang w:val="es-ES_tradnl"/>
        </w:rPr>
        <w:t>2</w:t>
      </w:r>
      <w:r w:rsidRPr="00FC55CF">
        <w:rPr>
          <w:lang w:val="es-ES_tradnl"/>
        </w:rPr>
        <w:tab/>
      </w:r>
      <w:r w:rsidRPr="00FC55CF">
        <w:rPr>
          <w:bCs/>
          <w:lang w:val="es-ES_tradnl"/>
        </w:rPr>
        <w:t>Sitio, duración, fechas y lugar de celebración de la CMDT</w:t>
      </w:r>
    </w:p>
    <w:p w14:paraId="61244628" w14:textId="77777777" w:rsidR="004F3495" w:rsidRPr="00FC55CF" w:rsidRDefault="004F3495" w:rsidP="004F3495">
      <w:pPr>
        <w:rPr>
          <w:lang w:val="es-ES_tradnl"/>
        </w:rPr>
      </w:pPr>
      <w:r w:rsidRPr="00FC55CF">
        <w:rPr>
          <w:lang w:val="es-ES_tradnl"/>
        </w:rPr>
        <w:t>2.1</w:t>
      </w:r>
      <w:r w:rsidRPr="00FC55CF">
        <w:rPr>
          <w:lang w:val="es-ES_tradnl"/>
        </w:rPr>
        <w:tab/>
        <w:t xml:space="preserve">Durante la Conferencia de Plenipotenciarios de 2022 (PP-22), el Gobierno de Tailandia envió un correo a la UIT indicando su interés por celebrar la CMDT-25 en Bangkok. Dicho correo se publicó como </w:t>
      </w:r>
      <w:hyperlink r:id="rId11" w:history="1">
        <w:r w:rsidRPr="00FC55CF">
          <w:rPr>
            <w:rStyle w:val="Hyperlink"/>
            <w:lang w:val="es-ES_tradnl"/>
          </w:rPr>
          <w:t>documento PP-22/136</w:t>
        </w:r>
      </w:hyperlink>
      <w:r w:rsidRPr="00FC55CF">
        <w:rPr>
          <w:u w:val="single"/>
          <w:lang w:val="es-ES_tradnl"/>
        </w:rPr>
        <w:t>.</w:t>
      </w:r>
    </w:p>
    <w:p w14:paraId="47A44E2A" w14:textId="77777777" w:rsidR="004F3495" w:rsidRPr="00FC55CF" w:rsidRDefault="004F3495" w:rsidP="004F3495">
      <w:pPr>
        <w:rPr>
          <w:lang w:val="es-ES_tradnl"/>
        </w:rPr>
      </w:pPr>
      <w:r w:rsidRPr="00FC55CF">
        <w:rPr>
          <w:lang w:val="es-ES_tradnl"/>
        </w:rPr>
        <w:t>2.2</w:t>
      </w:r>
      <w:r w:rsidRPr="00FC55CF">
        <w:rPr>
          <w:lang w:val="es-ES_tradnl"/>
        </w:rPr>
        <w:tab/>
        <w:t>El Gobierno de Tailandia envió un correo el 7 de diciembre de 2023 en el que indicaba que lamentablemente no podía acoger la conferencia como había señalado anteriormente.</w:t>
      </w:r>
    </w:p>
    <w:p w14:paraId="05576EBD" w14:textId="77777777" w:rsidR="004F3495" w:rsidRPr="00FC55CF" w:rsidRDefault="004F3495" w:rsidP="004F3495">
      <w:pPr>
        <w:rPr>
          <w:lang w:val="es-ES_tradnl"/>
        </w:rPr>
      </w:pPr>
      <w:r w:rsidRPr="00FC55CF">
        <w:rPr>
          <w:lang w:val="es-ES_tradnl"/>
        </w:rPr>
        <w:t>2.3</w:t>
      </w:r>
      <w:r w:rsidRPr="00FC55CF">
        <w:rPr>
          <w:lang w:val="es-ES_tradnl"/>
        </w:rPr>
        <w:tab/>
        <w:t xml:space="preserve">La UIT envió un </w:t>
      </w:r>
      <w:hyperlink r:id="rId12" w:history="1">
        <w:r w:rsidRPr="00FC55CF">
          <w:rPr>
            <w:rStyle w:val="Hyperlink"/>
            <w:lang w:val="es-ES_tradnl"/>
          </w:rPr>
          <w:t>correo CL-23/51</w:t>
        </w:r>
      </w:hyperlink>
      <w:r w:rsidRPr="00FC55CF">
        <w:rPr>
          <w:lang w:val="es-ES_tradnl"/>
        </w:rPr>
        <w:t xml:space="preserve"> a todos los Estados Miembros de la Unión el 19 de diciembre en el que los informó de la situación relativa a la celebración de la CMDT-25 e invitó a los países interesados a ponerse en contacto con la Secretaria General.</w:t>
      </w:r>
    </w:p>
    <w:p w14:paraId="063FF519" w14:textId="77777777" w:rsidR="004F3495" w:rsidRPr="00FC55CF" w:rsidRDefault="004F3495" w:rsidP="004F3495">
      <w:pPr>
        <w:rPr>
          <w:lang w:val="es-ES_tradnl"/>
        </w:rPr>
      </w:pPr>
      <w:r w:rsidRPr="00FC55CF">
        <w:rPr>
          <w:lang w:val="es-ES_tradnl"/>
        </w:rPr>
        <w:t>2.4</w:t>
      </w:r>
      <w:r w:rsidRPr="00FC55CF">
        <w:rPr>
          <w:lang w:val="es-ES_tradnl"/>
        </w:rPr>
        <w:tab/>
        <w:t>A raíz de esta carta circular, Australia, Jordania, Omán, Azerbaiyán y Egipto expresaron su interés a la UIT por obtener información sobre los requisitos y costes que suponía la celebración de la Conferencia de Desarrollo. La BDT proporcionó la información solicitada y pidió que la decisión de las diversas Administraciones de los Estados Miembros se comunicase para el 31 de marzo de 2024.</w:t>
      </w:r>
    </w:p>
    <w:p w14:paraId="5EAA688B" w14:textId="77777777" w:rsidR="004F3495" w:rsidRPr="00FC55CF" w:rsidRDefault="004F3495" w:rsidP="004F3495">
      <w:pPr>
        <w:rPr>
          <w:lang w:val="es-ES_tradnl"/>
        </w:rPr>
      </w:pPr>
      <w:r w:rsidRPr="00FC55CF">
        <w:rPr>
          <w:lang w:val="es-ES_tradnl"/>
        </w:rPr>
        <w:t>2.5</w:t>
      </w:r>
      <w:r w:rsidRPr="00FC55CF">
        <w:rPr>
          <w:lang w:val="es-ES_tradnl"/>
        </w:rPr>
        <w:tab/>
        <w:t>Entretanto, se hizo una reserva en el CICG de Ginebra para el 1 al 12 de diciembre de 2025, que debe confirmase para el 14 de junio.</w:t>
      </w:r>
    </w:p>
    <w:p w14:paraId="4A7979A2" w14:textId="77777777" w:rsidR="004F3495" w:rsidRPr="00FC55CF" w:rsidRDefault="004F3495" w:rsidP="004F3495">
      <w:pPr>
        <w:rPr>
          <w:lang w:val="es-ES_tradnl"/>
        </w:rPr>
      </w:pPr>
      <w:r w:rsidRPr="00FC55CF">
        <w:rPr>
          <w:lang w:val="es-ES_tradnl"/>
        </w:rPr>
        <w:t>2.6</w:t>
      </w:r>
      <w:r w:rsidRPr="00FC55CF">
        <w:rPr>
          <w:lang w:val="es-ES_tradnl"/>
        </w:rPr>
        <w:tab/>
        <w:t xml:space="preserve">El 15 de marzo de 2024, se recibió la carta 3-27/2-1902/2024 de Azerbaiyán en la que se presentaba su candidatura para acoger la CMDT-25 (véase el </w:t>
      </w:r>
      <w:r w:rsidRPr="00FC55CF">
        <w:rPr>
          <w:b/>
          <w:bCs/>
          <w:lang w:val="es-ES_tradnl"/>
        </w:rPr>
        <w:t>Anexo 1</w:t>
      </w:r>
      <w:r w:rsidRPr="00FC55CF">
        <w:rPr>
          <w:lang w:val="es-ES_tradnl"/>
        </w:rPr>
        <w:t>).</w:t>
      </w:r>
    </w:p>
    <w:p w14:paraId="313C0D3A" w14:textId="77777777" w:rsidR="004F3495" w:rsidRPr="00FC55CF" w:rsidRDefault="004F3495" w:rsidP="004F3495">
      <w:pPr>
        <w:rPr>
          <w:lang w:val="es-ES_tradnl"/>
        </w:rPr>
      </w:pPr>
      <w:r w:rsidRPr="00FC55CF">
        <w:rPr>
          <w:lang w:val="es-ES_tradnl"/>
        </w:rPr>
        <w:t>2.7</w:t>
      </w:r>
      <w:r w:rsidRPr="00FC55CF">
        <w:rPr>
          <w:lang w:val="es-ES_tradnl"/>
        </w:rPr>
        <w:tab/>
        <w:t xml:space="preserve">El 22 de marzo de 2024, el Director de la BDT respondió a la Administración de Azerbaiyán mediante la carta BDT/DDR/12554 (véase el </w:t>
      </w:r>
      <w:r w:rsidRPr="00FC55CF">
        <w:rPr>
          <w:b/>
          <w:bCs/>
          <w:lang w:val="es-ES_tradnl"/>
        </w:rPr>
        <w:t>Anexo 2</w:t>
      </w:r>
      <w:r w:rsidRPr="00FC55CF">
        <w:rPr>
          <w:lang w:val="es-ES_tradnl"/>
        </w:rPr>
        <w:t>), a la que Azerbaiyán respondió el 3 de abril de 2024 confirmando su propuesta de acoger la conferencia en Baku, a finales de noviembre de 2025, mediante el correo 3-24/2-2278/2024 (</w:t>
      </w:r>
      <w:r w:rsidRPr="00FC55CF">
        <w:rPr>
          <w:b/>
          <w:bCs/>
          <w:lang w:val="es-ES_tradnl"/>
        </w:rPr>
        <w:t>Anexo 3</w:t>
      </w:r>
      <w:r w:rsidRPr="00FC55CF">
        <w:rPr>
          <w:lang w:val="es-ES_tradnl"/>
        </w:rPr>
        <w:t>).</w:t>
      </w:r>
    </w:p>
    <w:p w14:paraId="67D42796" w14:textId="77777777" w:rsidR="004F3495" w:rsidRPr="00FC55CF" w:rsidRDefault="004F3495" w:rsidP="004F3495">
      <w:pPr>
        <w:rPr>
          <w:lang w:val="es-ES_tradnl"/>
        </w:rPr>
      </w:pPr>
      <w:r w:rsidRPr="00FC55CF">
        <w:rPr>
          <w:lang w:val="es-ES_tradnl"/>
        </w:rPr>
        <w:t>2.8</w:t>
      </w:r>
      <w:r w:rsidRPr="00FC55CF">
        <w:rPr>
          <w:lang w:val="es-ES_tradnl"/>
        </w:rPr>
        <w:tab/>
        <w:t>En otra carta con referencia 3-27/2-2991/2024, de fecha 26 de abril de 2024, Azerbaiyán indicó las fechas exactas propuestas: del 17 al 28 de noviembre de 2025 (</w:t>
      </w:r>
      <w:r w:rsidRPr="00FC55CF">
        <w:rPr>
          <w:b/>
          <w:bCs/>
          <w:lang w:val="es-ES_tradnl"/>
        </w:rPr>
        <w:t>Anexo 4</w:t>
      </w:r>
      <w:r w:rsidRPr="00FC55CF">
        <w:rPr>
          <w:lang w:val="es-ES_tradnl"/>
        </w:rPr>
        <w:t>).</w:t>
      </w:r>
    </w:p>
    <w:p w14:paraId="50FF8433" w14:textId="77777777" w:rsidR="004F3495" w:rsidRPr="00FC55CF" w:rsidRDefault="004F3495" w:rsidP="004F3495">
      <w:pPr>
        <w:rPr>
          <w:lang w:val="es-ES_tradnl"/>
        </w:rPr>
      </w:pPr>
      <w:r w:rsidRPr="00FC55CF">
        <w:rPr>
          <w:lang w:val="es-ES_tradnl"/>
        </w:rPr>
        <w:t>2.9</w:t>
      </w:r>
      <w:r w:rsidRPr="00FC55CF">
        <w:rPr>
          <w:lang w:val="es-ES_tradnl"/>
        </w:rPr>
        <w:tab/>
        <w:t>Se presenta un documento al GADT-24 en el que figura el proyecto de orden del día propuesto para la CMDT-25, para la aprobación del GADT (</w:t>
      </w:r>
      <w:hyperlink r:id="rId13" w:history="1">
        <w:r w:rsidRPr="00FC55CF">
          <w:rPr>
            <w:rStyle w:val="Hyperlink"/>
            <w:lang w:val="es-ES_tradnl"/>
          </w:rPr>
          <w:t>documento TDAG-24/24</w:t>
        </w:r>
      </w:hyperlink>
      <w:r w:rsidRPr="00FC55CF">
        <w:rPr>
          <w:lang w:val="es-ES_tradnl"/>
        </w:rPr>
        <w:t>).</w:t>
      </w:r>
    </w:p>
    <w:p w14:paraId="757F8924" w14:textId="77777777" w:rsidR="004F3495" w:rsidRPr="00FC55CF" w:rsidRDefault="004F3495" w:rsidP="004F3495">
      <w:pPr>
        <w:rPr>
          <w:lang w:val="es-ES_tradnl"/>
        </w:rPr>
      </w:pPr>
      <w:r w:rsidRPr="00FC55CF">
        <w:rPr>
          <w:lang w:val="es-ES_tradnl"/>
        </w:rPr>
        <w:t>2.10</w:t>
      </w:r>
      <w:r w:rsidRPr="00FC55CF">
        <w:rPr>
          <w:lang w:val="es-ES_tradnl"/>
        </w:rPr>
        <w:tab/>
        <w:t>Se presenta a la reunión de 2024 del Consejo para su aprobación un documento que contiene el lugar y fechas señalados anteriormente, así como el proyecto del orden del día (</w:t>
      </w:r>
      <w:hyperlink r:id="rId14" w:history="1">
        <w:r w:rsidRPr="00FC55CF">
          <w:rPr>
            <w:rStyle w:val="Hyperlink"/>
            <w:lang w:val="es-ES_tradnl"/>
          </w:rPr>
          <w:t>documento C-24/30</w:t>
        </w:r>
      </w:hyperlink>
      <w:r w:rsidRPr="00FC55CF">
        <w:rPr>
          <w:lang w:val="es-ES_tradnl"/>
        </w:rPr>
        <w:t>).</w:t>
      </w:r>
    </w:p>
    <w:p w14:paraId="38BD2A82" w14:textId="77777777" w:rsidR="004F3495" w:rsidRPr="00FC55CF" w:rsidRDefault="004F3495" w:rsidP="004F3495">
      <w:pPr>
        <w:pStyle w:val="Heading1"/>
        <w:rPr>
          <w:lang w:val="es-ES_tradnl"/>
        </w:rPr>
      </w:pPr>
      <w:r w:rsidRPr="00FC55CF">
        <w:rPr>
          <w:lang w:val="es-ES_tradnl"/>
        </w:rPr>
        <w:lastRenderedPageBreak/>
        <w:t>3</w:t>
      </w:r>
      <w:r w:rsidRPr="00FC55CF">
        <w:rPr>
          <w:lang w:val="es-ES_tradnl"/>
        </w:rPr>
        <w:tab/>
        <w:t>Preparativos para la Conferencia</w:t>
      </w:r>
    </w:p>
    <w:p w14:paraId="4C147D97" w14:textId="77777777" w:rsidR="004F3495" w:rsidRPr="00FC55CF" w:rsidRDefault="004F3495" w:rsidP="004F3495">
      <w:pPr>
        <w:rPr>
          <w:lang w:val="es-ES_tradnl"/>
        </w:rPr>
      </w:pPr>
      <w:r w:rsidRPr="00FC55CF">
        <w:rPr>
          <w:lang w:val="es-ES_tradnl"/>
        </w:rPr>
        <w:t>3.1</w:t>
      </w:r>
      <w:r w:rsidRPr="00FC55CF">
        <w:rPr>
          <w:lang w:val="es-ES_tradnl"/>
        </w:rPr>
        <w:tab/>
        <w:t>Las negociaciones con Azerbaiyán acerca del acuerdo con el país anfitrión empezarán próximamente.</w:t>
      </w:r>
    </w:p>
    <w:p w14:paraId="4922E4D1" w14:textId="77777777" w:rsidR="004F3495" w:rsidRPr="00FC55CF" w:rsidRDefault="004F3495" w:rsidP="004F3495">
      <w:pPr>
        <w:pStyle w:val="Heading1"/>
        <w:rPr>
          <w:lang w:val="es-ES_tradnl"/>
        </w:rPr>
      </w:pPr>
      <w:r w:rsidRPr="00FC55CF">
        <w:rPr>
          <w:lang w:val="es-ES_tradnl"/>
        </w:rPr>
        <w:t>4</w:t>
      </w:r>
      <w:r w:rsidRPr="00FC55CF">
        <w:rPr>
          <w:lang w:val="es-ES_tradnl"/>
        </w:rPr>
        <w:tab/>
        <w:t>Proceso preparatorio</w:t>
      </w:r>
    </w:p>
    <w:p w14:paraId="5AB11365"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FC55CF">
        <w:rPr>
          <w:lang w:val="es-ES_tradnl"/>
        </w:rPr>
        <w:t>4.1</w:t>
      </w:r>
      <w:r w:rsidRPr="00FC55CF">
        <w:rPr>
          <w:lang w:val="es-ES_tradnl"/>
        </w:rPr>
        <w:tab/>
        <w:t xml:space="preserve">Con arreglo a la Resolución 31, se están organizando seis </w:t>
      </w:r>
      <w:r w:rsidRPr="00FC55CF">
        <w:rPr>
          <w:b/>
          <w:bCs/>
          <w:lang w:val="es-ES_tradnl"/>
        </w:rPr>
        <w:t xml:space="preserve">Reuniones Preparatorias Regionales (RPR) </w:t>
      </w:r>
      <w:r w:rsidRPr="00FC55CF">
        <w:rPr>
          <w:lang w:val="es-ES_tradnl"/>
        </w:rPr>
        <w:t>en cada una de las seis regiones, en vísperas de un Foro Regional de Desarrollo (FRD) de un día.</w:t>
      </w:r>
    </w:p>
    <w:p w14:paraId="5641F1FE"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FC55CF">
        <w:rPr>
          <w:lang w:val="es-ES_tradnl"/>
        </w:rPr>
        <w:t>Las RPR tratan de involucrar a los miembros de cada región en el proceso de la CMDT con el fin de fomentar la coordinación regional antes de la Conferencia. Las RPR también tienen por objeto identificar los temas regionales de interés y los retos que deben abordarse para fomentar el desarrollo de las telecomunicaciones/TIC, y ayudar a los Estados Miembros y a los Miembros de los Sectores a establecer prioridades comunes.</w:t>
      </w:r>
    </w:p>
    <w:p w14:paraId="3AED711E" w14:textId="77777777" w:rsidR="004F3495" w:rsidRPr="00FC55CF" w:rsidRDefault="004F3495" w:rsidP="004F3495">
      <w:pPr>
        <w:keepNext/>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FC55CF">
        <w:rPr>
          <w:lang w:val="es-ES_tradnl"/>
        </w:rPr>
        <w:t>Las fechas en que se celebrarán el FRD y las RPR en cada región son las siguientes: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8"/>
        <w:gridCol w:w="3686"/>
        <w:gridCol w:w="2976"/>
      </w:tblGrid>
      <w:tr w:rsidR="004F3495" w:rsidRPr="00FC55CF" w14:paraId="5EFBEADA" w14:textId="77777777" w:rsidTr="00C45746">
        <w:trPr>
          <w:jc w:val="center"/>
        </w:trPr>
        <w:tc>
          <w:tcPr>
            <w:tcW w:w="1838" w:type="dxa"/>
          </w:tcPr>
          <w:p w14:paraId="42196F8E" w14:textId="77777777" w:rsidR="004F3495" w:rsidRPr="00FC55CF" w:rsidRDefault="004F3495" w:rsidP="00C45746">
            <w:pPr>
              <w:pStyle w:val="Tablehead"/>
              <w:rPr>
                <w:lang w:val="es-ES_tradnl"/>
              </w:rPr>
            </w:pPr>
            <w:r w:rsidRPr="00FC55CF">
              <w:rPr>
                <w:lang w:val="es-ES_tradnl"/>
              </w:rPr>
              <w:t>Región</w:t>
            </w:r>
          </w:p>
        </w:tc>
        <w:tc>
          <w:tcPr>
            <w:tcW w:w="3686" w:type="dxa"/>
          </w:tcPr>
          <w:p w14:paraId="64D96463" w14:textId="77777777" w:rsidR="004F3495" w:rsidRPr="00FC55CF" w:rsidRDefault="004F3495" w:rsidP="00C45746">
            <w:pPr>
              <w:pStyle w:val="Tablehead"/>
              <w:rPr>
                <w:lang w:val="es-ES_tradnl"/>
              </w:rPr>
            </w:pPr>
            <w:r w:rsidRPr="00FC55CF">
              <w:rPr>
                <w:lang w:val="es-ES_tradnl"/>
              </w:rPr>
              <w:t>Fechas propuestas por la BDT</w:t>
            </w:r>
          </w:p>
        </w:tc>
        <w:tc>
          <w:tcPr>
            <w:tcW w:w="2976" w:type="dxa"/>
          </w:tcPr>
          <w:p w14:paraId="02ED26F3" w14:textId="77777777" w:rsidR="004F3495" w:rsidRPr="00FC55CF" w:rsidRDefault="004F3495" w:rsidP="00C45746">
            <w:pPr>
              <w:pStyle w:val="Tablehead"/>
              <w:rPr>
                <w:lang w:val="es-ES_tradnl"/>
              </w:rPr>
            </w:pPr>
            <w:r w:rsidRPr="00FC55CF">
              <w:rPr>
                <w:lang w:val="es-ES_tradnl"/>
              </w:rPr>
              <w:t>País anfitrión</w:t>
            </w:r>
          </w:p>
        </w:tc>
      </w:tr>
      <w:tr w:rsidR="004F3495" w:rsidRPr="00FC55CF" w14:paraId="67615DBB" w14:textId="77777777" w:rsidTr="00C45746">
        <w:trPr>
          <w:jc w:val="center"/>
        </w:trPr>
        <w:tc>
          <w:tcPr>
            <w:tcW w:w="1838" w:type="dxa"/>
          </w:tcPr>
          <w:p w14:paraId="016D9E58" w14:textId="77777777" w:rsidR="004F3495" w:rsidRPr="00FC55CF" w:rsidRDefault="004F3495" w:rsidP="00C45746">
            <w:pPr>
              <w:pStyle w:val="Tabletext"/>
              <w:rPr>
                <w:szCs w:val="22"/>
                <w:lang w:val="es-ES_tradnl"/>
              </w:rPr>
            </w:pPr>
            <w:r w:rsidRPr="00FC55CF">
              <w:rPr>
                <w:lang w:val="es-ES_tradnl"/>
              </w:rPr>
              <w:t>ARB</w:t>
            </w:r>
          </w:p>
        </w:tc>
        <w:tc>
          <w:tcPr>
            <w:tcW w:w="3686" w:type="dxa"/>
          </w:tcPr>
          <w:p w14:paraId="656044B9" w14:textId="77777777" w:rsidR="004F3495" w:rsidRPr="00FC55CF" w:rsidRDefault="004F3495" w:rsidP="00C45746">
            <w:pPr>
              <w:pStyle w:val="Tabletext"/>
              <w:rPr>
                <w:szCs w:val="22"/>
                <w:lang w:val="es-ES_tradnl"/>
              </w:rPr>
            </w:pPr>
            <w:r w:rsidRPr="00FC55CF">
              <w:rPr>
                <w:lang w:val="es-ES_tradnl"/>
              </w:rPr>
              <w:t>3-5 de febrero (por confirmar)</w:t>
            </w:r>
          </w:p>
        </w:tc>
        <w:tc>
          <w:tcPr>
            <w:tcW w:w="2976" w:type="dxa"/>
          </w:tcPr>
          <w:p w14:paraId="3939543C" w14:textId="77777777" w:rsidR="004F3495" w:rsidRPr="00FC55CF" w:rsidRDefault="004F3495" w:rsidP="00C45746">
            <w:pPr>
              <w:pStyle w:val="Tabletext"/>
              <w:rPr>
                <w:szCs w:val="22"/>
                <w:lang w:val="es-ES_tradnl"/>
              </w:rPr>
            </w:pPr>
          </w:p>
        </w:tc>
      </w:tr>
      <w:tr w:rsidR="004F3495" w:rsidRPr="00FC55CF" w14:paraId="7A26421A" w14:textId="77777777" w:rsidTr="00C45746">
        <w:trPr>
          <w:jc w:val="center"/>
        </w:trPr>
        <w:tc>
          <w:tcPr>
            <w:tcW w:w="1838" w:type="dxa"/>
          </w:tcPr>
          <w:p w14:paraId="1D55CA45" w14:textId="77777777" w:rsidR="004F3495" w:rsidRPr="00FC55CF" w:rsidRDefault="004F3495" w:rsidP="00C45746">
            <w:pPr>
              <w:pStyle w:val="Tabletext"/>
              <w:rPr>
                <w:szCs w:val="22"/>
                <w:lang w:val="es-ES_tradnl"/>
              </w:rPr>
            </w:pPr>
            <w:r w:rsidRPr="00FC55CF">
              <w:rPr>
                <w:lang w:val="es-ES_tradnl"/>
              </w:rPr>
              <w:t>EUR</w:t>
            </w:r>
          </w:p>
        </w:tc>
        <w:tc>
          <w:tcPr>
            <w:tcW w:w="3686" w:type="dxa"/>
          </w:tcPr>
          <w:p w14:paraId="7F3D6BCA" w14:textId="77777777" w:rsidR="004F3495" w:rsidRPr="00FC55CF" w:rsidRDefault="004F3495" w:rsidP="00C45746">
            <w:pPr>
              <w:pStyle w:val="Tabletext"/>
              <w:rPr>
                <w:szCs w:val="22"/>
                <w:lang w:val="es-ES_tradnl"/>
              </w:rPr>
            </w:pPr>
            <w:r w:rsidRPr="00FC55CF">
              <w:rPr>
                <w:lang w:val="es-ES_tradnl"/>
              </w:rPr>
              <w:t>24-26 de febrero</w:t>
            </w:r>
          </w:p>
        </w:tc>
        <w:tc>
          <w:tcPr>
            <w:tcW w:w="2976" w:type="dxa"/>
          </w:tcPr>
          <w:p w14:paraId="725D2375" w14:textId="77777777" w:rsidR="004F3495" w:rsidRPr="00FC55CF" w:rsidRDefault="004F3495" w:rsidP="00C45746">
            <w:pPr>
              <w:pStyle w:val="Tabletext"/>
              <w:rPr>
                <w:szCs w:val="22"/>
                <w:lang w:val="es-ES_tradnl"/>
              </w:rPr>
            </w:pPr>
          </w:p>
        </w:tc>
      </w:tr>
      <w:tr w:rsidR="004F3495" w:rsidRPr="00FC55CF" w14:paraId="4BFDCA5E" w14:textId="77777777" w:rsidTr="00C45746">
        <w:trPr>
          <w:jc w:val="center"/>
        </w:trPr>
        <w:tc>
          <w:tcPr>
            <w:tcW w:w="1838" w:type="dxa"/>
          </w:tcPr>
          <w:p w14:paraId="28C2D05D" w14:textId="77777777" w:rsidR="004F3495" w:rsidRPr="00FC55CF" w:rsidRDefault="004F3495" w:rsidP="00C45746">
            <w:pPr>
              <w:pStyle w:val="Tabletext"/>
              <w:rPr>
                <w:szCs w:val="22"/>
                <w:lang w:val="es-ES_tradnl"/>
              </w:rPr>
            </w:pPr>
            <w:r w:rsidRPr="00FC55CF">
              <w:rPr>
                <w:lang w:val="es-ES_tradnl"/>
              </w:rPr>
              <w:t>ASP</w:t>
            </w:r>
          </w:p>
        </w:tc>
        <w:tc>
          <w:tcPr>
            <w:tcW w:w="3686" w:type="dxa"/>
          </w:tcPr>
          <w:p w14:paraId="54C04F6F" w14:textId="77777777" w:rsidR="004F3495" w:rsidRPr="00FC55CF" w:rsidRDefault="004F3495" w:rsidP="00C45746">
            <w:pPr>
              <w:pStyle w:val="Tabletext"/>
              <w:rPr>
                <w:szCs w:val="22"/>
                <w:lang w:val="es-ES_tradnl"/>
              </w:rPr>
            </w:pPr>
            <w:r w:rsidRPr="00FC55CF">
              <w:rPr>
                <w:lang w:val="es-ES_tradnl"/>
              </w:rPr>
              <w:t>17-19 de marzo (por confirmar)</w:t>
            </w:r>
          </w:p>
        </w:tc>
        <w:tc>
          <w:tcPr>
            <w:tcW w:w="2976" w:type="dxa"/>
          </w:tcPr>
          <w:p w14:paraId="70B43262" w14:textId="77777777" w:rsidR="004F3495" w:rsidRPr="00FC55CF" w:rsidRDefault="004F3495" w:rsidP="00C45746">
            <w:pPr>
              <w:pStyle w:val="Tabletext"/>
              <w:rPr>
                <w:szCs w:val="22"/>
                <w:lang w:val="es-ES_tradnl"/>
              </w:rPr>
            </w:pPr>
          </w:p>
        </w:tc>
      </w:tr>
      <w:tr w:rsidR="004F3495" w:rsidRPr="00FC55CF" w14:paraId="6BD40411" w14:textId="77777777" w:rsidTr="00C45746">
        <w:trPr>
          <w:jc w:val="center"/>
        </w:trPr>
        <w:tc>
          <w:tcPr>
            <w:tcW w:w="1838" w:type="dxa"/>
          </w:tcPr>
          <w:p w14:paraId="62496039" w14:textId="77777777" w:rsidR="004F3495" w:rsidRPr="00FC55CF" w:rsidRDefault="004F3495" w:rsidP="00C45746">
            <w:pPr>
              <w:pStyle w:val="Tabletext"/>
              <w:rPr>
                <w:szCs w:val="22"/>
                <w:lang w:val="es-ES_tradnl"/>
              </w:rPr>
            </w:pPr>
            <w:r w:rsidRPr="00FC55CF">
              <w:rPr>
                <w:lang w:val="es-ES_tradnl"/>
              </w:rPr>
              <w:t>AMS</w:t>
            </w:r>
          </w:p>
        </w:tc>
        <w:tc>
          <w:tcPr>
            <w:tcW w:w="3686" w:type="dxa"/>
          </w:tcPr>
          <w:p w14:paraId="33FD5003" w14:textId="77777777" w:rsidR="004F3495" w:rsidRPr="00FC55CF" w:rsidRDefault="004F3495" w:rsidP="00C45746">
            <w:pPr>
              <w:pStyle w:val="Tabletext"/>
              <w:rPr>
                <w:szCs w:val="22"/>
                <w:lang w:val="es-ES_tradnl"/>
              </w:rPr>
            </w:pPr>
            <w:r w:rsidRPr="00FC55CF">
              <w:rPr>
                <w:lang w:val="es-ES_tradnl"/>
              </w:rPr>
              <w:t>31 de marzo-2 de abril (por confirmar)</w:t>
            </w:r>
          </w:p>
        </w:tc>
        <w:tc>
          <w:tcPr>
            <w:tcW w:w="2976" w:type="dxa"/>
          </w:tcPr>
          <w:p w14:paraId="17F34CBF" w14:textId="77777777" w:rsidR="004F3495" w:rsidRPr="00FC55CF" w:rsidRDefault="004F3495" w:rsidP="00C45746">
            <w:pPr>
              <w:pStyle w:val="Tabletext"/>
              <w:rPr>
                <w:szCs w:val="22"/>
                <w:lang w:val="es-ES_tradnl"/>
              </w:rPr>
            </w:pPr>
            <w:r w:rsidRPr="00FC55CF">
              <w:rPr>
                <w:lang w:val="es-ES_tradnl"/>
              </w:rPr>
              <w:t>Por determinar</w:t>
            </w:r>
          </w:p>
        </w:tc>
      </w:tr>
      <w:tr w:rsidR="004F3495" w:rsidRPr="00FC55CF" w14:paraId="31A9BB71" w14:textId="77777777" w:rsidTr="00C45746">
        <w:trPr>
          <w:jc w:val="center"/>
        </w:trPr>
        <w:tc>
          <w:tcPr>
            <w:tcW w:w="1838" w:type="dxa"/>
          </w:tcPr>
          <w:p w14:paraId="3FACE15C" w14:textId="77777777" w:rsidR="004F3495" w:rsidRPr="00FC55CF" w:rsidRDefault="004F3495" w:rsidP="00C45746">
            <w:pPr>
              <w:pStyle w:val="Tabletext"/>
              <w:rPr>
                <w:szCs w:val="22"/>
                <w:lang w:val="es-ES_tradnl"/>
              </w:rPr>
            </w:pPr>
            <w:r w:rsidRPr="00FC55CF">
              <w:rPr>
                <w:lang w:val="es-ES_tradnl"/>
              </w:rPr>
              <w:t>AFR</w:t>
            </w:r>
          </w:p>
        </w:tc>
        <w:tc>
          <w:tcPr>
            <w:tcW w:w="3686" w:type="dxa"/>
          </w:tcPr>
          <w:p w14:paraId="664E5086" w14:textId="77777777" w:rsidR="004F3495" w:rsidRPr="00FC55CF" w:rsidRDefault="004F3495" w:rsidP="00C45746">
            <w:pPr>
              <w:pStyle w:val="Tabletext"/>
              <w:rPr>
                <w:szCs w:val="22"/>
                <w:lang w:val="es-ES_tradnl"/>
              </w:rPr>
            </w:pPr>
            <w:r w:rsidRPr="00FC55CF">
              <w:rPr>
                <w:lang w:val="es-ES_tradnl"/>
              </w:rPr>
              <w:t>7-11 de abril (por confirmar)</w:t>
            </w:r>
          </w:p>
        </w:tc>
        <w:tc>
          <w:tcPr>
            <w:tcW w:w="2976" w:type="dxa"/>
          </w:tcPr>
          <w:p w14:paraId="6574172B" w14:textId="77777777" w:rsidR="004F3495" w:rsidRPr="00FC55CF" w:rsidRDefault="004F3495" w:rsidP="00C45746">
            <w:pPr>
              <w:pStyle w:val="Tabletext"/>
              <w:rPr>
                <w:szCs w:val="22"/>
                <w:lang w:val="es-ES_tradnl"/>
              </w:rPr>
            </w:pPr>
          </w:p>
        </w:tc>
      </w:tr>
      <w:tr w:rsidR="004F3495" w:rsidRPr="00FC55CF" w14:paraId="477A3E5A" w14:textId="77777777" w:rsidTr="00C45746">
        <w:trPr>
          <w:jc w:val="center"/>
        </w:trPr>
        <w:tc>
          <w:tcPr>
            <w:tcW w:w="1838" w:type="dxa"/>
          </w:tcPr>
          <w:p w14:paraId="5788AA54" w14:textId="77777777" w:rsidR="004F3495" w:rsidRPr="00FC55CF" w:rsidRDefault="004F3495" w:rsidP="00C45746">
            <w:pPr>
              <w:pStyle w:val="Tabletext"/>
              <w:rPr>
                <w:szCs w:val="22"/>
                <w:lang w:val="es-ES_tradnl"/>
              </w:rPr>
            </w:pPr>
            <w:r w:rsidRPr="00FC55CF">
              <w:rPr>
                <w:lang w:val="es-ES_tradnl"/>
              </w:rPr>
              <w:t>CEI</w:t>
            </w:r>
          </w:p>
        </w:tc>
        <w:tc>
          <w:tcPr>
            <w:tcW w:w="3686" w:type="dxa"/>
          </w:tcPr>
          <w:p w14:paraId="30FB2EE9" w14:textId="77777777" w:rsidR="004F3495" w:rsidRPr="00FC55CF" w:rsidRDefault="004F3495" w:rsidP="00C45746">
            <w:pPr>
              <w:pStyle w:val="Tabletext"/>
              <w:rPr>
                <w:szCs w:val="22"/>
                <w:lang w:val="es-ES_tradnl"/>
              </w:rPr>
            </w:pPr>
            <w:r w:rsidRPr="00FC55CF">
              <w:rPr>
                <w:lang w:val="es-ES_tradnl"/>
              </w:rPr>
              <w:t>23-24 de abril (por confirmar)</w:t>
            </w:r>
          </w:p>
        </w:tc>
        <w:tc>
          <w:tcPr>
            <w:tcW w:w="2976" w:type="dxa"/>
          </w:tcPr>
          <w:p w14:paraId="2F4364AE" w14:textId="77777777" w:rsidR="004F3495" w:rsidRPr="00FC55CF" w:rsidRDefault="004F3495" w:rsidP="00C45746">
            <w:pPr>
              <w:pStyle w:val="Tabletext"/>
              <w:rPr>
                <w:szCs w:val="22"/>
                <w:lang w:val="es-ES_tradnl"/>
              </w:rPr>
            </w:pPr>
          </w:p>
        </w:tc>
      </w:tr>
    </w:tbl>
    <w:p w14:paraId="37B6E60D"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spacing w:after="120"/>
        <w:ind w:left="567"/>
        <w:rPr>
          <w:lang w:val="es-ES_tradnl"/>
        </w:rPr>
      </w:pPr>
      <w:r w:rsidRPr="00FC55CF">
        <w:rPr>
          <w:lang w:val="es-ES_tradnl"/>
        </w:rPr>
        <w:t>4.2</w:t>
      </w:r>
      <w:r w:rsidRPr="00FC55CF">
        <w:rPr>
          <w:lang w:val="es-ES_tradnl"/>
        </w:rPr>
        <w:tab/>
        <w:t xml:space="preserve">El 12 de mayo de 2025 se celebrará una </w:t>
      </w:r>
      <w:r w:rsidRPr="00FC55CF">
        <w:rPr>
          <w:b/>
          <w:bCs/>
          <w:lang w:val="es-ES_tradnl"/>
        </w:rPr>
        <w:t xml:space="preserve">Reunión de Coordinación de las RPR, </w:t>
      </w:r>
      <w:r w:rsidRPr="00FC55CF">
        <w:rPr>
          <w:lang w:val="es-ES_tradnl"/>
        </w:rPr>
        <w:t>también de conformidad con la Resolución 31, en vísperas de la reunión del Grupo Asesor de Desarrollo de las Telecomunicaciones (GADT), que se ha previsto que se celebre del 12 al 16 de mayo de 2025 en la Sede de la UIT en Ginebra.</w:t>
      </w:r>
    </w:p>
    <w:p w14:paraId="7EA45503" w14:textId="77777777" w:rsidR="004F3495" w:rsidRPr="00FC55CF" w:rsidRDefault="004F3495" w:rsidP="004F3495">
      <w:pPr>
        <w:keepNext/>
        <w:tabs>
          <w:tab w:val="clear" w:pos="794"/>
          <w:tab w:val="clear" w:pos="1191"/>
          <w:tab w:val="clear" w:pos="1588"/>
          <w:tab w:val="clear" w:pos="1985"/>
          <w:tab w:val="left" w:pos="567"/>
          <w:tab w:val="left" w:pos="1134"/>
          <w:tab w:val="left" w:pos="1701"/>
          <w:tab w:val="left" w:pos="2268"/>
        </w:tabs>
        <w:spacing w:after="120"/>
        <w:ind w:left="567"/>
        <w:rPr>
          <w:lang w:val="es-ES_tradnl"/>
        </w:rPr>
      </w:pPr>
      <w:r w:rsidRPr="00FC55CF">
        <w:rPr>
          <w:lang w:val="es-ES_tradnl"/>
        </w:rPr>
        <w:t>4.3</w:t>
      </w:r>
      <w:r w:rsidRPr="00FC55CF">
        <w:rPr>
          <w:lang w:val="es-ES_tradnl"/>
        </w:rPr>
        <w:tab/>
        <w:t xml:space="preserve">Sobre la base de la práctica comúnmente aceptada durante el ciclo de 2017-2022 y a raíz de los buenos comentarios recibidos de los Miembros, se ha previsto que tengan lugar dos </w:t>
      </w:r>
      <w:r w:rsidRPr="00FC55CF">
        <w:rPr>
          <w:b/>
          <w:bCs/>
          <w:lang w:val="es-ES_tradnl"/>
        </w:rPr>
        <w:t xml:space="preserve">reuniones interregionales (RIR) </w:t>
      </w:r>
      <w:r w:rsidRPr="00FC55CF">
        <w:rPr>
          <w:lang w:val="es-ES_tradnl"/>
        </w:rPr>
        <w:t>con objeto de preparar la CMDT. Estas son:</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55"/>
        <w:gridCol w:w="4677"/>
      </w:tblGrid>
      <w:tr w:rsidR="004F3495" w:rsidRPr="00FC55CF" w14:paraId="26C45169" w14:textId="77777777" w:rsidTr="00C45746">
        <w:trPr>
          <w:jc w:val="center"/>
        </w:trPr>
        <w:tc>
          <w:tcPr>
            <w:tcW w:w="1555" w:type="dxa"/>
          </w:tcPr>
          <w:p w14:paraId="015E618F" w14:textId="77777777" w:rsidR="004F3495" w:rsidRPr="00FC55CF" w:rsidRDefault="004F3495" w:rsidP="00C45746">
            <w:pPr>
              <w:pStyle w:val="Tabletext"/>
              <w:rPr>
                <w:szCs w:val="22"/>
                <w:lang w:val="es-ES_tradnl"/>
              </w:rPr>
            </w:pPr>
            <w:r w:rsidRPr="00FC55CF">
              <w:rPr>
                <w:lang w:val="es-ES_tradnl"/>
              </w:rPr>
              <w:t>RIR-1</w:t>
            </w:r>
          </w:p>
        </w:tc>
        <w:tc>
          <w:tcPr>
            <w:tcW w:w="4677" w:type="dxa"/>
          </w:tcPr>
          <w:p w14:paraId="1CD15C08" w14:textId="77777777" w:rsidR="004F3495" w:rsidRPr="00FC55CF" w:rsidRDefault="004F3495" w:rsidP="00C45746">
            <w:pPr>
              <w:pStyle w:val="Tabletext"/>
              <w:rPr>
                <w:szCs w:val="22"/>
                <w:lang w:val="es-ES_tradnl"/>
              </w:rPr>
            </w:pPr>
            <w:r w:rsidRPr="00FC55CF">
              <w:rPr>
                <w:lang w:val="es-ES_tradnl"/>
              </w:rPr>
              <w:t>14-15 de julio de 2025, Ginebra (Suiza)</w:t>
            </w:r>
          </w:p>
        </w:tc>
      </w:tr>
      <w:tr w:rsidR="004F3495" w:rsidRPr="00FC55CF" w14:paraId="6B7DD30E" w14:textId="77777777" w:rsidTr="00C45746">
        <w:trPr>
          <w:jc w:val="center"/>
        </w:trPr>
        <w:tc>
          <w:tcPr>
            <w:tcW w:w="1555" w:type="dxa"/>
          </w:tcPr>
          <w:p w14:paraId="5473F875" w14:textId="77777777" w:rsidR="004F3495" w:rsidRPr="00FC55CF" w:rsidRDefault="004F3495" w:rsidP="00C45746">
            <w:pPr>
              <w:pStyle w:val="Tabletext"/>
              <w:rPr>
                <w:szCs w:val="22"/>
                <w:lang w:val="es-ES_tradnl"/>
              </w:rPr>
            </w:pPr>
            <w:r w:rsidRPr="00FC55CF">
              <w:rPr>
                <w:lang w:val="es-ES_tradnl"/>
              </w:rPr>
              <w:t>RIR-2</w:t>
            </w:r>
          </w:p>
        </w:tc>
        <w:tc>
          <w:tcPr>
            <w:tcW w:w="4677" w:type="dxa"/>
          </w:tcPr>
          <w:p w14:paraId="000F7165" w14:textId="77777777" w:rsidR="004F3495" w:rsidRPr="00FC55CF" w:rsidRDefault="004F3495" w:rsidP="00C45746">
            <w:pPr>
              <w:pStyle w:val="Tabletext"/>
              <w:rPr>
                <w:szCs w:val="22"/>
                <w:lang w:val="es-ES_tradnl"/>
              </w:rPr>
            </w:pPr>
            <w:r w:rsidRPr="00FC55CF">
              <w:rPr>
                <w:lang w:val="es-ES_tradnl"/>
              </w:rPr>
              <w:t>29-30 de septiembre de 2025, Ginebra (Suiza)</w:t>
            </w:r>
          </w:p>
        </w:tc>
      </w:tr>
    </w:tbl>
    <w:p w14:paraId="5516B619"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FC55CF">
        <w:rPr>
          <w:lang w:val="es-ES_tradnl"/>
        </w:rPr>
        <w:t>Las RIR están abiertas a todos los Miembros del UIT-D. Se insta a los Estados Miembros a que incluyan en sus delegaciones a representantes de los organismos reguladores, responsables de la formulación de políticas, la sociedad civil, el mundo académico, la comunidad técnica de Internet, los jóvenes y las organizaciones de promoción de la igualdad de género, entre otros.</w:t>
      </w:r>
    </w:p>
    <w:p w14:paraId="6354C7DA"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spacing w:before="100" w:after="100"/>
        <w:ind w:left="567"/>
        <w:rPr>
          <w:bCs/>
          <w:lang w:val="es-ES_tradnl"/>
        </w:rPr>
      </w:pPr>
      <w:r w:rsidRPr="00FC55CF">
        <w:rPr>
          <w:lang w:val="es-ES_tradnl"/>
        </w:rPr>
        <w:t>El orden del día de las RIR se elabora partiendo de los principales debates que tienen lugar durante las reuniones, y puede incluir propuestas de los Estados Miembros, los Miembros de Sector, las organizaciones regionales de telecomunicaciones (ORT), la BDT y otras partes interesadas. Los debates se centran en temas importantes que requieren coordinación y consenso entre las distintas regiones.</w:t>
      </w:r>
    </w:p>
    <w:p w14:paraId="4683F02E" w14:textId="77777777" w:rsidR="004F3495" w:rsidRPr="00FC55CF" w:rsidRDefault="004F3495" w:rsidP="004F3495">
      <w:pPr>
        <w:keepNext/>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FC55CF">
        <w:rPr>
          <w:lang w:val="es-ES_tradnl"/>
        </w:rPr>
        <w:lastRenderedPageBreak/>
        <w:t>4.4</w:t>
      </w:r>
      <w:r w:rsidRPr="00FC55CF">
        <w:rPr>
          <w:lang w:val="es-ES_tradnl"/>
        </w:rPr>
        <w:tab/>
        <w:t>En su reunión de 2023, el GADT creó dos grupos de trabajo para comenzar los preparativos de la CMDT-25:</w:t>
      </w:r>
    </w:p>
    <w:p w14:paraId="4EA1E376" w14:textId="77777777" w:rsidR="004F3495" w:rsidRPr="00FC55CF" w:rsidRDefault="004F3495" w:rsidP="004F3495">
      <w:pPr>
        <w:pStyle w:val="enumlev1"/>
        <w:rPr>
          <w:lang w:val="es-ES_tradnl"/>
        </w:rPr>
      </w:pPr>
      <w:r w:rsidRPr="00FC55CF">
        <w:rPr>
          <w:lang w:val="es-ES_tradnl"/>
        </w:rPr>
        <w:t>•</w:t>
      </w:r>
      <w:r w:rsidRPr="00FC55CF">
        <w:rPr>
          <w:lang w:val="es-ES_tradnl"/>
        </w:rPr>
        <w:tab/>
        <w:t xml:space="preserve">El </w:t>
      </w:r>
      <w:r w:rsidRPr="00FC55CF">
        <w:rPr>
          <w:b/>
          <w:bCs/>
          <w:lang w:val="es-ES_tradnl"/>
        </w:rPr>
        <w:t>Grupo de Trabajo del GADT sobre el futuro de las Cuestiones de las Comisiones de Estudio (</w:t>
      </w:r>
      <w:hyperlink r:id="rId15" w:anchor="/es" w:history="1">
        <w:r w:rsidRPr="00FC55CF">
          <w:rPr>
            <w:rStyle w:val="Hyperlink"/>
            <w:b/>
            <w:bCs/>
            <w:lang w:val="es-ES_tradnl"/>
          </w:rPr>
          <w:t>GT-GADT-futurasCCE</w:t>
        </w:r>
      </w:hyperlink>
      <w:r w:rsidRPr="00FC55CF">
        <w:rPr>
          <w:b/>
          <w:bCs/>
          <w:lang w:val="es-ES_tradnl"/>
        </w:rPr>
        <w:t>)</w:t>
      </w:r>
      <w:r w:rsidRPr="00FC55CF">
        <w:rPr>
          <w:lang w:val="es-ES_tradnl"/>
        </w:rPr>
        <w:t xml:space="preserve">, presidido por el Dr. Ahmad R. Sharafat (Irán). El Grupo celebró su primera reunión el 4 de marzo y acordó el Mandato, que se presentará al GADT-24 para su aprobación. El Grupo también acordó un calendario de reuniones para avanzar su labor. El documento </w:t>
      </w:r>
      <w:hyperlink r:id="rId16" w:history="1">
        <w:r w:rsidRPr="00FC55CF">
          <w:rPr>
            <w:rStyle w:val="Hyperlink"/>
            <w:lang w:val="es-ES_tradnl"/>
          </w:rPr>
          <w:t>TDAG-24/25</w:t>
        </w:r>
      </w:hyperlink>
      <w:r w:rsidRPr="00FC55CF">
        <w:rPr>
          <w:lang w:val="es-ES_tradnl"/>
        </w:rPr>
        <w:t xml:space="preserve"> que contiene los avances de la labor se presenta a la reunión del GADT de 2024.</w:t>
      </w:r>
    </w:p>
    <w:p w14:paraId="339FFC09" w14:textId="77777777" w:rsidR="004F3495" w:rsidRPr="00FC55CF" w:rsidRDefault="004F3495" w:rsidP="004F3495">
      <w:pPr>
        <w:pStyle w:val="enumlev1"/>
        <w:rPr>
          <w:lang w:val="es-ES_tradnl"/>
        </w:rPr>
      </w:pPr>
      <w:r w:rsidRPr="00FC55CF">
        <w:rPr>
          <w:lang w:val="es-ES_tradnl"/>
        </w:rPr>
        <w:t>•</w:t>
      </w:r>
      <w:r w:rsidRPr="00FC55CF">
        <w:rPr>
          <w:lang w:val="es-ES_tradnl"/>
        </w:rPr>
        <w:tab/>
        <w:t xml:space="preserve">El </w:t>
      </w:r>
      <w:r w:rsidRPr="00FC55CF">
        <w:rPr>
          <w:b/>
          <w:bCs/>
          <w:lang w:val="es-ES_tradnl"/>
        </w:rPr>
        <w:t>Grupo de Trabajo del GADT responsable de la Simplificación de las Resoluciones (</w:t>
      </w:r>
      <w:hyperlink r:id="rId17" w:anchor="/es" w:history="1">
        <w:r w:rsidRPr="00FC55CF">
          <w:rPr>
            <w:rStyle w:val="Hyperlink"/>
            <w:b/>
            <w:bCs/>
            <w:lang w:val="es-ES_tradnl"/>
          </w:rPr>
          <w:t>GT-GADT-RR</w:t>
        </w:r>
      </w:hyperlink>
      <w:r w:rsidRPr="00FC55CF">
        <w:rPr>
          <w:b/>
          <w:bCs/>
          <w:lang w:val="es-ES_tradnl"/>
        </w:rPr>
        <w:t>),</w:t>
      </w:r>
      <w:r w:rsidRPr="00FC55CF">
        <w:rPr>
          <w:lang w:val="es-ES_tradnl"/>
        </w:rPr>
        <w:t xml:space="preserve"> presidido por la Sra. Andrea Grippa (Brasil). El Grupo celebró su primera reunión el 18 de abril, en la que acordó su Mandato y un calendario de reuniones. El Mandato se presentará al GADT-24 para que lo apruebe. El documento </w:t>
      </w:r>
      <w:hyperlink r:id="rId18" w:history="1">
        <w:r w:rsidRPr="00FC55CF">
          <w:rPr>
            <w:rStyle w:val="Hyperlink"/>
            <w:lang w:val="es-ES_tradnl"/>
          </w:rPr>
          <w:t>TDAG-24/19</w:t>
        </w:r>
      </w:hyperlink>
      <w:r w:rsidRPr="00FC55CF">
        <w:rPr>
          <w:lang w:val="es-ES_tradnl"/>
        </w:rPr>
        <w:t xml:space="preserve"> que contiene los avances de la labor se presenta a la reunión del GADT de 2024.</w:t>
      </w:r>
    </w:p>
    <w:p w14:paraId="1B94BAC4" w14:textId="77777777" w:rsidR="004F3495" w:rsidRPr="00FC55CF" w:rsidRDefault="004F3495" w:rsidP="004F3495">
      <w:pPr>
        <w:rPr>
          <w:lang w:val="es-ES_tradnl"/>
        </w:rPr>
      </w:pPr>
      <w:r w:rsidRPr="00FC55CF">
        <w:rPr>
          <w:lang w:val="es-ES_tradnl"/>
        </w:rPr>
        <w:t>4.5</w:t>
      </w:r>
      <w:r w:rsidRPr="00FC55CF">
        <w:rPr>
          <w:lang w:val="es-ES_tradnl"/>
        </w:rPr>
        <w:tab/>
        <w:t>Además de lo anteriormente señalado, el GADT puede decidir crear grupos adicionales.</w:t>
      </w:r>
    </w:p>
    <w:p w14:paraId="33CDAE58" w14:textId="77777777" w:rsidR="004F3495" w:rsidRPr="00FC55CF" w:rsidRDefault="004F3495" w:rsidP="004F3495">
      <w:pPr>
        <w:tabs>
          <w:tab w:val="clear" w:pos="794"/>
          <w:tab w:val="clear" w:pos="1191"/>
          <w:tab w:val="clear" w:pos="1588"/>
          <w:tab w:val="clear" w:pos="1985"/>
        </w:tabs>
        <w:overflowPunct/>
        <w:autoSpaceDE/>
        <w:autoSpaceDN/>
        <w:adjustRightInd/>
        <w:spacing w:before="0"/>
        <w:textAlignment w:val="auto"/>
        <w:rPr>
          <w:lang w:val="es-ES_tradnl"/>
        </w:rPr>
      </w:pPr>
      <w:r w:rsidRPr="00FC55CF">
        <w:rPr>
          <w:lang w:val="es-ES_tradnl"/>
        </w:rPr>
        <w:br w:type="page"/>
      </w:r>
    </w:p>
    <w:p w14:paraId="74A64832" w14:textId="77777777" w:rsidR="004F3495" w:rsidRPr="00FC55CF" w:rsidRDefault="004F3495" w:rsidP="004F3495">
      <w:pPr>
        <w:pStyle w:val="AnnexNo"/>
        <w:rPr>
          <w:lang w:val="es-ES_tradnl"/>
        </w:rPr>
      </w:pPr>
      <w:r w:rsidRPr="00FC55CF">
        <w:rPr>
          <w:lang w:val="es-ES_tradnl"/>
        </w:rPr>
        <w:lastRenderedPageBreak/>
        <w:t>Anexo 1</w:t>
      </w:r>
    </w:p>
    <w:p w14:paraId="2A2CAB63"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rPr>
          <w:lang w:val="es-ES_tradnl"/>
        </w:rPr>
      </w:pPr>
      <w:r w:rsidRPr="00FC55CF">
        <w:rPr>
          <w:noProof/>
          <w:lang w:val="es-ES_tradnl" w:eastAsia="es-ES"/>
        </w:rPr>
        <w:drawing>
          <wp:inline distT="0" distB="0" distL="0" distR="0" wp14:anchorId="5BA1B334" wp14:editId="6564C6C7">
            <wp:extent cx="6116320" cy="8238490"/>
            <wp:effectExtent l="0" t="0" r="0" b="0"/>
            <wp:docPr id="2081598439"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98439" name="Picture 1" descr="A close-up of a let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8238490"/>
                    </a:xfrm>
                    <a:prstGeom prst="rect">
                      <a:avLst/>
                    </a:prstGeom>
                    <a:noFill/>
                    <a:ln>
                      <a:noFill/>
                    </a:ln>
                  </pic:spPr>
                </pic:pic>
              </a:graphicData>
            </a:graphic>
          </wp:inline>
        </w:drawing>
      </w:r>
    </w:p>
    <w:p w14:paraId="0EB7CD4F" w14:textId="77777777" w:rsidR="004F3495" w:rsidRPr="00FC55CF" w:rsidRDefault="004F3495" w:rsidP="004F3495">
      <w:pPr>
        <w:tabs>
          <w:tab w:val="clear" w:pos="794"/>
          <w:tab w:val="clear" w:pos="1191"/>
          <w:tab w:val="clear" w:pos="1588"/>
          <w:tab w:val="clear" w:pos="1985"/>
        </w:tabs>
        <w:overflowPunct/>
        <w:autoSpaceDE/>
        <w:autoSpaceDN/>
        <w:adjustRightInd/>
        <w:spacing w:before="0"/>
        <w:textAlignment w:val="auto"/>
        <w:rPr>
          <w:lang w:val="es-ES_tradnl"/>
        </w:rPr>
      </w:pPr>
      <w:r w:rsidRPr="00FC55CF">
        <w:rPr>
          <w:lang w:val="es-ES_tradnl"/>
        </w:rPr>
        <w:br w:type="page"/>
      </w:r>
    </w:p>
    <w:p w14:paraId="3C4C0918" w14:textId="77777777" w:rsidR="004F3495" w:rsidRPr="00FC55CF" w:rsidRDefault="004F3495" w:rsidP="004F3495">
      <w:pPr>
        <w:pStyle w:val="AnnexNo"/>
        <w:rPr>
          <w:lang w:val="es-ES_tradnl"/>
        </w:rPr>
      </w:pPr>
      <w:r w:rsidRPr="00FC55CF">
        <w:rPr>
          <w:lang w:val="es-ES_tradnl"/>
        </w:rPr>
        <w:lastRenderedPageBreak/>
        <w:t>Anexo 2</w:t>
      </w:r>
    </w:p>
    <w:p w14:paraId="4C05BCCD"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rPr>
          <w:lang w:val="es-ES_tradnl"/>
        </w:rPr>
      </w:pPr>
      <w:r w:rsidRPr="00FC55CF">
        <w:rPr>
          <w:noProof/>
          <w:lang w:val="es-ES_tradnl" w:eastAsia="es-ES"/>
        </w:rPr>
        <w:drawing>
          <wp:inline distT="0" distB="0" distL="0" distR="0" wp14:anchorId="662AA7EB" wp14:editId="0D78C43B">
            <wp:extent cx="6120765" cy="8464550"/>
            <wp:effectExtent l="0" t="0" r="0" b="0"/>
            <wp:docPr id="495640650"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0650" name="Picture 1" descr="A close-up of a letter&#10;&#10;Description automatically generated"/>
                    <pic:cNvPicPr/>
                  </pic:nvPicPr>
                  <pic:blipFill>
                    <a:blip r:embed="rId20"/>
                    <a:stretch>
                      <a:fillRect/>
                    </a:stretch>
                  </pic:blipFill>
                  <pic:spPr>
                    <a:xfrm>
                      <a:off x="0" y="0"/>
                      <a:ext cx="6120765" cy="8464550"/>
                    </a:xfrm>
                    <a:prstGeom prst="rect">
                      <a:avLst/>
                    </a:prstGeom>
                  </pic:spPr>
                </pic:pic>
              </a:graphicData>
            </a:graphic>
          </wp:inline>
        </w:drawing>
      </w:r>
    </w:p>
    <w:p w14:paraId="1328F192" w14:textId="77777777" w:rsidR="004F3495" w:rsidRPr="00FC55CF" w:rsidRDefault="004F3495" w:rsidP="004F3495">
      <w:pPr>
        <w:pStyle w:val="AnnexNo"/>
        <w:rPr>
          <w:lang w:val="es-ES_tradnl"/>
        </w:rPr>
      </w:pPr>
      <w:r w:rsidRPr="00FC55CF">
        <w:rPr>
          <w:lang w:val="es-ES_tradnl"/>
        </w:rPr>
        <w:lastRenderedPageBreak/>
        <w:t>Anexo 3</w:t>
      </w:r>
    </w:p>
    <w:p w14:paraId="24C83380"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rPr>
          <w:lang w:val="es-ES_tradnl"/>
        </w:rPr>
      </w:pPr>
      <w:r w:rsidRPr="00FC55CF">
        <w:rPr>
          <w:noProof/>
          <w:lang w:val="es-ES_tradnl" w:eastAsia="es-ES"/>
        </w:rPr>
        <w:drawing>
          <wp:inline distT="0" distB="0" distL="0" distR="0" wp14:anchorId="6D0CC773" wp14:editId="1E4C7393">
            <wp:extent cx="6120765" cy="8006080"/>
            <wp:effectExtent l="0" t="0" r="0" b="0"/>
            <wp:docPr id="2113979224" name="Picture 1" descr="A letter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79224" name="Picture 1" descr="A letter of a company&#10;&#10;Description automatically generated with medium confidence"/>
                    <pic:cNvPicPr/>
                  </pic:nvPicPr>
                  <pic:blipFill>
                    <a:blip r:embed="rId21"/>
                    <a:stretch>
                      <a:fillRect/>
                    </a:stretch>
                  </pic:blipFill>
                  <pic:spPr>
                    <a:xfrm>
                      <a:off x="0" y="0"/>
                      <a:ext cx="6120765" cy="8006080"/>
                    </a:xfrm>
                    <a:prstGeom prst="rect">
                      <a:avLst/>
                    </a:prstGeom>
                  </pic:spPr>
                </pic:pic>
              </a:graphicData>
            </a:graphic>
          </wp:inline>
        </w:drawing>
      </w:r>
    </w:p>
    <w:p w14:paraId="2F6C7797" w14:textId="77777777" w:rsidR="004F3495" w:rsidRPr="00FC55CF" w:rsidRDefault="004F3495" w:rsidP="004F3495">
      <w:pPr>
        <w:tabs>
          <w:tab w:val="clear" w:pos="794"/>
          <w:tab w:val="clear" w:pos="1191"/>
          <w:tab w:val="clear" w:pos="1588"/>
          <w:tab w:val="clear" w:pos="1985"/>
        </w:tabs>
        <w:overflowPunct/>
        <w:autoSpaceDE/>
        <w:autoSpaceDN/>
        <w:adjustRightInd/>
        <w:spacing w:before="0"/>
        <w:textAlignment w:val="auto"/>
        <w:rPr>
          <w:lang w:val="es-ES_tradnl"/>
        </w:rPr>
      </w:pPr>
      <w:r w:rsidRPr="00FC55CF">
        <w:rPr>
          <w:lang w:val="es-ES_tradnl"/>
        </w:rPr>
        <w:br w:type="page"/>
      </w:r>
    </w:p>
    <w:p w14:paraId="6F349745" w14:textId="77777777" w:rsidR="004F3495" w:rsidRPr="00FC55CF" w:rsidRDefault="004F3495" w:rsidP="004F3495">
      <w:pPr>
        <w:pStyle w:val="AnnexNo"/>
        <w:rPr>
          <w:lang w:val="es-ES_tradnl"/>
        </w:rPr>
      </w:pPr>
      <w:r w:rsidRPr="00FC55CF">
        <w:rPr>
          <w:lang w:val="es-ES_tradnl"/>
        </w:rPr>
        <w:lastRenderedPageBreak/>
        <w:t>Anexo 4</w:t>
      </w:r>
    </w:p>
    <w:p w14:paraId="4F9C33D7" w14:textId="77777777" w:rsidR="004F3495" w:rsidRPr="00FC55CF" w:rsidRDefault="004F3495" w:rsidP="004F3495">
      <w:pPr>
        <w:tabs>
          <w:tab w:val="clear" w:pos="794"/>
          <w:tab w:val="clear" w:pos="1191"/>
          <w:tab w:val="clear" w:pos="1588"/>
          <w:tab w:val="clear" w:pos="1985"/>
          <w:tab w:val="left" w:pos="567"/>
          <w:tab w:val="left" w:pos="1134"/>
          <w:tab w:val="left" w:pos="1701"/>
          <w:tab w:val="left" w:pos="2268"/>
        </w:tabs>
        <w:jc w:val="center"/>
        <w:rPr>
          <w:lang w:val="es-ES_tradnl"/>
        </w:rPr>
      </w:pPr>
      <w:r w:rsidRPr="00FC55CF">
        <w:rPr>
          <w:noProof/>
          <w:lang w:val="es-ES_tradnl" w:eastAsia="es-ES"/>
        </w:rPr>
        <w:drawing>
          <wp:inline distT="0" distB="0" distL="0" distR="0" wp14:anchorId="75FA9E59" wp14:editId="2A99B545">
            <wp:extent cx="5907819" cy="8309193"/>
            <wp:effectExtent l="0" t="0" r="0" b="0"/>
            <wp:docPr id="1359672724"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72724" name="Picture 1" descr="A close-up of a letter&#10;&#10;Description automatically generated"/>
                    <pic:cNvPicPr/>
                  </pic:nvPicPr>
                  <pic:blipFill>
                    <a:blip r:embed="rId22"/>
                    <a:stretch>
                      <a:fillRect/>
                    </a:stretch>
                  </pic:blipFill>
                  <pic:spPr>
                    <a:xfrm>
                      <a:off x="0" y="0"/>
                      <a:ext cx="5911768" cy="8314748"/>
                    </a:xfrm>
                    <a:prstGeom prst="rect">
                      <a:avLst/>
                    </a:prstGeom>
                  </pic:spPr>
                </pic:pic>
              </a:graphicData>
            </a:graphic>
          </wp:inline>
        </w:drawing>
      </w:r>
    </w:p>
    <w:sectPr w:rsidR="004F3495" w:rsidRPr="00FC55CF" w:rsidSect="00473791">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F3495" w:rsidRPr="004F3495" w14:paraId="695D1810" w14:textId="77777777" w:rsidTr="004E3CF5">
      <w:tc>
        <w:tcPr>
          <w:tcW w:w="1526" w:type="dxa"/>
          <w:tcBorders>
            <w:top w:val="single" w:sz="4" w:space="0" w:color="000000"/>
          </w:tcBorders>
          <w:shd w:val="clear" w:color="auto" w:fill="auto"/>
        </w:tcPr>
        <w:p w14:paraId="746E5A61" w14:textId="51807E3E" w:rsidR="004F3495" w:rsidRPr="00842E57" w:rsidRDefault="004F3495" w:rsidP="004F3495">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4F3495" w:rsidRPr="00842E57" w:rsidRDefault="004F3495" w:rsidP="004F3495">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4AC91B2A" w:rsidR="004F3495" w:rsidRPr="00842E57" w:rsidRDefault="004F3495" w:rsidP="004F3495">
          <w:pPr>
            <w:pStyle w:val="FirstFooter"/>
            <w:tabs>
              <w:tab w:val="left" w:pos="2302"/>
            </w:tabs>
            <w:rPr>
              <w:sz w:val="18"/>
              <w:szCs w:val="18"/>
              <w:lang w:val="es-ES_tradnl"/>
            </w:rPr>
          </w:pPr>
          <w:r>
            <w:rPr>
              <w:lang w:val="es-ES"/>
            </w:rPr>
            <w:t>Sr. Bruno Ramos, Director Adjunto en funciones, Oficina de Desarrollo de las Telecomunicaciones (BDT)</w:t>
          </w:r>
        </w:p>
      </w:tc>
      <w:bookmarkStart w:id="6" w:name="OrgName"/>
      <w:bookmarkEnd w:id="6"/>
    </w:tr>
    <w:tr w:rsidR="004F3495" w:rsidRPr="00842E57" w14:paraId="61167678" w14:textId="77777777" w:rsidTr="004E3CF5">
      <w:tc>
        <w:tcPr>
          <w:tcW w:w="1526" w:type="dxa"/>
          <w:shd w:val="clear" w:color="auto" w:fill="auto"/>
        </w:tcPr>
        <w:p w14:paraId="33710823" w14:textId="77777777" w:rsidR="004F3495" w:rsidRPr="00842E57" w:rsidRDefault="004F3495" w:rsidP="004F3495">
          <w:pPr>
            <w:pStyle w:val="FirstFooter"/>
            <w:tabs>
              <w:tab w:val="left" w:pos="1559"/>
              <w:tab w:val="left" w:pos="3828"/>
            </w:tabs>
            <w:rPr>
              <w:sz w:val="20"/>
              <w:lang w:val="es-ES_tradnl"/>
            </w:rPr>
          </w:pPr>
        </w:p>
      </w:tc>
      <w:tc>
        <w:tcPr>
          <w:tcW w:w="2410" w:type="dxa"/>
          <w:shd w:val="clear" w:color="auto" w:fill="auto"/>
        </w:tcPr>
        <w:p w14:paraId="1251F6E4" w14:textId="0AA1FA52" w:rsidR="004F3495" w:rsidRPr="00842E57" w:rsidRDefault="004F3495" w:rsidP="004F3495">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4A29CB2F" w:rsidR="004F3495" w:rsidRPr="00842E57" w:rsidRDefault="004F3495" w:rsidP="004F3495">
          <w:pPr>
            <w:pStyle w:val="FirstFooter"/>
            <w:tabs>
              <w:tab w:val="left" w:pos="2302"/>
            </w:tabs>
            <w:rPr>
              <w:sz w:val="18"/>
              <w:szCs w:val="18"/>
              <w:lang w:val="es-ES_tradnl"/>
            </w:rPr>
          </w:pPr>
          <w:r>
            <w:rPr>
              <w:sz w:val="18"/>
              <w:szCs w:val="18"/>
              <w:lang w:val="es-ES_tradnl"/>
            </w:rPr>
            <w:t>n/a</w:t>
          </w:r>
        </w:p>
      </w:tc>
      <w:bookmarkStart w:id="7" w:name="PhoneNo"/>
      <w:bookmarkEnd w:id="7"/>
    </w:tr>
    <w:tr w:rsidR="004F3495" w:rsidRPr="00842E57" w14:paraId="0299A231" w14:textId="77777777" w:rsidTr="004E3CF5">
      <w:tc>
        <w:tcPr>
          <w:tcW w:w="1526" w:type="dxa"/>
          <w:shd w:val="clear" w:color="auto" w:fill="auto"/>
        </w:tcPr>
        <w:p w14:paraId="35CBC438" w14:textId="77777777" w:rsidR="004F3495" w:rsidRPr="00842E57" w:rsidRDefault="004F3495" w:rsidP="004F3495">
          <w:pPr>
            <w:pStyle w:val="FirstFooter"/>
            <w:tabs>
              <w:tab w:val="left" w:pos="1559"/>
              <w:tab w:val="left" w:pos="3828"/>
            </w:tabs>
            <w:rPr>
              <w:sz w:val="20"/>
              <w:lang w:val="es-ES_tradnl"/>
            </w:rPr>
          </w:pPr>
        </w:p>
      </w:tc>
      <w:tc>
        <w:tcPr>
          <w:tcW w:w="2410" w:type="dxa"/>
          <w:shd w:val="clear" w:color="auto" w:fill="auto"/>
        </w:tcPr>
        <w:p w14:paraId="65335E06" w14:textId="676092A0" w:rsidR="004F3495" w:rsidRPr="00842E57" w:rsidRDefault="004F3495" w:rsidP="004F3495">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7C816DC8" w:rsidR="004F3495" w:rsidRPr="004F3495" w:rsidRDefault="004F3495" w:rsidP="004F3495">
          <w:pPr>
            <w:pStyle w:val="FirstFooter"/>
            <w:tabs>
              <w:tab w:val="left" w:pos="2302"/>
            </w:tabs>
            <w:rPr>
              <w:rStyle w:val="Hyperlink"/>
            </w:rPr>
          </w:pPr>
          <w:hyperlink r:id="rId1" w:history="1">
            <w:r w:rsidRPr="004F3495">
              <w:rPr>
                <w:rStyle w:val="Hyperlink"/>
              </w:rPr>
              <w:t xml:space="preserve">bruno.ramos@itu.int </w:t>
            </w:r>
          </w:hyperlink>
        </w:p>
      </w:tc>
      <w:bookmarkStart w:id="8" w:name="Email"/>
      <w:bookmarkEnd w:id="8"/>
    </w:tr>
  </w:tbl>
  <w:p w14:paraId="5AEFE7F9" w14:textId="77777777" w:rsidR="0059420B" w:rsidRDefault="0059420B" w:rsidP="00B80157">
    <w:pPr>
      <w:pStyle w:val="Footer"/>
      <w:jc w:val="center"/>
      <w:rPr>
        <w:lang w:val="en-GB"/>
      </w:rPr>
    </w:pPr>
  </w:p>
  <w:p w14:paraId="40A321D0" w14:textId="78E43D36" w:rsidR="00721657" w:rsidRPr="003C6C09" w:rsidRDefault="00AF34DF"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4BE643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4F3495">
      <w:rPr>
        <w:sz w:val="22"/>
        <w:szCs w:val="22"/>
        <w:lang w:val="de-CH"/>
      </w:rPr>
      <w:t>(Rev1)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33287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3495"/>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34DF"/>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55CF"/>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31-C-0024/es" TargetMode="External"/><Relationship Id="rId18" Type="http://schemas.openxmlformats.org/officeDocument/2006/relationships/hyperlink" Target="https://www.itu.int/md/D22-TDAG31-C-0019/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itu.int/md/S23-SG-CIR-0051/es" TargetMode="External"/><Relationship Id="rId17" Type="http://schemas.openxmlformats.org/officeDocument/2006/relationships/hyperlink" Target="https://www.itu.int/en/ITU-D/Conferences/TDAG/Pages/2024/TDAG_WG_SR.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22-TDAG31-C-0025/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136/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ITU-D/Conferences/TDAG/Pages/2024/TDAG_WG_futureSGQ.aspx"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s&amp;parent=" TargetMode="Externa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1226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4</cp:revision>
  <cp:lastPrinted>2014-11-04T09:22:00Z</cp:lastPrinted>
  <dcterms:created xsi:type="dcterms:W3CDTF">2024-05-16T09:47:00Z</dcterms:created>
  <dcterms:modified xsi:type="dcterms:W3CDTF">2024-05-16T09:56:00Z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