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9E636F5" w14:textId="77777777" w:rsidTr="00F77022">
        <w:trPr>
          <w:cantSplit/>
          <w:trHeight w:val="1310"/>
          <w:jc w:val="center"/>
        </w:trPr>
        <w:tc>
          <w:tcPr>
            <w:tcW w:w="6548" w:type="dxa"/>
            <w:tcBorders>
              <w:bottom w:val="single" w:sz="12" w:space="0" w:color="auto"/>
            </w:tcBorders>
          </w:tcPr>
          <w:p w14:paraId="78C72200"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A7048E6"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10A94C71"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42DAF0DD" wp14:editId="64572ED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8AF47C2" w14:textId="77777777" w:rsidTr="00F77022">
        <w:trPr>
          <w:cantSplit/>
          <w:jc w:val="center"/>
        </w:trPr>
        <w:tc>
          <w:tcPr>
            <w:tcW w:w="6548" w:type="dxa"/>
            <w:tcBorders>
              <w:top w:val="single" w:sz="12" w:space="0" w:color="auto"/>
            </w:tcBorders>
          </w:tcPr>
          <w:p w14:paraId="1FD73FC7"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1FB688EA" w14:textId="77777777" w:rsidR="00CA08BA" w:rsidRPr="00C85CB5" w:rsidRDefault="00CA08BA" w:rsidP="00B93B7B">
            <w:pPr>
              <w:spacing w:before="20" w:after="20" w:line="300" w:lineRule="exact"/>
              <w:rPr>
                <w:b/>
                <w:bCs/>
                <w:highlight w:val="yellow"/>
                <w:rtl/>
                <w:lang w:bidi="ar-EG"/>
              </w:rPr>
            </w:pPr>
          </w:p>
        </w:tc>
      </w:tr>
      <w:tr w:rsidR="00783A69" w:rsidRPr="00783A69" w14:paraId="771003D3" w14:textId="77777777" w:rsidTr="00F77022">
        <w:trPr>
          <w:cantSplit/>
          <w:jc w:val="center"/>
        </w:trPr>
        <w:tc>
          <w:tcPr>
            <w:tcW w:w="6548" w:type="dxa"/>
          </w:tcPr>
          <w:p w14:paraId="3760B3A5" w14:textId="77777777" w:rsidR="00783A69" w:rsidRPr="00783A69" w:rsidRDefault="00783A69" w:rsidP="00B93B7B">
            <w:pPr>
              <w:spacing w:before="20" w:after="20" w:line="300" w:lineRule="exact"/>
              <w:rPr>
                <w:b/>
                <w:bCs/>
                <w:rtl/>
                <w:lang w:bidi="ar-EG"/>
              </w:rPr>
            </w:pPr>
          </w:p>
        </w:tc>
        <w:tc>
          <w:tcPr>
            <w:tcW w:w="3091" w:type="dxa"/>
          </w:tcPr>
          <w:p w14:paraId="13D89670" w14:textId="3DAE5B17"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4E37BB">
              <w:rPr>
                <w:b/>
                <w:bCs/>
                <w:lang w:bidi="ar-EG"/>
              </w:rPr>
              <w:t>36</w:t>
            </w:r>
            <w:r w:rsidRPr="00153471">
              <w:rPr>
                <w:b/>
                <w:bCs/>
                <w:lang w:bidi="ar-EG"/>
              </w:rPr>
              <w:t>-A</w:t>
            </w:r>
          </w:p>
        </w:tc>
      </w:tr>
      <w:tr w:rsidR="00783A69" w:rsidRPr="00783A69" w14:paraId="77033872" w14:textId="77777777" w:rsidTr="00F77022">
        <w:trPr>
          <w:cantSplit/>
          <w:jc w:val="center"/>
        </w:trPr>
        <w:tc>
          <w:tcPr>
            <w:tcW w:w="6548" w:type="dxa"/>
          </w:tcPr>
          <w:p w14:paraId="3C6FBE3F" w14:textId="77777777" w:rsidR="00783A69" w:rsidRPr="00783A69" w:rsidRDefault="00783A69" w:rsidP="00B93B7B">
            <w:pPr>
              <w:spacing w:before="20" w:after="20" w:line="300" w:lineRule="exact"/>
              <w:rPr>
                <w:b/>
                <w:bCs/>
                <w:lang w:bidi="ar-EG"/>
              </w:rPr>
            </w:pPr>
          </w:p>
        </w:tc>
        <w:tc>
          <w:tcPr>
            <w:tcW w:w="3091" w:type="dxa"/>
          </w:tcPr>
          <w:p w14:paraId="25E255D3" w14:textId="7D5E444A" w:rsidR="00783A69" w:rsidRPr="004E37BB" w:rsidRDefault="004E37BB" w:rsidP="00B93B7B">
            <w:pPr>
              <w:spacing w:before="20" w:after="20" w:line="300" w:lineRule="exact"/>
              <w:rPr>
                <w:b/>
                <w:bCs/>
                <w:rtl/>
                <w:lang w:bidi="ar-SY"/>
              </w:rPr>
            </w:pPr>
            <w:r w:rsidRPr="004E37BB">
              <w:rPr>
                <w:b/>
                <w:bCs/>
                <w:lang w:bidi="ar-EG"/>
              </w:rPr>
              <w:t>8</w:t>
            </w:r>
            <w:r w:rsidR="00783A69" w:rsidRPr="004E37BB">
              <w:rPr>
                <w:rFonts w:hint="cs"/>
                <w:b/>
                <w:bCs/>
                <w:rtl/>
                <w:lang w:bidi="ar-EG"/>
              </w:rPr>
              <w:t xml:space="preserve"> </w:t>
            </w:r>
            <w:r w:rsidRPr="004E37BB">
              <w:rPr>
                <w:rFonts w:hint="cs"/>
                <w:b/>
                <w:bCs/>
                <w:rtl/>
                <w:lang w:bidi="ar-EG"/>
              </w:rPr>
              <w:t>مايو</w:t>
            </w:r>
            <w:r w:rsidR="00783A69" w:rsidRPr="004E37BB">
              <w:rPr>
                <w:rFonts w:hint="cs"/>
                <w:b/>
                <w:bCs/>
                <w:rtl/>
                <w:lang w:bidi="ar-EG"/>
              </w:rPr>
              <w:t xml:space="preserve"> </w:t>
            </w:r>
            <w:r w:rsidR="00457D22" w:rsidRPr="004E37BB">
              <w:rPr>
                <w:b/>
                <w:bCs/>
                <w:lang w:bidi="ar-EG"/>
              </w:rPr>
              <w:t>2024</w:t>
            </w:r>
          </w:p>
        </w:tc>
      </w:tr>
      <w:tr w:rsidR="00783A69" w:rsidRPr="00783A69" w14:paraId="438F2183" w14:textId="77777777" w:rsidTr="00F77022">
        <w:trPr>
          <w:cantSplit/>
          <w:jc w:val="center"/>
        </w:trPr>
        <w:tc>
          <w:tcPr>
            <w:tcW w:w="6548" w:type="dxa"/>
          </w:tcPr>
          <w:p w14:paraId="5199617A" w14:textId="77777777" w:rsidR="00783A69" w:rsidRPr="00783A69" w:rsidRDefault="00783A69" w:rsidP="00B93B7B">
            <w:pPr>
              <w:spacing w:before="20" w:after="20" w:line="300" w:lineRule="exact"/>
              <w:rPr>
                <w:b/>
                <w:bCs/>
                <w:lang w:bidi="ar-EG"/>
              </w:rPr>
            </w:pPr>
          </w:p>
        </w:tc>
        <w:tc>
          <w:tcPr>
            <w:tcW w:w="3091" w:type="dxa"/>
          </w:tcPr>
          <w:p w14:paraId="043D6D1A"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DF5651E" w14:textId="77777777" w:rsidTr="00EE5CF2">
        <w:trPr>
          <w:cantSplit/>
          <w:jc w:val="center"/>
        </w:trPr>
        <w:tc>
          <w:tcPr>
            <w:tcW w:w="9639" w:type="dxa"/>
            <w:gridSpan w:val="2"/>
          </w:tcPr>
          <w:p w14:paraId="650578BA" w14:textId="64D11715" w:rsidR="00783A69" w:rsidRPr="00783A69" w:rsidRDefault="004E37BB" w:rsidP="00EE5CF2">
            <w:pPr>
              <w:pStyle w:val="Source"/>
            </w:pPr>
            <w:bookmarkStart w:id="1" w:name="lt_pId016"/>
            <w:r>
              <w:rPr>
                <w:rtl/>
              </w:rPr>
              <w:t>مدير مكتب تنمية الاتصالات</w:t>
            </w:r>
            <w:bookmarkEnd w:id="1"/>
          </w:p>
        </w:tc>
      </w:tr>
      <w:tr w:rsidR="00783A69" w:rsidRPr="00783A69" w14:paraId="0D39C690" w14:textId="77777777" w:rsidTr="00EE5CF2">
        <w:trPr>
          <w:cantSplit/>
          <w:jc w:val="center"/>
        </w:trPr>
        <w:tc>
          <w:tcPr>
            <w:tcW w:w="9639" w:type="dxa"/>
            <w:gridSpan w:val="2"/>
          </w:tcPr>
          <w:p w14:paraId="6A34F8CD" w14:textId="55DA8295" w:rsidR="00783A69" w:rsidRPr="00783A69" w:rsidRDefault="004E37BB" w:rsidP="00EE5CF2">
            <w:pPr>
              <w:pStyle w:val="Title1"/>
              <w:rPr>
                <w:lang w:bidi="ar-EG"/>
              </w:rPr>
            </w:pPr>
            <w:bookmarkStart w:id="2" w:name="lt_pId017"/>
            <w:r>
              <w:rPr>
                <w:rtl/>
              </w:rPr>
              <w:t>تحسين المراقبة المالية للمشاريع وإعداد التقارير عنها</w:t>
            </w:r>
            <w:bookmarkEnd w:id="2"/>
          </w:p>
        </w:tc>
      </w:tr>
    </w:tbl>
    <w:p w14:paraId="7C833FFA"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E6D6756" w14:textId="77777777" w:rsidTr="00027E89">
        <w:trPr>
          <w:cantSplit/>
          <w:jc w:val="center"/>
        </w:trPr>
        <w:tc>
          <w:tcPr>
            <w:tcW w:w="9638" w:type="dxa"/>
            <w:tcBorders>
              <w:top w:val="single" w:sz="6" w:space="0" w:color="auto"/>
              <w:left w:val="single" w:sz="6" w:space="0" w:color="auto"/>
              <w:bottom w:val="single" w:sz="6" w:space="0" w:color="auto"/>
              <w:right w:val="single" w:sz="6" w:space="0" w:color="auto"/>
            </w:tcBorders>
          </w:tcPr>
          <w:p w14:paraId="523A4677"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0AE2BC2" w14:textId="5810B3DC" w:rsidR="00783A69" w:rsidRPr="00027E89" w:rsidRDefault="004E37BB" w:rsidP="00027E89">
            <w:pPr>
              <w:rPr>
                <w:rtl/>
                <w:lang w:bidi="ar-EG"/>
              </w:rPr>
            </w:pPr>
            <w:r w:rsidRPr="00027E89">
              <w:rPr>
                <w:rtl/>
              </w:rPr>
              <w:t>تقدم هذه الوثيقة معلومات عن التدابير التي أدخلها مكتب تنمية الاتصالات لتحسين المراقبة المالية لمشاريع مكتب تنمية الاتصالات وتقديم تقارير عنها</w:t>
            </w:r>
            <w:r w:rsidRPr="00027E89">
              <w:rPr>
                <w:rFonts w:hint="cs"/>
                <w:rtl/>
              </w:rPr>
              <w:t>.</w:t>
            </w:r>
          </w:p>
          <w:p w14:paraId="54D173DD"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256BC95" w14:textId="3BD0342C" w:rsidR="00783A69" w:rsidRPr="00027E89" w:rsidRDefault="004E37BB" w:rsidP="00027E89">
            <w:pPr>
              <w:rPr>
                <w:rtl/>
              </w:rPr>
            </w:pPr>
            <w:r w:rsidRPr="00027E89">
              <w:rPr>
                <w:rtl/>
              </w:rPr>
              <w:t xml:space="preserve">يُدعى الفريق الاستشاري لتنمية الاتصالات </w:t>
            </w:r>
            <w:r w:rsidR="00027E89">
              <w:t>(</w:t>
            </w:r>
            <w:r w:rsidRPr="00027E89">
              <w:t>TDAG</w:t>
            </w:r>
            <w:r w:rsidR="00027E89">
              <w:t>)</w:t>
            </w:r>
            <w:r w:rsidRPr="00027E89">
              <w:rPr>
                <w:rtl/>
              </w:rPr>
              <w:t xml:space="preserve"> إلى العلم بهذه الوثيقة وتقديم التوجيهات التي يراها مناسبة</w:t>
            </w:r>
            <w:r w:rsidRPr="00027E89">
              <w:rPr>
                <w:rFonts w:hint="cs"/>
                <w:rtl/>
              </w:rPr>
              <w:t>.</w:t>
            </w:r>
          </w:p>
          <w:p w14:paraId="548D44B1"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4C24D04E" w14:textId="4919730E" w:rsidR="004E37BB" w:rsidRPr="00027E89" w:rsidRDefault="004E37BB" w:rsidP="00027E89">
            <w:bookmarkStart w:id="3" w:name="lt_pId023"/>
            <w:r w:rsidRPr="00027E89">
              <w:rPr>
                <w:rtl/>
              </w:rPr>
              <w:t>القراران 17 (المراج</w:t>
            </w:r>
            <w:r w:rsidR="00027E89">
              <w:rPr>
                <w:rFonts w:hint="cs"/>
                <w:rtl/>
              </w:rPr>
              <w:t>َ</w:t>
            </w:r>
            <w:r w:rsidRPr="00027E89">
              <w:rPr>
                <w:rtl/>
              </w:rPr>
              <w:t>ع في كيغالي، 2022) و52 (المرا</w:t>
            </w:r>
            <w:r w:rsidR="00027E89">
              <w:rPr>
                <w:rFonts w:hint="cs"/>
                <w:rtl/>
              </w:rPr>
              <w:t>جَ</w:t>
            </w:r>
            <w:r w:rsidRPr="00027E89">
              <w:rPr>
                <w:rtl/>
              </w:rPr>
              <w:t xml:space="preserve">ع في دبي، 2014) للمؤتمر العالمي لتنمية الاتصالات </w:t>
            </w:r>
            <w:r w:rsidR="00027E89">
              <w:t>(</w:t>
            </w:r>
            <w:r w:rsidRPr="00027E89">
              <w:t>WTDC</w:t>
            </w:r>
            <w:bookmarkEnd w:id="3"/>
            <w:r w:rsidR="00027E89">
              <w:t>)</w:t>
            </w:r>
          </w:p>
          <w:p w14:paraId="4A912CB8" w14:textId="17793858" w:rsidR="00783A69" w:rsidRPr="00027E89" w:rsidRDefault="004E37BB" w:rsidP="00143BB3">
            <w:pPr>
              <w:spacing w:after="120"/>
              <w:rPr>
                <w:rtl/>
              </w:rPr>
            </w:pPr>
            <w:bookmarkStart w:id="4" w:name="lt_pId024"/>
            <w:r w:rsidRPr="00027E89">
              <w:rPr>
                <w:rtl/>
              </w:rPr>
              <w:t>القرار 157 (المرا</w:t>
            </w:r>
            <w:r w:rsidR="00027E89">
              <w:rPr>
                <w:rFonts w:hint="cs"/>
                <w:rtl/>
              </w:rPr>
              <w:t>جَ</w:t>
            </w:r>
            <w:r w:rsidRPr="00027E89">
              <w:rPr>
                <w:rtl/>
              </w:rPr>
              <w:t>ع في بوخارست، 2022) لمؤتمر المندوبين المفوضين</w:t>
            </w:r>
            <w:bookmarkEnd w:id="4"/>
          </w:p>
        </w:tc>
      </w:tr>
    </w:tbl>
    <w:p w14:paraId="5905EE8E" w14:textId="77777777" w:rsidR="0006468A" w:rsidRDefault="0006468A" w:rsidP="0006468A">
      <w:pPr>
        <w:rPr>
          <w:rtl/>
          <w:lang w:bidi="ar-EG"/>
        </w:rPr>
      </w:pPr>
    </w:p>
    <w:p w14:paraId="539D9C25" w14:textId="1FE7FB63" w:rsidR="00882A17" w:rsidRDefault="00882A17" w:rsidP="00E11342">
      <w:pPr>
        <w:rPr>
          <w:lang w:bidi="ar-EG"/>
        </w:rPr>
      </w:pPr>
      <w:r>
        <w:rPr>
          <w:rtl/>
          <w:lang w:bidi="ar-EG"/>
        </w:rPr>
        <w:br w:type="page"/>
      </w:r>
    </w:p>
    <w:p w14:paraId="109DD945" w14:textId="5A9B2268" w:rsidR="004E37BB" w:rsidRPr="004E37BB" w:rsidRDefault="00027E89" w:rsidP="00027E89">
      <w:pPr>
        <w:pStyle w:val="Heading1"/>
      </w:pPr>
      <w:bookmarkStart w:id="5" w:name="lt_pId025"/>
      <w:r>
        <w:rPr>
          <w:rFonts w:hint="cs"/>
          <w:rtl/>
        </w:rPr>
        <w:lastRenderedPageBreak/>
        <w:t>1</w:t>
      </w:r>
      <w:r>
        <w:rPr>
          <w:rtl/>
        </w:rPr>
        <w:tab/>
      </w:r>
      <w:r w:rsidR="004E37BB" w:rsidRPr="004E37BB">
        <w:rPr>
          <w:rtl/>
        </w:rPr>
        <w:t>مقدمة</w:t>
      </w:r>
      <w:bookmarkEnd w:id="5"/>
    </w:p>
    <w:p w14:paraId="12A4D92D" w14:textId="5FB985FC" w:rsidR="004E37BB" w:rsidRPr="004E37BB" w:rsidRDefault="004E37BB" w:rsidP="004E37BB">
      <w:bookmarkStart w:id="6" w:name="lt_pId026"/>
      <w:r w:rsidRPr="004E37BB">
        <w:rPr>
          <w:rtl/>
        </w:rPr>
        <w:t>تقدم الوثيقة TDAG-24/7(Rev.1) لمحة عامة عن حالة حافظة المشاريع الجارية لدى مكتب تنمية الاتصالات عام</w:t>
      </w:r>
      <w:r w:rsidR="00027E89">
        <w:rPr>
          <w:rFonts w:hint="cs"/>
          <w:rtl/>
        </w:rPr>
        <w:t> </w:t>
      </w:r>
      <w:r w:rsidRPr="004E37BB">
        <w:rPr>
          <w:rtl/>
        </w:rPr>
        <w:t>2023 وتتضمن أيضا</w:t>
      </w:r>
      <w:r w:rsidR="00027E89">
        <w:rPr>
          <w:rFonts w:hint="cs"/>
          <w:rtl/>
        </w:rPr>
        <w:t>ً</w:t>
      </w:r>
      <w:r w:rsidRPr="004E37BB">
        <w:rPr>
          <w:rtl/>
        </w:rPr>
        <w:t xml:space="preserve"> قائمة بالتدابير المتخذة عام</w:t>
      </w:r>
      <w:r w:rsidR="00027E89">
        <w:rPr>
          <w:rFonts w:hint="cs"/>
          <w:rtl/>
        </w:rPr>
        <w:t> </w:t>
      </w:r>
      <w:r w:rsidRPr="004E37BB">
        <w:rPr>
          <w:rtl/>
        </w:rPr>
        <w:t>2023 لتعزيز ممارسات إدارة المشاريع.</w:t>
      </w:r>
      <w:bookmarkEnd w:id="6"/>
    </w:p>
    <w:p w14:paraId="592C5429" w14:textId="72EA59DD" w:rsidR="004E37BB" w:rsidRPr="00027E89" w:rsidRDefault="004E37BB" w:rsidP="00192CEB">
      <w:bookmarkStart w:id="7" w:name="lt_pId027"/>
      <w:r w:rsidRPr="00027E89">
        <w:rPr>
          <w:rtl/>
        </w:rPr>
        <w:t>فقد استحدث مدير مكتب تنمية الاتصالات ع</w:t>
      </w:r>
      <w:r w:rsidR="00EF2F55">
        <w:rPr>
          <w:rFonts w:hint="cs"/>
          <w:rtl/>
        </w:rPr>
        <w:t>ُ</w:t>
      </w:r>
      <w:r w:rsidRPr="00027E89">
        <w:rPr>
          <w:rtl/>
        </w:rPr>
        <w:t>رفاً جديداً يقضي بتقديم تقارير منتظمة إلى شركاء التمويل والجهات المانحة لمشاريع مكتب تنمية الاتصالات. وعلى الرغم من أن الشركاء والمانحين يمكنهم أن يطلبوا تقارير مرحلية عن مشاريعهم التي ينفذها مكتب تنمية الاتصالات في أي وقت، يتعين الآن تقديم تقارير نصف سنوية إلى كل شريك، أي بعد كل ستة</w:t>
      </w:r>
      <w:r w:rsidR="00143BB3">
        <w:rPr>
          <w:rFonts w:hint="cs"/>
          <w:rtl/>
        </w:rPr>
        <w:t xml:space="preserve"> </w:t>
      </w:r>
      <w:r w:rsidR="00143BB3">
        <w:t>(6)</w:t>
      </w:r>
      <w:r w:rsidRPr="00027E89">
        <w:rPr>
          <w:rtl/>
        </w:rPr>
        <w:t xml:space="preserve"> أشهر. ولتنفيذ هذا القرار، </w:t>
      </w:r>
      <w:r w:rsidR="00027E89" w:rsidRPr="00027E89">
        <w:rPr>
          <w:rFonts w:hint="cs"/>
          <w:rtl/>
        </w:rPr>
        <w:t>أُ</w:t>
      </w:r>
      <w:r w:rsidRPr="00027E89">
        <w:rPr>
          <w:rtl/>
        </w:rPr>
        <w:t>نشئ فريق يضم موظفين من دائرة إدارة الموارد المالية</w:t>
      </w:r>
      <w:r w:rsidR="00143BB3">
        <w:rPr>
          <w:rFonts w:hint="cs"/>
          <w:rtl/>
        </w:rPr>
        <w:t xml:space="preserve"> </w:t>
      </w:r>
      <w:r w:rsidR="00143BB3">
        <w:t>(FRMD)</w:t>
      </w:r>
      <w:r w:rsidRPr="00027E89">
        <w:rPr>
          <w:rtl/>
        </w:rPr>
        <w:t xml:space="preserve"> ودائرة خدمات المعلومات </w:t>
      </w:r>
      <w:r w:rsidR="00027E89" w:rsidRPr="00027E89">
        <w:t>(IS)</w:t>
      </w:r>
      <w:r w:rsidRPr="00027E89">
        <w:rPr>
          <w:rtl/>
        </w:rPr>
        <w:t xml:space="preserve"> ومن مكتب تنمية الاتصالات لتمكين النظر في معاملات الطلب المتعلقة بإقفال المشاريع وسرعة إقفال المشاريع وضمان الإبلاغ المالي في الوقت المناسب.</w:t>
      </w:r>
      <w:bookmarkStart w:id="8" w:name="lt_pId028"/>
      <w:bookmarkStart w:id="9" w:name="lt_pId029"/>
      <w:bookmarkEnd w:id="7"/>
      <w:bookmarkEnd w:id="8"/>
      <w:bookmarkEnd w:id="9"/>
    </w:p>
    <w:p w14:paraId="14A5874F" w14:textId="45278AC5" w:rsidR="004E37BB" w:rsidRPr="004E37BB" w:rsidRDefault="00027E89" w:rsidP="00027E89">
      <w:pPr>
        <w:pStyle w:val="Heading1"/>
      </w:pPr>
      <w:bookmarkStart w:id="10" w:name="lt_pId030"/>
      <w:r>
        <w:rPr>
          <w:rFonts w:hint="cs"/>
          <w:rtl/>
          <w:lang w:bidi="ar-EG"/>
        </w:rPr>
        <w:t>2</w:t>
      </w:r>
      <w:r>
        <w:rPr>
          <w:rtl/>
          <w:lang w:bidi="ar-EG"/>
        </w:rPr>
        <w:tab/>
      </w:r>
      <w:r w:rsidR="004E37BB" w:rsidRPr="004E37BB">
        <w:rPr>
          <w:rtl/>
        </w:rPr>
        <w:t>الغرض</w:t>
      </w:r>
      <w:bookmarkEnd w:id="10"/>
    </w:p>
    <w:p w14:paraId="2D449015" w14:textId="4D1CD168" w:rsidR="004E37BB" w:rsidRPr="00027E89" w:rsidRDefault="00027E89" w:rsidP="00027E89">
      <w:pPr>
        <w:pStyle w:val="enumlev1"/>
      </w:pPr>
      <w:bookmarkStart w:id="11" w:name="lt_pId031"/>
      <w:r w:rsidRPr="00027E89">
        <w:rPr>
          <w:rFonts w:hint="cs"/>
          <w:rtl/>
        </w:rPr>
        <w:t>-</w:t>
      </w:r>
      <w:r w:rsidRPr="00027E89">
        <w:rPr>
          <w:rtl/>
        </w:rPr>
        <w:tab/>
      </w:r>
      <w:r w:rsidR="004E37BB" w:rsidRPr="00027E89">
        <w:rPr>
          <w:rtl/>
        </w:rPr>
        <w:t>يتمثل الهدف في ضمان المراقبة الآنية والإبلاغ المالي في الوقت المناسب اعتبار</w:t>
      </w:r>
      <w:r>
        <w:rPr>
          <w:rFonts w:hint="cs"/>
          <w:rtl/>
        </w:rPr>
        <w:t>اً</w:t>
      </w:r>
      <w:r w:rsidR="004E37BB" w:rsidRPr="00027E89">
        <w:rPr>
          <w:rtl/>
        </w:rPr>
        <w:t xml:space="preserve"> من عام</w:t>
      </w:r>
      <w:r>
        <w:rPr>
          <w:rFonts w:hint="cs"/>
          <w:rtl/>
        </w:rPr>
        <w:t> </w:t>
      </w:r>
      <w:r w:rsidR="004E37BB" w:rsidRPr="00027E89">
        <w:rPr>
          <w:rtl/>
        </w:rPr>
        <w:t>2024 فصاعدا</w:t>
      </w:r>
      <w:r>
        <w:rPr>
          <w:rFonts w:hint="cs"/>
          <w:rtl/>
        </w:rPr>
        <w:t>ً</w:t>
      </w:r>
      <w:r w:rsidR="004E37BB" w:rsidRPr="00027E89">
        <w:rPr>
          <w:rtl/>
        </w:rPr>
        <w:t xml:space="preserve">. ومن فوائد هذا الإجراء: </w:t>
      </w:r>
      <w:r w:rsidR="004E37BB" w:rsidRPr="00027E89">
        <w:rPr>
          <w:i/>
          <w:iCs/>
          <w:rtl/>
        </w:rPr>
        <w:t>الحد من تأخيرات الإبلاغ</w:t>
      </w:r>
      <w:r w:rsidR="004E37BB" w:rsidRPr="00027E89">
        <w:rPr>
          <w:rtl/>
        </w:rPr>
        <w:t>: فنظام مؤتمت سيمكِّن الاتحاد من إعداد التقارير المالية ونشرها على الفور. وتنطوي طريقة الإبلاغ الحالية لدى الاتحاد على جمع البيانات ودمجها ومعالجتها على فترات طويلة. ومن خلال إزالة الإدخال اليدوي للبيانات وتبسيط سير العمل في الإبلاغ، ستقلل التقارير الجديدة التأخيرات في الإبلاغ إلى أدنى حد.</w:t>
      </w:r>
      <w:bookmarkStart w:id="12" w:name="lt_pId032"/>
      <w:bookmarkStart w:id="13" w:name="lt_pId033"/>
      <w:bookmarkStart w:id="14" w:name="lt_pId034"/>
      <w:bookmarkEnd w:id="11"/>
      <w:bookmarkEnd w:id="12"/>
      <w:bookmarkEnd w:id="13"/>
      <w:bookmarkEnd w:id="14"/>
    </w:p>
    <w:p w14:paraId="3A5839D0" w14:textId="28CD8910" w:rsidR="004E37BB" w:rsidRPr="00027E89" w:rsidRDefault="00027E89" w:rsidP="00027E89">
      <w:pPr>
        <w:pStyle w:val="enumlev1"/>
      </w:pPr>
      <w:bookmarkStart w:id="15" w:name="lt_pId035"/>
      <w:r w:rsidRPr="00027E89">
        <w:rPr>
          <w:rFonts w:hint="cs"/>
          <w:rtl/>
        </w:rPr>
        <w:t>-</w:t>
      </w:r>
      <w:r w:rsidRPr="00027E89">
        <w:rPr>
          <w:rtl/>
        </w:rPr>
        <w:tab/>
      </w:r>
      <w:r w:rsidR="004E37BB" w:rsidRPr="00861BCF">
        <w:rPr>
          <w:i/>
          <w:iCs/>
          <w:rtl/>
        </w:rPr>
        <w:t>الشفافية الآنية</w:t>
      </w:r>
      <w:r w:rsidR="004E37BB" w:rsidRPr="00027E89">
        <w:rPr>
          <w:rtl/>
        </w:rPr>
        <w:t>: ستوفر التقارير المالية المؤتمتة آنياً للإدارة ومديري المشاريع نفاذا</w:t>
      </w:r>
      <w:r w:rsidR="00861BCF">
        <w:rPr>
          <w:rFonts w:hint="cs"/>
          <w:rtl/>
        </w:rPr>
        <w:t>ً</w:t>
      </w:r>
      <w:r w:rsidR="004E37BB" w:rsidRPr="00027E89">
        <w:rPr>
          <w:rtl/>
        </w:rPr>
        <w:t xml:space="preserve"> فوريا</w:t>
      </w:r>
      <w:r w:rsidR="00861BCF">
        <w:rPr>
          <w:rFonts w:hint="cs"/>
          <w:rtl/>
        </w:rPr>
        <w:t xml:space="preserve">ً </w:t>
      </w:r>
      <w:r w:rsidR="004E37BB" w:rsidRPr="00027E89">
        <w:rPr>
          <w:rtl/>
        </w:rPr>
        <w:t>إلى أحدث المعلومات المالية. وخلافا</w:t>
      </w:r>
      <w:r w:rsidR="00861BCF">
        <w:rPr>
          <w:rFonts w:hint="cs"/>
          <w:rtl/>
        </w:rPr>
        <w:t>ً</w:t>
      </w:r>
      <w:r w:rsidR="004E37BB" w:rsidRPr="00027E89">
        <w:rPr>
          <w:rtl/>
        </w:rPr>
        <w:t xml:space="preserve"> للتقارير الحالية التي يصار إلى إعدادها دوريا</w:t>
      </w:r>
      <w:r w:rsidR="00861BCF">
        <w:rPr>
          <w:rFonts w:hint="cs"/>
          <w:rtl/>
        </w:rPr>
        <w:t>ً</w:t>
      </w:r>
      <w:r w:rsidR="004E37BB" w:rsidRPr="00027E89">
        <w:rPr>
          <w:rtl/>
        </w:rPr>
        <w:t>، ستقدِّم التقارير الآنية نظرة شاملة عن الأنشطة المالية عند حدوثها. وسي</w:t>
      </w:r>
      <w:r w:rsidR="00861BCF">
        <w:rPr>
          <w:rFonts w:hint="cs"/>
          <w:rtl/>
        </w:rPr>
        <w:t>ُ</w:t>
      </w:r>
      <w:r w:rsidR="004E37BB" w:rsidRPr="00027E89">
        <w:rPr>
          <w:rtl/>
        </w:rPr>
        <w:t>تيح ذلك للإدارة ومديري المشاريع مراقبة استخدام الأموال آنياً، والتخفيف من سوء استخدام الأموال أو</w:t>
      </w:r>
      <w:r w:rsidR="00861BCF">
        <w:rPr>
          <w:rFonts w:hint="cs"/>
          <w:rtl/>
        </w:rPr>
        <w:t> </w:t>
      </w:r>
      <w:r w:rsidR="004E37BB" w:rsidRPr="00027E89">
        <w:rPr>
          <w:rtl/>
        </w:rPr>
        <w:t xml:space="preserve">الاحتيال. </w:t>
      </w:r>
      <w:r w:rsidR="004E37BB" w:rsidRPr="00861BCF">
        <w:rPr>
          <w:i/>
          <w:iCs/>
          <w:rtl/>
        </w:rPr>
        <w:t>اتخاذ القرارات في الوقت المناسب</w:t>
      </w:r>
      <w:r w:rsidR="004E37BB" w:rsidRPr="00027E89">
        <w:rPr>
          <w:rtl/>
        </w:rPr>
        <w:t xml:space="preserve">: ستمكِّن التقارير المالية المؤتمتة آنياً مديري المشاريع وشركاء التمويل من اتخاذ </w:t>
      </w:r>
      <w:r w:rsidR="004E37BB" w:rsidRPr="00704D34">
        <w:rPr>
          <w:spacing w:val="-2"/>
          <w:rtl/>
        </w:rPr>
        <w:t>قرارات مستنيرة على وجه السرعة، مما يسمح لهم باتخاذ قرارات مبكرة فيما يتعلق بإعادة تخصيص الموارد أو</w:t>
      </w:r>
      <w:r w:rsidR="00861BCF" w:rsidRPr="00704D34">
        <w:rPr>
          <w:rFonts w:hint="cs"/>
          <w:spacing w:val="-2"/>
          <w:rtl/>
        </w:rPr>
        <w:t> </w:t>
      </w:r>
      <w:r w:rsidR="004E37BB" w:rsidRPr="00704D34">
        <w:rPr>
          <w:spacing w:val="-2"/>
          <w:rtl/>
        </w:rPr>
        <w:t>تعديلات خطوط الميزانية حسب الاقتضاء.</w:t>
      </w:r>
      <w:bookmarkStart w:id="16" w:name="lt_pId036"/>
      <w:bookmarkStart w:id="17" w:name="lt_pId037"/>
      <w:bookmarkStart w:id="18" w:name="lt_pId038"/>
      <w:bookmarkEnd w:id="15"/>
      <w:bookmarkEnd w:id="16"/>
      <w:bookmarkEnd w:id="17"/>
      <w:bookmarkEnd w:id="18"/>
    </w:p>
    <w:p w14:paraId="65AEC5A4" w14:textId="1074E978" w:rsidR="004E37BB" w:rsidRPr="00861BCF" w:rsidRDefault="00027E89" w:rsidP="00027E89">
      <w:pPr>
        <w:pStyle w:val="enumlev1"/>
        <w:rPr>
          <w:spacing w:val="2"/>
        </w:rPr>
      </w:pPr>
      <w:bookmarkStart w:id="19" w:name="lt_pId039"/>
      <w:r w:rsidRPr="00861BCF">
        <w:rPr>
          <w:rFonts w:hint="cs"/>
          <w:spacing w:val="2"/>
          <w:rtl/>
        </w:rPr>
        <w:t>-</w:t>
      </w:r>
      <w:r w:rsidRPr="00861BCF">
        <w:rPr>
          <w:spacing w:val="2"/>
          <w:rtl/>
        </w:rPr>
        <w:tab/>
      </w:r>
      <w:r w:rsidR="004E37BB" w:rsidRPr="00861BCF">
        <w:rPr>
          <w:i/>
          <w:iCs/>
          <w:spacing w:val="2"/>
          <w:rtl/>
        </w:rPr>
        <w:t>تعزيز المساءلة والشفافية</w:t>
      </w:r>
      <w:r w:rsidR="004E37BB" w:rsidRPr="00861BCF">
        <w:rPr>
          <w:spacing w:val="2"/>
          <w:rtl/>
        </w:rPr>
        <w:t>: سي</w:t>
      </w:r>
      <w:r w:rsidR="00861BCF" w:rsidRPr="00861BCF">
        <w:rPr>
          <w:rFonts w:hint="cs"/>
          <w:spacing w:val="2"/>
          <w:rtl/>
        </w:rPr>
        <w:t>ُ</w:t>
      </w:r>
      <w:r w:rsidR="004E37BB" w:rsidRPr="00861BCF">
        <w:rPr>
          <w:spacing w:val="2"/>
          <w:rtl/>
        </w:rPr>
        <w:t>ساهم الإبلاغ الآني في تقوية ثقافة الشفافية والمساءلة، مما يؤدي إلى ممارسات مسؤولة للإدارة المالية ويقلل إلى أدنى حد من مخاطر سوء الإدارة والاحتيال. ويجري هذا العمل ضمن إطار المساءلة لدى</w:t>
      </w:r>
      <w:r w:rsidR="00192CEB">
        <w:rPr>
          <w:rFonts w:hint="cs"/>
          <w:spacing w:val="2"/>
          <w:rtl/>
        </w:rPr>
        <w:t> </w:t>
      </w:r>
      <w:r w:rsidR="004E37BB" w:rsidRPr="00861BCF">
        <w:rPr>
          <w:spacing w:val="2"/>
          <w:rtl/>
        </w:rPr>
        <w:t>الاتحاد.</w:t>
      </w:r>
      <w:bookmarkStart w:id="20" w:name="lt_pId040"/>
      <w:bookmarkEnd w:id="19"/>
      <w:bookmarkEnd w:id="20"/>
    </w:p>
    <w:p w14:paraId="7CE0FFB0" w14:textId="250845F1" w:rsidR="004E37BB" w:rsidRPr="004E37BB" w:rsidRDefault="00027E89" w:rsidP="00027E89">
      <w:pPr>
        <w:pStyle w:val="Heading1"/>
      </w:pPr>
      <w:bookmarkStart w:id="21" w:name="lt_pId041"/>
      <w:r>
        <w:rPr>
          <w:rFonts w:hint="cs"/>
          <w:rtl/>
        </w:rPr>
        <w:t>3</w:t>
      </w:r>
      <w:r>
        <w:rPr>
          <w:rtl/>
        </w:rPr>
        <w:tab/>
      </w:r>
      <w:r w:rsidR="004E37BB" w:rsidRPr="004E37BB">
        <w:rPr>
          <w:rtl/>
        </w:rPr>
        <w:t>الوضع الحالي</w:t>
      </w:r>
      <w:bookmarkEnd w:id="21"/>
    </w:p>
    <w:p w14:paraId="5EBDFE58" w14:textId="708688B9" w:rsidR="004E37BB" w:rsidRPr="00861BCF" w:rsidRDefault="004E37BB" w:rsidP="00861BCF">
      <w:bookmarkStart w:id="22" w:name="lt_pId042"/>
      <w:r w:rsidRPr="00861BCF">
        <w:rPr>
          <w:rtl/>
        </w:rPr>
        <w:t>أ</w:t>
      </w:r>
      <w:r w:rsidR="00EF2F55">
        <w:rPr>
          <w:rFonts w:hint="cs"/>
          <w:rtl/>
        </w:rPr>
        <w:t>ُ</w:t>
      </w:r>
      <w:r w:rsidRPr="00861BCF">
        <w:rPr>
          <w:rtl/>
        </w:rPr>
        <w:t>نشئ فريق مشروع في أبريل 2024 لدراسة نطاق التحسينات المطلوبة في تكنولوجيا المعلومات ووضع الحلول المناسبة. وفي</w:t>
      </w:r>
      <w:r w:rsidR="00861BCF">
        <w:rPr>
          <w:rFonts w:hint="cs"/>
          <w:rtl/>
        </w:rPr>
        <w:t> </w:t>
      </w:r>
      <w:r w:rsidRPr="00861BCF">
        <w:rPr>
          <w:rtl/>
        </w:rPr>
        <w:t xml:space="preserve">الاتحاد الدولي للاتصالات، تعد برمجيات تطبيقات ومنتجات الأنظمة </w:t>
      </w:r>
      <w:r w:rsidR="00861BCF">
        <w:t>(SAP)</w:t>
      </w:r>
      <w:r w:rsidRPr="00861BCF">
        <w:rPr>
          <w:rtl/>
        </w:rPr>
        <w:t xml:space="preserve"> المستودع المركزي للمعاملات المالية. ولكن تبين وجود إشكالات بشأن استخراج البيانات وجودة البيانات. ومن خلال التدخل الحالي، وُضعت حلول وبدأت الاختبارات.</w:t>
      </w:r>
      <w:bookmarkStart w:id="23" w:name="lt_pId043"/>
      <w:bookmarkStart w:id="24" w:name="lt_pId044"/>
      <w:bookmarkStart w:id="25" w:name="lt_pId045"/>
      <w:bookmarkEnd w:id="22"/>
      <w:bookmarkEnd w:id="23"/>
      <w:bookmarkEnd w:id="24"/>
      <w:bookmarkEnd w:id="25"/>
    </w:p>
    <w:p w14:paraId="39D3561A" w14:textId="6ABBC77B" w:rsidR="004E37BB" w:rsidRPr="00861BCF" w:rsidRDefault="004E37BB" w:rsidP="00861BCF">
      <w:bookmarkStart w:id="26" w:name="lt_pId046"/>
      <w:r w:rsidRPr="00861BCF">
        <w:rPr>
          <w:rtl/>
        </w:rPr>
        <w:t xml:space="preserve">وبحلول يونيو 2024، ستُستخدم بعض مشاريع مكتب تنمية الاتصالات كنماذج أولية لاختبار الإبلاغ المؤتمت. فإذا نجح إثبات سلامة المفاهيم، </w:t>
      </w:r>
      <w:proofErr w:type="spellStart"/>
      <w:r w:rsidRPr="00861BCF">
        <w:rPr>
          <w:rtl/>
        </w:rPr>
        <w:t>ستؤتمَت</w:t>
      </w:r>
      <w:proofErr w:type="spellEnd"/>
      <w:r w:rsidRPr="00861BCF">
        <w:rPr>
          <w:rtl/>
        </w:rPr>
        <w:t xml:space="preserve"> عندئذ بقية المشاريع بما في ذلك تطوير لوحة معلومات </w:t>
      </w:r>
      <w:proofErr w:type="spellStart"/>
      <w:r w:rsidRPr="00861BCF">
        <w:rPr>
          <w:rtl/>
        </w:rPr>
        <w:t>Power</w:t>
      </w:r>
      <w:proofErr w:type="spellEnd"/>
      <w:r w:rsidR="00EF2F55">
        <w:rPr>
          <w:rFonts w:hint="cs"/>
          <w:rtl/>
        </w:rPr>
        <w:t> </w:t>
      </w:r>
      <w:r w:rsidRPr="00861BCF">
        <w:rPr>
          <w:rtl/>
        </w:rPr>
        <w:t>BI كأداة استخباراتية تقدم عرضاً مرئياً للبيانات ومنصة للإبلاغ. وستُعرض نتائج هذا العمل في الجلسات المقبلة للفريق الاستشاري لتنمية الاتصالات.</w:t>
      </w:r>
      <w:bookmarkStart w:id="27" w:name="lt_pId047"/>
      <w:bookmarkStart w:id="28" w:name="lt_pId048"/>
      <w:bookmarkEnd w:id="26"/>
      <w:bookmarkEnd w:id="27"/>
      <w:bookmarkEnd w:id="28"/>
    </w:p>
    <w:p w14:paraId="7C0044A5" w14:textId="1D6B10F5" w:rsidR="00B22A93" w:rsidRPr="00861BCF" w:rsidRDefault="004E37BB" w:rsidP="00B22A93">
      <w:bookmarkStart w:id="29" w:name="lt_pId049"/>
      <w:r w:rsidRPr="00861BCF">
        <w:rPr>
          <w:rtl/>
        </w:rPr>
        <w:t xml:space="preserve">ويُدعى الفريق الاستشاري لتنمية الاتصالات </w:t>
      </w:r>
      <w:r w:rsidR="00EF2F55">
        <w:t>(TDAG)</w:t>
      </w:r>
      <w:r w:rsidRPr="00861BCF">
        <w:rPr>
          <w:rtl/>
        </w:rPr>
        <w:t xml:space="preserve"> إلى العلم بهذه الوثيقة وتقديم التوجيهات التي يراها مناسبة.</w:t>
      </w:r>
      <w:bookmarkEnd w:id="29"/>
    </w:p>
    <w:p w14:paraId="05FC8084" w14:textId="77777777" w:rsidR="007B4FA0" w:rsidRDefault="00153471" w:rsidP="00EF2F55">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A1A" w14:textId="77777777" w:rsidR="00071CC7" w:rsidRDefault="00071CC7" w:rsidP="006C3242">
      <w:pPr>
        <w:spacing w:before="0" w:line="240" w:lineRule="auto"/>
      </w:pPr>
      <w:r>
        <w:separator/>
      </w:r>
    </w:p>
  </w:endnote>
  <w:endnote w:type="continuationSeparator" w:id="0">
    <w:p w14:paraId="149BFA7B" w14:textId="77777777" w:rsidR="00071CC7" w:rsidRDefault="00071CC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2503" w14:textId="6CF6F49F"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E257209" w14:textId="77777777" w:rsidTr="00F03E94">
      <w:tc>
        <w:tcPr>
          <w:tcW w:w="991" w:type="dxa"/>
          <w:tcBorders>
            <w:top w:val="single" w:sz="4" w:space="0" w:color="auto"/>
            <w:left w:val="nil"/>
            <w:bottom w:val="nil"/>
            <w:right w:val="nil"/>
          </w:tcBorders>
          <w:shd w:val="clear" w:color="auto" w:fill="FFFFFF" w:themeFill="background1"/>
          <w:hideMark/>
        </w:tcPr>
        <w:p w14:paraId="692E11D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76F374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0A968C6" w14:textId="558BA12C" w:rsidR="00882A17" w:rsidRPr="005874F2" w:rsidRDefault="004E37BB" w:rsidP="00E11342">
          <w:pPr>
            <w:spacing w:before="60" w:after="40" w:line="260" w:lineRule="exact"/>
            <w:rPr>
              <w:position w:val="2"/>
              <w:sz w:val="18"/>
              <w:szCs w:val="18"/>
              <w:rtl/>
              <w:lang w:val="en-GB" w:bidi="ar-EG"/>
            </w:rPr>
          </w:pPr>
          <w:r>
            <w:rPr>
              <w:rFonts w:hint="cs"/>
              <w:position w:val="2"/>
              <w:sz w:val="18"/>
              <w:szCs w:val="18"/>
              <w:rtl/>
              <w:lang w:val="en-GB" w:bidi="ar-EG"/>
            </w:rPr>
            <w:t xml:space="preserve">السيدة </w:t>
          </w:r>
          <w:r w:rsidR="00E11342" w:rsidRPr="00E11342">
            <w:rPr>
              <w:position w:val="2"/>
              <w:sz w:val="18"/>
              <w:szCs w:val="18"/>
              <w:lang w:val="en-GB" w:bidi="ar-EG"/>
            </w:rPr>
            <w:t xml:space="preserve">Jude </w:t>
          </w:r>
          <w:proofErr w:type="spellStart"/>
          <w:r w:rsidR="00E11342" w:rsidRPr="00E11342">
            <w:rPr>
              <w:position w:val="2"/>
              <w:sz w:val="18"/>
              <w:szCs w:val="18"/>
              <w:lang w:val="en-GB" w:bidi="ar-EG"/>
            </w:rPr>
            <w:t>Mariani</w:t>
          </w:r>
          <w:proofErr w:type="spellEnd"/>
          <w:r>
            <w:rPr>
              <w:rFonts w:hint="cs"/>
              <w:position w:val="2"/>
              <w:sz w:val="18"/>
              <w:szCs w:val="18"/>
              <w:rtl/>
              <w:lang w:val="en-GB" w:bidi="ar-EG"/>
            </w:rPr>
            <w:t>، رئيسة وحدة مراقبة الأموال من خارج الميزانية، دائرة إدارة الموارد المالية</w:t>
          </w:r>
        </w:p>
      </w:tc>
    </w:tr>
    <w:tr w:rsidR="00882A17" w:rsidRPr="005874F2" w14:paraId="6D9C4E24" w14:textId="77777777" w:rsidTr="00F03E94">
      <w:tc>
        <w:tcPr>
          <w:tcW w:w="991" w:type="dxa"/>
        </w:tcPr>
        <w:p w14:paraId="6D9491B8"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7A7208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196B4A0" w14:textId="77F62DDA" w:rsidR="00882A17" w:rsidRPr="005874F2" w:rsidRDefault="004E37BB" w:rsidP="00882A17">
          <w:pPr>
            <w:spacing w:before="60" w:after="40" w:line="260" w:lineRule="exact"/>
            <w:rPr>
              <w:position w:val="2"/>
              <w:sz w:val="18"/>
              <w:szCs w:val="18"/>
              <w:lang w:val="en-GB"/>
            </w:rPr>
          </w:pPr>
          <w:r>
            <w:rPr>
              <w:sz w:val="18"/>
              <w:szCs w:val="18"/>
              <w:lang w:val="en-GB"/>
            </w:rPr>
            <w:t>+41 22 730 6163</w:t>
          </w:r>
        </w:p>
      </w:tc>
    </w:tr>
    <w:tr w:rsidR="00882A17" w:rsidRPr="005874F2" w14:paraId="2048395B" w14:textId="77777777" w:rsidTr="00F03E94">
      <w:tc>
        <w:tcPr>
          <w:tcW w:w="991" w:type="dxa"/>
        </w:tcPr>
        <w:p w14:paraId="206EAA2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081489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ACAC730" w14:textId="2CCD0A07" w:rsidR="00882A17" w:rsidRPr="005874F2" w:rsidRDefault="00143BB3" w:rsidP="00882A17">
          <w:pPr>
            <w:spacing w:before="60" w:after="40" w:line="260" w:lineRule="exact"/>
            <w:rPr>
              <w:position w:val="2"/>
              <w:sz w:val="18"/>
              <w:szCs w:val="18"/>
              <w:rtl/>
              <w:lang w:val="fr-FR" w:bidi="ar-EG"/>
            </w:rPr>
          </w:pPr>
          <w:hyperlink r:id="rId1" w:history="1">
            <w:r w:rsidR="00027E89" w:rsidRPr="002E2A27">
              <w:rPr>
                <w:rStyle w:val="Hyperlink"/>
                <w:sz w:val="18"/>
                <w:lang w:val="en-GB"/>
              </w:rPr>
              <w:t>jude.mariani@itu.int</w:t>
            </w:r>
          </w:hyperlink>
        </w:p>
      </w:tc>
    </w:tr>
  </w:tbl>
  <w:p w14:paraId="0DCD2563"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D9A7" w14:textId="77777777" w:rsidR="00071CC7" w:rsidRDefault="00071CC7" w:rsidP="006C3242">
      <w:pPr>
        <w:spacing w:before="0" w:line="240" w:lineRule="auto"/>
      </w:pPr>
      <w:r>
        <w:separator/>
      </w:r>
    </w:p>
  </w:footnote>
  <w:footnote w:type="continuationSeparator" w:id="0">
    <w:p w14:paraId="1E6E368D" w14:textId="77777777" w:rsidR="00071CC7" w:rsidRDefault="00071CC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A0DFC53" w14:textId="66048E12"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30" w:name="DocNo2"/>
        <w:bookmarkEnd w:id="30"/>
        <w:r w:rsidR="00457D22">
          <w:rPr>
            <w:sz w:val="20"/>
            <w:szCs w:val="20"/>
            <w:lang w:val="es-ES_tradnl"/>
          </w:rPr>
          <w:t>4</w:t>
        </w:r>
        <w:r w:rsidR="00D8311F">
          <w:rPr>
            <w:sz w:val="20"/>
            <w:szCs w:val="20"/>
            <w:lang w:val="es-ES_tradnl"/>
          </w:rPr>
          <w:t>/</w:t>
        </w:r>
        <w:r w:rsidR="004E37BB">
          <w:rPr>
            <w:sz w:val="20"/>
            <w:szCs w:val="20"/>
            <w:lang w:val="es-ES_tradnl"/>
          </w:rPr>
          <w:t>36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4E0F31"/>
    <w:multiLevelType w:val="multilevel"/>
    <w:tmpl w:val="C9AED5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2081097438">
    <w:abstractNumId w:val="10"/>
    <w:lvlOverride w:ilvl="0">
      <w:lvl w:ilvl="0">
        <w:start w:val="1"/>
        <w:numFmt w:val="decimal"/>
        <w:lvlText w:val="%1."/>
        <w:lvlJc w:val="left"/>
        <w:pPr>
          <w:ind w:left="360" w:hanging="360"/>
        </w:pPr>
      </w:lvl>
    </w:lvlOverride>
  </w:num>
  <w:num w:numId="13" w16cid:durableId="1055617719">
    <w:abstractNumId w:val="12"/>
    <w:lvlOverride w:ilvl="0">
      <w:lvl w:ilvl="0">
        <w:start w:val="1"/>
        <w:numFmt w:val="bullet"/>
        <w:lvlText w:val=""/>
        <w:lvlJc w:val="left"/>
        <w:pPr>
          <w:tabs>
            <w:tab w:val="num" w:pos="720"/>
          </w:tabs>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C7"/>
    <w:rsid w:val="00026D7C"/>
    <w:rsid w:val="00027E89"/>
    <w:rsid w:val="0006468A"/>
    <w:rsid w:val="00071CC7"/>
    <w:rsid w:val="00090574"/>
    <w:rsid w:val="000C1C0E"/>
    <w:rsid w:val="000C548A"/>
    <w:rsid w:val="00143BB3"/>
    <w:rsid w:val="00153471"/>
    <w:rsid w:val="0019128D"/>
    <w:rsid w:val="00192CEB"/>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82AA5"/>
    <w:rsid w:val="00383829"/>
    <w:rsid w:val="003971E3"/>
    <w:rsid w:val="003C4402"/>
    <w:rsid w:val="003F4B29"/>
    <w:rsid w:val="0042686F"/>
    <w:rsid w:val="004317D8"/>
    <w:rsid w:val="00433542"/>
    <w:rsid w:val="00434183"/>
    <w:rsid w:val="00443869"/>
    <w:rsid w:val="00447F32"/>
    <w:rsid w:val="00457D22"/>
    <w:rsid w:val="004E11DC"/>
    <w:rsid w:val="004E37BB"/>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4D34"/>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61BCF"/>
    <w:rsid w:val="00874F08"/>
    <w:rsid w:val="00882A17"/>
    <w:rsid w:val="008A7F84"/>
    <w:rsid w:val="0091702E"/>
    <w:rsid w:val="00923B0C"/>
    <w:rsid w:val="0094021C"/>
    <w:rsid w:val="0094065A"/>
    <w:rsid w:val="00952F86"/>
    <w:rsid w:val="00957084"/>
    <w:rsid w:val="00982B28"/>
    <w:rsid w:val="00983DA5"/>
    <w:rsid w:val="009D313F"/>
    <w:rsid w:val="00A24359"/>
    <w:rsid w:val="00A47A5A"/>
    <w:rsid w:val="00A6683B"/>
    <w:rsid w:val="00A97F94"/>
    <w:rsid w:val="00AA7EA2"/>
    <w:rsid w:val="00B03099"/>
    <w:rsid w:val="00B05BC8"/>
    <w:rsid w:val="00B22A93"/>
    <w:rsid w:val="00B64B47"/>
    <w:rsid w:val="00B93B7B"/>
    <w:rsid w:val="00C002DE"/>
    <w:rsid w:val="00C53BF8"/>
    <w:rsid w:val="00C56B5F"/>
    <w:rsid w:val="00C66157"/>
    <w:rsid w:val="00C674FE"/>
    <w:rsid w:val="00C67501"/>
    <w:rsid w:val="00C75633"/>
    <w:rsid w:val="00C85CB5"/>
    <w:rsid w:val="00CA08BA"/>
    <w:rsid w:val="00CE2EE1"/>
    <w:rsid w:val="00CE3349"/>
    <w:rsid w:val="00CE36E5"/>
    <w:rsid w:val="00CF27F5"/>
    <w:rsid w:val="00CF3FFD"/>
    <w:rsid w:val="00D10CCF"/>
    <w:rsid w:val="00D77D0F"/>
    <w:rsid w:val="00D8311F"/>
    <w:rsid w:val="00DA1CF0"/>
    <w:rsid w:val="00DC1E02"/>
    <w:rsid w:val="00DC24B4"/>
    <w:rsid w:val="00DC5FB0"/>
    <w:rsid w:val="00DF16DC"/>
    <w:rsid w:val="00E11342"/>
    <w:rsid w:val="00E45211"/>
    <w:rsid w:val="00E473C5"/>
    <w:rsid w:val="00E92863"/>
    <w:rsid w:val="00EB796D"/>
    <w:rsid w:val="00EE5CF2"/>
    <w:rsid w:val="00EF2F55"/>
    <w:rsid w:val="00F058DC"/>
    <w:rsid w:val="00F24FC4"/>
    <w:rsid w:val="00F2676C"/>
    <w:rsid w:val="00F43D01"/>
    <w:rsid w:val="00F77022"/>
    <w:rsid w:val="00F84366"/>
    <w:rsid w:val="00F85089"/>
    <w:rsid w:val="00F974C5"/>
    <w:rsid w:val="00FA6F46"/>
    <w:rsid w:val="00FB12D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16EC"/>
  <w15:chartTrackingRefBased/>
  <w15:docId w15:val="{F3496435-B562-460D-B007-3FEA11C0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List Paragraph11,Listenabsatz Standard,Recommendation"/>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List Paragraph1 Char,List Paragraph11 Char,Listenabsatz Standard Char,Recommendation Char"/>
    <w:basedOn w:val="DefaultParagraphFont"/>
    <w:link w:val="ListParagraph"/>
    <w:uiPriority w:val="34"/>
    <w:locked/>
    <w:rsid w:val="004E37BB"/>
    <w:rPr>
      <w:rFonts w:ascii="Dubai" w:hAnsi="Dubai" w:cs="Dubai"/>
    </w:rPr>
  </w:style>
  <w:style w:type="paragraph" w:styleId="NormalWeb">
    <w:name w:val="Normal (Web)"/>
    <w:basedOn w:val="Normal"/>
    <w:uiPriority w:val="99"/>
    <w:semiHidden/>
    <w:unhideWhenUsed/>
    <w:rsid w:val="004E37BB"/>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jude.marian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0742E9BF-91AC-4DE5-AB90-6D345FE82141}"/>
</file>

<file path=customXml/itemProps3.xml><?xml version="1.0" encoding="utf-8"?>
<ds:datastoreItem xmlns:ds="http://schemas.openxmlformats.org/officeDocument/2006/customXml" ds:itemID="{3130E9EA-2319-4EC3-85EB-B8DC901D9BD1}"/>
</file>

<file path=docProps/app.xml><?xml version="1.0" encoding="utf-8"?>
<Properties xmlns="http://schemas.openxmlformats.org/officeDocument/2006/extended-properties" xmlns:vt="http://schemas.openxmlformats.org/officeDocument/2006/docPropsVTypes">
  <Template>PA_TDAG24.dotx</Template>
  <TotalTime>37</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5</cp:revision>
  <dcterms:created xsi:type="dcterms:W3CDTF">2024-05-09T12:24:00Z</dcterms:created>
  <dcterms:modified xsi:type="dcterms:W3CDTF">2024-05-10T07:10:00Z</dcterms:modified>
</cp:coreProperties>
</file>