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53A33867" w14:textId="77777777" w:rsidTr="00952667">
        <w:trPr>
          <w:cantSplit/>
          <w:trHeight w:val="1134"/>
        </w:trPr>
        <w:tc>
          <w:tcPr>
            <w:tcW w:w="6379" w:type="dxa"/>
          </w:tcPr>
          <w:p w14:paraId="092C14AE"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7B220C8E"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6448B060" w14:textId="77777777" w:rsidR="00307769" w:rsidRPr="00683C32" w:rsidRDefault="00307769" w:rsidP="00952667">
            <w:pPr>
              <w:spacing w:after="120"/>
              <w:ind w:right="142"/>
              <w:jc w:val="right"/>
            </w:pPr>
            <w:r>
              <w:rPr>
                <w:noProof/>
                <w:lang w:val="fr-FR" w:eastAsia="fr-FR"/>
              </w:rPr>
              <w:drawing>
                <wp:inline distT="0" distB="0" distL="0" distR="0" wp14:anchorId="12D52A72" wp14:editId="16CA1D5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4A1F2CE" w14:textId="77777777" w:rsidTr="0009076F">
        <w:trPr>
          <w:cantSplit/>
        </w:trPr>
        <w:tc>
          <w:tcPr>
            <w:tcW w:w="6379" w:type="dxa"/>
            <w:tcBorders>
              <w:top w:val="single" w:sz="12" w:space="0" w:color="auto"/>
            </w:tcBorders>
          </w:tcPr>
          <w:p w14:paraId="37B7A5FA"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1B674A81" w14:textId="77777777" w:rsidR="00683C32" w:rsidRPr="00997358" w:rsidRDefault="00683C32" w:rsidP="00107E85">
            <w:pPr>
              <w:spacing w:before="0"/>
              <w:rPr>
                <w:b/>
                <w:bCs/>
                <w:sz w:val="20"/>
              </w:rPr>
            </w:pPr>
          </w:p>
        </w:tc>
      </w:tr>
      <w:tr w:rsidR="00683C32" w:rsidRPr="00002716" w14:paraId="7ACF2E35" w14:textId="77777777" w:rsidTr="0009076F">
        <w:trPr>
          <w:cantSplit/>
        </w:trPr>
        <w:tc>
          <w:tcPr>
            <w:tcW w:w="6379" w:type="dxa"/>
          </w:tcPr>
          <w:p w14:paraId="33ECAEAA" w14:textId="77777777" w:rsidR="00683C32" w:rsidRPr="007F1CC7" w:rsidRDefault="00683C32" w:rsidP="00400CCF">
            <w:pPr>
              <w:pStyle w:val="Committee"/>
              <w:spacing w:before="0"/>
              <w:rPr>
                <w:b w:val="0"/>
                <w:szCs w:val="24"/>
              </w:rPr>
            </w:pPr>
          </w:p>
        </w:tc>
        <w:tc>
          <w:tcPr>
            <w:tcW w:w="3509" w:type="dxa"/>
          </w:tcPr>
          <w:p w14:paraId="19F583D4" w14:textId="09C30848"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CE491A">
              <w:rPr>
                <w:b/>
                <w:bCs/>
                <w:lang w:val="en-US" w:eastAsia="zh-CN"/>
              </w:rPr>
              <w:t>36</w:t>
            </w:r>
            <w:r w:rsidR="0096201B">
              <w:rPr>
                <w:b/>
                <w:bCs/>
                <w:lang w:val="en-US"/>
              </w:rPr>
              <w:t>-</w:t>
            </w:r>
            <w:r>
              <w:rPr>
                <w:rFonts w:hint="eastAsia"/>
                <w:b/>
                <w:bCs/>
                <w:lang w:val="en-US" w:eastAsia="zh-CN"/>
              </w:rPr>
              <w:t>C</w:t>
            </w:r>
          </w:p>
        </w:tc>
      </w:tr>
      <w:tr w:rsidR="00683C32" w14:paraId="75656C44" w14:textId="77777777" w:rsidTr="0009076F">
        <w:trPr>
          <w:cantSplit/>
        </w:trPr>
        <w:tc>
          <w:tcPr>
            <w:tcW w:w="6379" w:type="dxa"/>
          </w:tcPr>
          <w:p w14:paraId="792CB16B" w14:textId="77777777" w:rsidR="00683C32" w:rsidRPr="007F1CC7" w:rsidRDefault="00683C32" w:rsidP="00400CCF">
            <w:pPr>
              <w:spacing w:before="0"/>
              <w:rPr>
                <w:b/>
                <w:bCs/>
                <w:smallCaps/>
                <w:szCs w:val="24"/>
                <w:lang w:val="en-US"/>
              </w:rPr>
            </w:pPr>
          </w:p>
        </w:tc>
        <w:tc>
          <w:tcPr>
            <w:tcW w:w="3509" w:type="dxa"/>
          </w:tcPr>
          <w:p w14:paraId="429F53FA" w14:textId="72869E56" w:rsidR="00683C32" w:rsidRPr="007F1CC7" w:rsidRDefault="00CE0422" w:rsidP="00B648C7">
            <w:pPr>
              <w:spacing w:before="0"/>
              <w:rPr>
                <w:b/>
                <w:szCs w:val="24"/>
              </w:rPr>
            </w:pPr>
            <w:bookmarkStart w:id="2" w:name="CreationDate"/>
            <w:bookmarkEnd w:id="2"/>
            <w:r w:rsidRPr="006B2C29">
              <w:rPr>
                <w:b/>
                <w:bCs/>
                <w:szCs w:val="28"/>
              </w:rPr>
              <w:t>20</w:t>
            </w:r>
            <w:r w:rsidR="00B648C7" w:rsidRPr="006B2C29">
              <w:rPr>
                <w:b/>
                <w:bCs/>
                <w:szCs w:val="28"/>
              </w:rPr>
              <w:t>2</w:t>
            </w:r>
            <w:r w:rsidR="003222A1" w:rsidRPr="006B2C29">
              <w:rPr>
                <w:b/>
                <w:bCs/>
                <w:szCs w:val="28"/>
              </w:rPr>
              <w:t>4</w:t>
            </w:r>
            <w:r w:rsidR="00966BA6" w:rsidRPr="006B2C29">
              <w:rPr>
                <w:rFonts w:hint="eastAsia"/>
                <w:b/>
                <w:bCs/>
                <w:szCs w:val="28"/>
                <w:lang w:eastAsia="zh-CN"/>
              </w:rPr>
              <w:t>年</w:t>
            </w:r>
            <w:r w:rsidR="00CE491A">
              <w:rPr>
                <w:b/>
                <w:bCs/>
                <w:szCs w:val="28"/>
                <w:lang w:eastAsia="zh-CN"/>
              </w:rPr>
              <w:t>5</w:t>
            </w:r>
            <w:r w:rsidR="00966BA6" w:rsidRPr="006B2C29">
              <w:rPr>
                <w:rFonts w:hint="eastAsia"/>
                <w:b/>
                <w:bCs/>
                <w:szCs w:val="28"/>
                <w:lang w:eastAsia="zh-CN"/>
              </w:rPr>
              <w:t>月</w:t>
            </w:r>
            <w:r w:rsidR="00CE491A">
              <w:rPr>
                <w:b/>
                <w:bCs/>
                <w:szCs w:val="28"/>
                <w:lang w:eastAsia="zh-CN"/>
              </w:rPr>
              <w:t>8</w:t>
            </w:r>
            <w:r w:rsidR="00966BA6" w:rsidRPr="006B2C29">
              <w:rPr>
                <w:rFonts w:hint="eastAsia"/>
                <w:b/>
                <w:bCs/>
                <w:szCs w:val="28"/>
                <w:lang w:eastAsia="zh-CN"/>
              </w:rPr>
              <w:t>日</w:t>
            </w:r>
          </w:p>
        </w:tc>
      </w:tr>
      <w:tr w:rsidR="00683C32" w14:paraId="7DA5BAD1" w14:textId="77777777" w:rsidTr="0009076F">
        <w:trPr>
          <w:cantSplit/>
        </w:trPr>
        <w:tc>
          <w:tcPr>
            <w:tcW w:w="6379" w:type="dxa"/>
          </w:tcPr>
          <w:p w14:paraId="4EF773B9" w14:textId="77777777" w:rsidR="00683C32" w:rsidRPr="007F1CC7" w:rsidRDefault="00683C32" w:rsidP="00400CCF">
            <w:pPr>
              <w:spacing w:before="0"/>
              <w:rPr>
                <w:b/>
                <w:bCs/>
                <w:smallCaps/>
                <w:szCs w:val="24"/>
              </w:rPr>
            </w:pPr>
          </w:p>
        </w:tc>
        <w:tc>
          <w:tcPr>
            <w:tcW w:w="3509" w:type="dxa"/>
          </w:tcPr>
          <w:p w14:paraId="061F6657" w14:textId="77777777" w:rsidR="00514D2F" w:rsidRPr="007F1CC7" w:rsidRDefault="00966BA6" w:rsidP="00400CCF">
            <w:pPr>
              <w:spacing w:before="0"/>
              <w:rPr>
                <w:szCs w:val="24"/>
              </w:rPr>
            </w:pPr>
            <w:r>
              <w:rPr>
                <w:rFonts w:hint="eastAsia"/>
                <w:b/>
                <w:lang w:eastAsia="zh-CN"/>
              </w:rPr>
              <w:t>原文：英文</w:t>
            </w:r>
          </w:p>
        </w:tc>
      </w:tr>
      <w:tr w:rsidR="00A13162" w14:paraId="57EABF29" w14:textId="77777777" w:rsidTr="00107E85">
        <w:trPr>
          <w:cantSplit/>
          <w:trHeight w:val="852"/>
        </w:trPr>
        <w:tc>
          <w:tcPr>
            <w:tcW w:w="9888" w:type="dxa"/>
            <w:gridSpan w:val="2"/>
          </w:tcPr>
          <w:p w14:paraId="59FCF25D" w14:textId="42DDBCC2" w:rsidR="00A13162" w:rsidRPr="0030353C" w:rsidRDefault="00933E67" w:rsidP="0030353C">
            <w:pPr>
              <w:pStyle w:val="Source"/>
            </w:pPr>
            <w:bookmarkStart w:id="3" w:name="Source"/>
            <w:bookmarkEnd w:id="3"/>
            <w:proofErr w:type="spellStart"/>
            <w:r w:rsidRPr="00933E67">
              <w:rPr>
                <w:rFonts w:cstheme="minorHAnsi" w:hint="eastAsia"/>
              </w:rPr>
              <w:t>电信发展局主任</w:t>
            </w:r>
            <w:proofErr w:type="spellEnd"/>
          </w:p>
        </w:tc>
      </w:tr>
      <w:tr w:rsidR="00AC6F14" w:rsidRPr="002E6963" w14:paraId="1E7468AA" w14:textId="77777777" w:rsidTr="00107E85">
        <w:trPr>
          <w:cantSplit/>
        </w:trPr>
        <w:tc>
          <w:tcPr>
            <w:tcW w:w="9888" w:type="dxa"/>
            <w:gridSpan w:val="2"/>
          </w:tcPr>
          <w:p w14:paraId="63B47EE1" w14:textId="0DB4073B" w:rsidR="00AC6F14" w:rsidRPr="00981A96" w:rsidRDefault="00CE491A" w:rsidP="0030353C">
            <w:pPr>
              <w:pStyle w:val="Title1"/>
              <w:rPr>
                <w:szCs w:val="28"/>
                <w:lang w:eastAsia="zh-CN"/>
              </w:rPr>
            </w:pPr>
            <w:bookmarkStart w:id="4" w:name="Title"/>
            <w:bookmarkEnd w:id="4"/>
            <w:r w:rsidRPr="00CE491A">
              <w:rPr>
                <w:rFonts w:cstheme="minorHAnsi" w:hint="eastAsia"/>
                <w:szCs w:val="28"/>
                <w:lang w:eastAsia="zh-CN"/>
              </w:rPr>
              <w:t>改进项目的财务监督和报告机制</w:t>
            </w:r>
          </w:p>
        </w:tc>
      </w:tr>
      <w:tr w:rsidR="00A721F4" w:rsidRPr="002E6963" w14:paraId="15F7E327" w14:textId="77777777" w:rsidTr="00A721F4">
        <w:trPr>
          <w:cantSplit/>
        </w:trPr>
        <w:tc>
          <w:tcPr>
            <w:tcW w:w="9888" w:type="dxa"/>
            <w:gridSpan w:val="2"/>
            <w:tcBorders>
              <w:bottom w:val="single" w:sz="4" w:space="0" w:color="auto"/>
            </w:tcBorders>
          </w:tcPr>
          <w:p w14:paraId="72DFFCF3" w14:textId="77777777" w:rsidR="00A721F4" w:rsidRPr="00A721F4" w:rsidRDefault="00A721F4" w:rsidP="0030353C">
            <w:pPr>
              <w:rPr>
                <w:lang w:eastAsia="zh-CN"/>
              </w:rPr>
            </w:pPr>
          </w:p>
        </w:tc>
      </w:tr>
      <w:tr w:rsidR="00A721F4" w:rsidRPr="002E6963" w14:paraId="75924CC9"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1D1FFCB" w14:textId="77777777" w:rsidR="00A721F4" w:rsidRPr="00D9621A" w:rsidRDefault="00966BA6" w:rsidP="00EA0C51">
            <w:pPr>
              <w:spacing w:after="120"/>
              <w:rPr>
                <w:b/>
                <w:bCs/>
                <w:szCs w:val="24"/>
                <w:lang w:eastAsia="zh-CN"/>
              </w:rPr>
            </w:pPr>
            <w:r>
              <w:rPr>
                <w:rFonts w:hint="eastAsia"/>
                <w:b/>
                <w:bCs/>
                <w:szCs w:val="24"/>
                <w:lang w:eastAsia="zh-CN"/>
              </w:rPr>
              <w:t>概要：</w:t>
            </w:r>
          </w:p>
          <w:p w14:paraId="704F0BEA" w14:textId="481C8884" w:rsidR="002A6E8E" w:rsidRPr="00C95BD1" w:rsidRDefault="00CE491A" w:rsidP="002A6E8E">
            <w:pPr>
              <w:spacing w:after="120"/>
              <w:ind w:firstLineChars="200" w:firstLine="480"/>
              <w:rPr>
                <w:rFonts w:ascii="Calibri" w:eastAsia="SimSun" w:hAnsi="Calibri" w:cs="Calibri"/>
                <w:lang w:eastAsia="zh-CN"/>
              </w:rPr>
            </w:pPr>
            <w:r w:rsidRPr="00CE491A">
              <w:rPr>
                <w:rFonts w:ascii="Calibri" w:eastAsia="SimSun" w:hAnsi="Calibri" w:cs="Calibri" w:hint="eastAsia"/>
                <w:lang w:eastAsia="zh-CN"/>
              </w:rPr>
              <w:t>本文件介绍了电信发展局已采取措施，改进对电信发展局项目的财务监督和报告机制。</w:t>
            </w:r>
          </w:p>
          <w:p w14:paraId="0353B995" w14:textId="77777777" w:rsidR="00A721F4" w:rsidRPr="00D9621A" w:rsidRDefault="00966BA6" w:rsidP="00EA0C51">
            <w:pPr>
              <w:spacing w:after="120"/>
              <w:rPr>
                <w:b/>
                <w:bCs/>
                <w:szCs w:val="24"/>
                <w:lang w:eastAsia="zh-CN"/>
              </w:rPr>
            </w:pPr>
            <w:r>
              <w:rPr>
                <w:rFonts w:hint="eastAsia"/>
                <w:b/>
                <w:bCs/>
                <w:lang w:eastAsia="zh-CN"/>
              </w:rPr>
              <w:t>需采取的行动：</w:t>
            </w:r>
          </w:p>
          <w:p w14:paraId="3E03491E" w14:textId="09F82AFE" w:rsidR="00A721F4" w:rsidRPr="00D9621A" w:rsidRDefault="00CE491A" w:rsidP="00245BAA">
            <w:pPr>
              <w:spacing w:after="120"/>
              <w:ind w:firstLineChars="200" w:firstLine="480"/>
              <w:rPr>
                <w:szCs w:val="24"/>
                <w:lang w:eastAsia="zh-CN"/>
              </w:rPr>
            </w:pPr>
            <w:r w:rsidRPr="00CE491A">
              <w:rPr>
                <w:rFonts w:cstheme="minorHAnsi" w:hint="eastAsia"/>
                <w:lang w:eastAsia="zh-CN"/>
              </w:rPr>
              <w:t>请</w:t>
            </w:r>
            <w:r w:rsidRPr="00CE491A">
              <w:rPr>
                <w:rFonts w:cstheme="minorHAnsi" w:hint="eastAsia"/>
                <w:lang w:eastAsia="zh-CN"/>
              </w:rPr>
              <w:t>TDAG</w:t>
            </w:r>
            <w:r w:rsidRPr="00CE491A">
              <w:rPr>
                <w:rFonts w:cstheme="minorHAnsi" w:hint="eastAsia"/>
                <w:lang w:eastAsia="zh-CN"/>
              </w:rPr>
              <w:t>将本文件记录在案并酌情提供指导。</w:t>
            </w:r>
          </w:p>
          <w:p w14:paraId="1F18E263" w14:textId="77777777" w:rsidR="00A721F4" w:rsidRPr="00D9621A" w:rsidRDefault="00966BA6" w:rsidP="00EA0C51">
            <w:pPr>
              <w:spacing w:after="120"/>
              <w:rPr>
                <w:b/>
                <w:bCs/>
                <w:szCs w:val="24"/>
                <w:lang w:eastAsia="zh-CN"/>
              </w:rPr>
            </w:pPr>
            <w:r>
              <w:rPr>
                <w:rFonts w:hint="eastAsia"/>
                <w:b/>
                <w:bCs/>
                <w:szCs w:val="24"/>
                <w:lang w:eastAsia="zh-CN"/>
              </w:rPr>
              <w:t>参考文件：</w:t>
            </w:r>
          </w:p>
          <w:p w14:paraId="7C3E530C" w14:textId="3CE7C283" w:rsidR="006B2C29" w:rsidRDefault="00CE491A" w:rsidP="002C7DC8">
            <w:pPr>
              <w:spacing w:after="120"/>
              <w:jc w:val="both"/>
              <w:rPr>
                <w:lang w:eastAsia="zh-CN"/>
              </w:rPr>
            </w:pPr>
            <w:r w:rsidRPr="00CE491A">
              <w:rPr>
                <w:rFonts w:hint="eastAsia"/>
                <w:lang w:eastAsia="zh-CN"/>
              </w:rPr>
              <w:t>世界电信发展大会（</w:t>
            </w:r>
            <w:r w:rsidRPr="00CE491A">
              <w:rPr>
                <w:rFonts w:hint="eastAsia"/>
                <w:lang w:eastAsia="zh-CN"/>
              </w:rPr>
              <w:t>WTDC</w:t>
            </w:r>
            <w:r w:rsidRPr="00CE491A">
              <w:rPr>
                <w:rFonts w:hint="eastAsia"/>
                <w:lang w:eastAsia="zh-CN"/>
              </w:rPr>
              <w:t>）第</w:t>
            </w:r>
            <w:r w:rsidRPr="00CE491A">
              <w:rPr>
                <w:rFonts w:hint="eastAsia"/>
                <w:lang w:eastAsia="zh-CN"/>
              </w:rPr>
              <w:t>17</w:t>
            </w:r>
            <w:r w:rsidRPr="00CE491A">
              <w:rPr>
                <w:rFonts w:hint="eastAsia"/>
                <w:lang w:eastAsia="zh-CN"/>
              </w:rPr>
              <w:t>号决议（</w:t>
            </w:r>
            <w:r w:rsidRPr="00CE491A">
              <w:rPr>
                <w:rFonts w:hint="eastAsia"/>
                <w:lang w:eastAsia="zh-CN"/>
              </w:rPr>
              <w:t>2022</w:t>
            </w:r>
            <w:r w:rsidRPr="00CE491A">
              <w:rPr>
                <w:rFonts w:hint="eastAsia"/>
                <w:lang w:eastAsia="zh-CN"/>
              </w:rPr>
              <w:t>年，基加利，修订版）和第</w:t>
            </w:r>
            <w:r w:rsidRPr="00CE491A">
              <w:rPr>
                <w:rFonts w:hint="eastAsia"/>
                <w:lang w:eastAsia="zh-CN"/>
              </w:rPr>
              <w:t>52</w:t>
            </w:r>
            <w:r w:rsidRPr="00CE491A">
              <w:rPr>
                <w:rFonts w:hint="eastAsia"/>
                <w:lang w:eastAsia="zh-CN"/>
              </w:rPr>
              <w:t>号决议（</w:t>
            </w:r>
            <w:r w:rsidRPr="00CE491A">
              <w:rPr>
                <w:rFonts w:hint="eastAsia"/>
                <w:lang w:eastAsia="zh-CN"/>
              </w:rPr>
              <w:t>2014</w:t>
            </w:r>
            <w:r w:rsidRPr="00CE491A">
              <w:rPr>
                <w:rFonts w:hint="eastAsia"/>
                <w:lang w:eastAsia="zh-CN"/>
              </w:rPr>
              <w:t>年，迪拜，修订版）</w:t>
            </w:r>
          </w:p>
          <w:p w14:paraId="18B1BC52" w14:textId="2F65FC1D" w:rsidR="00A721F4" w:rsidRPr="00D9621A" w:rsidRDefault="00CE491A" w:rsidP="002C7DC8">
            <w:pPr>
              <w:spacing w:after="120"/>
              <w:rPr>
                <w:lang w:eastAsia="zh-CN"/>
              </w:rPr>
            </w:pPr>
            <w:r w:rsidRPr="00CE491A">
              <w:rPr>
                <w:rFonts w:hint="eastAsia"/>
                <w:lang w:val="en-US" w:eastAsia="zh-CN"/>
              </w:rPr>
              <w:t>全权代表大会第</w:t>
            </w:r>
            <w:r w:rsidRPr="00CE491A">
              <w:rPr>
                <w:rFonts w:hint="eastAsia"/>
                <w:lang w:val="en-US" w:eastAsia="zh-CN"/>
              </w:rPr>
              <w:t>157</w:t>
            </w:r>
            <w:r w:rsidRPr="00CE491A">
              <w:rPr>
                <w:rFonts w:hint="eastAsia"/>
                <w:lang w:val="en-US" w:eastAsia="zh-CN"/>
              </w:rPr>
              <w:t>号决议（</w:t>
            </w:r>
            <w:r w:rsidRPr="00CE491A">
              <w:rPr>
                <w:rFonts w:hint="eastAsia"/>
                <w:lang w:val="en-US" w:eastAsia="zh-CN"/>
              </w:rPr>
              <w:t>2022</w:t>
            </w:r>
            <w:r w:rsidRPr="00CE491A">
              <w:rPr>
                <w:rFonts w:hint="eastAsia"/>
                <w:lang w:val="en-US" w:eastAsia="zh-CN"/>
              </w:rPr>
              <w:t>年，布加勒斯特，修订版）</w:t>
            </w:r>
          </w:p>
        </w:tc>
      </w:tr>
    </w:tbl>
    <w:p w14:paraId="01E251C4" w14:textId="77777777" w:rsidR="00923CF1" w:rsidRDefault="00923CF1" w:rsidP="00935FF0">
      <w:pPr>
        <w:rPr>
          <w:lang w:eastAsia="zh-CN"/>
        </w:rPr>
      </w:pPr>
    </w:p>
    <w:p w14:paraId="05E0F2CA" w14:textId="77777777" w:rsidR="000528BF" w:rsidRDefault="00923CF1" w:rsidP="00FF110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5E3CA33" w14:textId="6A7AD8ED" w:rsidR="006B2C29" w:rsidRPr="002C7DC8" w:rsidRDefault="00FF110E" w:rsidP="002C7DC8">
      <w:pPr>
        <w:pStyle w:val="Heading1"/>
        <w:rPr>
          <w:lang w:eastAsia="zh-CN"/>
        </w:rPr>
      </w:pPr>
      <w:r w:rsidRPr="002C7DC8">
        <w:rPr>
          <w:rFonts w:hint="eastAsia"/>
          <w:lang w:eastAsia="zh-CN"/>
        </w:rPr>
        <w:lastRenderedPageBreak/>
        <w:t>1</w:t>
      </w:r>
      <w:r w:rsidRPr="002C7DC8">
        <w:rPr>
          <w:lang w:eastAsia="zh-CN"/>
        </w:rPr>
        <w:tab/>
      </w:r>
      <w:r w:rsidR="003D308A" w:rsidRPr="002C7DC8">
        <w:rPr>
          <w:rFonts w:hint="eastAsia"/>
          <w:lang w:eastAsia="zh-CN"/>
        </w:rPr>
        <w:t>引言</w:t>
      </w:r>
    </w:p>
    <w:p w14:paraId="2A76DA23" w14:textId="77777777" w:rsidR="00404E4F" w:rsidRPr="00FD39B7" w:rsidRDefault="00404E4F" w:rsidP="00404E4F">
      <w:pPr>
        <w:pStyle w:val="ListParagraph"/>
        <w:ind w:left="0" w:firstLineChars="200" w:firstLine="480"/>
        <w:contextualSpacing w:val="0"/>
        <w:rPr>
          <w:rFonts w:cstheme="minorHAnsi"/>
          <w:szCs w:val="24"/>
          <w:lang w:eastAsia="zh-CN"/>
        </w:rPr>
      </w:pPr>
      <w:bookmarkStart w:id="5" w:name="lt_pId031"/>
      <w:r>
        <w:rPr>
          <w:lang w:val="zh-CN" w:eastAsia="zh-CN"/>
        </w:rPr>
        <w:t>TDAG-24/7</w:t>
      </w:r>
      <w:r>
        <w:rPr>
          <w:lang w:val="zh-CN" w:eastAsia="zh-CN"/>
        </w:rPr>
        <w:t>（</w:t>
      </w:r>
      <w:r>
        <w:rPr>
          <w:lang w:val="zh-CN" w:eastAsia="zh-CN"/>
        </w:rPr>
        <w:t>Rev.1</w:t>
      </w:r>
      <w:r>
        <w:rPr>
          <w:lang w:val="zh-CN" w:eastAsia="zh-CN"/>
        </w:rPr>
        <w:t>）号文件概述了</w:t>
      </w:r>
      <w:r>
        <w:rPr>
          <w:lang w:val="zh-CN" w:eastAsia="zh-CN"/>
        </w:rPr>
        <w:t>2023</w:t>
      </w:r>
      <w:r>
        <w:rPr>
          <w:lang w:val="zh-CN" w:eastAsia="zh-CN"/>
        </w:rPr>
        <w:t>年电信发展局正在开展的项目组合</w:t>
      </w:r>
      <w:r>
        <w:rPr>
          <w:rFonts w:hint="eastAsia"/>
          <w:lang w:val="zh-CN" w:eastAsia="zh-CN"/>
        </w:rPr>
        <w:t>情况</w:t>
      </w:r>
      <w:r>
        <w:rPr>
          <w:lang w:val="zh-CN" w:eastAsia="zh-CN"/>
        </w:rPr>
        <w:t>，并列举了</w:t>
      </w:r>
      <w:r>
        <w:rPr>
          <w:lang w:val="zh-CN" w:eastAsia="zh-CN"/>
        </w:rPr>
        <w:t>2023</w:t>
      </w:r>
      <w:r>
        <w:rPr>
          <w:lang w:val="zh-CN" w:eastAsia="zh-CN"/>
        </w:rPr>
        <w:t>年已采取的强化项目管理做法的措施。</w:t>
      </w:r>
    </w:p>
    <w:p w14:paraId="2C9B283D" w14:textId="77777777" w:rsidR="00404E4F" w:rsidRPr="00FD39B7" w:rsidRDefault="00404E4F" w:rsidP="00404E4F">
      <w:pPr>
        <w:pStyle w:val="ListParagraph"/>
        <w:ind w:left="0" w:firstLineChars="200" w:firstLine="480"/>
        <w:contextualSpacing w:val="0"/>
        <w:rPr>
          <w:rFonts w:cstheme="minorHAnsi"/>
          <w:szCs w:val="24"/>
          <w:lang w:eastAsia="zh-CN"/>
        </w:rPr>
      </w:pPr>
      <w:r>
        <w:rPr>
          <w:lang w:val="zh-CN" w:eastAsia="zh-CN"/>
        </w:rPr>
        <w:t>电信发展局主任介绍了一种新的做法，要求定期向电信发展局项目的</w:t>
      </w:r>
      <w:proofErr w:type="gramStart"/>
      <w:r>
        <w:rPr>
          <w:lang w:val="zh-CN" w:eastAsia="zh-CN"/>
        </w:rPr>
        <w:t>资助伙伴</w:t>
      </w:r>
      <w:proofErr w:type="gramEnd"/>
      <w:r>
        <w:rPr>
          <w:lang w:val="zh-CN" w:eastAsia="zh-CN"/>
        </w:rPr>
        <w:t>和捐赠方提交报告。尽管合作伙伴和捐助方可随时要求</w:t>
      </w:r>
      <w:r>
        <w:rPr>
          <w:lang w:val="zh-CN" w:eastAsia="zh-CN"/>
        </w:rPr>
        <w:t>BDT</w:t>
      </w:r>
      <w:r>
        <w:rPr>
          <w:lang w:val="zh-CN" w:eastAsia="zh-CN"/>
        </w:rPr>
        <w:t>就其项目的实施情况提交进展报告，但现在必须每半年</w:t>
      </w:r>
      <w:r>
        <w:rPr>
          <w:rFonts w:hint="eastAsia"/>
          <w:lang w:val="zh-CN" w:eastAsia="zh-CN"/>
        </w:rPr>
        <w:t>，</w:t>
      </w:r>
      <w:r>
        <w:rPr>
          <w:lang w:val="zh-CN" w:eastAsia="zh-CN"/>
        </w:rPr>
        <w:t>即每（</w:t>
      </w:r>
      <w:r>
        <w:rPr>
          <w:lang w:val="zh-CN" w:eastAsia="zh-CN"/>
        </w:rPr>
        <w:t>6</w:t>
      </w:r>
      <w:r>
        <w:rPr>
          <w:lang w:val="zh-CN" w:eastAsia="zh-CN"/>
        </w:rPr>
        <w:t>）六个月向每个合作伙伴提交报告。为落实这一决定，成立了由财务资源管理部（</w:t>
      </w:r>
      <w:r>
        <w:rPr>
          <w:lang w:val="zh-CN" w:eastAsia="zh-CN"/>
        </w:rPr>
        <w:t>FRMD</w:t>
      </w:r>
      <w:r>
        <w:rPr>
          <w:lang w:val="zh-CN" w:eastAsia="zh-CN"/>
        </w:rPr>
        <w:t>）、信息服务部（</w:t>
      </w:r>
      <w:r>
        <w:rPr>
          <w:lang w:val="zh-CN" w:eastAsia="zh-CN"/>
        </w:rPr>
        <w:t>IS</w:t>
      </w:r>
      <w:r>
        <w:rPr>
          <w:lang w:val="zh-CN" w:eastAsia="zh-CN"/>
        </w:rPr>
        <w:t>）和电信发展局人员组成的团队，以方便人们</w:t>
      </w:r>
      <w:r w:rsidRPr="004D6D51">
        <w:rPr>
          <w:rFonts w:hint="eastAsia"/>
          <w:lang w:val="zh-CN" w:eastAsia="zh-CN"/>
        </w:rPr>
        <w:t>按需</w:t>
      </w:r>
      <w:r>
        <w:rPr>
          <w:lang w:val="zh-CN" w:eastAsia="zh-CN"/>
        </w:rPr>
        <w:t>查看与项目相关的交易</w:t>
      </w:r>
      <w:r>
        <w:rPr>
          <w:rFonts w:hint="eastAsia"/>
          <w:lang w:val="zh-CN" w:eastAsia="zh-CN"/>
        </w:rPr>
        <w:t>，</w:t>
      </w:r>
      <w:r>
        <w:rPr>
          <w:lang w:val="zh-CN" w:eastAsia="zh-CN"/>
        </w:rPr>
        <w:t>快速</w:t>
      </w:r>
      <w:r>
        <w:rPr>
          <w:rFonts w:hint="eastAsia"/>
          <w:lang w:val="zh-CN" w:eastAsia="zh-CN"/>
        </w:rPr>
        <w:t>跟踪</w:t>
      </w:r>
      <w:r>
        <w:rPr>
          <w:lang w:val="zh-CN" w:eastAsia="zh-CN"/>
        </w:rPr>
        <w:t>项目</w:t>
      </w:r>
      <w:r>
        <w:rPr>
          <w:rFonts w:hint="eastAsia"/>
          <w:lang w:val="zh-CN" w:eastAsia="zh-CN"/>
        </w:rPr>
        <w:t>的完结</w:t>
      </w:r>
      <w:r>
        <w:rPr>
          <w:lang w:val="zh-CN" w:eastAsia="zh-CN"/>
        </w:rPr>
        <w:t>，并确保及时提交财务报告。</w:t>
      </w:r>
    </w:p>
    <w:p w14:paraId="24AD94A4" w14:textId="2C35358E" w:rsidR="006B2C29" w:rsidRPr="002C7DC8" w:rsidRDefault="00FF110E" w:rsidP="002C7DC8">
      <w:pPr>
        <w:pStyle w:val="Heading1"/>
        <w:rPr>
          <w:lang w:eastAsia="zh-CN"/>
        </w:rPr>
      </w:pPr>
      <w:r w:rsidRPr="002C7DC8">
        <w:rPr>
          <w:rFonts w:hint="eastAsia"/>
          <w:lang w:eastAsia="zh-CN"/>
        </w:rPr>
        <w:t>2</w:t>
      </w:r>
      <w:r w:rsidRPr="002C7DC8">
        <w:rPr>
          <w:lang w:eastAsia="zh-CN"/>
        </w:rPr>
        <w:tab/>
      </w:r>
      <w:bookmarkEnd w:id="5"/>
      <w:proofErr w:type="spellStart"/>
      <w:r w:rsidR="00404E4F">
        <w:rPr>
          <w:lang w:val="zh-CN"/>
        </w:rPr>
        <w:t>目的</w:t>
      </w:r>
      <w:proofErr w:type="spellEnd"/>
    </w:p>
    <w:p w14:paraId="6E885CA6" w14:textId="6D1339BE" w:rsidR="00404E4F" w:rsidRPr="00FD39B7" w:rsidRDefault="00404E4F" w:rsidP="00404E4F">
      <w:pPr>
        <w:pStyle w:val="enumlev1"/>
        <w:rPr>
          <w:rFonts w:cstheme="minorHAnsi"/>
          <w:color w:val="0D0D0D"/>
          <w:lang w:eastAsia="zh-CN"/>
        </w:rPr>
      </w:pPr>
      <w:bookmarkStart w:id="6" w:name="lt_pId085"/>
      <w:r w:rsidRPr="00404E4F">
        <w:rPr>
          <w:lang w:val="zh-CN" w:eastAsia="zh-CN"/>
        </w:rPr>
        <w:t>–</w:t>
      </w:r>
      <w:r>
        <w:rPr>
          <w:lang w:val="zh-CN" w:eastAsia="zh-CN"/>
        </w:rPr>
        <w:tab/>
      </w:r>
      <w:r>
        <w:rPr>
          <w:lang w:val="zh-CN" w:eastAsia="zh-CN"/>
        </w:rPr>
        <w:t>目标是确保从</w:t>
      </w:r>
      <w:r>
        <w:rPr>
          <w:lang w:val="zh-CN" w:eastAsia="zh-CN"/>
        </w:rPr>
        <w:t>2024</w:t>
      </w:r>
      <w:r>
        <w:rPr>
          <w:lang w:val="zh-CN" w:eastAsia="zh-CN"/>
        </w:rPr>
        <w:t>年起进行实时</w:t>
      </w:r>
      <w:r>
        <w:rPr>
          <w:rFonts w:hint="eastAsia"/>
          <w:lang w:val="zh-CN" w:eastAsia="zh-CN"/>
        </w:rPr>
        <w:t>监督</w:t>
      </w:r>
      <w:r>
        <w:rPr>
          <w:lang w:val="zh-CN" w:eastAsia="zh-CN"/>
        </w:rPr>
        <w:t>和及时的财务报告。</w:t>
      </w:r>
      <w:r>
        <w:rPr>
          <w:rFonts w:hint="eastAsia"/>
          <w:lang w:val="zh-CN" w:eastAsia="zh-CN"/>
        </w:rPr>
        <w:t>这一措施可带来的好处包括：</w:t>
      </w:r>
      <w:r w:rsidRPr="004D6D51">
        <w:rPr>
          <w:rFonts w:ascii="STKaiti" w:eastAsia="STKaiti" w:hAnsi="STKaiti"/>
          <w:lang w:val="zh-CN" w:eastAsia="zh-CN"/>
        </w:rPr>
        <w:t>减少报告延误</w:t>
      </w:r>
      <w:r>
        <w:rPr>
          <w:lang w:val="zh-CN" w:eastAsia="zh-CN"/>
        </w:rPr>
        <w:t>：自动化系统将使国际电联能够即时生成和发布财务报告。国际电联目前的报告方法涉及冗长的数据收集、整合和处理工作。通过消除人工数据</w:t>
      </w:r>
      <w:r>
        <w:rPr>
          <w:rFonts w:hint="eastAsia"/>
          <w:lang w:val="zh-CN" w:eastAsia="zh-CN"/>
        </w:rPr>
        <w:t>录入</w:t>
      </w:r>
      <w:r>
        <w:rPr>
          <w:lang w:val="zh-CN" w:eastAsia="zh-CN"/>
        </w:rPr>
        <w:t>和简化报告工作流程，新的报告</w:t>
      </w:r>
      <w:r>
        <w:rPr>
          <w:rFonts w:hint="eastAsia"/>
          <w:lang w:val="zh-CN" w:eastAsia="zh-CN"/>
        </w:rPr>
        <w:t>机制</w:t>
      </w:r>
      <w:r>
        <w:rPr>
          <w:lang w:val="zh-CN" w:eastAsia="zh-CN"/>
        </w:rPr>
        <w:t>将最大限度地减少报告</w:t>
      </w:r>
      <w:r>
        <w:rPr>
          <w:rFonts w:hint="eastAsia"/>
          <w:lang w:val="zh-CN" w:eastAsia="zh-CN"/>
        </w:rPr>
        <w:t>延误</w:t>
      </w:r>
      <w:r>
        <w:rPr>
          <w:lang w:val="zh-CN" w:eastAsia="zh-CN"/>
        </w:rPr>
        <w:t>。</w:t>
      </w:r>
    </w:p>
    <w:p w14:paraId="005734AF" w14:textId="7AF353B7" w:rsidR="00404E4F" w:rsidRPr="00FD39B7" w:rsidRDefault="00404E4F" w:rsidP="00404E4F">
      <w:pPr>
        <w:pStyle w:val="enumlev1"/>
        <w:rPr>
          <w:rFonts w:cstheme="minorHAnsi"/>
          <w:color w:val="0D0D0D"/>
          <w:lang w:eastAsia="zh-CN"/>
        </w:rPr>
      </w:pPr>
      <w:r w:rsidRPr="00404E4F">
        <w:rPr>
          <w:lang w:val="zh-CN" w:eastAsia="zh-CN"/>
        </w:rPr>
        <w:t>–</w:t>
      </w:r>
      <w:r>
        <w:rPr>
          <w:lang w:val="zh-CN" w:eastAsia="zh-CN"/>
        </w:rPr>
        <w:tab/>
      </w:r>
      <w:r w:rsidRPr="00D94484">
        <w:rPr>
          <w:rFonts w:ascii="STKaiti" w:eastAsia="STKaiti" w:hAnsi="STKaiti"/>
          <w:lang w:val="zh-CN" w:eastAsia="zh-CN"/>
        </w:rPr>
        <w:t>实时可见性</w:t>
      </w:r>
      <w:r>
        <w:rPr>
          <w:lang w:val="zh-CN" w:eastAsia="zh-CN"/>
        </w:rPr>
        <w:t>：自动化的实时财务报告</w:t>
      </w:r>
      <w:r>
        <w:rPr>
          <w:rFonts w:hint="eastAsia"/>
          <w:lang w:val="zh-CN" w:eastAsia="zh-CN"/>
        </w:rPr>
        <w:t>可使</w:t>
      </w:r>
      <w:r>
        <w:rPr>
          <w:lang w:val="zh-CN" w:eastAsia="zh-CN"/>
        </w:rPr>
        <w:t>管理层和项目经理即时访问最新</w:t>
      </w:r>
      <w:r>
        <w:rPr>
          <w:rFonts w:hint="eastAsia"/>
          <w:lang w:val="zh-CN" w:eastAsia="zh-CN"/>
        </w:rPr>
        <w:t>的</w:t>
      </w:r>
      <w:r>
        <w:rPr>
          <w:lang w:val="zh-CN" w:eastAsia="zh-CN"/>
        </w:rPr>
        <w:t>财务信息。与当前定期生成的报告不同，实时报告将提供财务活动发生时的全面</w:t>
      </w:r>
      <w:r>
        <w:rPr>
          <w:rFonts w:hint="eastAsia"/>
          <w:lang w:val="zh-CN" w:eastAsia="zh-CN"/>
        </w:rPr>
        <w:t>态势</w:t>
      </w:r>
      <w:r>
        <w:rPr>
          <w:lang w:val="zh-CN" w:eastAsia="zh-CN"/>
        </w:rPr>
        <w:t>。这将使管理</w:t>
      </w:r>
      <w:r>
        <w:rPr>
          <w:rFonts w:hint="eastAsia"/>
          <w:lang w:val="zh-CN" w:eastAsia="zh-CN"/>
        </w:rPr>
        <w:t>层</w:t>
      </w:r>
      <w:r>
        <w:rPr>
          <w:lang w:val="zh-CN" w:eastAsia="zh-CN"/>
        </w:rPr>
        <w:t>和项目经理能够实时监控资金的使用情况，以减少资金滥用和欺诈行为。</w:t>
      </w:r>
      <w:r w:rsidRPr="00D94484">
        <w:rPr>
          <w:rFonts w:ascii="STKaiti" w:eastAsia="STKaiti" w:hAnsi="STKaiti"/>
          <w:lang w:val="zh-CN" w:eastAsia="zh-CN"/>
        </w:rPr>
        <w:t>及时决策</w:t>
      </w:r>
      <w:r>
        <w:rPr>
          <w:lang w:val="zh-CN" w:eastAsia="zh-CN"/>
        </w:rPr>
        <w:t>：自动化的实时财务报告将使项目经理和资金合作伙伴能够及时做出明智的决策，使他们能够</w:t>
      </w:r>
      <w:proofErr w:type="gramStart"/>
      <w:r>
        <w:rPr>
          <w:lang w:val="zh-CN" w:eastAsia="zh-CN"/>
        </w:rPr>
        <w:t>酌情就</w:t>
      </w:r>
      <w:proofErr w:type="gramEnd"/>
      <w:r>
        <w:rPr>
          <w:lang w:val="zh-CN" w:eastAsia="zh-CN"/>
        </w:rPr>
        <w:t>资源重新分配或预算项目调整做出早期决策。</w:t>
      </w:r>
    </w:p>
    <w:p w14:paraId="2C8CD21A" w14:textId="63DF8106" w:rsidR="00404E4F" w:rsidRPr="00FD39B7" w:rsidRDefault="00404E4F" w:rsidP="00404E4F">
      <w:pPr>
        <w:pStyle w:val="enumlev1"/>
        <w:rPr>
          <w:rFonts w:cstheme="minorHAnsi"/>
          <w:color w:val="0D0D0D"/>
          <w:lang w:eastAsia="zh-CN"/>
        </w:rPr>
      </w:pPr>
      <w:r w:rsidRPr="00404E4F">
        <w:rPr>
          <w:lang w:val="zh-CN" w:eastAsia="zh-CN"/>
        </w:rPr>
        <w:t>–</w:t>
      </w:r>
      <w:r>
        <w:rPr>
          <w:lang w:val="zh-CN" w:eastAsia="zh-CN"/>
        </w:rPr>
        <w:tab/>
      </w:r>
      <w:proofErr w:type="gramStart"/>
      <w:r w:rsidRPr="00D94484">
        <w:rPr>
          <w:rFonts w:ascii="STKaiti" w:eastAsia="STKaiti" w:hAnsi="STKaiti"/>
          <w:lang w:val="zh-CN" w:eastAsia="zh-CN"/>
        </w:rPr>
        <w:t>加强问</w:t>
      </w:r>
      <w:proofErr w:type="gramEnd"/>
      <w:r w:rsidRPr="00D94484">
        <w:rPr>
          <w:rFonts w:ascii="STKaiti" w:eastAsia="STKaiti" w:hAnsi="STKaiti"/>
          <w:lang w:val="zh-CN" w:eastAsia="zh-CN"/>
        </w:rPr>
        <w:t>责制和透明度</w:t>
      </w:r>
      <w:r>
        <w:rPr>
          <w:lang w:val="zh-CN" w:eastAsia="zh-CN"/>
        </w:rPr>
        <w:t>：实时报告将有助于加强透明度和问责制文化，</w:t>
      </w:r>
      <w:r>
        <w:rPr>
          <w:rFonts w:hint="eastAsia"/>
          <w:lang w:val="zh-CN" w:eastAsia="zh-CN"/>
        </w:rPr>
        <w:t>形成</w:t>
      </w:r>
      <w:r>
        <w:rPr>
          <w:lang w:val="zh-CN" w:eastAsia="zh-CN"/>
        </w:rPr>
        <w:t>负责任的财务管理做法，并将管理不善和欺诈的风险降至最低。这项工作在国际电联的问责制框架内开展。</w:t>
      </w:r>
    </w:p>
    <w:p w14:paraId="24EE00E4" w14:textId="41D2CA5B" w:rsidR="00FF110E" w:rsidRPr="002C7DC8" w:rsidRDefault="00FF110E" w:rsidP="002C7DC8">
      <w:pPr>
        <w:pStyle w:val="Heading1"/>
        <w:rPr>
          <w:lang w:eastAsia="zh-CN"/>
        </w:rPr>
      </w:pPr>
      <w:r w:rsidRPr="002C7DC8">
        <w:rPr>
          <w:rFonts w:hint="eastAsia"/>
          <w:lang w:eastAsia="zh-CN"/>
        </w:rPr>
        <w:t>3</w:t>
      </w:r>
      <w:r w:rsidRPr="002C7DC8">
        <w:rPr>
          <w:lang w:eastAsia="zh-CN"/>
        </w:rPr>
        <w:tab/>
      </w:r>
      <w:r w:rsidR="00404E4F">
        <w:rPr>
          <w:lang w:val="zh-CN" w:eastAsia="zh-CN"/>
        </w:rPr>
        <w:t>现状</w:t>
      </w:r>
    </w:p>
    <w:p w14:paraId="3494D37B" w14:textId="77777777" w:rsidR="00404E4F" w:rsidRPr="00FD39B7" w:rsidRDefault="00404E4F" w:rsidP="00404E4F">
      <w:pPr>
        <w:ind w:firstLineChars="200" w:firstLine="480"/>
        <w:rPr>
          <w:rFonts w:cstheme="minorHAnsi"/>
          <w:szCs w:val="24"/>
          <w:lang w:eastAsia="zh-CN"/>
        </w:rPr>
      </w:pPr>
      <w:bookmarkStart w:id="7" w:name="Proposal"/>
      <w:bookmarkStart w:id="8" w:name="lt_pId086"/>
      <w:bookmarkEnd w:id="6"/>
      <w:bookmarkEnd w:id="7"/>
      <w:r>
        <w:rPr>
          <w:lang w:val="zh-CN" w:eastAsia="zh-CN"/>
        </w:rPr>
        <w:t>2024</w:t>
      </w:r>
      <w:r>
        <w:rPr>
          <w:lang w:val="zh-CN" w:eastAsia="zh-CN"/>
        </w:rPr>
        <w:t>年</w:t>
      </w:r>
      <w:r>
        <w:rPr>
          <w:lang w:val="zh-CN" w:eastAsia="zh-CN"/>
        </w:rPr>
        <w:t>4</w:t>
      </w:r>
      <w:r>
        <w:rPr>
          <w:lang w:val="zh-CN" w:eastAsia="zh-CN"/>
        </w:rPr>
        <w:t>月成立了一个项目小组，以研究所需</w:t>
      </w:r>
      <w:r>
        <w:rPr>
          <w:lang w:val="zh-CN" w:eastAsia="zh-CN"/>
        </w:rPr>
        <w:t>IT</w:t>
      </w:r>
      <w:r>
        <w:rPr>
          <w:lang w:val="zh-CN" w:eastAsia="zh-CN"/>
        </w:rPr>
        <w:t>改进</w:t>
      </w:r>
      <w:r>
        <w:rPr>
          <w:rFonts w:hint="eastAsia"/>
          <w:lang w:val="zh-CN" w:eastAsia="zh-CN"/>
        </w:rPr>
        <w:t>工作</w:t>
      </w:r>
      <w:r>
        <w:rPr>
          <w:lang w:val="zh-CN" w:eastAsia="zh-CN"/>
        </w:rPr>
        <w:t>的范围并制定适当的解决方案。在国际电联，</w:t>
      </w:r>
      <w:r>
        <w:rPr>
          <w:lang w:val="zh-CN" w:eastAsia="zh-CN"/>
        </w:rPr>
        <w:t>SAP</w:t>
      </w:r>
      <w:r>
        <w:rPr>
          <w:lang w:val="zh-CN" w:eastAsia="zh-CN"/>
        </w:rPr>
        <w:t>是财务交易的中央存储库。但是，</w:t>
      </w:r>
      <w:r>
        <w:rPr>
          <w:rFonts w:hint="eastAsia"/>
          <w:lang w:val="zh-CN" w:eastAsia="zh-CN"/>
        </w:rPr>
        <w:t>遇到</w:t>
      </w:r>
      <w:r>
        <w:rPr>
          <w:lang w:val="zh-CN" w:eastAsia="zh-CN"/>
        </w:rPr>
        <w:t>了与数据提取和数据质量有关的问题。通过目前的干预</w:t>
      </w:r>
      <w:r>
        <w:rPr>
          <w:rFonts w:hint="eastAsia"/>
          <w:lang w:val="zh-CN" w:eastAsia="zh-CN"/>
        </w:rPr>
        <w:t>措施</w:t>
      </w:r>
      <w:r>
        <w:rPr>
          <w:lang w:val="zh-CN" w:eastAsia="zh-CN"/>
        </w:rPr>
        <w:t>，已经开发出解决方案并开始测试。</w:t>
      </w:r>
    </w:p>
    <w:p w14:paraId="4C81D440" w14:textId="77777777" w:rsidR="00404E4F" w:rsidRPr="00FD39B7" w:rsidRDefault="00404E4F" w:rsidP="00404E4F">
      <w:pPr>
        <w:ind w:firstLineChars="200" w:firstLine="480"/>
        <w:rPr>
          <w:rFonts w:cstheme="minorHAnsi"/>
          <w:szCs w:val="24"/>
          <w:lang w:eastAsia="zh-CN"/>
        </w:rPr>
      </w:pPr>
      <w:r>
        <w:rPr>
          <w:lang w:val="zh-CN" w:eastAsia="zh-CN"/>
        </w:rPr>
        <w:t>到</w:t>
      </w:r>
      <w:r>
        <w:rPr>
          <w:lang w:val="zh-CN" w:eastAsia="zh-CN"/>
        </w:rPr>
        <w:t>2024</w:t>
      </w:r>
      <w:r>
        <w:rPr>
          <w:lang w:val="zh-CN" w:eastAsia="zh-CN"/>
        </w:rPr>
        <w:t>年</w:t>
      </w:r>
      <w:r>
        <w:rPr>
          <w:lang w:val="zh-CN" w:eastAsia="zh-CN"/>
        </w:rPr>
        <w:t>6</w:t>
      </w:r>
      <w:r>
        <w:rPr>
          <w:lang w:val="zh-CN" w:eastAsia="zh-CN"/>
        </w:rPr>
        <w:t>月，电信发展局的一些项目将作为测试自动报告</w:t>
      </w:r>
      <w:r>
        <w:rPr>
          <w:rFonts w:hint="eastAsia"/>
          <w:lang w:val="zh-CN" w:eastAsia="zh-CN"/>
        </w:rPr>
        <w:t>机制</w:t>
      </w:r>
      <w:r>
        <w:rPr>
          <w:lang w:val="zh-CN" w:eastAsia="zh-CN"/>
        </w:rPr>
        <w:t>的原型。如果概念验证成功，那么其余项目将</w:t>
      </w:r>
      <w:r>
        <w:rPr>
          <w:rFonts w:hint="eastAsia"/>
          <w:lang w:val="zh-CN" w:eastAsia="zh-CN"/>
        </w:rPr>
        <w:t>进行</w:t>
      </w:r>
      <w:r>
        <w:rPr>
          <w:lang w:val="zh-CN" w:eastAsia="zh-CN"/>
        </w:rPr>
        <w:t>自动化</w:t>
      </w:r>
      <w:r>
        <w:rPr>
          <w:rFonts w:hint="eastAsia"/>
          <w:lang w:val="zh-CN" w:eastAsia="zh-CN"/>
        </w:rPr>
        <w:t>处理</w:t>
      </w:r>
      <w:r>
        <w:rPr>
          <w:lang w:val="zh-CN" w:eastAsia="zh-CN"/>
        </w:rPr>
        <w:t>，包括开发</w:t>
      </w:r>
      <w:r>
        <w:rPr>
          <w:lang w:val="zh-CN" w:eastAsia="zh-CN"/>
        </w:rPr>
        <w:t>Power BI</w:t>
      </w:r>
      <w:r>
        <w:rPr>
          <w:rFonts w:hint="eastAsia"/>
          <w:lang w:val="zh-CN" w:eastAsia="zh-CN"/>
        </w:rPr>
        <w:t>信息概览</w:t>
      </w:r>
      <w:r>
        <w:rPr>
          <w:lang w:val="zh-CN" w:eastAsia="zh-CN"/>
        </w:rPr>
        <w:t>作为提供数据可视化和报告平台的智能工具。这项工作的结果将提交未来的</w:t>
      </w:r>
      <w:r>
        <w:rPr>
          <w:lang w:val="zh-CN" w:eastAsia="zh-CN"/>
        </w:rPr>
        <w:t>TDAG</w:t>
      </w:r>
      <w:r>
        <w:rPr>
          <w:lang w:val="zh-CN" w:eastAsia="zh-CN"/>
        </w:rPr>
        <w:t>会议。</w:t>
      </w:r>
    </w:p>
    <w:p w14:paraId="2BB8686D" w14:textId="77777777" w:rsidR="00404E4F" w:rsidRDefault="00404E4F" w:rsidP="00404E4F">
      <w:pPr>
        <w:ind w:firstLineChars="200" w:firstLine="480"/>
        <w:rPr>
          <w:lang w:eastAsia="zh-CN"/>
        </w:rPr>
      </w:pPr>
      <w:r>
        <w:rPr>
          <w:lang w:val="zh-CN" w:eastAsia="zh-CN"/>
        </w:rPr>
        <w:t>请</w:t>
      </w:r>
      <w:r>
        <w:rPr>
          <w:lang w:val="zh-CN" w:eastAsia="zh-CN"/>
        </w:rPr>
        <w:t>TDAG</w:t>
      </w:r>
      <w:r>
        <w:rPr>
          <w:lang w:val="zh-CN" w:eastAsia="zh-CN"/>
        </w:rPr>
        <w:t>将本文件记录在案并酌情提供指导。</w:t>
      </w:r>
    </w:p>
    <w:p w14:paraId="75A33FD8" w14:textId="57ED20B2" w:rsidR="00821996" w:rsidRPr="006B2C29" w:rsidRDefault="006B2C29" w:rsidP="006B2C29">
      <w:pPr>
        <w:tabs>
          <w:tab w:val="clear" w:pos="794"/>
          <w:tab w:val="clear" w:pos="1191"/>
          <w:tab w:val="clear" w:pos="1588"/>
          <w:tab w:val="clear" w:pos="1985"/>
        </w:tabs>
        <w:spacing w:after="120"/>
        <w:jc w:val="center"/>
        <w:rPr>
          <w:rFonts w:cstheme="minorHAnsi"/>
        </w:rPr>
      </w:pPr>
      <w:r w:rsidRPr="00821C34">
        <w:rPr>
          <w:rFonts w:cstheme="minorHAnsi"/>
        </w:rPr>
        <w:t>_______________</w:t>
      </w:r>
      <w:bookmarkEnd w:id="8"/>
    </w:p>
    <w:sectPr w:rsidR="00821996" w:rsidRPr="006B2C29" w:rsidSect="003A416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B22A" w14:textId="77777777" w:rsidR="003A4161" w:rsidRDefault="003A4161">
      <w:r>
        <w:separator/>
      </w:r>
    </w:p>
  </w:endnote>
  <w:endnote w:type="continuationSeparator" w:id="0">
    <w:p w14:paraId="1B62CF06" w14:textId="77777777" w:rsidR="003A4161" w:rsidRDefault="003A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4F56ACCF" w14:textId="77777777" w:rsidTr="004E3CF5">
      <w:tc>
        <w:tcPr>
          <w:tcW w:w="1526" w:type="dxa"/>
          <w:tcBorders>
            <w:top w:val="single" w:sz="4" w:space="0" w:color="000000"/>
          </w:tcBorders>
          <w:shd w:val="clear" w:color="auto" w:fill="auto"/>
        </w:tcPr>
        <w:p w14:paraId="5969EF99" w14:textId="77777777" w:rsidR="00966BA6" w:rsidRPr="004D495C" w:rsidRDefault="00966BA6" w:rsidP="00966BA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5019B7CB" w14:textId="77777777" w:rsidR="00966BA6" w:rsidRPr="004D495C" w:rsidRDefault="00966BA6" w:rsidP="00966BA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05ACC037" w14:textId="648BAD6D" w:rsidR="00966BA6" w:rsidRPr="00AF7A97" w:rsidRDefault="00CE491A" w:rsidP="00966BA6">
          <w:pPr>
            <w:pStyle w:val="FirstFooter"/>
            <w:tabs>
              <w:tab w:val="left" w:pos="2302"/>
            </w:tabs>
            <w:rPr>
              <w:sz w:val="18"/>
              <w:szCs w:val="18"/>
              <w:lang w:val="en-US"/>
            </w:rPr>
          </w:pPr>
          <w:r w:rsidRPr="00CE491A">
            <w:rPr>
              <w:rFonts w:hint="eastAsia"/>
              <w:sz w:val="18"/>
              <w:szCs w:val="18"/>
              <w:lang w:val="en-GB" w:eastAsia="zh-CN"/>
            </w:rPr>
            <w:t>财务资源管理</w:t>
          </w:r>
          <w:proofErr w:type="gramStart"/>
          <w:r w:rsidRPr="00CE491A">
            <w:rPr>
              <w:rFonts w:hint="eastAsia"/>
              <w:sz w:val="18"/>
              <w:szCs w:val="18"/>
              <w:lang w:val="en-GB" w:eastAsia="zh-CN"/>
            </w:rPr>
            <w:t>部预算</w:t>
          </w:r>
          <w:proofErr w:type="gramEnd"/>
          <w:r w:rsidRPr="00CE491A">
            <w:rPr>
              <w:rFonts w:hint="eastAsia"/>
              <w:sz w:val="18"/>
              <w:szCs w:val="18"/>
              <w:lang w:val="en-GB" w:eastAsia="zh-CN"/>
            </w:rPr>
            <w:t>外资金控制处处长</w:t>
          </w:r>
          <w:r w:rsidRPr="00CE491A">
            <w:rPr>
              <w:rFonts w:hint="eastAsia"/>
              <w:sz w:val="18"/>
              <w:szCs w:val="18"/>
              <w:lang w:val="en-GB" w:eastAsia="zh-CN"/>
            </w:rPr>
            <w:t>Jude Mariani</w:t>
          </w:r>
          <w:r w:rsidRPr="00CE491A">
            <w:rPr>
              <w:rFonts w:hint="eastAsia"/>
              <w:sz w:val="18"/>
              <w:szCs w:val="18"/>
              <w:lang w:val="en-GB" w:eastAsia="zh-CN"/>
            </w:rPr>
            <w:t>女士</w:t>
          </w:r>
        </w:p>
      </w:tc>
      <w:bookmarkStart w:id="9" w:name="OrgName"/>
      <w:bookmarkEnd w:id="9"/>
    </w:tr>
    <w:tr w:rsidR="00966BA6" w:rsidRPr="004D495C" w14:paraId="0DAD1958" w14:textId="77777777" w:rsidTr="004E3CF5">
      <w:tc>
        <w:tcPr>
          <w:tcW w:w="1526" w:type="dxa"/>
          <w:shd w:val="clear" w:color="auto" w:fill="auto"/>
        </w:tcPr>
        <w:p w14:paraId="4B306F32"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1C269D85" w14:textId="77777777"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1075AE51" w14:textId="09458C85" w:rsidR="00966BA6" w:rsidRPr="00AF7A97" w:rsidRDefault="00CE491A" w:rsidP="00966BA6">
          <w:pPr>
            <w:pStyle w:val="FirstFooter"/>
            <w:tabs>
              <w:tab w:val="left" w:pos="2302"/>
            </w:tabs>
            <w:rPr>
              <w:sz w:val="18"/>
              <w:szCs w:val="18"/>
              <w:lang w:val="en-US"/>
            </w:rPr>
          </w:pPr>
          <w:r w:rsidRPr="00CE491A">
            <w:rPr>
              <w:sz w:val="18"/>
              <w:szCs w:val="18"/>
              <w:lang w:val="en-US" w:eastAsia="zh-CN"/>
            </w:rPr>
            <w:t>+41 22 730 6163</w:t>
          </w:r>
        </w:p>
      </w:tc>
      <w:bookmarkStart w:id="10" w:name="PhoneNo"/>
      <w:bookmarkEnd w:id="10"/>
    </w:tr>
    <w:tr w:rsidR="00966BA6" w:rsidRPr="004D495C" w14:paraId="6F786FB0" w14:textId="77777777" w:rsidTr="004E3CF5">
      <w:tc>
        <w:tcPr>
          <w:tcW w:w="1526" w:type="dxa"/>
          <w:shd w:val="clear" w:color="auto" w:fill="auto"/>
        </w:tcPr>
        <w:p w14:paraId="44B1F61F"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7A3BE317" w14:textId="77777777"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6683F5C5" w14:textId="7B8188BF" w:rsidR="00966BA6" w:rsidRPr="006B2C29" w:rsidRDefault="00CE491A" w:rsidP="00966BA6">
          <w:pPr>
            <w:pStyle w:val="FirstFooter"/>
            <w:tabs>
              <w:tab w:val="left" w:pos="2302"/>
            </w:tabs>
            <w:rPr>
              <w:sz w:val="18"/>
              <w:szCs w:val="18"/>
              <w:lang w:val="en-US"/>
            </w:rPr>
          </w:pPr>
          <w:hyperlink r:id="rId1" w:history="1">
            <w:r w:rsidRPr="00CE491A">
              <w:rPr>
                <w:rStyle w:val="Hyperlink"/>
                <w:sz w:val="18"/>
                <w:szCs w:val="18"/>
                <w:lang w:val="en-US"/>
              </w:rPr>
              <w:t>jude.mariani@itu.int</w:t>
            </w:r>
          </w:hyperlink>
        </w:p>
      </w:tc>
      <w:bookmarkStart w:id="11" w:name="Email"/>
      <w:bookmarkEnd w:id="11"/>
    </w:tr>
  </w:tbl>
  <w:p w14:paraId="7A61AD11" w14:textId="77777777" w:rsidR="00721657" w:rsidRPr="0059420B" w:rsidRDefault="00404E4F" w:rsidP="00B80157">
    <w:pPr>
      <w:pStyle w:val="Footer"/>
      <w:jc w:val="center"/>
      <w:rPr>
        <w:lang w:val="en-GB"/>
      </w:rPr>
    </w:pPr>
    <w:hyperlink r:id="rId2" w:history="1"/>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2EFD" w14:textId="77777777" w:rsidR="003A4161" w:rsidRDefault="003A4161">
      <w:r>
        <w:t>____________________</w:t>
      </w:r>
    </w:p>
  </w:footnote>
  <w:footnote w:type="continuationSeparator" w:id="0">
    <w:p w14:paraId="12B7E3C4" w14:textId="77777777" w:rsidR="003A4161" w:rsidRDefault="003A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7914" w14:textId="25D27730"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CE491A">
      <w:rPr>
        <w:sz w:val="22"/>
        <w:szCs w:val="22"/>
        <w:lang w:val="de-CH" w:eastAsia="zh-CN"/>
      </w:rPr>
      <w:t>36</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A4E0F31"/>
    <w:multiLevelType w:val="multilevel"/>
    <w:tmpl w:val="C9AED5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2386941">
    <w:abstractNumId w:val="1"/>
  </w:num>
  <w:num w:numId="2" w16cid:durableId="803236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2595133">
    <w:abstractNumId w:val="2"/>
    <w:lvlOverride w:ilvl="0">
      <w:lvl w:ilvl="0">
        <w:start w:val="1"/>
        <w:numFmt w:val="bullet"/>
        <w:lvlText w:val=""/>
        <w:lvlJc w:val="left"/>
        <w:pPr>
          <w:tabs>
            <w:tab w:val="num" w:pos="720"/>
          </w:tabs>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28BF"/>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29FB"/>
    <w:rsid w:val="00147000"/>
    <w:rsid w:val="001601D5"/>
    <w:rsid w:val="0016219B"/>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0E74"/>
    <w:rsid w:val="001F23E6"/>
    <w:rsid w:val="001F4238"/>
    <w:rsid w:val="00200A38"/>
    <w:rsid w:val="00200A46"/>
    <w:rsid w:val="00211B6F"/>
    <w:rsid w:val="00217CC3"/>
    <w:rsid w:val="00220AB6"/>
    <w:rsid w:val="0022120F"/>
    <w:rsid w:val="0022754A"/>
    <w:rsid w:val="00236560"/>
    <w:rsid w:val="0023662E"/>
    <w:rsid w:val="00245BAA"/>
    <w:rsid w:val="00245D0F"/>
    <w:rsid w:val="002548C3"/>
    <w:rsid w:val="002576B6"/>
    <w:rsid w:val="00257ACD"/>
    <w:rsid w:val="00262908"/>
    <w:rsid w:val="002650F4"/>
    <w:rsid w:val="002715FD"/>
    <w:rsid w:val="002770B1"/>
    <w:rsid w:val="00285B33"/>
    <w:rsid w:val="00287A3C"/>
    <w:rsid w:val="002A2FC6"/>
    <w:rsid w:val="002A6E8E"/>
    <w:rsid w:val="002A71D6"/>
    <w:rsid w:val="002B29F6"/>
    <w:rsid w:val="002C1EC7"/>
    <w:rsid w:val="002C3015"/>
    <w:rsid w:val="002C4342"/>
    <w:rsid w:val="002C7DC8"/>
    <w:rsid w:val="002C7EA3"/>
    <w:rsid w:val="002C7FE9"/>
    <w:rsid w:val="002D20AE"/>
    <w:rsid w:val="002D6C61"/>
    <w:rsid w:val="002E2104"/>
    <w:rsid w:val="002E2DAC"/>
    <w:rsid w:val="002E6963"/>
    <w:rsid w:val="002E6F8F"/>
    <w:rsid w:val="002F05D8"/>
    <w:rsid w:val="002F2DE0"/>
    <w:rsid w:val="002F5E25"/>
    <w:rsid w:val="0030290B"/>
    <w:rsid w:val="0030353C"/>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11BB"/>
    <w:rsid w:val="003A353C"/>
    <w:rsid w:val="003A4161"/>
    <w:rsid w:val="003A5AFE"/>
    <w:rsid w:val="003A5D5F"/>
    <w:rsid w:val="003A7FFE"/>
    <w:rsid w:val="003B0A63"/>
    <w:rsid w:val="003B50E1"/>
    <w:rsid w:val="003C1746"/>
    <w:rsid w:val="003C2AA9"/>
    <w:rsid w:val="003C58BF"/>
    <w:rsid w:val="003D308A"/>
    <w:rsid w:val="003D451D"/>
    <w:rsid w:val="003E3102"/>
    <w:rsid w:val="003F2DD8"/>
    <w:rsid w:val="003F3F2D"/>
    <w:rsid w:val="003F50B2"/>
    <w:rsid w:val="00400CCF"/>
    <w:rsid w:val="00401BFF"/>
    <w:rsid w:val="00403E11"/>
    <w:rsid w:val="00404424"/>
    <w:rsid w:val="00404E4F"/>
    <w:rsid w:val="0041156B"/>
    <w:rsid w:val="004122C5"/>
    <w:rsid w:val="00413B78"/>
    <w:rsid w:val="00416DDE"/>
    <w:rsid w:val="00427418"/>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6F0A"/>
    <w:rsid w:val="005477D9"/>
    <w:rsid w:val="0055148E"/>
    <w:rsid w:val="0055720C"/>
    <w:rsid w:val="00561796"/>
    <w:rsid w:val="00562DD4"/>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20E3"/>
    <w:rsid w:val="0065521B"/>
    <w:rsid w:val="00660F8D"/>
    <w:rsid w:val="00671EF6"/>
    <w:rsid w:val="0067205B"/>
    <w:rsid w:val="006748F8"/>
    <w:rsid w:val="00680489"/>
    <w:rsid w:val="00683C32"/>
    <w:rsid w:val="00690BB2"/>
    <w:rsid w:val="00693D09"/>
    <w:rsid w:val="006A6549"/>
    <w:rsid w:val="006A7710"/>
    <w:rsid w:val="006A7A61"/>
    <w:rsid w:val="006B1E59"/>
    <w:rsid w:val="006B2C29"/>
    <w:rsid w:val="006B2FFB"/>
    <w:rsid w:val="006B650A"/>
    <w:rsid w:val="006B66E2"/>
    <w:rsid w:val="006C10A2"/>
    <w:rsid w:val="006C1F18"/>
    <w:rsid w:val="006D40D5"/>
    <w:rsid w:val="006F009A"/>
    <w:rsid w:val="006F3D93"/>
    <w:rsid w:val="007019B1"/>
    <w:rsid w:val="00706FDF"/>
    <w:rsid w:val="00721657"/>
    <w:rsid w:val="007279A8"/>
    <w:rsid w:val="00727B1A"/>
    <w:rsid w:val="007305F4"/>
    <w:rsid w:val="00741337"/>
    <w:rsid w:val="00752258"/>
    <w:rsid w:val="007529E1"/>
    <w:rsid w:val="00762880"/>
    <w:rsid w:val="00762AD6"/>
    <w:rsid w:val="00762E02"/>
    <w:rsid w:val="00766D0E"/>
    <w:rsid w:val="00772290"/>
    <w:rsid w:val="00777265"/>
    <w:rsid w:val="007805E7"/>
    <w:rsid w:val="0078222A"/>
    <w:rsid w:val="0078789B"/>
    <w:rsid w:val="00787D48"/>
    <w:rsid w:val="00795294"/>
    <w:rsid w:val="007A0F08"/>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5C14"/>
    <w:rsid w:val="00852081"/>
    <w:rsid w:val="008640F2"/>
    <w:rsid w:val="00871568"/>
    <w:rsid w:val="00872B6E"/>
    <w:rsid w:val="00874DFD"/>
    <w:rsid w:val="008802F9"/>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9C5"/>
    <w:rsid w:val="00922EC1"/>
    <w:rsid w:val="00923CF1"/>
    <w:rsid w:val="009301F1"/>
    <w:rsid w:val="009307DF"/>
    <w:rsid w:val="00933E67"/>
    <w:rsid w:val="009359B8"/>
    <w:rsid w:val="00935FF0"/>
    <w:rsid w:val="009431F8"/>
    <w:rsid w:val="00947A35"/>
    <w:rsid w:val="00952667"/>
    <w:rsid w:val="0096201B"/>
    <w:rsid w:val="00962081"/>
    <w:rsid w:val="00966BA6"/>
    <w:rsid w:val="00966CB5"/>
    <w:rsid w:val="00967111"/>
    <w:rsid w:val="00975786"/>
    <w:rsid w:val="00981A96"/>
    <w:rsid w:val="00981CB7"/>
    <w:rsid w:val="00983E1F"/>
    <w:rsid w:val="00993F46"/>
    <w:rsid w:val="00997358"/>
    <w:rsid w:val="009A28A9"/>
    <w:rsid w:val="009A452B"/>
    <w:rsid w:val="009B050C"/>
    <w:rsid w:val="009B087F"/>
    <w:rsid w:val="009B2AF4"/>
    <w:rsid w:val="009C110B"/>
    <w:rsid w:val="009C5441"/>
    <w:rsid w:val="009D119F"/>
    <w:rsid w:val="009D49A2"/>
    <w:rsid w:val="009E357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49DF"/>
    <w:rsid w:val="00A966B1"/>
    <w:rsid w:val="00A97D59"/>
    <w:rsid w:val="00AA3E09"/>
    <w:rsid w:val="00AA4BEF"/>
    <w:rsid w:val="00AB1659"/>
    <w:rsid w:val="00AB47C3"/>
    <w:rsid w:val="00AB4962"/>
    <w:rsid w:val="00AB734E"/>
    <w:rsid w:val="00AB740F"/>
    <w:rsid w:val="00AC6F14"/>
    <w:rsid w:val="00AC7221"/>
    <w:rsid w:val="00AD4677"/>
    <w:rsid w:val="00AE5961"/>
    <w:rsid w:val="00AF0745"/>
    <w:rsid w:val="00AF4971"/>
    <w:rsid w:val="00AF5276"/>
    <w:rsid w:val="00AF7C86"/>
    <w:rsid w:val="00B01046"/>
    <w:rsid w:val="00B310F9"/>
    <w:rsid w:val="00B339A9"/>
    <w:rsid w:val="00B37866"/>
    <w:rsid w:val="00B412FB"/>
    <w:rsid w:val="00B4576B"/>
    <w:rsid w:val="00B46350"/>
    <w:rsid w:val="00B46DF3"/>
    <w:rsid w:val="00B648C7"/>
    <w:rsid w:val="00B66E8F"/>
    <w:rsid w:val="00B713FB"/>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25C58"/>
    <w:rsid w:val="00C34EC3"/>
    <w:rsid w:val="00C36A89"/>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5BD1"/>
    <w:rsid w:val="00CA1F0B"/>
    <w:rsid w:val="00CB110F"/>
    <w:rsid w:val="00CB2A2E"/>
    <w:rsid w:val="00CB31E8"/>
    <w:rsid w:val="00CB338A"/>
    <w:rsid w:val="00CB79C5"/>
    <w:rsid w:val="00CC411F"/>
    <w:rsid w:val="00CC4B75"/>
    <w:rsid w:val="00CC732E"/>
    <w:rsid w:val="00CD2FCD"/>
    <w:rsid w:val="00CD7207"/>
    <w:rsid w:val="00CE0422"/>
    <w:rsid w:val="00CE0DBE"/>
    <w:rsid w:val="00CE491A"/>
    <w:rsid w:val="00CE5E4D"/>
    <w:rsid w:val="00CF02C4"/>
    <w:rsid w:val="00CF167F"/>
    <w:rsid w:val="00CF72E5"/>
    <w:rsid w:val="00D013EE"/>
    <w:rsid w:val="00D01F54"/>
    <w:rsid w:val="00D040F7"/>
    <w:rsid w:val="00D04A76"/>
    <w:rsid w:val="00D10FC7"/>
    <w:rsid w:val="00D1519F"/>
    <w:rsid w:val="00D17AD4"/>
    <w:rsid w:val="00D20E99"/>
    <w:rsid w:val="00D21C83"/>
    <w:rsid w:val="00D35BDD"/>
    <w:rsid w:val="00D63006"/>
    <w:rsid w:val="00D72301"/>
    <w:rsid w:val="00D911DE"/>
    <w:rsid w:val="00D91B97"/>
    <w:rsid w:val="00D93ACC"/>
    <w:rsid w:val="00D93C08"/>
    <w:rsid w:val="00D95DAC"/>
    <w:rsid w:val="00DA0B53"/>
    <w:rsid w:val="00DA2688"/>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0C7B"/>
    <w:rsid w:val="00E11BCF"/>
    <w:rsid w:val="00E159B4"/>
    <w:rsid w:val="00E2258E"/>
    <w:rsid w:val="00E260C2"/>
    <w:rsid w:val="00E32596"/>
    <w:rsid w:val="00E368F7"/>
    <w:rsid w:val="00E36EB8"/>
    <w:rsid w:val="00E37FB8"/>
    <w:rsid w:val="00E40B07"/>
    <w:rsid w:val="00E42326"/>
    <w:rsid w:val="00E43544"/>
    <w:rsid w:val="00E44D89"/>
    <w:rsid w:val="00E477EA"/>
    <w:rsid w:val="00E54F62"/>
    <w:rsid w:val="00E55807"/>
    <w:rsid w:val="00E63B14"/>
    <w:rsid w:val="00E65CA0"/>
    <w:rsid w:val="00E70D9F"/>
    <w:rsid w:val="00E83766"/>
    <w:rsid w:val="00E83810"/>
    <w:rsid w:val="00E86933"/>
    <w:rsid w:val="00E9605B"/>
    <w:rsid w:val="00E97298"/>
    <w:rsid w:val="00E97753"/>
    <w:rsid w:val="00EA0C51"/>
    <w:rsid w:val="00EA7DE7"/>
    <w:rsid w:val="00EB7A8A"/>
    <w:rsid w:val="00EC38BF"/>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5DFC"/>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110E"/>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5F080"/>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Listenabsatz Standard"/>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4-Accent1">
    <w:name w:val="Grid Table 4 Accent 1"/>
    <w:basedOn w:val="TableNormal"/>
    <w:uiPriority w:val="49"/>
    <w:rsid w:val="006B2C29"/>
    <w:rPr>
      <w:rFonts w:eastAsia="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562DD4"/>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CE491A"/>
    <w:rPr>
      <w:color w:val="605E5C"/>
      <w:shd w:val="clear" w:color="auto" w:fill="E1DFDD"/>
    </w:rPr>
  </w:style>
  <w:style w:type="character" w:customStyle="1" w:styleId="ListParagraphChar">
    <w:name w:val="List Paragraph Char"/>
    <w:aliases w:val="List Paragraph1 Char,Recommendation Char,List Paragraph11 Char,Listenabsatz Standard Char"/>
    <w:basedOn w:val="DefaultParagraphFont"/>
    <w:link w:val="ListParagraph"/>
    <w:uiPriority w:val="34"/>
    <w:locked/>
    <w:rsid w:val="00404E4F"/>
    <w:rPr>
      <w:rFonts w:asciiTheme="minorHAnsi" w:hAnsiTheme="minorHAnsi"/>
      <w:sz w:val="24"/>
      <w:lang w:val="en-GB" w:eastAsia="en-US"/>
    </w:rPr>
  </w:style>
  <w:style w:type="paragraph" w:styleId="NormalWeb">
    <w:name w:val="Normal (Web)"/>
    <w:basedOn w:val="Normal"/>
    <w:uiPriority w:val="99"/>
    <w:semiHidden/>
    <w:unhideWhenUsed/>
    <w:rsid w:val="00404E4F"/>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eastAsia="SimSun" w:hAnsi="Times New Roman"/>
      <w:sz w:val="21"/>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jude.marian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1071</Words>
  <Characters>162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DI, Chenjing</dc:creator>
  <cp:lastModifiedBy>Li, Kehan</cp:lastModifiedBy>
  <cp:revision>6</cp:revision>
  <cp:lastPrinted>2014-11-04T09:22:00Z</cp:lastPrinted>
  <dcterms:created xsi:type="dcterms:W3CDTF">2024-05-06T09:45:00Z</dcterms:created>
  <dcterms:modified xsi:type="dcterms:W3CDTF">2024-05-13T12:11:00Z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