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514910A4"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8623C4">
              <w:rPr>
                <w:b/>
                <w:bCs/>
                <w:lang w:val="en-US"/>
              </w:rPr>
              <w:t>3</w:t>
            </w:r>
            <w:r w:rsidR="00B476A7">
              <w:rPr>
                <w:b/>
                <w:bCs/>
                <w:lang w:val="en-US"/>
              </w:rPr>
              <w:t>9</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B08B0C0" w:rsidR="00683C32" w:rsidRPr="007F1CC7" w:rsidRDefault="00B476A7" w:rsidP="00B648C7">
            <w:pPr>
              <w:spacing w:before="0"/>
              <w:rPr>
                <w:b/>
                <w:szCs w:val="24"/>
              </w:rPr>
            </w:pPr>
            <w:bookmarkStart w:id="2" w:name="CreationDate"/>
            <w:bookmarkEnd w:id="2"/>
            <w:r>
              <w:rPr>
                <w:b/>
                <w:bCs/>
                <w:szCs w:val="28"/>
              </w:rPr>
              <w:t>7</w:t>
            </w:r>
            <w:r w:rsidR="008623C4">
              <w:rPr>
                <w:b/>
                <w:bCs/>
                <w:szCs w:val="28"/>
              </w:rPr>
              <w:t xml:space="preserve"> </w:t>
            </w:r>
            <w:r>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EBC7E6E" w:rsidR="00514D2F" w:rsidRPr="007F1CC7" w:rsidRDefault="00AD4677" w:rsidP="00282766">
            <w:pPr>
              <w:spacing w:before="0" w:after="240"/>
              <w:rPr>
                <w:szCs w:val="24"/>
              </w:rPr>
            </w:pPr>
            <w:r>
              <w:rPr>
                <w:b/>
              </w:rPr>
              <w:t>English</w:t>
            </w:r>
            <w:r w:rsidR="008623C4">
              <w:rPr>
                <w:b/>
              </w:rPr>
              <w:t xml:space="preserve"> and Russian only</w:t>
            </w:r>
          </w:p>
        </w:tc>
      </w:tr>
      <w:tr w:rsidR="00A13162" w14:paraId="31656E31" w14:textId="77777777" w:rsidTr="00107E85">
        <w:trPr>
          <w:cantSplit/>
          <w:trHeight w:val="852"/>
        </w:trPr>
        <w:tc>
          <w:tcPr>
            <w:tcW w:w="9888" w:type="dxa"/>
            <w:gridSpan w:val="2"/>
          </w:tcPr>
          <w:p w14:paraId="512FCA01" w14:textId="696D7E49" w:rsidR="00A13162" w:rsidRPr="0030353C" w:rsidRDefault="00725BD2" w:rsidP="0030353C">
            <w:pPr>
              <w:pStyle w:val="Source"/>
            </w:pPr>
            <w:bookmarkStart w:id="3" w:name="Source"/>
            <w:bookmarkEnd w:id="3"/>
            <w:r w:rsidRPr="00725BD2">
              <w:t>Russian Federation</w:t>
            </w:r>
          </w:p>
        </w:tc>
      </w:tr>
      <w:tr w:rsidR="00AC6F14" w:rsidRPr="002E6963" w14:paraId="2CBD3A36" w14:textId="77777777" w:rsidTr="00107E85">
        <w:trPr>
          <w:cantSplit/>
        </w:trPr>
        <w:tc>
          <w:tcPr>
            <w:tcW w:w="9888" w:type="dxa"/>
            <w:gridSpan w:val="2"/>
          </w:tcPr>
          <w:p w14:paraId="1B4121DF" w14:textId="5AE4042C" w:rsidR="00AC6F14" w:rsidRPr="00642C3C" w:rsidRDefault="00BB7E71" w:rsidP="0030353C">
            <w:pPr>
              <w:pStyle w:val="Title1"/>
              <w:rPr>
                <w:rFonts w:cs="Times New Roman"/>
                <w:bCs/>
              </w:rPr>
            </w:pPr>
            <w:bookmarkStart w:id="4" w:name="Title"/>
            <w:bookmarkEnd w:id="4"/>
            <w:r w:rsidRPr="00BB7E71">
              <w:rPr>
                <w:rFonts w:cs="Times New Roman"/>
                <w:bCs/>
              </w:rPr>
              <w:t>Submission of the report of the BDT Director</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8F4D35"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02AD95F" w14:textId="77777777" w:rsidR="008F4D35" w:rsidRPr="00E16BFE" w:rsidRDefault="008F4D35" w:rsidP="008F4D35">
            <w:pPr>
              <w:spacing w:after="120"/>
              <w:rPr>
                <w:b/>
                <w:bCs/>
                <w:szCs w:val="24"/>
              </w:rPr>
            </w:pPr>
            <w:r w:rsidRPr="00E16BFE">
              <w:rPr>
                <w:b/>
                <w:bCs/>
                <w:szCs w:val="24"/>
              </w:rPr>
              <w:t>Summary:</w:t>
            </w:r>
          </w:p>
          <w:p w14:paraId="46E1DBEA" w14:textId="77777777" w:rsidR="008F4D35" w:rsidRPr="00E16BFE" w:rsidRDefault="008F4D35" w:rsidP="008F4D35">
            <w:pPr>
              <w:spacing w:after="120"/>
              <w:rPr>
                <w:szCs w:val="24"/>
              </w:rPr>
            </w:pPr>
            <w:r w:rsidRPr="00E16BFE">
              <w:rPr>
                <w:szCs w:val="24"/>
              </w:rPr>
              <w:t>The WTDC Resolution 1 sets the deadline for submission of contributions to meetings of SGs, TDAG and other ITU-D groups (12 calendar days before the meeting</w:t>
            </w:r>
            <w:proofErr w:type="gramStart"/>
            <w:r w:rsidRPr="00E16BFE">
              <w:rPr>
                <w:szCs w:val="24"/>
              </w:rPr>
              <w:t>), but</w:t>
            </w:r>
            <w:proofErr w:type="gramEnd"/>
            <w:r w:rsidRPr="00E16BFE">
              <w:rPr>
                <w:szCs w:val="24"/>
              </w:rPr>
              <w:t xml:space="preserve"> does not set a deadline for the publication of the BDT Director's report and other secretariat documents. The absence of a published report from the Director </w:t>
            </w:r>
            <w:r>
              <w:rPr>
                <w:szCs w:val="24"/>
              </w:rPr>
              <w:t xml:space="preserve">of </w:t>
            </w:r>
            <w:r>
              <w:rPr>
                <w:szCs w:val="24"/>
                <w:lang w:val="en-US"/>
              </w:rPr>
              <w:t>BDT</w:t>
            </w:r>
            <w:r w:rsidRPr="00E16BFE">
              <w:rPr>
                <w:szCs w:val="24"/>
                <w:lang w:val="en-US"/>
              </w:rPr>
              <w:t xml:space="preserve"> </w:t>
            </w:r>
            <w:r w:rsidRPr="00E16BFE">
              <w:rPr>
                <w:szCs w:val="24"/>
              </w:rPr>
              <w:t>two days before the deadline for submission of contributions to the TDAG meeting prevents ITU-D members from conducting a thorough review of the document and preparing appropriate contributions, if necessary.</w:t>
            </w:r>
          </w:p>
          <w:p w14:paraId="61BE8802" w14:textId="77777777" w:rsidR="008F4D35" w:rsidRPr="00E16BFE" w:rsidRDefault="008F4D35" w:rsidP="008F4D35">
            <w:pPr>
              <w:tabs>
                <w:tab w:val="clear" w:pos="794"/>
                <w:tab w:val="clear" w:pos="1191"/>
                <w:tab w:val="clear" w:pos="1588"/>
                <w:tab w:val="clear" w:pos="1985"/>
              </w:tabs>
              <w:overflowPunct/>
              <w:autoSpaceDE/>
              <w:autoSpaceDN/>
              <w:adjustRightInd/>
              <w:spacing w:after="120"/>
              <w:textAlignment w:val="auto"/>
              <w:rPr>
                <w:b/>
                <w:bCs/>
                <w:szCs w:val="24"/>
              </w:rPr>
            </w:pPr>
            <w:r w:rsidRPr="00E16BFE">
              <w:rPr>
                <w:b/>
                <w:bCs/>
                <w:szCs w:val="24"/>
              </w:rPr>
              <w:t>Action required:</w:t>
            </w:r>
          </w:p>
          <w:p w14:paraId="6574930F" w14:textId="77777777" w:rsidR="008F4D35" w:rsidRPr="00E16BFE" w:rsidRDefault="008F4D35" w:rsidP="008F4D35">
            <w:pPr>
              <w:spacing w:after="120"/>
              <w:rPr>
                <w:szCs w:val="24"/>
              </w:rPr>
            </w:pPr>
            <w:r w:rsidRPr="000412D1">
              <w:rPr>
                <w:color w:val="000000"/>
                <w:szCs w:val="24"/>
              </w:rPr>
              <w:t>TDAG is invited to consider the document and take appropriate action</w:t>
            </w:r>
            <w:r w:rsidRPr="00E16BFE">
              <w:rPr>
                <w:szCs w:val="24"/>
              </w:rPr>
              <w:t>.</w:t>
            </w:r>
          </w:p>
          <w:p w14:paraId="443A9A97" w14:textId="77777777" w:rsidR="008F4D35" w:rsidRPr="00E16BFE" w:rsidRDefault="008F4D35" w:rsidP="008F4D35">
            <w:pPr>
              <w:spacing w:after="120"/>
              <w:rPr>
                <w:b/>
                <w:bCs/>
                <w:szCs w:val="24"/>
              </w:rPr>
            </w:pPr>
            <w:r w:rsidRPr="00E16BFE">
              <w:rPr>
                <w:b/>
                <w:bCs/>
                <w:szCs w:val="24"/>
              </w:rPr>
              <w:t>References:</w:t>
            </w:r>
          </w:p>
          <w:p w14:paraId="17495B2A" w14:textId="77777777" w:rsidR="008F4D35" w:rsidRPr="00E16BFE" w:rsidRDefault="008F4D35" w:rsidP="008F4D35">
            <w:pPr>
              <w:spacing w:after="120"/>
              <w:rPr>
                <w:szCs w:val="24"/>
                <w:lang w:val="en-US"/>
              </w:rPr>
            </w:pPr>
            <w:r w:rsidRPr="00E16BFE">
              <w:rPr>
                <w:szCs w:val="24"/>
                <w:lang w:val="en-US"/>
              </w:rPr>
              <w:t>WTDC Resolution 1 (Rev. Kigali, 2022)</w:t>
            </w:r>
          </w:p>
          <w:p w14:paraId="743B1898" w14:textId="77777777" w:rsidR="008F4D35" w:rsidRPr="00E16BFE" w:rsidRDefault="008F4D35" w:rsidP="008F4D35">
            <w:pPr>
              <w:spacing w:after="120"/>
              <w:rPr>
                <w:szCs w:val="24"/>
                <w:lang w:val="en-US"/>
              </w:rPr>
            </w:pPr>
            <w:r w:rsidRPr="00E16BFE">
              <w:rPr>
                <w:szCs w:val="24"/>
                <w:lang w:val="en-US"/>
              </w:rPr>
              <w:t>WTDC Resolution 24 (Rev. Kigali, 2022)</w:t>
            </w:r>
          </w:p>
          <w:p w14:paraId="1ECDD20E" w14:textId="1A2B8438" w:rsidR="008F4D35" w:rsidRPr="00C3774C" w:rsidRDefault="008F4D35" w:rsidP="008F4D35">
            <w:pPr>
              <w:spacing w:after="120"/>
            </w:pPr>
            <w:r w:rsidRPr="00E16BFE">
              <w:rPr>
                <w:szCs w:val="24"/>
                <w:lang w:val="en-US"/>
              </w:rPr>
              <w:t>ITU Council Decision 556</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30E11D8C" w14:textId="2E7E4397" w:rsidR="009A591D" w:rsidRPr="009A591D" w:rsidRDefault="009A591D" w:rsidP="009A591D">
      <w:pPr>
        <w:pStyle w:val="ListParagraph"/>
        <w:numPr>
          <w:ilvl w:val="0"/>
          <w:numId w:val="12"/>
        </w:numPr>
        <w:spacing w:after="120"/>
        <w:contextualSpacing w:val="0"/>
        <w:rPr>
          <w:b/>
          <w:bCs/>
        </w:rPr>
      </w:pPr>
      <w:bookmarkStart w:id="5" w:name="Proposal"/>
      <w:bookmarkEnd w:id="5"/>
      <w:r w:rsidRPr="009A591D">
        <w:rPr>
          <w:b/>
          <w:bCs/>
        </w:rPr>
        <w:lastRenderedPageBreak/>
        <w:t>Introduction</w:t>
      </w:r>
    </w:p>
    <w:p w14:paraId="4737451F" w14:textId="77777777" w:rsidR="009A591D" w:rsidRPr="006B47B2" w:rsidRDefault="009A591D" w:rsidP="009A591D">
      <w:pPr>
        <w:spacing w:after="120"/>
        <w:rPr>
          <w:lang w:val="en-US"/>
        </w:rPr>
      </w:pPr>
      <w:r w:rsidRPr="006B47B2">
        <w:rPr>
          <w:lang w:val="en-US"/>
        </w:rPr>
        <w:t>WTDC Resolution 1 sets a deadline for submission of contributions to meetings of SGs, TDAG and other ITU-D groups (12 calendar days before the meeting</w:t>
      </w:r>
      <w:r>
        <w:t>)</w:t>
      </w:r>
      <w:r w:rsidRPr="006B47B2">
        <w:rPr>
          <w:lang w:val="en-US"/>
        </w:rPr>
        <w:t>.</w:t>
      </w:r>
    </w:p>
    <w:p w14:paraId="2E63981F" w14:textId="77777777" w:rsidR="009A591D" w:rsidRPr="00CF302C" w:rsidRDefault="009A591D" w:rsidP="009A591D">
      <w:pPr>
        <w:spacing w:after="120"/>
        <w:ind w:left="-5"/>
        <w:rPr>
          <w:lang w:val="en-US"/>
        </w:rPr>
      </w:pPr>
      <w:r w:rsidRPr="006B47B2">
        <w:rPr>
          <w:lang w:val="en-US"/>
        </w:rPr>
        <w:t xml:space="preserve">At the same time, </w:t>
      </w:r>
      <w:r>
        <w:rPr>
          <w:lang w:val="en-US"/>
        </w:rPr>
        <w:t xml:space="preserve">the </w:t>
      </w:r>
      <w:r w:rsidRPr="006B47B2">
        <w:rPr>
          <w:lang w:val="en-US"/>
        </w:rPr>
        <w:t>deadlines for the secretariat are set only for WTDC in accordance with</w:t>
      </w:r>
      <w:r>
        <w:rPr>
          <w:lang w:val="en-US"/>
        </w:rPr>
        <w:t xml:space="preserve"> </w:t>
      </w:r>
      <w:r w:rsidRPr="006B47B2">
        <w:rPr>
          <w:lang w:val="en-US"/>
        </w:rPr>
        <w:t>Resolution 165 (Rev.</w:t>
      </w:r>
      <w:r>
        <w:rPr>
          <w:lang w:val="en-US"/>
        </w:rPr>
        <w:t xml:space="preserve"> </w:t>
      </w:r>
      <w:r w:rsidRPr="006B47B2">
        <w:rPr>
          <w:lang w:val="en-US"/>
        </w:rPr>
        <w:t>Dubai, 2018</w:t>
      </w:r>
      <w:r>
        <w:rPr>
          <w:lang w:val="en-US"/>
        </w:rPr>
        <w:t>)</w:t>
      </w:r>
      <w:r w:rsidRPr="001B5D7B">
        <w:rPr>
          <w:lang w:val="en-US"/>
        </w:rPr>
        <w:t xml:space="preserve"> </w:t>
      </w:r>
      <w:r>
        <w:rPr>
          <w:lang w:val="en-US"/>
        </w:rPr>
        <w:t>of Plenipotentiary Conference</w:t>
      </w:r>
      <w:r w:rsidRPr="006B47B2">
        <w:rPr>
          <w:lang w:val="en-US"/>
        </w:rPr>
        <w:t xml:space="preserve">: </w:t>
      </w:r>
      <w:r w:rsidRPr="001B5D7B">
        <w:rPr>
          <w:i/>
          <w:iCs/>
          <w:lang w:val="en-US"/>
        </w:rPr>
        <w:t>4.1.2 Secretariat documents, including reports from study groups, TDAG, the Director of BDT, etc., shall be published no later than 35 calendar days before the opening of WTDC to allow for their timely translation and careful consideration by delegations</w:t>
      </w:r>
      <w:r w:rsidRPr="00CF302C">
        <w:rPr>
          <w:lang w:val="en-US"/>
        </w:rPr>
        <w:t>.</w:t>
      </w:r>
    </w:p>
    <w:p w14:paraId="3DCF9948" w14:textId="77777777" w:rsidR="009A591D" w:rsidRPr="006B47B2" w:rsidRDefault="009A591D" w:rsidP="009A591D">
      <w:pPr>
        <w:spacing w:after="120"/>
        <w:rPr>
          <w:lang w:val="en-US"/>
        </w:rPr>
      </w:pPr>
      <w:r w:rsidRPr="006B47B2">
        <w:rPr>
          <w:lang w:val="en-US"/>
        </w:rPr>
        <w:t xml:space="preserve">WTDC Resolution 24 instructs TDAG to consider </w:t>
      </w:r>
      <w:r w:rsidRPr="001B5D7B">
        <w:rPr>
          <w:i/>
          <w:iCs/>
          <w:lang w:val="en-US"/>
        </w:rPr>
        <w:t xml:space="preserve">the following specific matters, between two consecutive WTDCs, acting through </w:t>
      </w:r>
      <w:r w:rsidRPr="00AE38EC">
        <w:rPr>
          <w:b/>
          <w:bCs/>
          <w:i/>
          <w:iCs/>
          <w:lang w:val="en-US"/>
        </w:rPr>
        <w:t>reports from the Director of the Telecommunication Development Bureau</w:t>
      </w:r>
      <w:r w:rsidRPr="001B5D7B">
        <w:rPr>
          <w:i/>
          <w:iCs/>
          <w:lang w:val="en-US"/>
        </w:rPr>
        <w:t xml:space="preserve"> (BDT) and study group chairmen</w:t>
      </w:r>
      <w:r>
        <w:rPr>
          <w:lang w:val="en-US"/>
        </w:rPr>
        <w:t>.</w:t>
      </w:r>
    </w:p>
    <w:p w14:paraId="60382596" w14:textId="77777777" w:rsidR="009A591D" w:rsidRPr="006B47B2" w:rsidRDefault="009A591D" w:rsidP="009A591D">
      <w:pPr>
        <w:spacing w:after="120"/>
        <w:rPr>
          <w:lang w:val="en-US"/>
        </w:rPr>
      </w:pPr>
      <w:r w:rsidRPr="006B47B2">
        <w:rPr>
          <w:lang w:val="en-US"/>
        </w:rPr>
        <w:t xml:space="preserve">The BDT Director's Report is </w:t>
      </w:r>
      <w:r>
        <w:rPr>
          <w:lang w:val="en-US"/>
        </w:rPr>
        <w:t>the</w:t>
      </w:r>
      <w:r w:rsidRPr="006B47B2">
        <w:rPr>
          <w:lang w:val="en-US"/>
        </w:rPr>
        <w:t xml:space="preserve"> important document for the further organization of the work of the Sector and </w:t>
      </w:r>
      <w:proofErr w:type="gramStart"/>
      <w:r w:rsidRPr="006B47B2">
        <w:rPr>
          <w:lang w:val="en-US"/>
        </w:rPr>
        <w:t>TDAG, and</w:t>
      </w:r>
      <w:proofErr w:type="gramEnd"/>
      <w:r w:rsidRPr="006B47B2">
        <w:rPr>
          <w:lang w:val="en-US"/>
        </w:rPr>
        <w:t xml:space="preserve"> should be used by ITU-D members to prepare their proposals.</w:t>
      </w:r>
    </w:p>
    <w:p w14:paraId="6506E1CD" w14:textId="77777777" w:rsidR="009A591D" w:rsidRPr="006B47B2" w:rsidRDefault="009A591D" w:rsidP="009A591D">
      <w:pPr>
        <w:spacing w:after="120"/>
        <w:rPr>
          <w:lang w:val="en-US"/>
        </w:rPr>
      </w:pPr>
      <w:r w:rsidRPr="006B47B2">
        <w:rPr>
          <w:lang w:val="en-US"/>
        </w:rPr>
        <w:t xml:space="preserve">The absence of the BDT Director's </w:t>
      </w:r>
      <w:r>
        <w:rPr>
          <w:lang w:val="en-US"/>
        </w:rPr>
        <w:t>R</w:t>
      </w:r>
      <w:r w:rsidRPr="006B47B2">
        <w:rPr>
          <w:lang w:val="en-US"/>
        </w:rPr>
        <w:t>eport t</w:t>
      </w:r>
      <w:r>
        <w:rPr>
          <w:lang w:val="en-US"/>
        </w:rPr>
        <w:t xml:space="preserve">he </w:t>
      </w:r>
      <w:r w:rsidRPr="006B47B2">
        <w:rPr>
          <w:lang w:val="en-US"/>
        </w:rPr>
        <w:t>day before the deadline for submission of contributions to the TDAG-24 meeting prevented a thorough review of the document and the preparation of appropriate contributions to the TDAG, if necessary.</w:t>
      </w:r>
    </w:p>
    <w:p w14:paraId="54116E68" w14:textId="77777777" w:rsidR="009A591D" w:rsidRDefault="009A591D" w:rsidP="009A591D">
      <w:pPr>
        <w:spacing w:after="120"/>
        <w:rPr>
          <w:lang w:val="en-US"/>
        </w:rPr>
      </w:pPr>
      <w:r w:rsidRPr="006B47B2">
        <w:rPr>
          <w:lang w:val="en-US"/>
        </w:rPr>
        <w:t xml:space="preserve">ITU Council Decision 556 specifies that </w:t>
      </w:r>
      <w:r w:rsidRPr="000412D1">
        <w:rPr>
          <w:i/>
          <w:iCs/>
          <w:lang w:val="en-US"/>
        </w:rPr>
        <w:t>ITU secretariat documents calling for a decision of the Council or a Council working group should be posted on the relevant page of the website no later than 30 calendar days before the opening of the Council session or Council working group meeting</w:t>
      </w:r>
      <w:r>
        <w:rPr>
          <w:lang w:val="en-US"/>
        </w:rPr>
        <w:t>.</w:t>
      </w:r>
    </w:p>
    <w:p w14:paraId="3BC56C11" w14:textId="77777777" w:rsidR="009A591D" w:rsidRDefault="009A591D" w:rsidP="009A591D">
      <w:pPr>
        <w:spacing w:after="120"/>
        <w:rPr>
          <w:lang w:val="en-US"/>
        </w:rPr>
      </w:pPr>
      <w:r w:rsidRPr="006B47B2">
        <w:rPr>
          <w:lang w:val="en-US"/>
        </w:rPr>
        <w:t>It is advisable to make a similar decision regarding documents, primarily the report of the BDT Director, submitted by the ITU secretariat for consideration by TDAG.</w:t>
      </w:r>
    </w:p>
    <w:p w14:paraId="78204C4F" w14:textId="552AC703" w:rsidR="009A591D" w:rsidRPr="009A591D" w:rsidRDefault="009A591D" w:rsidP="009A591D">
      <w:pPr>
        <w:pStyle w:val="ListParagraph"/>
        <w:numPr>
          <w:ilvl w:val="0"/>
          <w:numId w:val="12"/>
        </w:numPr>
        <w:spacing w:after="120"/>
        <w:contextualSpacing w:val="0"/>
        <w:rPr>
          <w:b/>
          <w:bCs/>
        </w:rPr>
      </w:pPr>
      <w:r w:rsidRPr="009A591D">
        <w:rPr>
          <w:b/>
          <w:bCs/>
        </w:rPr>
        <w:t>Proposals</w:t>
      </w:r>
    </w:p>
    <w:p w14:paraId="0A1C6126" w14:textId="77777777" w:rsidR="009A591D" w:rsidRPr="00E16BFE" w:rsidRDefault="009A591D" w:rsidP="009A591D">
      <w:pPr>
        <w:spacing w:after="120"/>
        <w:rPr>
          <w:szCs w:val="24"/>
          <w:lang w:val="en-US"/>
        </w:rPr>
      </w:pPr>
      <w:r w:rsidRPr="00E16BFE">
        <w:rPr>
          <w:szCs w:val="24"/>
          <w:lang w:val="en-US"/>
        </w:rPr>
        <w:t xml:space="preserve">2.1 Strongly recommend that the Director of BDT submits his report, as well as other documents </w:t>
      </w:r>
      <w:r w:rsidRPr="000412D1">
        <w:rPr>
          <w:szCs w:val="24"/>
        </w:rPr>
        <w:t xml:space="preserve">calling for a decision of the </w:t>
      </w:r>
      <w:r w:rsidRPr="00E16BFE">
        <w:rPr>
          <w:szCs w:val="24"/>
          <w:lang w:val="en-US"/>
        </w:rPr>
        <w:t>TDAG for consideration by the TDAG</w:t>
      </w:r>
      <w:r>
        <w:rPr>
          <w:szCs w:val="24"/>
          <w:lang w:val="en-US"/>
        </w:rPr>
        <w:t>,</w:t>
      </w:r>
      <w:r w:rsidRPr="00E16BFE">
        <w:rPr>
          <w:szCs w:val="24"/>
          <w:lang w:val="en-US"/>
        </w:rPr>
        <w:t xml:space="preserve"> no later than 30 calendar days before the opening of the TDAG meeting.</w:t>
      </w:r>
    </w:p>
    <w:p w14:paraId="7DC79863" w14:textId="77777777" w:rsidR="009A591D" w:rsidRPr="00E16BFE" w:rsidRDefault="009A591D" w:rsidP="009A591D">
      <w:pPr>
        <w:spacing w:after="120"/>
        <w:rPr>
          <w:szCs w:val="24"/>
          <w:lang w:val="en-US"/>
        </w:rPr>
      </w:pPr>
      <w:r w:rsidRPr="00E16BFE">
        <w:rPr>
          <w:szCs w:val="24"/>
          <w:lang w:val="en-US"/>
        </w:rPr>
        <w:t>2.2 Include requirements for deadlines for submitting the report of the BDT Director to the TDAG meetings, as well as other documents calling for a decision of the TDAG, in the relevant WTDC resolution.</w:t>
      </w:r>
    </w:p>
    <w:p w14:paraId="7759C759" w14:textId="059D0877"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DE33D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21D8" w14:textId="77777777" w:rsidR="00DE33D1" w:rsidRDefault="00DE33D1">
      <w:r>
        <w:separator/>
      </w:r>
    </w:p>
  </w:endnote>
  <w:endnote w:type="continuationSeparator" w:id="0">
    <w:p w14:paraId="6191D5B6" w14:textId="77777777" w:rsidR="00DE33D1" w:rsidRDefault="00DE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11509" w:rsidRPr="008265CF" w14:paraId="695D1810" w14:textId="77777777" w:rsidTr="00E11509">
      <w:tc>
        <w:tcPr>
          <w:tcW w:w="1526" w:type="dxa"/>
          <w:tcBorders>
            <w:top w:val="single" w:sz="4" w:space="0" w:color="000000"/>
          </w:tcBorders>
          <w:shd w:val="clear" w:color="auto" w:fill="auto"/>
        </w:tcPr>
        <w:p w14:paraId="746E5A61" w14:textId="77777777" w:rsidR="00E11509" w:rsidRPr="008265CF" w:rsidRDefault="00E11509" w:rsidP="00E11509">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E11509" w:rsidRPr="008265CF" w:rsidRDefault="00E11509" w:rsidP="00E11509">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40AE386A" w14:textId="37CDA38B" w:rsidR="00E11509" w:rsidRPr="008265CF" w:rsidRDefault="00E11509" w:rsidP="00E11509">
          <w:pPr>
            <w:pStyle w:val="FirstFooter"/>
            <w:tabs>
              <w:tab w:val="left" w:pos="2302"/>
            </w:tabs>
            <w:rPr>
              <w:sz w:val="18"/>
              <w:szCs w:val="18"/>
              <w:lang w:val="en-US"/>
            </w:rPr>
          </w:pPr>
          <w:r>
            <w:rPr>
              <w:sz w:val="18"/>
              <w:szCs w:val="18"/>
              <w:lang w:val="en-US"/>
            </w:rPr>
            <w:t>Prof. Dr Vladimir Minkin, FSBE NIIR, Russian Federation</w:t>
          </w:r>
        </w:p>
      </w:tc>
      <w:bookmarkStart w:id="6" w:name="OrgName"/>
      <w:bookmarkEnd w:id="6"/>
    </w:tr>
    <w:tr w:rsidR="00E11509" w:rsidRPr="008265CF" w14:paraId="61167678" w14:textId="77777777" w:rsidTr="00E11509">
      <w:tc>
        <w:tcPr>
          <w:tcW w:w="1526" w:type="dxa"/>
          <w:shd w:val="clear" w:color="auto" w:fill="auto"/>
        </w:tcPr>
        <w:p w14:paraId="33710823"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1251F6E4" w14:textId="77777777" w:rsidR="00E11509" w:rsidRPr="008265CF" w:rsidRDefault="00E11509" w:rsidP="00E11509">
          <w:pPr>
            <w:pStyle w:val="FirstFooter"/>
            <w:tabs>
              <w:tab w:val="left" w:pos="2302"/>
            </w:tabs>
            <w:rPr>
              <w:sz w:val="18"/>
              <w:szCs w:val="18"/>
              <w:lang w:val="en-US"/>
            </w:rPr>
          </w:pPr>
          <w:r w:rsidRPr="008265CF">
            <w:rPr>
              <w:sz w:val="18"/>
              <w:szCs w:val="18"/>
              <w:lang w:val="en-US"/>
            </w:rPr>
            <w:t>Phone number:</w:t>
          </w:r>
        </w:p>
      </w:tc>
      <w:tc>
        <w:tcPr>
          <w:tcW w:w="5987" w:type="dxa"/>
        </w:tcPr>
        <w:p w14:paraId="584CCBF4" w14:textId="7390F583" w:rsidR="00E11509" w:rsidRPr="008265CF" w:rsidRDefault="009A591D" w:rsidP="00E11509">
          <w:pPr>
            <w:pStyle w:val="FirstFooter"/>
            <w:tabs>
              <w:tab w:val="left" w:pos="2302"/>
            </w:tabs>
            <w:rPr>
              <w:sz w:val="18"/>
              <w:szCs w:val="18"/>
            </w:rPr>
          </w:pPr>
          <w:hyperlink r:id="rId1" w:history="1">
            <w:r w:rsidR="00E11509" w:rsidRPr="00916C28">
              <w:rPr>
                <w:sz w:val="18"/>
                <w:szCs w:val="18"/>
                <w:lang w:val="en-US"/>
              </w:rPr>
              <w:t>+7 495 647</w:t>
            </w:r>
            <w:r w:rsidR="003634C0">
              <w:rPr>
                <w:sz w:val="18"/>
                <w:szCs w:val="18"/>
                <w:lang w:val="en-US"/>
              </w:rPr>
              <w:t xml:space="preserve"> </w:t>
            </w:r>
            <w:r w:rsidR="00E11509" w:rsidRPr="00916C28">
              <w:rPr>
                <w:sz w:val="18"/>
                <w:szCs w:val="18"/>
                <w:lang w:val="en-US"/>
              </w:rPr>
              <w:t>17</w:t>
            </w:r>
            <w:r w:rsidR="003634C0">
              <w:rPr>
                <w:sz w:val="18"/>
                <w:szCs w:val="18"/>
                <w:lang w:val="en-US"/>
              </w:rPr>
              <w:t xml:space="preserve"> </w:t>
            </w:r>
            <w:r w:rsidR="00E11509" w:rsidRPr="00916C28">
              <w:rPr>
                <w:sz w:val="18"/>
                <w:szCs w:val="18"/>
                <w:lang w:val="en-US"/>
              </w:rPr>
              <w:t>77</w:t>
            </w:r>
          </w:hyperlink>
        </w:p>
      </w:tc>
      <w:bookmarkStart w:id="7" w:name="PhoneNo"/>
      <w:bookmarkEnd w:id="7"/>
    </w:tr>
    <w:tr w:rsidR="00E11509" w:rsidRPr="008265CF" w14:paraId="0299A231" w14:textId="77777777" w:rsidTr="00E11509">
      <w:tc>
        <w:tcPr>
          <w:tcW w:w="1526" w:type="dxa"/>
          <w:shd w:val="clear" w:color="auto" w:fill="auto"/>
        </w:tcPr>
        <w:p w14:paraId="35CBC438"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65335E06" w14:textId="77777777" w:rsidR="00E11509" w:rsidRPr="008265CF" w:rsidRDefault="00E11509" w:rsidP="00E11509">
          <w:pPr>
            <w:pStyle w:val="FirstFooter"/>
            <w:tabs>
              <w:tab w:val="left" w:pos="2302"/>
            </w:tabs>
            <w:rPr>
              <w:sz w:val="18"/>
              <w:szCs w:val="18"/>
              <w:lang w:val="en-US"/>
            </w:rPr>
          </w:pPr>
          <w:r w:rsidRPr="008265CF">
            <w:rPr>
              <w:sz w:val="18"/>
              <w:szCs w:val="18"/>
              <w:lang w:val="en-US"/>
            </w:rPr>
            <w:t>E-mail:</w:t>
          </w:r>
        </w:p>
      </w:tc>
      <w:tc>
        <w:tcPr>
          <w:tcW w:w="5987" w:type="dxa"/>
        </w:tcPr>
        <w:p w14:paraId="0311044C" w14:textId="00658830" w:rsidR="00E11509" w:rsidRDefault="009A591D" w:rsidP="00E11509">
          <w:pPr>
            <w:pStyle w:val="FirstFooter"/>
            <w:tabs>
              <w:tab w:val="left" w:pos="2302"/>
            </w:tabs>
          </w:pPr>
          <w:hyperlink r:id="rId2" w:history="1">
            <w:r w:rsidR="00E11509" w:rsidRPr="009676DB">
              <w:rPr>
                <w:rStyle w:val="Hyperlink"/>
                <w:sz w:val="18"/>
                <w:szCs w:val="18"/>
                <w:lang w:val="en-US"/>
              </w:rPr>
              <w:t>minkin-itu@mail.ru</w:t>
            </w:r>
          </w:hyperlink>
          <w:r w:rsidR="00E11509">
            <w:rPr>
              <w:b/>
              <w:bCs/>
              <w:sz w:val="18"/>
              <w:szCs w:val="18"/>
              <w:lang w:val="en-US"/>
            </w:rPr>
            <w:t xml:space="preserve"> </w:t>
          </w:r>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2B7B" w14:textId="77777777" w:rsidR="00DE33D1" w:rsidRDefault="00DE33D1">
      <w:r>
        <w:t>____________________</w:t>
      </w:r>
    </w:p>
  </w:footnote>
  <w:footnote w:type="continuationSeparator" w:id="0">
    <w:p w14:paraId="7B832F9C" w14:textId="77777777" w:rsidR="00DE33D1" w:rsidRDefault="00DE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77F675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0CC3">
      <w:rPr>
        <w:sz w:val="22"/>
        <w:szCs w:val="22"/>
        <w:lang w:val="de-CH"/>
      </w:rPr>
      <w:t>3</w:t>
    </w:r>
    <w:r w:rsidR="009A591D">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7"/>
  </w:num>
  <w:num w:numId="2" w16cid:durableId="1668902854">
    <w:abstractNumId w:val="3"/>
  </w:num>
  <w:num w:numId="3" w16cid:durableId="1054890593">
    <w:abstractNumId w:val="10"/>
  </w:num>
  <w:num w:numId="4" w16cid:durableId="1325626162">
    <w:abstractNumId w:val="5"/>
  </w:num>
  <w:num w:numId="5" w16cid:durableId="427114863">
    <w:abstractNumId w:val="11"/>
  </w:num>
  <w:num w:numId="6" w16cid:durableId="1820540741">
    <w:abstractNumId w:val="9"/>
  </w:num>
  <w:num w:numId="7" w16cid:durableId="608010236">
    <w:abstractNumId w:val="2"/>
  </w:num>
  <w:num w:numId="8" w16cid:durableId="1795101828">
    <w:abstractNumId w:val="4"/>
  </w:num>
  <w:num w:numId="9" w16cid:durableId="273825148">
    <w:abstractNumId w:val="6"/>
  </w:num>
  <w:num w:numId="10" w16cid:durableId="215699537">
    <w:abstractNumId w:val="8"/>
  </w:num>
  <w:num w:numId="11" w16cid:durableId="800226017">
    <w:abstractNumId w:val="1"/>
  </w:num>
  <w:num w:numId="12" w16cid:durableId="110476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A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715FD"/>
    <w:rsid w:val="002770B1"/>
    <w:rsid w:val="00282766"/>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247"/>
    <w:rsid w:val="00327A9D"/>
    <w:rsid w:val="0033130E"/>
    <w:rsid w:val="0033269C"/>
    <w:rsid w:val="00336BA3"/>
    <w:rsid w:val="00351C79"/>
    <w:rsid w:val="0035516C"/>
    <w:rsid w:val="00355A4C"/>
    <w:rsid w:val="003604FB"/>
    <w:rsid w:val="00360B73"/>
    <w:rsid w:val="003634C0"/>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4C"/>
    <w:rsid w:val="00542D0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DA3"/>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1BA"/>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2880"/>
    <w:rsid w:val="00762AD6"/>
    <w:rsid w:val="00762E02"/>
    <w:rsid w:val="007649CD"/>
    <w:rsid w:val="00772290"/>
    <w:rsid w:val="00777265"/>
    <w:rsid w:val="007805E7"/>
    <w:rsid w:val="0078222A"/>
    <w:rsid w:val="00787D48"/>
    <w:rsid w:val="00795294"/>
    <w:rsid w:val="007A33DB"/>
    <w:rsid w:val="007A4E50"/>
    <w:rsid w:val="007B18A7"/>
    <w:rsid w:val="007B250E"/>
    <w:rsid w:val="007B58EE"/>
    <w:rsid w:val="007C27FC"/>
    <w:rsid w:val="007C51FF"/>
    <w:rsid w:val="007D2D75"/>
    <w:rsid w:val="007D50E4"/>
    <w:rsid w:val="007E2DC5"/>
    <w:rsid w:val="007F1CC7"/>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2840"/>
    <w:rsid w:val="008C4010"/>
    <w:rsid w:val="008C442C"/>
    <w:rsid w:val="008C4FDF"/>
    <w:rsid w:val="008C6B1F"/>
    <w:rsid w:val="008D5E4F"/>
    <w:rsid w:val="008D77E5"/>
    <w:rsid w:val="008E34F0"/>
    <w:rsid w:val="008F14F5"/>
    <w:rsid w:val="008F4D35"/>
    <w:rsid w:val="008F71C1"/>
    <w:rsid w:val="00902D41"/>
    <w:rsid w:val="00902F49"/>
    <w:rsid w:val="00904230"/>
    <w:rsid w:val="009134A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0EE8"/>
    <w:rsid w:val="00B310F9"/>
    <w:rsid w:val="00B37866"/>
    <w:rsid w:val="00B412FB"/>
    <w:rsid w:val="00B41E26"/>
    <w:rsid w:val="00B4576B"/>
    <w:rsid w:val="00B457CC"/>
    <w:rsid w:val="00B46350"/>
    <w:rsid w:val="00B46DF3"/>
    <w:rsid w:val="00B476A7"/>
    <w:rsid w:val="00B648C7"/>
    <w:rsid w:val="00B66E8F"/>
    <w:rsid w:val="00B6793B"/>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84D"/>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D66B4"/>
    <w:rsid w:val="00DE1972"/>
    <w:rsid w:val="00DE27AB"/>
    <w:rsid w:val="00DE33D1"/>
    <w:rsid w:val="00DF2AB3"/>
    <w:rsid w:val="00DF7250"/>
    <w:rsid w:val="00E00CAA"/>
    <w:rsid w:val="00E03EBF"/>
    <w:rsid w:val="00E05209"/>
    <w:rsid w:val="00E05AC1"/>
    <w:rsid w:val="00E11509"/>
    <w:rsid w:val="00E11BCF"/>
    <w:rsid w:val="00E16B83"/>
    <w:rsid w:val="00E2258E"/>
    <w:rsid w:val="00E260C2"/>
    <w:rsid w:val="00E27976"/>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link w:val="ListParagraph"/>
    <w:uiPriority w:val="34"/>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inkin-itu@mail.ru" TargetMode="External"/><Relationship Id="rId1" Type="http://schemas.openxmlformats.org/officeDocument/2006/relationships/hyperlink" Target="tel:+7495647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7</cp:revision>
  <cp:lastPrinted>2014-11-04T09:22:00Z</cp:lastPrinted>
  <dcterms:created xsi:type="dcterms:W3CDTF">2024-05-07T09:02:00Z</dcterms:created>
  <dcterms:modified xsi:type="dcterms:W3CDTF">2024-05-08T05:52:00Z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