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5CABC63"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3</w:t>
            </w:r>
            <w:r w:rsidR="006F24AF">
              <w:rPr>
                <w:b/>
                <w:bCs/>
                <w:sz w:val="26"/>
                <w:szCs w:val="26"/>
              </w:rPr>
              <w:t>1st</w:t>
            </w:r>
            <w:r>
              <w:rPr>
                <w:b/>
                <w:bCs/>
                <w:sz w:val="26"/>
                <w:szCs w:val="26"/>
              </w:rPr>
              <w:t xml:space="preserve"> Meeting, Geneva, Switzerland, </w:t>
            </w:r>
            <w:r w:rsidR="006F24AF" w:rsidRPr="006F24AF">
              <w:rPr>
                <w:b/>
                <w:bCs/>
                <w:sz w:val="26"/>
                <w:szCs w:val="26"/>
              </w:rPr>
              <w:t>20</w:t>
            </w:r>
            <w:r w:rsidR="006F24AF">
              <w:rPr>
                <w:b/>
                <w:bCs/>
                <w:sz w:val="26"/>
                <w:szCs w:val="26"/>
              </w:rPr>
              <w:t>-</w:t>
            </w:r>
            <w:r w:rsidR="006F24AF" w:rsidRPr="006F24AF">
              <w:rPr>
                <w:b/>
                <w:bCs/>
                <w:sz w:val="26"/>
                <w:szCs w:val="26"/>
              </w:rPr>
              <w:t>2</w:t>
            </w:r>
            <w:r w:rsidR="004A6E26">
              <w:rPr>
                <w:b/>
                <w:bCs/>
                <w:sz w:val="26"/>
                <w:szCs w:val="26"/>
              </w:rPr>
              <w:t>3</w:t>
            </w:r>
            <w:r w:rsidR="006F24AF" w:rsidRPr="006F24AF">
              <w:rPr>
                <w:b/>
                <w:bCs/>
                <w:sz w:val="26"/>
                <w:szCs w:val="26"/>
              </w:rPr>
              <w:t xml:space="preserve"> May 2024</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63BAAFC9"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6F24AF">
              <w:rPr>
                <w:b/>
                <w:bCs/>
                <w:lang w:val="en-US"/>
              </w:rPr>
              <w:t>4</w:t>
            </w:r>
            <w:r w:rsidR="0009076F">
              <w:rPr>
                <w:b/>
                <w:bCs/>
                <w:lang w:val="en-US"/>
              </w:rPr>
              <w:t>/</w:t>
            </w:r>
            <w:r w:rsidR="00782910">
              <w:rPr>
                <w:b/>
                <w:bCs/>
                <w:lang w:val="en-US"/>
              </w:rPr>
              <w:t>4</w:t>
            </w:r>
            <w:r w:rsidR="007E2D61">
              <w:rPr>
                <w:b/>
                <w:bCs/>
                <w:lang w:val="en-US"/>
              </w:rPr>
              <w:t>1</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11BB6AE9" w:rsidR="00683C32" w:rsidRPr="007F1CC7" w:rsidRDefault="007E2D61" w:rsidP="00B648C7">
            <w:pPr>
              <w:spacing w:before="0"/>
              <w:rPr>
                <w:b/>
                <w:szCs w:val="24"/>
              </w:rPr>
            </w:pPr>
            <w:bookmarkStart w:id="2" w:name="CreationDate"/>
            <w:bookmarkEnd w:id="2"/>
            <w:r>
              <w:rPr>
                <w:b/>
                <w:bCs/>
                <w:szCs w:val="28"/>
              </w:rPr>
              <w:t>8</w:t>
            </w:r>
            <w:r w:rsidR="008623C4">
              <w:rPr>
                <w:b/>
                <w:bCs/>
                <w:szCs w:val="28"/>
              </w:rPr>
              <w:t xml:space="preserve"> </w:t>
            </w:r>
            <w:r w:rsidR="00B476A7">
              <w:rPr>
                <w:b/>
                <w:bCs/>
                <w:szCs w:val="28"/>
              </w:rPr>
              <w:t>May</w:t>
            </w:r>
            <w:r w:rsidR="008623C4">
              <w:rPr>
                <w:b/>
                <w:bCs/>
                <w:szCs w:val="28"/>
              </w:rPr>
              <w:t xml:space="preserve"> 2024</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5E011674" w:rsidR="00514D2F" w:rsidRPr="007F1CC7" w:rsidRDefault="00AD4677" w:rsidP="00282766">
            <w:pPr>
              <w:spacing w:before="0" w:after="240"/>
              <w:rPr>
                <w:szCs w:val="24"/>
              </w:rPr>
            </w:pPr>
            <w:r>
              <w:rPr>
                <w:b/>
              </w:rPr>
              <w:t>English</w:t>
            </w:r>
            <w:r w:rsidR="008623C4">
              <w:rPr>
                <w:b/>
              </w:rPr>
              <w:t xml:space="preserve"> only</w:t>
            </w:r>
          </w:p>
        </w:tc>
      </w:tr>
      <w:tr w:rsidR="00A13162" w:rsidRPr="007D2EF9" w14:paraId="31656E31" w14:textId="77777777" w:rsidTr="00107E85">
        <w:trPr>
          <w:cantSplit/>
          <w:trHeight w:val="852"/>
        </w:trPr>
        <w:tc>
          <w:tcPr>
            <w:tcW w:w="9888" w:type="dxa"/>
            <w:gridSpan w:val="2"/>
          </w:tcPr>
          <w:p w14:paraId="512FCA01" w14:textId="41EE099F" w:rsidR="00A13162" w:rsidRPr="007D2EF9" w:rsidRDefault="007E2D61" w:rsidP="0030353C">
            <w:pPr>
              <w:pStyle w:val="Source"/>
              <w:rPr>
                <w:lang w:val="es-ES"/>
              </w:rPr>
            </w:pPr>
            <w:bookmarkStart w:id="3" w:name="Source"/>
            <w:bookmarkEnd w:id="3"/>
            <w:r w:rsidRPr="007D2EF9">
              <w:rPr>
                <w:lang w:val="es-ES"/>
              </w:rPr>
              <w:t xml:space="preserve">Australia, </w:t>
            </w:r>
            <w:proofErr w:type="spellStart"/>
            <w:r w:rsidRPr="007D2EF9">
              <w:rPr>
                <w:lang w:val="es-ES"/>
              </w:rPr>
              <w:t>Canada</w:t>
            </w:r>
            <w:proofErr w:type="spellEnd"/>
            <w:r w:rsidRPr="007D2EF9">
              <w:rPr>
                <w:lang w:val="es-ES"/>
              </w:rPr>
              <w:t xml:space="preserve">, </w:t>
            </w:r>
            <w:proofErr w:type="spellStart"/>
            <w:r w:rsidRPr="007D2EF9">
              <w:rPr>
                <w:lang w:val="es-ES"/>
              </w:rPr>
              <w:t>Fiji</w:t>
            </w:r>
            <w:proofErr w:type="spellEnd"/>
            <w:r w:rsidRPr="007D2EF9">
              <w:rPr>
                <w:lang w:val="es-ES"/>
              </w:rPr>
              <w:t xml:space="preserve">, </w:t>
            </w:r>
            <w:proofErr w:type="spellStart"/>
            <w:r w:rsidR="00F64347" w:rsidRPr="007D2EF9">
              <w:rPr>
                <w:lang w:val="es-ES"/>
              </w:rPr>
              <w:t>Papua</w:t>
            </w:r>
            <w:proofErr w:type="spellEnd"/>
            <w:r w:rsidR="00F64347" w:rsidRPr="007D2EF9">
              <w:rPr>
                <w:lang w:val="es-ES"/>
              </w:rPr>
              <w:t xml:space="preserve"> New Guinea, </w:t>
            </w:r>
            <w:r w:rsidRPr="007D2EF9">
              <w:rPr>
                <w:lang w:val="es-ES"/>
              </w:rPr>
              <w:t>Samoa</w:t>
            </w:r>
            <w:r w:rsidR="00F64347" w:rsidRPr="007D2EF9">
              <w:rPr>
                <w:lang w:val="es-ES"/>
              </w:rPr>
              <w:t>, Vanuatu</w:t>
            </w:r>
          </w:p>
        </w:tc>
      </w:tr>
      <w:tr w:rsidR="00AC6F14" w:rsidRPr="002E6963" w14:paraId="2CBD3A36" w14:textId="77777777" w:rsidTr="00107E85">
        <w:trPr>
          <w:cantSplit/>
        </w:trPr>
        <w:tc>
          <w:tcPr>
            <w:tcW w:w="9888" w:type="dxa"/>
            <w:gridSpan w:val="2"/>
          </w:tcPr>
          <w:p w14:paraId="1B4121DF" w14:textId="72A6219E" w:rsidR="00AC6F14" w:rsidRPr="00642C3C" w:rsidRDefault="00761AE0" w:rsidP="0030353C">
            <w:pPr>
              <w:pStyle w:val="Title1"/>
              <w:rPr>
                <w:rFonts w:cs="Times New Roman"/>
                <w:bCs/>
              </w:rPr>
            </w:pPr>
            <w:bookmarkStart w:id="4" w:name="Title"/>
            <w:bookmarkEnd w:id="4"/>
            <w:r w:rsidRPr="00761AE0">
              <w:rPr>
                <w:rFonts w:cs="Times New Roman"/>
                <w:bCs/>
              </w:rPr>
              <w:t xml:space="preserve">Proposed response to the to the CWG FHR’s Liaison Statement </w:t>
            </w:r>
            <w:r>
              <w:rPr>
                <w:rFonts w:cs="Times New Roman"/>
                <w:bCs/>
              </w:rPr>
              <w:br/>
            </w:r>
            <w:r w:rsidRPr="00761AE0">
              <w:rPr>
                <w:rFonts w:cs="Times New Roman"/>
                <w:bCs/>
              </w:rPr>
              <w:t>on the criteria for establishing future area offices</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FB4697" w:rsidRPr="00256528"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23B56470" w14:textId="77777777" w:rsidR="00FB4697" w:rsidRDefault="00FB4697" w:rsidP="00FB4697">
            <w:pPr>
              <w:spacing w:after="120"/>
              <w:rPr>
                <w:rFonts w:ascii="Calibri" w:hAnsi="Calibri"/>
                <w:b/>
                <w:bCs/>
                <w:szCs w:val="24"/>
              </w:rPr>
            </w:pPr>
            <w:r>
              <w:rPr>
                <w:rFonts w:ascii="Calibri" w:hAnsi="Calibri"/>
                <w:b/>
                <w:bCs/>
                <w:szCs w:val="24"/>
              </w:rPr>
              <w:t xml:space="preserve">Summary: </w:t>
            </w:r>
          </w:p>
          <w:p w14:paraId="00DACF45" w14:textId="77777777" w:rsidR="00FB4697" w:rsidRDefault="00FB4697" w:rsidP="00FB4697">
            <w:pPr>
              <w:spacing w:after="120"/>
              <w:rPr>
                <w:rFonts w:ascii="Calibri" w:hAnsi="Calibri"/>
              </w:rPr>
            </w:pPr>
            <w:r>
              <w:rPr>
                <w:rFonts w:ascii="Calibri" w:hAnsi="Calibri"/>
              </w:rPr>
              <w:t>This Contribution summarises the recent discussions on the matter of criteria for establishing future area offices and proposes a draft response from TDAG to CWG-FHR’s Liaison Statement.</w:t>
            </w:r>
          </w:p>
          <w:p w14:paraId="654E2E7B" w14:textId="77777777" w:rsidR="00FB4697" w:rsidRDefault="00FB4697" w:rsidP="00FB4697">
            <w:pPr>
              <w:spacing w:after="120"/>
              <w:rPr>
                <w:b/>
                <w:bCs/>
                <w:szCs w:val="24"/>
              </w:rPr>
            </w:pPr>
            <w:r>
              <w:rPr>
                <w:b/>
                <w:bCs/>
                <w:szCs w:val="24"/>
              </w:rPr>
              <w:t xml:space="preserve">Action required: </w:t>
            </w:r>
          </w:p>
          <w:p w14:paraId="035A092B" w14:textId="77777777" w:rsidR="00FB4697" w:rsidRDefault="00FB4697" w:rsidP="00FB4697">
            <w:pPr>
              <w:spacing w:after="120"/>
              <w:rPr>
                <w:rFonts w:ascii="Calibri" w:hAnsi="Calibri"/>
              </w:rPr>
            </w:pPr>
            <w:r>
              <w:rPr>
                <w:rFonts w:ascii="Calibri" w:hAnsi="Calibri"/>
              </w:rPr>
              <w:t>TDAG is invited to consider this contribution to inform a response from TDAG to the CWG</w:t>
            </w:r>
            <w:r>
              <w:rPr>
                <w:rFonts w:ascii="Calibri" w:hAnsi="Calibri"/>
              </w:rPr>
              <w:noBreakHyphen/>
              <w:t>FHR’s Liaison Statement on the criteria for establishing future area offices</w:t>
            </w:r>
            <w:r>
              <w:rPr>
                <w:szCs w:val="24"/>
                <w:lang w:eastAsia="ko-KR"/>
              </w:rPr>
              <w:t>.</w:t>
            </w:r>
          </w:p>
          <w:p w14:paraId="301E6574" w14:textId="77777777" w:rsidR="00FB4697" w:rsidRDefault="00FB4697" w:rsidP="00FB4697">
            <w:pPr>
              <w:keepNext/>
              <w:keepLines/>
              <w:spacing w:after="120"/>
              <w:rPr>
                <w:b/>
                <w:bCs/>
                <w:szCs w:val="24"/>
              </w:rPr>
            </w:pPr>
            <w:r>
              <w:rPr>
                <w:b/>
                <w:bCs/>
                <w:szCs w:val="24"/>
              </w:rPr>
              <w:t xml:space="preserve">References: </w:t>
            </w:r>
          </w:p>
          <w:p w14:paraId="1926DAC6" w14:textId="77777777" w:rsidR="00FB4697" w:rsidRDefault="007D2EF9" w:rsidP="00FB4697">
            <w:pPr>
              <w:pStyle w:val="ListParagraph"/>
              <w:numPr>
                <w:ilvl w:val="0"/>
                <w:numId w:val="16"/>
              </w:numPr>
              <w:tabs>
                <w:tab w:val="clear" w:pos="1134"/>
                <w:tab w:val="clear" w:pos="1871"/>
                <w:tab w:val="clear" w:pos="2268"/>
              </w:tabs>
              <w:overflowPunct/>
              <w:autoSpaceDE/>
              <w:autoSpaceDN/>
              <w:adjustRightInd/>
              <w:spacing w:before="60" w:after="60"/>
              <w:ind w:left="408" w:hanging="357"/>
              <w:contextualSpacing w:val="0"/>
              <w:textAlignment w:val="auto"/>
              <w:rPr>
                <w:szCs w:val="24"/>
                <w:lang w:eastAsia="ko-KR"/>
              </w:rPr>
            </w:pPr>
            <w:hyperlink r:id="rId11" w:history="1">
              <w:r w:rsidR="00FB4697">
                <w:rPr>
                  <w:rStyle w:val="Hyperlink"/>
                  <w:szCs w:val="24"/>
                  <w:lang w:eastAsia="ko-KR"/>
                </w:rPr>
                <w:t>TDAG-24/21</w:t>
              </w:r>
            </w:hyperlink>
            <w:r w:rsidR="00FB4697">
              <w:rPr>
                <w:rStyle w:val="Hyperlink"/>
                <w:szCs w:val="24"/>
                <w:lang w:eastAsia="ko-KR"/>
              </w:rPr>
              <w:t xml:space="preserve"> (Rev.1)</w:t>
            </w:r>
            <w:r w:rsidR="00FB4697">
              <w:rPr>
                <w:szCs w:val="24"/>
                <w:lang w:eastAsia="ko-KR"/>
              </w:rPr>
              <w:t xml:space="preserve"> - Incoming LS - Liaison Statement to TDAG and ISCG on the criteria for establishing future area </w:t>
            </w:r>
            <w:proofErr w:type="gramStart"/>
            <w:r w:rsidR="00FB4697">
              <w:rPr>
                <w:szCs w:val="24"/>
                <w:lang w:eastAsia="ko-KR"/>
              </w:rPr>
              <w:t>offices</w:t>
            </w:r>
            <w:proofErr w:type="gramEnd"/>
          </w:p>
          <w:p w14:paraId="02A3AA49" w14:textId="77777777" w:rsidR="00FB4697" w:rsidRDefault="007D2EF9" w:rsidP="00FB4697">
            <w:pPr>
              <w:pStyle w:val="ListParagraph"/>
              <w:numPr>
                <w:ilvl w:val="0"/>
                <w:numId w:val="16"/>
              </w:numPr>
              <w:tabs>
                <w:tab w:val="clear" w:pos="1134"/>
                <w:tab w:val="clear" w:pos="1871"/>
                <w:tab w:val="clear" w:pos="2268"/>
              </w:tabs>
              <w:overflowPunct/>
              <w:autoSpaceDE/>
              <w:autoSpaceDN/>
              <w:adjustRightInd/>
              <w:spacing w:before="60" w:after="60"/>
              <w:ind w:left="408" w:hanging="357"/>
              <w:contextualSpacing w:val="0"/>
              <w:textAlignment w:val="auto"/>
              <w:rPr>
                <w:szCs w:val="24"/>
                <w:lang w:eastAsia="ko-KR"/>
              </w:rPr>
            </w:pPr>
            <w:hyperlink r:id="rId12" w:history="1">
              <w:r w:rsidR="00FB4697">
                <w:rPr>
                  <w:rStyle w:val="Hyperlink"/>
                  <w:szCs w:val="24"/>
                  <w:lang w:eastAsia="ko-KR"/>
                </w:rPr>
                <w:t>CWG-FHR-16/10</w:t>
              </w:r>
            </w:hyperlink>
            <w:r w:rsidR="00FB4697">
              <w:rPr>
                <w:szCs w:val="24"/>
                <w:lang w:eastAsia="ko-KR"/>
              </w:rPr>
              <w:t xml:space="preserve"> - Strengthening the Regional Presence - Criteria for Establishing Future Area Offices, submitted by the </w:t>
            </w:r>
            <w:proofErr w:type="gramStart"/>
            <w:r w:rsidR="00FB4697">
              <w:rPr>
                <w:szCs w:val="24"/>
                <w:lang w:eastAsia="ko-KR"/>
              </w:rPr>
              <w:t>Secretariat</w:t>
            </w:r>
            <w:proofErr w:type="gramEnd"/>
            <w:r w:rsidR="00FB4697">
              <w:rPr>
                <w:szCs w:val="24"/>
                <w:lang w:eastAsia="ko-KR"/>
              </w:rPr>
              <w:t xml:space="preserve"> </w:t>
            </w:r>
          </w:p>
          <w:p w14:paraId="5BC86984" w14:textId="77777777" w:rsidR="00FB4697" w:rsidRDefault="007D2EF9" w:rsidP="00FB4697">
            <w:pPr>
              <w:pStyle w:val="ListParagraph"/>
              <w:numPr>
                <w:ilvl w:val="0"/>
                <w:numId w:val="16"/>
              </w:numPr>
              <w:tabs>
                <w:tab w:val="clear" w:pos="1134"/>
                <w:tab w:val="clear" w:pos="1871"/>
                <w:tab w:val="clear" w:pos="2268"/>
              </w:tabs>
              <w:overflowPunct/>
              <w:autoSpaceDE/>
              <w:autoSpaceDN/>
              <w:adjustRightInd/>
              <w:spacing w:before="60" w:after="60"/>
              <w:ind w:left="408" w:hanging="357"/>
              <w:contextualSpacing w:val="0"/>
              <w:textAlignment w:val="auto"/>
              <w:rPr>
                <w:szCs w:val="24"/>
                <w:lang w:eastAsia="ko-KR"/>
              </w:rPr>
            </w:pPr>
            <w:hyperlink r:id="rId13" w:history="1">
              <w:r w:rsidR="00FB4697">
                <w:rPr>
                  <w:rStyle w:val="Hyperlink"/>
                  <w:szCs w:val="24"/>
                  <w:lang w:eastAsia="ko-KR"/>
                </w:rPr>
                <w:t>CWG-FHR-16/24(Rev.1)</w:t>
              </w:r>
            </w:hyperlink>
            <w:r w:rsidR="00FB4697">
              <w:rPr>
                <w:szCs w:val="24"/>
                <w:lang w:eastAsia="ko-KR"/>
              </w:rPr>
              <w:t xml:space="preserve"> - </w:t>
            </w:r>
            <w:proofErr w:type="gramStart"/>
            <w:r w:rsidR="00FB4697">
              <w:rPr>
                <w:szCs w:val="24"/>
                <w:lang w:eastAsia="ko-KR"/>
              </w:rPr>
              <w:t>Multi-country</w:t>
            </w:r>
            <w:proofErr w:type="gramEnd"/>
            <w:r w:rsidR="00FB4697">
              <w:rPr>
                <w:szCs w:val="24"/>
                <w:lang w:eastAsia="ko-KR"/>
              </w:rPr>
              <w:t xml:space="preserve"> contribution - The Proposal for Establishing Future Area Offices from Algeria, China, Cuba, Russian Federation and South Africa</w:t>
            </w:r>
          </w:p>
          <w:p w14:paraId="3284D33C" w14:textId="77777777" w:rsidR="00FB4697" w:rsidRDefault="007D2EF9" w:rsidP="00FB4697">
            <w:pPr>
              <w:pStyle w:val="ListParagraph"/>
              <w:numPr>
                <w:ilvl w:val="0"/>
                <w:numId w:val="16"/>
              </w:numPr>
              <w:tabs>
                <w:tab w:val="clear" w:pos="1134"/>
                <w:tab w:val="clear" w:pos="1871"/>
                <w:tab w:val="clear" w:pos="2268"/>
              </w:tabs>
              <w:overflowPunct/>
              <w:autoSpaceDE/>
              <w:autoSpaceDN/>
              <w:adjustRightInd/>
              <w:spacing w:before="60" w:after="60"/>
              <w:ind w:left="408" w:hanging="357"/>
              <w:contextualSpacing w:val="0"/>
              <w:textAlignment w:val="auto"/>
              <w:rPr>
                <w:szCs w:val="24"/>
              </w:rPr>
            </w:pPr>
            <w:hyperlink r:id="rId14" w:history="1">
              <w:r w:rsidR="00FB4697">
                <w:rPr>
                  <w:rStyle w:val="Hyperlink"/>
                  <w:szCs w:val="24"/>
                </w:rPr>
                <w:t>Resolution 25</w:t>
              </w:r>
            </w:hyperlink>
            <w:r w:rsidR="00FB4697">
              <w:rPr>
                <w:szCs w:val="24"/>
              </w:rPr>
              <w:t xml:space="preserve"> (Rev. </w:t>
            </w:r>
            <w:r w:rsidR="00FB4697">
              <w:rPr>
                <w:szCs w:val="24"/>
                <w:lang w:eastAsia="ko-KR"/>
              </w:rPr>
              <w:t>Bucharest</w:t>
            </w:r>
            <w:r w:rsidR="00FB4697">
              <w:rPr>
                <w:szCs w:val="24"/>
              </w:rPr>
              <w:t>, 2022) Strengthening the ITU Regional Presence</w:t>
            </w:r>
          </w:p>
          <w:p w14:paraId="2CA86CF4" w14:textId="77777777" w:rsidR="00FB4697" w:rsidRDefault="007D2EF9" w:rsidP="00FB4697">
            <w:pPr>
              <w:pStyle w:val="ListParagraph"/>
              <w:numPr>
                <w:ilvl w:val="0"/>
                <w:numId w:val="16"/>
              </w:numPr>
              <w:tabs>
                <w:tab w:val="clear" w:pos="1134"/>
                <w:tab w:val="clear" w:pos="1871"/>
                <w:tab w:val="clear" w:pos="2268"/>
              </w:tabs>
              <w:overflowPunct/>
              <w:autoSpaceDE/>
              <w:autoSpaceDN/>
              <w:adjustRightInd/>
              <w:spacing w:before="60" w:after="60"/>
              <w:ind w:left="408" w:hanging="357"/>
              <w:contextualSpacing w:val="0"/>
              <w:textAlignment w:val="auto"/>
              <w:rPr>
                <w:szCs w:val="24"/>
              </w:rPr>
            </w:pPr>
            <w:hyperlink r:id="rId15" w:history="1">
              <w:r w:rsidR="00FB4697">
                <w:rPr>
                  <w:rStyle w:val="Hyperlink"/>
                  <w:szCs w:val="24"/>
                </w:rPr>
                <w:t>Resolution 71</w:t>
              </w:r>
            </w:hyperlink>
            <w:r w:rsidR="00FB4697">
              <w:rPr>
                <w:szCs w:val="24"/>
              </w:rPr>
              <w:t xml:space="preserve"> (Rev. </w:t>
            </w:r>
            <w:r w:rsidR="00FB4697">
              <w:rPr>
                <w:szCs w:val="24"/>
                <w:lang w:eastAsia="ko-KR"/>
              </w:rPr>
              <w:t>Bucharest</w:t>
            </w:r>
            <w:r w:rsidR="00FB4697">
              <w:rPr>
                <w:szCs w:val="24"/>
              </w:rPr>
              <w:t xml:space="preserve">, 2022) ITU Strategic Plan 2024-2027 </w:t>
            </w:r>
          </w:p>
          <w:p w14:paraId="308034CE" w14:textId="77777777" w:rsidR="00FB4697" w:rsidRDefault="007D2EF9" w:rsidP="00FB4697">
            <w:pPr>
              <w:pStyle w:val="ListParagraph"/>
              <w:numPr>
                <w:ilvl w:val="0"/>
                <w:numId w:val="16"/>
              </w:numPr>
              <w:tabs>
                <w:tab w:val="clear" w:pos="1134"/>
                <w:tab w:val="clear" w:pos="1871"/>
                <w:tab w:val="clear" w:pos="2268"/>
              </w:tabs>
              <w:overflowPunct/>
              <w:autoSpaceDE/>
              <w:autoSpaceDN/>
              <w:adjustRightInd/>
              <w:spacing w:before="60" w:after="60"/>
              <w:ind w:left="408" w:hanging="357"/>
              <w:contextualSpacing w:val="0"/>
              <w:textAlignment w:val="auto"/>
            </w:pPr>
            <w:hyperlink r:id="rId16" w:history="1">
              <w:r w:rsidR="00FB4697">
                <w:rPr>
                  <w:rStyle w:val="Hyperlink"/>
                  <w:szCs w:val="24"/>
                </w:rPr>
                <w:t>Decision 5</w:t>
              </w:r>
            </w:hyperlink>
            <w:r w:rsidR="00FB4697">
              <w:rPr>
                <w:szCs w:val="24"/>
              </w:rPr>
              <w:t xml:space="preserve"> (Rev. </w:t>
            </w:r>
            <w:r w:rsidR="00FB4697">
              <w:rPr>
                <w:szCs w:val="24"/>
                <w:lang w:eastAsia="ko-KR"/>
              </w:rPr>
              <w:t>Bucharest</w:t>
            </w:r>
            <w:r w:rsidR="00FB4697">
              <w:rPr>
                <w:szCs w:val="24"/>
              </w:rPr>
              <w:t xml:space="preserve">, 2022), Annex 2 Measures for improving ITU’s efficiency and reducing its </w:t>
            </w:r>
            <w:proofErr w:type="gramStart"/>
            <w:r w:rsidR="00FB4697">
              <w:rPr>
                <w:szCs w:val="24"/>
              </w:rPr>
              <w:t>expenses</w:t>
            </w:r>
            <w:proofErr w:type="gramEnd"/>
            <w:r w:rsidR="00FB4697">
              <w:t xml:space="preserve"> </w:t>
            </w:r>
          </w:p>
          <w:p w14:paraId="1ECDD20E" w14:textId="458F9627" w:rsidR="00FB4697" w:rsidRPr="00C3774C" w:rsidRDefault="007D2EF9" w:rsidP="00FB4697">
            <w:pPr>
              <w:pStyle w:val="ListParagraph"/>
              <w:numPr>
                <w:ilvl w:val="0"/>
                <w:numId w:val="16"/>
              </w:numPr>
              <w:tabs>
                <w:tab w:val="clear" w:pos="1134"/>
                <w:tab w:val="clear" w:pos="1871"/>
                <w:tab w:val="clear" w:pos="2268"/>
              </w:tabs>
              <w:overflowPunct/>
              <w:autoSpaceDE/>
              <w:autoSpaceDN/>
              <w:adjustRightInd/>
              <w:spacing w:before="60" w:after="120"/>
              <w:ind w:left="408" w:hanging="357"/>
              <w:contextualSpacing w:val="0"/>
              <w:textAlignment w:val="auto"/>
            </w:pPr>
            <w:hyperlink r:id="rId17" w:history="1">
              <w:r w:rsidR="00FB4697">
                <w:rPr>
                  <w:rStyle w:val="Hyperlink"/>
                </w:rPr>
                <w:t>Document C20/74</w:t>
              </w:r>
            </w:hyperlink>
            <w:r w:rsidR="00FB4697">
              <w:t xml:space="preserve"> Review of ITU Regional Presence – Report by PwC (2020)</w:t>
            </w:r>
          </w:p>
        </w:tc>
      </w:tr>
    </w:tbl>
    <w:p w14:paraId="72F5CF96" w14:textId="77777777" w:rsidR="00923CF1" w:rsidRDefault="00923CF1" w:rsidP="00935FF0"/>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pPr>
      <w:r>
        <w:br w:type="page"/>
      </w:r>
    </w:p>
    <w:p w14:paraId="2ADF418A" w14:textId="006A5A65" w:rsidR="00ED7AE6" w:rsidRPr="00ED7AE6" w:rsidRDefault="00ED7AE6" w:rsidP="00ED7AE6">
      <w:pPr>
        <w:pStyle w:val="ListParagraph"/>
        <w:keepNext/>
        <w:keepLines/>
        <w:numPr>
          <w:ilvl w:val="0"/>
          <w:numId w:val="18"/>
        </w:numPr>
        <w:spacing w:after="120"/>
        <w:ind w:left="357" w:hanging="357"/>
        <w:contextualSpacing w:val="0"/>
        <w:rPr>
          <w:b/>
          <w:bCs/>
          <w:szCs w:val="24"/>
          <w:lang w:eastAsia="ko-KR"/>
        </w:rPr>
      </w:pPr>
      <w:bookmarkStart w:id="5" w:name="Proposal"/>
      <w:bookmarkEnd w:id="5"/>
      <w:r w:rsidRPr="00ED7AE6">
        <w:rPr>
          <w:b/>
          <w:bCs/>
          <w:szCs w:val="24"/>
          <w:lang w:eastAsia="ko-KR"/>
        </w:rPr>
        <w:lastRenderedPageBreak/>
        <w:t>Introduction</w:t>
      </w:r>
    </w:p>
    <w:p w14:paraId="51E217C9" w14:textId="5FECDD7E" w:rsidR="00ED7AE6" w:rsidRDefault="00ED7AE6" w:rsidP="00ED7AE6">
      <w:pPr>
        <w:spacing w:after="120"/>
        <w:rPr>
          <w:szCs w:val="24"/>
          <w:lang w:eastAsia="ko-KR"/>
        </w:rPr>
      </w:pPr>
      <w:r>
        <w:rPr>
          <w:szCs w:val="24"/>
          <w:lang w:eastAsia="ko-KR"/>
        </w:rPr>
        <w:t>At the 2023 ordinary session of ITU Council</w:t>
      </w:r>
      <w:r w:rsidR="00EA7094">
        <w:rPr>
          <w:szCs w:val="24"/>
          <w:lang w:eastAsia="ko-KR"/>
        </w:rPr>
        <w:t>,</w:t>
      </w:r>
      <w:r>
        <w:rPr>
          <w:szCs w:val="24"/>
          <w:lang w:eastAsia="ko-KR"/>
        </w:rPr>
        <w:t xml:space="preserve"> the Council tasked the Council Working Group on Financial and Human Resources (CWG-FHR) with recommending explicit criteria to guide future deliberations on establishing regional and area offices. This was done </w:t>
      </w:r>
      <w:proofErr w:type="gramStart"/>
      <w:r>
        <w:rPr>
          <w:szCs w:val="24"/>
          <w:lang w:eastAsia="ko-KR"/>
        </w:rPr>
        <w:t>in light of</w:t>
      </w:r>
      <w:proofErr w:type="gramEnd"/>
      <w:r>
        <w:rPr>
          <w:szCs w:val="24"/>
          <w:lang w:eastAsia="ko-KR"/>
        </w:rPr>
        <w:t xml:space="preserve"> the ongoing discussions on strategic approach to strengthening ITU regional presence and addressing existing gaps to ensure all ITU Members’ needs are adequately supported.</w:t>
      </w:r>
    </w:p>
    <w:p w14:paraId="69B74CE3" w14:textId="77777777" w:rsidR="00ED7AE6" w:rsidRDefault="00ED7AE6" w:rsidP="00ED7AE6">
      <w:pPr>
        <w:spacing w:after="120"/>
        <w:rPr>
          <w:szCs w:val="24"/>
          <w:lang w:eastAsia="ko-KR"/>
        </w:rPr>
      </w:pPr>
      <w:r>
        <w:rPr>
          <w:szCs w:val="24"/>
          <w:lang w:eastAsia="ko-KR"/>
        </w:rPr>
        <w:t>To assist CWG-FHR with this tasking, the ITU Secretariat submitted a contribution to the CWG</w:t>
      </w:r>
      <w:r>
        <w:rPr>
          <w:szCs w:val="24"/>
          <w:lang w:eastAsia="ko-KR"/>
        </w:rPr>
        <w:noBreakHyphen/>
        <w:t xml:space="preserve">FHR meeting in October 2023 proposing criteria to guide ITU in establishing future regional and area offices. The contribution drew on recommendations provided by PwC’s report on ITU’s Regional Presence (2020) and the subsequent deliberations by the Member States. </w:t>
      </w:r>
    </w:p>
    <w:p w14:paraId="380D9C9F" w14:textId="10B77011" w:rsidR="00ED7AE6" w:rsidRDefault="00EA7094" w:rsidP="00ED7AE6">
      <w:pPr>
        <w:spacing w:after="120"/>
        <w:rPr>
          <w:szCs w:val="24"/>
          <w:lang w:eastAsia="ko-KR"/>
        </w:rPr>
      </w:pPr>
      <w:r>
        <w:rPr>
          <w:szCs w:val="24"/>
          <w:lang w:eastAsia="ko-KR"/>
        </w:rPr>
        <w:t xml:space="preserve">The submitters of this contribution </w:t>
      </w:r>
      <w:r w:rsidR="00ED7AE6">
        <w:rPr>
          <w:szCs w:val="24"/>
          <w:lang w:eastAsia="ko-KR"/>
        </w:rPr>
        <w:t xml:space="preserve">would like to thank CWG-FHR for its consultative and inclusive approach and for seeking input from TDAG and Inter-Sector Coordination Group (ISCG) on this matter. </w:t>
      </w:r>
    </w:p>
    <w:p w14:paraId="7D3E58C6" w14:textId="1972BB2A" w:rsidR="00ED7AE6" w:rsidRPr="008927EC" w:rsidRDefault="00ED7AE6" w:rsidP="00ED7AE6">
      <w:pPr>
        <w:pStyle w:val="ListParagraph"/>
        <w:keepNext/>
        <w:keepLines/>
        <w:numPr>
          <w:ilvl w:val="0"/>
          <w:numId w:val="18"/>
        </w:numPr>
        <w:spacing w:after="120"/>
        <w:ind w:left="357" w:hanging="357"/>
        <w:contextualSpacing w:val="0"/>
        <w:rPr>
          <w:b/>
          <w:bCs/>
          <w:szCs w:val="24"/>
          <w:lang w:eastAsia="ko-KR"/>
        </w:rPr>
      </w:pPr>
      <w:r w:rsidRPr="008927EC">
        <w:rPr>
          <w:b/>
          <w:bCs/>
          <w:szCs w:val="24"/>
          <w:lang w:eastAsia="ko-KR"/>
        </w:rPr>
        <w:t>Discussion</w:t>
      </w:r>
    </w:p>
    <w:p w14:paraId="5BE09C0A" w14:textId="7ABD7159" w:rsidR="00ED7AE6" w:rsidRDefault="00ED7AE6" w:rsidP="00ED7AE6">
      <w:pPr>
        <w:spacing w:after="120"/>
        <w:ind w:left="53"/>
        <w:rPr>
          <w:szCs w:val="24"/>
          <w:lang w:eastAsia="ko-KR"/>
        </w:rPr>
      </w:pPr>
      <w:r>
        <w:rPr>
          <w:szCs w:val="24"/>
          <w:lang w:eastAsia="ko-KR"/>
        </w:rPr>
        <w:t xml:space="preserve">The contribution from the ITU Secretariat outlines the process of assessing and evaluating potential expansion of ITU regional presence. Overall, it provides ITU with a step-by-step guidance and tools (a set of criteria to assist with necessary assessment at each step) to evaluate how to strengthen the ITU regional presence in a strategic and objective manner. The proposed criteria also aligns with the multi-country contribution (MCP) </w:t>
      </w:r>
      <w:r>
        <w:rPr>
          <w:rStyle w:val="Hyperlink"/>
          <w:szCs w:val="24"/>
          <w:lang w:eastAsia="ko-KR"/>
        </w:rPr>
        <w:t>(</w:t>
      </w:r>
      <w:hyperlink r:id="rId18" w:history="1">
        <w:r>
          <w:rPr>
            <w:rStyle w:val="Hyperlink"/>
            <w:szCs w:val="24"/>
            <w:lang w:eastAsia="ko-KR"/>
          </w:rPr>
          <w:t>CWG-FHR-16/24(Rev.1)</w:t>
        </w:r>
      </w:hyperlink>
      <w:r>
        <w:rPr>
          <w:rStyle w:val="Hyperlink"/>
          <w:szCs w:val="24"/>
          <w:lang w:eastAsia="ko-KR"/>
        </w:rPr>
        <w:t>),</w:t>
      </w:r>
      <w:r>
        <w:rPr>
          <w:szCs w:val="24"/>
          <w:lang w:eastAsia="ko-KR"/>
        </w:rPr>
        <w:t xml:space="preserve"> which emphasi</w:t>
      </w:r>
      <w:r w:rsidR="009F558A">
        <w:rPr>
          <w:szCs w:val="24"/>
          <w:lang w:eastAsia="ko-KR"/>
        </w:rPr>
        <w:t>s</w:t>
      </w:r>
      <w:r>
        <w:rPr>
          <w:szCs w:val="24"/>
          <w:lang w:eastAsia="ko-KR"/>
        </w:rPr>
        <w:t>es the importance of a comprehensive assessment of needs and capabilities (including human and financial resourcing) of ITU, Member States and other stakeholders when considering stren</w:t>
      </w:r>
      <w:r w:rsidR="009F558A">
        <w:rPr>
          <w:szCs w:val="24"/>
          <w:lang w:eastAsia="ko-KR"/>
        </w:rPr>
        <w:t>g</w:t>
      </w:r>
      <w:r>
        <w:rPr>
          <w:szCs w:val="24"/>
          <w:lang w:eastAsia="ko-KR"/>
        </w:rPr>
        <w:t xml:space="preserve">thening ITU regional presence.  </w:t>
      </w:r>
    </w:p>
    <w:p w14:paraId="52CF0C11" w14:textId="6852F7D1" w:rsidR="00ED7AE6" w:rsidRPr="008927EC" w:rsidRDefault="00ED7AE6" w:rsidP="00ED7AE6">
      <w:pPr>
        <w:spacing w:after="120"/>
        <w:ind w:left="53"/>
        <w:rPr>
          <w:szCs w:val="24"/>
          <w:lang w:eastAsia="ko-KR"/>
        </w:rPr>
      </w:pPr>
      <w:r>
        <w:rPr>
          <w:szCs w:val="24"/>
          <w:lang w:eastAsia="ko-KR"/>
        </w:rPr>
        <w:t>Valuable discussions held at the CWG-FHR meetings in late 2023 and early 2024 have once again highlighted the topicality of the issue and pointed to additional aspects to be considered when deliberating on the establishment of regional and area offices. As outlined in the MCP (</w:t>
      </w:r>
      <w:hyperlink r:id="rId19" w:history="1">
        <w:r>
          <w:rPr>
            <w:rStyle w:val="Hyperlink"/>
            <w:szCs w:val="24"/>
            <w:lang w:eastAsia="ko-KR"/>
          </w:rPr>
          <w:t>CWG-FHR-16/24(Rev.1)</w:t>
        </w:r>
      </w:hyperlink>
      <w:r>
        <w:rPr>
          <w:szCs w:val="24"/>
          <w:lang w:eastAsia="ko-KR"/>
        </w:rPr>
        <w:t xml:space="preserve">), “the main purpose for establishment of area offices is to provide better services to Member States which are in need of assistance”. </w:t>
      </w:r>
    </w:p>
    <w:p w14:paraId="6C0EB93F" w14:textId="5FC2BBB6" w:rsidR="00ED7AE6" w:rsidRPr="00ED7AE6" w:rsidRDefault="00ED7AE6" w:rsidP="00ED7AE6">
      <w:pPr>
        <w:pStyle w:val="ListParagraph"/>
        <w:keepNext/>
        <w:keepLines/>
        <w:numPr>
          <w:ilvl w:val="0"/>
          <w:numId w:val="18"/>
        </w:numPr>
        <w:spacing w:after="120"/>
        <w:ind w:left="357" w:hanging="357"/>
        <w:contextualSpacing w:val="0"/>
        <w:rPr>
          <w:b/>
          <w:bCs/>
          <w:szCs w:val="24"/>
          <w:lang w:eastAsia="ko-KR"/>
        </w:rPr>
      </w:pPr>
      <w:r w:rsidRPr="00ED7AE6">
        <w:rPr>
          <w:b/>
          <w:bCs/>
          <w:szCs w:val="24"/>
          <w:lang w:eastAsia="ko-KR"/>
        </w:rPr>
        <w:t>Proposal</w:t>
      </w:r>
    </w:p>
    <w:p w14:paraId="0BE59442" w14:textId="77777777" w:rsidR="00ED7AE6" w:rsidRDefault="00ED7AE6" w:rsidP="00ED7AE6">
      <w:pPr>
        <w:spacing w:after="120"/>
        <w:rPr>
          <w:szCs w:val="24"/>
          <w:lang w:eastAsia="ko-KR"/>
        </w:rPr>
      </w:pPr>
      <w:r>
        <w:rPr>
          <w:szCs w:val="24"/>
          <w:lang w:eastAsia="ko-KR"/>
        </w:rPr>
        <w:t xml:space="preserve">To progress the work of ITU on the meaningful assistance to all ITU Member States, with particular focus on the </w:t>
      </w:r>
      <w:r w:rsidRPr="0069732A">
        <w:rPr>
          <w:szCs w:val="24"/>
          <w:lang w:eastAsia="ko-KR"/>
        </w:rPr>
        <w:t>Least Developed Countries (LDCs), Landlocked Developing Countries (LLDCs), and Small Island Developing States (SIDS)</w:t>
      </w:r>
      <w:r>
        <w:rPr>
          <w:szCs w:val="24"/>
          <w:lang w:eastAsia="ko-KR"/>
        </w:rPr>
        <w:t>, this contribution invites TDAG to consider and approve the following draft response to Council in response to CWG-FHR Liaison Statement:</w:t>
      </w:r>
    </w:p>
    <w:p w14:paraId="017570E3" w14:textId="77777777" w:rsidR="00ED7AE6" w:rsidRDefault="00ED7AE6" w:rsidP="00ED7AE6">
      <w:pPr>
        <w:pStyle w:val="ListParagraph"/>
        <w:numPr>
          <w:ilvl w:val="0"/>
          <w:numId w:val="17"/>
        </w:numPr>
        <w:tabs>
          <w:tab w:val="clear" w:pos="1134"/>
          <w:tab w:val="clear" w:pos="1871"/>
          <w:tab w:val="clear" w:pos="2268"/>
        </w:tabs>
        <w:overflowPunct/>
        <w:autoSpaceDE/>
        <w:autoSpaceDN/>
        <w:adjustRightInd/>
        <w:spacing w:after="120"/>
        <w:ind w:left="408" w:hanging="357"/>
        <w:contextualSpacing w:val="0"/>
        <w:textAlignment w:val="auto"/>
        <w:rPr>
          <w:szCs w:val="24"/>
          <w:lang w:eastAsia="ko-KR"/>
        </w:rPr>
      </w:pPr>
      <w:r>
        <w:rPr>
          <w:szCs w:val="24"/>
          <w:lang w:eastAsia="ko-KR"/>
        </w:rPr>
        <w:t>TDAG would like to thank CWG-FHR for its Liaison Statement and welcomes the documents submitted for its consideration.</w:t>
      </w:r>
    </w:p>
    <w:p w14:paraId="11785DD4" w14:textId="77777777" w:rsidR="00ED7AE6" w:rsidRDefault="00ED7AE6" w:rsidP="00ED7AE6">
      <w:pPr>
        <w:pStyle w:val="ListParagraph"/>
        <w:numPr>
          <w:ilvl w:val="0"/>
          <w:numId w:val="17"/>
        </w:numPr>
        <w:tabs>
          <w:tab w:val="clear" w:pos="1134"/>
          <w:tab w:val="clear" w:pos="1871"/>
          <w:tab w:val="clear" w:pos="2268"/>
        </w:tabs>
        <w:overflowPunct/>
        <w:autoSpaceDE/>
        <w:autoSpaceDN/>
        <w:adjustRightInd/>
        <w:spacing w:after="120"/>
        <w:contextualSpacing w:val="0"/>
        <w:textAlignment w:val="auto"/>
        <w:rPr>
          <w:szCs w:val="24"/>
          <w:lang w:eastAsia="ko-KR"/>
        </w:rPr>
      </w:pPr>
      <w:r>
        <w:rPr>
          <w:szCs w:val="24"/>
          <w:lang w:eastAsia="ko-KR"/>
        </w:rPr>
        <w:t xml:space="preserve">TDAG supports the criteria outlined in document </w:t>
      </w:r>
      <w:hyperlink r:id="rId20" w:history="1">
        <w:r>
          <w:rPr>
            <w:rStyle w:val="Hyperlink"/>
            <w:szCs w:val="24"/>
            <w:lang w:eastAsia="ko-KR"/>
          </w:rPr>
          <w:t>CWG-FHR-16/10</w:t>
        </w:r>
      </w:hyperlink>
      <w:r>
        <w:rPr>
          <w:rStyle w:val="Hyperlink"/>
          <w:szCs w:val="24"/>
          <w:lang w:eastAsia="ko-KR"/>
        </w:rPr>
        <w:t xml:space="preserve"> </w:t>
      </w:r>
      <w:r>
        <w:rPr>
          <w:szCs w:val="24"/>
          <w:lang w:eastAsia="ko-KR"/>
        </w:rPr>
        <w:t xml:space="preserve">and considerations presented in </w:t>
      </w:r>
      <w:hyperlink r:id="rId21" w:history="1">
        <w:r>
          <w:rPr>
            <w:rStyle w:val="Hyperlink"/>
            <w:szCs w:val="24"/>
            <w:lang w:eastAsia="ko-KR"/>
          </w:rPr>
          <w:t>CWG-FHR-16/24(Rev.1)</w:t>
        </w:r>
      </w:hyperlink>
      <w:r>
        <w:rPr>
          <w:szCs w:val="24"/>
          <w:lang w:eastAsia="ko-KR"/>
        </w:rPr>
        <w:t xml:space="preserve"> to be submitted for the upcoming ordinary meeting of Council in June 2024.</w:t>
      </w:r>
    </w:p>
    <w:p w14:paraId="51B44BAF" w14:textId="77777777" w:rsidR="00ED7AE6" w:rsidRDefault="00ED7AE6" w:rsidP="00ED7AE6">
      <w:pPr>
        <w:pStyle w:val="ListParagraph"/>
        <w:numPr>
          <w:ilvl w:val="0"/>
          <w:numId w:val="17"/>
        </w:numPr>
        <w:tabs>
          <w:tab w:val="clear" w:pos="1134"/>
          <w:tab w:val="clear" w:pos="1871"/>
          <w:tab w:val="clear" w:pos="2268"/>
        </w:tabs>
        <w:overflowPunct/>
        <w:autoSpaceDE/>
        <w:autoSpaceDN/>
        <w:adjustRightInd/>
        <w:spacing w:after="120"/>
        <w:contextualSpacing w:val="0"/>
        <w:textAlignment w:val="auto"/>
        <w:rPr>
          <w:szCs w:val="24"/>
          <w:lang w:eastAsia="ko-KR"/>
        </w:rPr>
      </w:pPr>
      <w:r>
        <w:rPr>
          <w:szCs w:val="24"/>
          <w:lang w:eastAsia="ko-KR"/>
        </w:rPr>
        <w:t xml:space="preserve">TDAG notes that the proposed criteria will only be used to determine the need for </w:t>
      </w:r>
      <w:r>
        <w:rPr>
          <w:b/>
          <w:szCs w:val="24"/>
          <w:lang w:eastAsia="ko-KR"/>
        </w:rPr>
        <w:t>future</w:t>
      </w:r>
      <w:r>
        <w:rPr>
          <w:szCs w:val="24"/>
          <w:lang w:eastAsia="ko-KR"/>
        </w:rPr>
        <w:t xml:space="preserve"> area or regional offices. There is no expectation or obligation for the existing offices to align with the proposed criteria.</w:t>
      </w:r>
    </w:p>
    <w:p w14:paraId="0CC84A5D" w14:textId="77777777" w:rsidR="00ED7AE6" w:rsidRDefault="00ED7AE6" w:rsidP="00ED7AE6">
      <w:pPr>
        <w:pStyle w:val="ListParagraph"/>
        <w:numPr>
          <w:ilvl w:val="0"/>
          <w:numId w:val="17"/>
        </w:numPr>
        <w:tabs>
          <w:tab w:val="clear" w:pos="1134"/>
          <w:tab w:val="clear" w:pos="1871"/>
          <w:tab w:val="clear" w:pos="2268"/>
        </w:tabs>
        <w:overflowPunct/>
        <w:autoSpaceDE/>
        <w:autoSpaceDN/>
        <w:adjustRightInd/>
        <w:spacing w:after="120"/>
        <w:contextualSpacing w:val="0"/>
        <w:textAlignment w:val="auto"/>
        <w:rPr>
          <w:szCs w:val="24"/>
          <w:lang w:eastAsia="ko-KR"/>
        </w:rPr>
      </w:pPr>
      <w:r>
        <w:rPr>
          <w:szCs w:val="24"/>
          <w:lang w:eastAsia="ko-KR"/>
        </w:rPr>
        <w:t>TDAG notes that any decision about strengthening ITU regional presence should take ITU’s resourcing constraints and the sustainability of the regional presence into account.</w:t>
      </w:r>
    </w:p>
    <w:p w14:paraId="70243BEA" w14:textId="1AE26F86" w:rsidR="006675C7" w:rsidRDefault="00ED7AE6" w:rsidP="006675C7">
      <w:pPr>
        <w:pStyle w:val="ListParagraph"/>
        <w:numPr>
          <w:ilvl w:val="0"/>
          <w:numId w:val="17"/>
        </w:numPr>
        <w:tabs>
          <w:tab w:val="clear" w:pos="1134"/>
          <w:tab w:val="clear" w:pos="1871"/>
          <w:tab w:val="clear" w:pos="2268"/>
        </w:tabs>
        <w:overflowPunct/>
        <w:autoSpaceDE/>
        <w:autoSpaceDN/>
        <w:adjustRightInd/>
        <w:spacing w:after="120"/>
        <w:contextualSpacing w:val="0"/>
        <w:textAlignment w:val="auto"/>
      </w:pPr>
      <w:r w:rsidRPr="00ED7AE6">
        <w:rPr>
          <w:szCs w:val="24"/>
          <w:lang w:eastAsia="ko-KR"/>
        </w:rPr>
        <w:lastRenderedPageBreak/>
        <w:t>TDAG advises that given specific and diverse needs of LDSs, LLDCs and SIDs as well as previous ITU experience showing that “area office can be established either in countries where ICT is not well developed, or in countries where ICT is relatively developed in the area” (</w:t>
      </w:r>
      <w:hyperlink r:id="rId22" w:history="1">
        <w:r w:rsidRPr="00ED7AE6">
          <w:rPr>
            <w:rStyle w:val="Hyperlink"/>
            <w:szCs w:val="24"/>
            <w:lang w:eastAsia="ko-KR"/>
          </w:rPr>
          <w:t>CWG-FHR-16/24(Rev.1)</w:t>
        </w:r>
      </w:hyperlink>
      <w:r w:rsidRPr="00ED7AE6">
        <w:rPr>
          <w:rStyle w:val="Hyperlink"/>
          <w:szCs w:val="24"/>
          <w:lang w:eastAsia="ko-KR"/>
        </w:rPr>
        <w:t xml:space="preserve">), </w:t>
      </w:r>
      <w:r w:rsidRPr="00ED7AE6">
        <w:rPr>
          <w:szCs w:val="24"/>
          <w:lang w:eastAsia="ko-KR"/>
        </w:rPr>
        <w:t>developing specific indicators for each proposed criterion would be counter-productive as it will risk limiting ITU’s ability to respond effectively to the specific needs and unique circumstances of the Member States it serves.</w:t>
      </w:r>
    </w:p>
    <w:p w14:paraId="7759C759" w14:textId="60E29969" w:rsidR="00821996" w:rsidRDefault="003C58BF" w:rsidP="00B904E0">
      <w:pPr>
        <w:tabs>
          <w:tab w:val="clear" w:pos="794"/>
          <w:tab w:val="clear" w:pos="1191"/>
          <w:tab w:val="clear" w:pos="1588"/>
          <w:tab w:val="clear" w:pos="1985"/>
        </w:tabs>
        <w:spacing w:after="120"/>
        <w:jc w:val="center"/>
      </w:pPr>
      <w:r>
        <w:t>_____________</w:t>
      </w:r>
      <w:r w:rsidR="004122C5">
        <w:t>_</w:t>
      </w:r>
      <w:r w:rsidR="00922EC1">
        <w:t>_</w:t>
      </w:r>
    </w:p>
    <w:sectPr w:rsidR="00821996" w:rsidSect="00574B92">
      <w:headerReference w:type="default" r:id="rId23"/>
      <w:footerReference w:type="first" r:id="rId2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01DA0" w14:textId="77777777" w:rsidR="00574B92" w:rsidRDefault="00574B92">
      <w:r>
        <w:separator/>
      </w:r>
    </w:p>
  </w:endnote>
  <w:endnote w:type="continuationSeparator" w:id="0">
    <w:p w14:paraId="41BFFCF3" w14:textId="77777777" w:rsidR="00574B92" w:rsidRDefault="00574B92">
      <w:r>
        <w:continuationSeparator/>
      </w:r>
    </w:p>
  </w:endnote>
  <w:endnote w:type="continuationNotice" w:id="1">
    <w:p w14:paraId="3CBEBB15" w14:textId="77777777" w:rsidR="00E51DE7" w:rsidRDefault="00E51DE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6675C7" w:rsidRPr="008265CF" w14:paraId="695D1810" w14:textId="77777777" w:rsidTr="006675C7">
      <w:tc>
        <w:tcPr>
          <w:tcW w:w="1526" w:type="dxa"/>
          <w:tcBorders>
            <w:top w:val="single" w:sz="4" w:space="0" w:color="000000"/>
          </w:tcBorders>
          <w:shd w:val="clear" w:color="auto" w:fill="auto"/>
        </w:tcPr>
        <w:p w14:paraId="746E5A61" w14:textId="77777777" w:rsidR="006675C7" w:rsidRPr="008265CF" w:rsidRDefault="006675C7" w:rsidP="006675C7">
          <w:pPr>
            <w:pStyle w:val="FirstFooter"/>
            <w:tabs>
              <w:tab w:val="left" w:pos="1559"/>
              <w:tab w:val="left" w:pos="3828"/>
            </w:tabs>
            <w:rPr>
              <w:sz w:val="18"/>
              <w:szCs w:val="18"/>
            </w:rPr>
          </w:pPr>
          <w:r w:rsidRPr="008265CF">
            <w:rPr>
              <w:sz w:val="18"/>
              <w:szCs w:val="18"/>
              <w:lang w:val="en-US"/>
            </w:rPr>
            <w:t>Contact:</w:t>
          </w:r>
        </w:p>
      </w:tc>
      <w:tc>
        <w:tcPr>
          <w:tcW w:w="2410" w:type="dxa"/>
          <w:tcBorders>
            <w:top w:val="single" w:sz="4" w:space="0" w:color="000000"/>
          </w:tcBorders>
          <w:shd w:val="clear" w:color="auto" w:fill="auto"/>
        </w:tcPr>
        <w:p w14:paraId="488E41E2" w14:textId="77777777" w:rsidR="006675C7" w:rsidRPr="008265CF" w:rsidRDefault="006675C7" w:rsidP="006675C7">
          <w:pPr>
            <w:pStyle w:val="FirstFooter"/>
            <w:tabs>
              <w:tab w:val="left" w:pos="2302"/>
            </w:tabs>
            <w:ind w:left="2302" w:hanging="2302"/>
            <w:rPr>
              <w:sz w:val="18"/>
              <w:szCs w:val="18"/>
              <w:lang w:val="en-US"/>
            </w:rPr>
          </w:pPr>
          <w:r w:rsidRPr="008265CF">
            <w:rPr>
              <w:sz w:val="18"/>
              <w:szCs w:val="18"/>
              <w:lang w:val="en-US"/>
            </w:rPr>
            <w:t>Name/Organization/Entity:</w:t>
          </w:r>
        </w:p>
      </w:tc>
      <w:tc>
        <w:tcPr>
          <w:tcW w:w="5987" w:type="dxa"/>
          <w:tcBorders>
            <w:top w:val="single" w:sz="4" w:space="0" w:color="000000"/>
          </w:tcBorders>
        </w:tcPr>
        <w:p w14:paraId="19D44A82" w14:textId="59D0B87D" w:rsidR="006675C7" w:rsidRDefault="006675C7" w:rsidP="006675C7">
          <w:pPr>
            <w:pStyle w:val="FirstFooter"/>
            <w:tabs>
              <w:tab w:val="left" w:pos="2302"/>
            </w:tabs>
            <w:rPr>
              <w:sz w:val="18"/>
              <w:szCs w:val="18"/>
              <w:lang w:val="en-US"/>
            </w:rPr>
          </w:pPr>
          <w:r>
            <w:rPr>
              <w:sz w:val="18"/>
              <w:szCs w:val="18"/>
              <w:lang w:val="en-GB"/>
            </w:rPr>
            <w:t xml:space="preserve">Ms Maria Myutel, </w:t>
          </w:r>
          <w:r w:rsidRPr="005972E8">
            <w:rPr>
              <w:sz w:val="18"/>
              <w:szCs w:val="18"/>
              <w:lang w:val="en-GB"/>
            </w:rPr>
            <w:t>Department of Infrastructure, Transport, Regional Development, Communications and the Arts</w:t>
          </w:r>
          <w:r>
            <w:rPr>
              <w:sz w:val="18"/>
              <w:szCs w:val="18"/>
              <w:lang w:val="en-GB"/>
            </w:rPr>
            <w:t>, Australia</w:t>
          </w:r>
        </w:p>
      </w:tc>
      <w:bookmarkStart w:id="6" w:name="OrgName"/>
      <w:bookmarkEnd w:id="6"/>
    </w:tr>
    <w:tr w:rsidR="006675C7" w:rsidRPr="008265CF" w14:paraId="61167678" w14:textId="77777777" w:rsidTr="006675C7">
      <w:tc>
        <w:tcPr>
          <w:tcW w:w="1526" w:type="dxa"/>
          <w:shd w:val="clear" w:color="auto" w:fill="auto"/>
        </w:tcPr>
        <w:p w14:paraId="33710823" w14:textId="77777777" w:rsidR="006675C7" w:rsidRPr="008265CF" w:rsidRDefault="006675C7" w:rsidP="006675C7">
          <w:pPr>
            <w:pStyle w:val="FirstFooter"/>
            <w:tabs>
              <w:tab w:val="left" w:pos="1559"/>
              <w:tab w:val="left" w:pos="3828"/>
            </w:tabs>
            <w:rPr>
              <w:sz w:val="18"/>
              <w:szCs w:val="18"/>
              <w:lang w:val="en-US"/>
            </w:rPr>
          </w:pPr>
        </w:p>
      </w:tc>
      <w:tc>
        <w:tcPr>
          <w:tcW w:w="2410" w:type="dxa"/>
          <w:shd w:val="clear" w:color="auto" w:fill="auto"/>
        </w:tcPr>
        <w:p w14:paraId="1251F6E4" w14:textId="77777777" w:rsidR="006675C7" w:rsidRPr="008265CF" w:rsidRDefault="006675C7" w:rsidP="006675C7">
          <w:pPr>
            <w:pStyle w:val="FirstFooter"/>
            <w:tabs>
              <w:tab w:val="left" w:pos="2302"/>
            </w:tabs>
            <w:rPr>
              <w:sz w:val="18"/>
              <w:szCs w:val="18"/>
              <w:lang w:val="en-US"/>
            </w:rPr>
          </w:pPr>
          <w:r w:rsidRPr="008265CF">
            <w:rPr>
              <w:sz w:val="18"/>
              <w:szCs w:val="18"/>
              <w:lang w:val="en-US"/>
            </w:rPr>
            <w:t>Phone number:</w:t>
          </w:r>
        </w:p>
      </w:tc>
      <w:tc>
        <w:tcPr>
          <w:tcW w:w="5987" w:type="dxa"/>
        </w:tcPr>
        <w:p w14:paraId="3FA3ED60" w14:textId="3742860D" w:rsidR="006675C7" w:rsidRDefault="006675C7" w:rsidP="006675C7">
          <w:pPr>
            <w:pStyle w:val="FirstFooter"/>
            <w:tabs>
              <w:tab w:val="left" w:pos="2302"/>
            </w:tabs>
          </w:pPr>
          <w:r>
            <w:rPr>
              <w:sz w:val="18"/>
              <w:szCs w:val="18"/>
            </w:rPr>
            <w:t>+61 418 277 795</w:t>
          </w:r>
          <w:r w:rsidRPr="00C91B96">
            <w:rPr>
              <w:sz w:val="18"/>
              <w:szCs w:val="18"/>
            </w:rPr>
            <w:t xml:space="preserve"> </w:t>
          </w:r>
        </w:p>
      </w:tc>
      <w:bookmarkStart w:id="7" w:name="PhoneNo"/>
      <w:bookmarkEnd w:id="7"/>
    </w:tr>
    <w:tr w:rsidR="006675C7" w:rsidRPr="008265CF" w14:paraId="0299A231" w14:textId="77777777" w:rsidTr="006675C7">
      <w:tc>
        <w:tcPr>
          <w:tcW w:w="1526" w:type="dxa"/>
          <w:shd w:val="clear" w:color="auto" w:fill="auto"/>
        </w:tcPr>
        <w:p w14:paraId="35CBC438" w14:textId="77777777" w:rsidR="006675C7" w:rsidRPr="008265CF" w:rsidRDefault="006675C7" w:rsidP="006675C7">
          <w:pPr>
            <w:pStyle w:val="FirstFooter"/>
            <w:tabs>
              <w:tab w:val="left" w:pos="1559"/>
              <w:tab w:val="left" w:pos="3828"/>
            </w:tabs>
            <w:rPr>
              <w:sz w:val="18"/>
              <w:szCs w:val="18"/>
              <w:lang w:val="en-US"/>
            </w:rPr>
          </w:pPr>
        </w:p>
      </w:tc>
      <w:tc>
        <w:tcPr>
          <w:tcW w:w="2410" w:type="dxa"/>
          <w:shd w:val="clear" w:color="auto" w:fill="auto"/>
        </w:tcPr>
        <w:p w14:paraId="65335E06" w14:textId="77777777" w:rsidR="006675C7" w:rsidRPr="008265CF" w:rsidRDefault="006675C7" w:rsidP="006675C7">
          <w:pPr>
            <w:pStyle w:val="FirstFooter"/>
            <w:tabs>
              <w:tab w:val="left" w:pos="2302"/>
            </w:tabs>
            <w:rPr>
              <w:sz w:val="18"/>
              <w:szCs w:val="18"/>
              <w:lang w:val="en-US"/>
            </w:rPr>
          </w:pPr>
          <w:r w:rsidRPr="008265CF">
            <w:rPr>
              <w:sz w:val="18"/>
              <w:szCs w:val="18"/>
              <w:lang w:val="en-US"/>
            </w:rPr>
            <w:t>E-mail:</w:t>
          </w:r>
        </w:p>
      </w:tc>
      <w:tc>
        <w:tcPr>
          <w:tcW w:w="5987" w:type="dxa"/>
        </w:tcPr>
        <w:p w14:paraId="1BDB65CC" w14:textId="0E1D771E" w:rsidR="006675C7" w:rsidRPr="006675C7" w:rsidRDefault="007D2EF9" w:rsidP="006675C7">
          <w:pPr>
            <w:pStyle w:val="FirstFooter"/>
            <w:tabs>
              <w:tab w:val="left" w:pos="2302"/>
            </w:tabs>
            <w:rPr>
              <w:lang w:val="en-US"/>
            </w:rPr>
          </w:pPr>
          <w:hyperlink r:id="rId1" w:history="1">
            <w:r w:rsidR="006675C7" w:rsidRPr="00067403">
              <w:rPr>
                <w:rStyle w:val="Hyperlink"/>
                <w:sz w:val="18"/>
                <w:szCs w:val="18"/>
                <w:lang w:val="en-US"/>
              </w:rPr>
              <w:t>maria.myutel@infrastructure.gov.au</w:t>
            </w:r>
          </w:hyperlink>
        </w:p>
      </w:tc>
      <w:bookmarkStart w:id="8" w:name="Email"/>
      <w:bookmarkEnd w:id="8"/>
    </w:tr>
  </w:tbl>
  <w:p w14:paraId="40A321D0" w14:textId="1C276101" w:rsidR="00721657" w:rsidRPr="008265CF"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469EC" w14:textId="77777777" w:rsidR="00574B92" w:rsidRDefault="00574B92">
      <w:r>
        <w:t>____________________</w:t>
      </w:r>
    </w:p>
  </w:footnote>
  <w:footnote w:type="continuationSeparator" w:id="0">
    <w:p w14:paraId="45BA5DF6" w14:textId="77777777" w:rsidR="00574B92" w:rsidRDefault="00574B92">
      <w:r>
        <w:continuationSeparator/>
      </w:r>
    </w:p>
  </w:footnote>
  <w:footnote w:type="continuationNotice" w:id="1">
    <w:p w14:paraId="5FB8D45E" w14:textId="77777777" w:rsidR="00E51DE7" w:rsidRDefault="00E51DE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173A1194"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6F24AF">
      <w:rPr>
        <w:sz w:val="22"/>
        <w:szCs w:val="22"/>
        <w:lang w:val="de-CH"/>
      </w:rPr>
      <w:t>4</w:t>
    </w:r>
    <w:r w:rsidRPr="00A54E72">
      <w:rPr>
        <w:sz w:val="22"/>
        <w:szCs w:val="22"/>
        <w:lang w:val="de-CH"/>
      </w:rPr>
      <w:t>/</w:t>
    </w:r>
    <w:r w:rsidR="00DC44F9">
      <w:rPr>
        <w:sz w:val="22"/>
        <w:szCs w:val="22"/>
        <w:lang w:val="de-CH"/>
      </w:rPr>
      <w:t>4</w:t>
    </w:r>
    <w:r w:rsidR="006675C7">
      <w:rPr>
        <w:sz w:val="22"/>
        <w:szCs w:val="22"/>
        <w:lang w:val="de-CH"/>
      </w:rPr>
      <w:t>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672F3"/>
    <w:multiLevelType w:val="hybridMultilevel"/>
    <w:tmpl w:val="4A68C858"/>
    <w:lvl w:ilvl="0" w:tplc="D8AA70EE">
      <w:start w:val="1"/>
      <w:numFmt w:val="bullet"/>
      <w:lvlText w:val=""/>
      <w:lvlJc w:val="left"/>
      <w:pPr>
        <w:ind w:left="413" w:hanging="360"/>
      </w:pPr>
      <w:rPr>
        <w:rFonts w:ascii="Symbol" w:hAnsi="Symbol" w:hint="default"/>
      </w:rPr>
    </w:lvl>
    <w:lvl w:ilvl="1" w:tplc="0C090003">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1" w15:restartNumberingAfterBreak="0">
    <w:nsid w:val="1B653615"/>
    <w:multiLevelType w:val="hybridMultilevel"/>
    <w:tmpl w:val="3ECC6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C343F4"/>
    <w:multiLevelType w:val="hybridMultilevel"/>
    <w:tmpl w:val="71D8C808"/>
    <w:lvl w:ilvl="0" w:tplc="D8AA70EE">
      <w:start w:val="1"/>
      <w:numFmt w:val="bullet"/>
      <w:lvlText w:val=""/>
      <w:lvlJc w:val="left"/>
      <w:pPr>
        <w:ind w:left="413" w:hanging="360"/>
      </w:pPr>
      <w:rPr>
        <w:rFonts w:ascii="Symbol" w:hAnsi="Symbol"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3" w15:restartNumberingAfterBreak="0">
    <w:nsid w:val="23DC5B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953871"/>
    <w:multiLevelType w:val="hybridMultilevel"/>
    <w:tmpl w:val="F8822B8E"/>
    <w:lvl w:ilvl="0" w:tplc="D8AA70E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C04E18"/>
    <w:multiLevelType w:val="hybridMultilevel"/>
    <w:tmpl w:val="D9AA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020202"/>
    <w:multiLevelType w:val="hybridMultilevel"/>
    <w:tmpl w:val="46DE463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5D05EC"/>
    <w:multiLevelType w:val="hybridMultilevel"/>
    <w:tmpl w:val="BBD0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A52141"/>
    <w:multiLevelType w:val="hybridMultilevel"/>
    <w:tmpl w:val="DA602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F86D9E"/>
    <w:multiLevelType w:val="hybridMultilevel"/>
    <w:tmpl w:val="E2A69B70"/>
    <w:lvl w:ilvl="0" w:tplc="D8AA70EE">
      <w:start w:val="1"/>
      <w:numFmt w:val="bullet"/>
      <w:lvlText w:val=""/>
      <w:lvlJc w:val="left"/>
      <w:pPr>
        <w:ind w:left="360" w:hanging="360"/>
      </w:pPr>
      <w:rPr>
        <w:rFonts w:ascii="Symbol" w:hAnsi="Symbol" w:hint="default"/>
      </w:rPr>
    </w:lvl>
    <w:lvl w:ilvl="1" w:tplc="FFFFFFFF">
      <w:numFmt w:val="bullet"/>
      <w:lvlText w:val="–"/>
      <w:lvlJc w:val="left"/>
      <w:pPr>
        <w:ind w:left="1515" w:hanging="795"/>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2CE6F84"/>
    <w:multiLevelType w:val="hybridMultilevel"/>
    <w:tmpl w:val="48042DB2"/>
    <w:lvl w:ilvl="0" w:tplc="7256EA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5F5F7F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4A47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6709A7"/>
    <w:multiLevelType w:val="hybridMultilevel"/>
    <w:tmpl w:val="BC409426"/>
    <w:lvl w:ilvl="0" w:tplc="0409000F">
      <w:start w:val="1"/>
      <w:numFmt w:val="decimal"/>
      <w:lvlText w:val="%1."/>
      <w:lvlJc w:val="left"/>
      <w:pPr>
        <w:ind w:left="720" w:hanging="360"/>
      </w:pPr>
    </w:lvl>
    <w:lvl w:ilvl="1" w:tplc="1860909C">
      <w:numFmt w:val="bullet"/>
      <w:lvlText w:val="–"/>
      <w:lvlJc w:val="left"/>
      <w:pPr>
        <w:ind w:left="1875" w:hanging="795"/>
      </w:pPr>
      <w:rPr>
        <w:rFonts w:ascii="Calibri" w:eastAsia="Times New Roman" w:hAnsi="Calibri" w:cs="Calibri" w:hint="default"/>
      </w:rPr>
    </w:lvl>
    <w:lvl w:ilvl="2" w:tplc="F49833B6">
      <w:start w:val="1"/>
      <w:numFmt w:val="decimal"/>
      <w:lvlText w:val="%3"/>
      <w:lvlJc w:val="left"/>
      <w:pPr>
        <w:ind w:left="2775" w:hanging="79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CA37F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3321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8F38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0996252">
    <w:abstractNumId w:val="12"/>
  </w:num>
  <w:num w:numId="2" w16cid:durableId="1668902854">
    <w:abstractNumId w:val="6"/>
  </w:num>
  <w:num w:numId="3" w16cid:durableId="1054890593">
    <w:abstractNumId w:val="17"/>
  </w:num>
  <w:num w:numId="4" w16cid:durableId="1325626162">
    <w:abstractNumId w:val="9"/>
  </w:num>
  <w:num w:numId="5" w16cid:durableId="427114863">
    <w:abstractNumId w:val="18"/>
  </w:num>
  <w:num w:numId="6" w16cid:durableId="1820540741">
    <w:abstractNumId w:val="15"/>
  </w:num>
  <w:num w:numId="7" w16cid:durableId="608010236">
    <w:abstractNumId w:val="5"/>
  </w:num>
  <w:num w:numId="8" w16cid:durableId="1795101828">
    <w:abstractNumId w:val="8"/>
  </w:num>
  <w:num w:numId="9" w16cid:durableId="273825148">
    <w:abstractNumId w:val="10"/>
  </w:num>
  <w:num w:numId="10" w16cid:durableId="215699537">
    <w:abstractNumId w:val="14"/>
  </w:num>
  <w:num w:numId="11" w16cid:durableId="800226017">
    <w:abstractNumId w:val="4"/>
  </w:num>
  <w:num w:numId="12" w16cid:durableId="1104767053">
    <w:abstractNumId w:val="3"/>
  </w:num>
  <w:num w:numId="13" w16cid:durableId="1486555038">
    <w:abstractNumId w:val="13"/>
  </w:num>
  <w:num w:numId="14" w16cid:durableId="1838224483">
    <w:abstractNumId w:val="7"/>
  </w:num>
  <w:num w:numId="15" w16cid:durableId="43722872">
    <w:abstractNumId w:val="11"/>
  </w:num>
  <w:num w:numId="16" w16cid:durableId="886719564">
    <w:abstractNumId w:val="2"/>
  </w:num>
  <w:num w:numId="17" w16cid:durableId="35736656">
    <w:abstractNumId w:val="0"/>
  </w:num>
  <w:num w:numId="18" w16cid:durableId="383022193">
    <w:abstractNumId w:val="16"/>
  </w:num>
  <w:num w:numId="19" w16cid:durableId="1314260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0397"/>
    <w:rsid w:val="00037A9E"/>
    <w:rsid w:val="00037F91"/>
    <w:rsid w:val="000539F1"/>
    <w:rsid w:val="00054747"/>
    <w:rsid w:val="00055A2A"/>
    <w:rsid w:val="000615C1"/>
    <w:rsid w:val="00061675"/>
    <w:rsid w:val="000743AA"/>
    <w:rsid w:val="0009076F"/>
    <w:rsid w:val="0009225C"/>
    <w:rsid w:val="000A17C4"/>
    <w:rsid w:val="000A36A4"/>
    <w:rsid w:val="000B2352"/>
    <w:rsid w:val="000C3A8B"/>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6EAA"/>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D7F85"/>
    <w:rsid w:val="001F23E6"/>
    <w:rsid w:val="001F4238"/>
    <w:rsid w:val="00200A38"/>
    <w:rsid w:val="00200A46"/>
    <w:rsid w:val="00211B6F"/>
    <w:rsid w:val="00217CC3"/>
    <w:rsid w:val="00220AB6"/>
    <w:rsid w:val="0022120F"/>
    <w:rsid w:val="0022754A"/>
    <w:rsid w:val="0023235F"/>
    <w:rsid w:val="00236560"/>
    <w:rsid w:val="0023662E"/>
    <w:rsid w:val="00245D0F"/>
    <w:rsid w:val="002548C3"/>
    <w:rsid w:val="00256528"/>
    <w:rsid w:val="00257ACD"/>
    <w:rsid w:val="00262908"/>
    <w:rsid w:val="002650F4"/>
    <w:rsid w:val="002715FD"/>
    <w:rsid w:val="002770B1"/>
    <w:rsid w:val="00282766"/>
    <w:rsid w:val="00285B33"/>
    <w:rsid w:val="00287A3C"/>
    <w:rsid w:val="002952DF"/>
    <w:rsid w:val="002A2FC6"/>
    <w:rsid w:val="002C1EC7"/>
    <w:rsid w:val="002C3015"/>
    <w:rsid w:val="002C4342"/>
    <w:rsid w:val="002C7EA3"/>
    <w:rsid w:val="002D20AE"/>
    <w:rsid w:val="002D6C61"/>
    <w:rsid w:val="002E2104"/>
    <w:rsid w:val="002E2DAC"/>
    <w:rsid w:val="002E6963"/>
    <w:rsid w:val="002E6F8F"/>
    <w:rsid w:val="002F05D8"/>
    <w:rsid w:val="002F2475"/>
    <w:rsid w:val="002F2DE0"/>
    <w:rsid w:val="002F5E25"/>
    <w:rsid w:val="0030353C"/>
    <w:rsid w:val="00307769"/>
    <w:rsid w:val="003125C3"/>
    <w:rsid w:val="00312AE6"/>
    <w:rsid w:val="00317D1A"/>
    <w:rsid w:val="003211FF"/>
    <w:rsid w:val="003242AB"/>
    <w:rsid w:val="00327247"/>
    <w:rsid w:val="00327A9D"/>
    <w:rsid w:val="0033130E"/>
    <w:rsid w:val="0033269C"/>
    <w:rsid w:val="00336BA3"/>
    <w:rsid w:val="00351C79"/>
    <w:rsid w:val="0035516C"/>
    <w:rsid w:val="00355A4C"/>
    <w:rsid w:val="003604FB"/>
    <w:rsid w:val="00360B73"/>
    <w:rsid w:val="003634C0"/>
    <w:rsid w:val="003720FC"/>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46FD"/>
    <w:rsid w:val="00416DDE"/>
    <w:rsid w:val="0044411E"/>
    <w:rsid w:val="00453435"/>
    <w:rsid w:val="0045457C"/>
    <w:rsid w:val="00460089"/>
    <w:rsid w:val="00466398"/>
    <w:rsid w:val="004712A4"/>
    <w:rsid w:val="0047306D"/>
    <w:rsid w:val="00473791"/>
    <w:rsid w:val="00476E48"/>
    <w:rsid w:val="00481DE9"/>
    <w:rsid w:val="0049128B"/>
    <w:rsid w:val="00491AF0"/>
    <w:rsid w:val="00493B49"/>
    <w:rsid w:val="00495501"/>
    <w:rsid w:val="004A070A"/>
    <w:rsid w:val="004A320E"/>
    <w:rsid w:val="004A4E9C"/>
    <w:rsid w:val="004A6E26"/>
    <w:rsid w:val="004B1A3C"/>
    <w:rsid w:val="004C18B1"/>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0D4C"/>
    <w:rsid w:val="00542D05"/>
    <w:rsid w:val="0054420E"/>
    <w:rsid w:val="00544D1B"/>
    <w:rsid w:val="00545DC0"/>
    <w:rsid w:val="00545F6C"/>
    <w:rsid w:val="005477D9"/>
    <w:rsid w:val="0055720C"/>
    <w:rsid w:val="00561796"/>
    <w:rsid w:val="005632DD"/>
    <w:rsid w:val="0056423B"/>
    <w:rsid w:val="00573424"/>
    <w:rsid w:val="0057402F"/>
    <w:rsid w:val="00574B92"/>
    <w:rsid w:val="00581653"/>
    <w:rsid w:val="00584931"/>
    <w:rsid w:val="005849D6"/>
    <w:rsid w:val="00585367"/>
    <w:rsid w:val="00585DA3"/>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1BA"/>
    <w:rsid w:val="00611EAF"/>
    <w:rsid w:val="00623F30"/>
    <w:rsid w:val="00625FB8"/>
    <w:rsid w:val="006261BD"/>
    <w:rsid w:val="00635EDB"/>
    <w:rsid w:val="00642C3C"/>
    <w:rsid w:val="0064734E"/>
    <w:rsid w:val="00650137"/>
    <w:rsid w:val="006509D7"/>
    <w:rsid w:val="00651CE8"/>
    <w:rsid w:val="0065521B"/>
    <w:rsid w:val="006675C7"/>
    <w:rsid w:val="00671EF6"/>
    <w:rsid w:val="0067205B"/>
    <w:rsid w:val="006748F8"/>
    <w:rsid w:val="00680489"/>
    <w:rsid w:val="00681F2B"/>
    <w:rsid w:val="00683C32"/>
    <w:rsid w:val="00690BB2"/>
    <w:rsid w:val="00693D09"/>
    <w:rsid w:val="006A17B0"/>
    <w:rsid w:val="006A6549"/>
    <w:rsid w:val="006A7710"/>
    <w:rsid w:val="006A7A61"/>
    <w:rsid w:val="006B1E59"/>
    <w:rsid w:val="006B2FFB"/>
    <w:rsid w:val="006C10A2"/>
    <w:rsid w:val="006C1F18"/>
    <w:rsid w:val="006D40D5"/>
    <w:rsid w:val="006F009A"/>
    <w:rsid w:val="006F24AF"/>
    <w:rsid w:val="006F3D93"/>
    <w:rsid w:val="007019B1"/>
    <w:rsid w:val="00721657"/>
    <w:rsid w:val="00725BD2"/>
    <w:rsid w:val="007279A8"/>
    <w:rsid w:val="00727B1A"/>
    <w:rsid w:val="00741337"/>
    <w:rsid w:val="00752258"/>
    <w:rsid w:val="007529E1"/>
    <w:rsid w:val="00753FAA"/>
    <w:rsid w:val="00761AE0"/>
    <w:rsid w:val="00762880"/>
    <w:rsid w:val="00762AD6"/>
    <w:rsid w:val="00762E02"/>
    <w:rsid w:val="007649CD"/>
    <w:rsid w:val="00772290"/>
    <w:rsid w:val="00777265"/>
    <w:rsid w:val="007805E7"/>
    <w:rsid w:val="0078222A"/>
    <w:rsid w:val="00782910"/>
    <w:rsid w:val="00787D48"/>
    <w:rsid w:val="00795294"/>
    <w:rsid w:val="007A33DB"/>
    <w:rsid w:val="007A4E50"/>
    <w:rsid w:val="007B18A7"/>
    <w:rsid w:val="007B250E"/>
    <w:rsid w:val="007B58EE"/>
    <w:rsid w:val="007C27FC"/>
    <w:rsid w:val="007C51FF"/>
    <w:rsid w:val="007D2D75"/>
    <w:rsid w:val="007D2EF9"/>
    <w:rsid w:val="007D50E4"/>
    <w:rsid w:val="007E2D61"/>
    <w:rsid w:val="007E2DC5"/>
    <w:rsid w:val="007F1CC7"/>
    <w:rsid w:val="007F6321"/>
    <w:rsid w:val="007F6E79"/>
    <w:rsid w:val="008027AC"/>
    <w:rsid w:val="008028CE"/>
    <w:rsid w:val="0080332E"/>
    <w:rsid w:val="008141E0"/>
    <w:rsid w:val="00816EE1"/>
    <w:rsid w:val="00816F88"/>
    <w:rsid w:val="00821996"/>
    <w:rsid w:val="00822323"/>
    <w:rsid w:val="008265CF"/>
    <w:rsid w:val="00827BC6"/>
    <w:rsid w:val="008300AD"/>
    <w:rsid w:val="00833024"/>
    <w:rsid w:val="00833F25"/>
    <w:rsid w:val="008419B1"/>
    <w:rsid w:val="00844A56"/>
    <w:rsid w:val="00845B11"/>
    <w:rsid w:val="00852081"/>
    <w:rsid w:val="008623C4"/>
    <w:rsid w:val="0086615A"/>
    <w:rsid w:val="00872B6E"/>
    <w:rsid w:val="00874DFD"/>
    <w:rsid w:val="008802F9"/>
    <w:rsid w:val="00883086"/>
    <w:rsid w:val="008879FD"/>
    <w:rsid w:val="00894C37"/>
    <w:rsid w:val="008A00EA"/>
    <w:rsid w:val="008A3F93"/>
    <w:rsid w:val="008A6236"/>
    <w:rsid w:val="008A6E1C"/>
    <w:rsid w:val="008A72FD"/>
    <w:rsid w:val="008B2EDF"/>
    <w:rsid w:val="008B47C7"/>
    <w:rsid w:val="008B4AD3"/>
    <w:rsid w:val="008B54CB"/>
    <w:rsid w:val="008B5A3D"/>
    <w:rsid w:val="008C2840"/>
    <w:rsid w:val="008C4010"/>
    <w:rsid w:val="008C442C"/>
    <w:rsid w:val="008C4FDF"/>
    <w:rsid w:val="008C6B1F"/>
    <w:rsid w:val="008D5E4F"/>
    <w:rsid w:val="008D77E5"/>
    <w:rsid w:val="008E34F0"/>
    <w:rsid w:val="008F14F5"/>
    <w:rsid w:val="008F4D35"/>
    <w:rsid w:val="008F71C1"/>
    <w:rsid w:val="00902D41"/>
    <w:rsid w:val="00902F49"/>
    <w:rsid w:val="00904230"/>
    <w:rsid w:val="009134A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851B1"/>
    <w:rsid w:val="00993F46"/>
    <w:rsid w:val="00997358"/>
    <w:rsid w:val="009A452B"/>
    <w:rsid w:val="009A591D"/>
    <w:rsid w:val="009B050C"/>
    <w:rsid w:val="009B087F"/>
    <w:rsid w:val="009B2AF4"/>
    <w:rsid w:val="009C110B"/>
    <w:rsid w:val="009C5441"/>
    <w:rsid w:val="009C7982"/>
    <w:rsid w:val="009D119F"/>
    <w:rsid w:val="009D49A2"/>
    <w:rsid w:val="009F3940"/>
    <w:rsid w:val="009F3EB2"/>
    <w:rsid w:val="009F558A"/>
    <w:rsid w:val="009F6EB1"/>
    <w:rsid w:val="00A11D05"/>
    <w:rsid w:val="00A13162"/>
    <w:rsid w:val="00A20267"/>
    <w:rsid w:val="00A3158C"/>
    <w:rsid w:val="00A32DF3"/>
    <w:rsid w:val="00A33E32"/>
    <w:rsid w:val="00A35E20"/>
    <w:rsid w:val="00A36F6D"/>
    <w:rsid w:val="00A50CA0"/>
    <w:rsid w:val="00A525CC"/>
    <w:rsid w:val="00A53E7C"/>
    <w:rsid w:val="00A54E80"/>
    <w:rsid w:val="00A60087"/>
    <w:rsid w:val="00A705E8"/>
    <w:rsid w:val="00A721F4"/>
    <w:rsid w:val="00A9392C"/>
    <w:rsid w:val="00A9462B"/>
    <w:rsid w:val="00A95729"/>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0EE8"/>
    <w:rsid w:val="00B310F9"/>
    <w:rsid w:val="00B37866"/>
    <w:rsid w:val="00B412FB"/>
    <w:rsid w:val="00B41E26"/>
    <w:rsid w:val="00B4576B"/>
    <w:rsid w:val="00B457CC"/>
    <w:rsid w:val="00B46350"/>
    <w:rsid w:val="00B46DF3"/>
    <w:rsid w:val="00B476A7"/>
    <w:rsid w:val="00B648C7"/>
    <w:rsid w:val="00B66E8F"/>
    <w:rsid w:val="00B6793B"/>
    <w:rsid w:val="00B80157"/>
    <w:rsid w:val="00B83D5E"/>
    <w:rsid w:val="00B8460A"/>
    <w:rsid w:val="00B8650D"/>
    <w:rsid w:val="00B879B4"/>
    <w:rsid w:val="00B904E0"/>
    <w:rsid w:val="00B90F07"/>
    <w:rsid w:val="00B97BB9"/>
    <w:rsid w:val="00BA0009"/>
    <w:rsid w:val="00BB02B5"/>
    <w:rsid w:val="00BB1863"/>
    <w:rsid w:val="00BB25EE"/>
    <w:rsid w:val="00BB363A"/>
    <w:rsid w:val="00BB7E71"/>
    <w:rsid w:val="00BC10A0"/>
    <w:rsid w:val="00BC7BA2"/>
    <w:rsid w:val="00BD426B"/>
    <w:rsid w:val="00BD79F0"/>
    <w:rsid w:val="00BE2B4D"/>
    <w:rsid w:val="00BF347F"/>
    <w:rsid w:val="00BF5C80"/>
    <w:rsid w:val="00C015F8"/>
    <w:rsid w:val="00C02C2A"/>
    <w:rsid w:val="00C07E26"/>
    <w:rsid w:val="00C1011C"/>
    <w:rsid w:val="00C12F94"/>
    <w:rsid w:val="00C177C5"/>
    <w:rsid w:val="00C34EC3"/>
    <w:rsid w:val="00C3774C"/>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9684D"/>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32AF"/>
    <w:rsid w:val="00CF72E5"/>
    <w:rsid w:val="00D013EE"/>
    <w:rsid w:val="00D01F54"/>
    <w:rsid w:val="00D040F7"/>
    <w:rsid w:val="00D04A76"/>
    <w:rsid w:val="00D10FC7"/>
    <w:rsid w:val="00D110CB"/>
    <w:rsid w:val="00D1519F"/>
    <w:rsid w:val="00D1703C"/>
    <w:rsid w:val="00D20E99"/>
    <w:rsid w:val="00D21C83"/>
    <w:rsid w:val="00D35BDD"/>
    <w:rsid w:val="00D373E3"/>
    <w:rsid w:val="00D50D27"/>
    <w:rsid w:val="00D63006"/>
    <w:rsid w:val="00D642AF"/>
    <w:rsid w:val="00D72301"/>
    <w:rsid w:val="00D911DE"/>
    <w:rsid w:val="00D91B97"/>
    <w:rsid w:val="00D93ACC"/>
    <w:rsid w:val="00D93C08"/>
    <w:rsid w:val="00D95DAC"/>
    <w:rsid w:val="00DA0B53"/>
    <w:rsid w:val="00DB1171"/>
    <w:rsid w:val="00DB1519"/>
    <w:rsid w:val="00DB2840"/>
    <w:rsid w:val="00DC0CC3"/>
    <w:rsid w:val="00DC1BD3"/>
    <w:rsid w:val="00DC2C1A"/>
    <w:rsid w:val="00DC44F9"/>
    <w:rsid w:val="00DD66B4"/>
    <w:rsid w:val="00DE1972"/>
    <w:rsid w:val="00DE27AB"/>
    <w:rsid w:val="00DE33D1"/>
    <w:rsid w:val="00DF2AB3"/>
    <w:rsid w:val="00DF7250"/>
    <w:rsid w:val="00E00CAA"/>
    <w:rsid w:val="00E03EBF"/>
    <w:rsid w:val="00E05209"/>
    <w:rsid w:val="00E05AC1"/>
    <w:rsid w:val="00E11509"/>
    <w:rsid w:val="00E11BCF"/>
    <w:rsid w:val="00E16B83"/>
    <w:rsid w:val="00E2258E"/>
    <w:rsid w:val="00E260C2"/>
    <w:rsid w:val="00E27976"/>
    <w:rsid w:val="00E32596"/>
    <w:rsid w:val="00E368F7"/>
    <w:rsid w:val="00E36EB8"/>
    <w:rsid w:val="00E37FB8"/>
    <w:rsid w:val="00E40B07"/>
    <w:rsid w:val="00E42326"/>
    <w:rsid w:val="00E43544"/>
    <w:rsid w:val="00E44D89"/>
    <w:rsid w:val="00E477EA"/>
    <w:rsid w:val="00E51DE7"/>
    <w:rsid w:val="00E55807"/>
    <w:rsid w:val="00E63B14"/>
    <w:rsid w:val="00E65CA0"/>
    <w:rsid w:val="00E70D9F"/>
    <w:rsid w:val="00E83810"/>
    <w:rsid w:val="00E86933"/>
    <w:rsid w:val="00E9605B"/>
    <w:rsid w:val="00E97298"/>
    <w:rsid w:val="00E97753"/>
    <w:rsid w:val="00EA0C51"/>
    <w:rsid w:val="00EA7094"/>
    <w:rsid w:val="00EA7DE7"/>
    <w:rsid w:val="00EB7A8A"/>
    <w:rsid w:val="00EC6FED"/>
    <w:rsid w:val="00EC7F3B"/>
    <w:rsid w:val="00ED5299"/>
    <w:rsid w:val="00ED7AE6"/>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4347"/>
    <w:rsid w:val="00F648F9"/>
    <w:rsid w:val="00F736F9"/>
    <w:rsid w:val="00F73833"/>
    <w:rsid w:val="00F9211C"/>
    <w:rsid w:val="00FA095D"/>
    <w:rsid w:val="00FA6C8B"/>
    <w:rsid w:val="00FA6CDA"/>
    <w:rsid w:val="00FA7C89"/>
    <w:rsid w:val="00FB4139"/>
    <w:rsid w:val="00FB4697"/>
    <w:rsid w:val="00FB476E"/>
    <w:rsid w:val="00FC0D90"/>
    <w:rsid w:val="00FC7D8C"/>
    <w:rsid w:val="00FD3980"/>
    <w:rsid w:val="00FD431E"/>
    <w:rsid w:val="00FD5A2C"/>
    <w:rsid w:val="00FE0D47"/>
    <w:rsid w:val="00FE1D5C"/>
    <w:rsid w:val="00FE2F8B"/>
    <w:rsid w:val="00FE3669"/>
    <w:rsid w:val="00FE5204"/>
    <w:rsid w:val="00FF12AF"/>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Equipment,Numbered Indented Text,Figure_name,Bullet List,FooterText,List Paragraph1,Colorful List Accent 1,numbered,Paragraphe de liste1,列出段落,列出段落1,Bulletr List Paragraph,List Paragraph2,List Paragraph21,Párrafo de lista1,リスト段落1,Plan,lp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256528"/>
    <w:rPr>
      <w:color w:val="605E5C"/>
      <w:shd w:val="clear" w:color="auto" w:fill="E1DFDD"/>
    </w:rPr>
  </w:style>
  <w:style w:type="character" w:customStyle="1" w:styleId="ListParagraphChar">
    <w:name w:val="List Paragraph Char"/>
    <w:aliases w:val="Equipment Char,Numbered Indented Text Char,Figure_name Char,Bullet List Char,FooterText Char,List Paragraph1 Char,Colorful List Accent 1 Char,numbered Char,Paragraphe de liste1 Char,列出段落 Char,列出段落1 Char,Bulletr List Paragraph Char"/>
    <w:link w:val="ListParagraph"/>
    <w:uiPriority w:val="34"/>
    <w:qFormat/>
    <w:locked/>
    <w:rsid w:val="00B904E0"/>
    <w:rPr>
      <w:rFonts w:asciiTheme="minorHAnsi" w:hAnsiTheme="minorHAnsi"/>
      <w:sz w:val="24"/>
      <w:lang w:val="en-GB" w:eastAsia="en-US"/>
    </w:rPr>
  </w:style>
  <w:style w:type="paragraph" w:styleId="Revision">
    <w:name w:val="Revision"/>
    <w:hidden/>
    <w:uiPriority w:val="99"/>
    <w:semiHidden/>
    <w:rsid w:val="00D110CB"/>
    <w:rPr>
      <w:rFonts w:asciiTheme="minorHAnsi" w:hAnsiTheme="minorHAnsi"/>
      <w:sz w:val="24"/>
      <w:lang w:val="en-GB" w:eastAsia="en-US"/>
    </w:rPr>
  </w:style>
  <w:style w:type="paragraph" w:styleId="NormalWeb">
    <w:name w:val="Normal (Web)"/>
    <w:basedOn w:val="Normal"/>
    <w:uiPriority w:val="99"/>
    <w:unhideWhenUsed/>
    <w:rsid w:val="00DC44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23-CWGFHR16-C-0024/en" TargetMode="External"/><Relationship Id="rId18" Type="http://schemas.openxmlformats.org/officeDocument/2006/relationships/hyperlink" Target="https://www.itu.int/md/S23-CWGFHR16-C-0024/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md/S23-CWGFHR16-C-0024/en" TargetMode="External"/><Relationship Id="rId7" Type="http://schemas.openxmlformats.org/officeDocument/2006/relationships/webSettings" Target="webSettings.xml"/><Relationship Id="rId12" Type="http://schemas.openxmlformats.org/officeDocument/2006/relationships/hyperlink" Target="https://www.itu.int/md/S23-CWGFHR16-C-0010/en" TargetMode="External"/><Relationship Id="rId17" Type="http://schemas.openxmlformats.org/officeDocument/2006/relationships/hyperlink" Target="https://www.itu.int/md/S20-CL-C-0074/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en/council/Documents/basic-texts-2023/DEC-005-E.pdf" TargetMode="External"/><Relationship Id="rId20" Type="http://schemas.openxmlformats.org/officeDocument/2006/relationships/hyperlink" Target="https://www.itu.int/md/S23-CWGFHR16-C-0010/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D22-TDAG31-C-0021/en"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itu.int/en/council/Documents/basic-texts-2023/RES-071-E.pdf" TargetMode="External"/><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https://www.itu.int/md/S23-CWGFHR16-C-0024/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council/Documents/basic-texts-2023/RES-025-E.pdf" TargetMode="External"/><Relationship Id="rId22" Type="http://schemas.openxmlformats.org/officeDocument/2006/relationships/hyperlink" Target="https://www.itu.int/md/S23-CWGFHR16-C-0024/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aria.myutel@infrastructur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E6489-D338-4522-99CC-2C9B44D1FFD4}">
  <ds:schemaRefs>
    <ds:schemaRef ds:uri="http://schemas.openxmlformats.org/officeDocument/2006/bibliography"/>
  </ds:schemaRefs>
</ds:datastoreItem>
</file>

<file path=customXml/itemProps2.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3.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Comas Barnes, Maite</cp:lastModifiedBy>
  <cp:revision>3</cp:revision>
  <cp:lastPrinted>2014-11-04T09:22:00Z</cp:lastPrinted>
  <dcterms:created xsi:type="dcterms:W3CDTF">2024-05-08T09:20:00Z</dcterms:created>
  <dcterms:modified xsi:type="dcterms:W3CDTF">2024-05-08T09:20:00Z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