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78F50E5D"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782910">
              <w:rPr>
                <w:b/>
                <w:bCs/>
                <w:lang w:val="en-US"/>
              </w:rPr>
              <w:t>4</w:t>
            </w:r>
            <w:r w:rsidR="00E55391">
              <w:rPr>
                <w:b/>
                <w:bCs/>
                <w:lang w:val="en-US"/>
              </w:rPr>
              <w:t>2</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1BB6AE9" w:rsidR="00683C32" w:rsidRPr="007F1CC7" w:rsidRDefault="007E2D61" w:rsidP="00B648C7">
            <w:pPr>
              <w:spacing w:before="0"/>
              <w:rPr>
                <w:b/>
                <w:szCs w:val="24"/>
              </w:rPr>
            </w:pPr>
            <w:bookmarkStart w:id="2" w:name="CreationDate"/>
            <w:bookmarkEnd w:id="2"/>
            <w:r>
              <w:rPr>
                <w:b/>
                <w:bCs/>
                <w:szCs w:val="28"/>
              </w:rPr>
              <w:t>8</w:t>
            </w:r>
            <w:r w:rsidR="008623C4">
              <w:rPr>
                <w:b/>
                <w:bCs/>
                <w:szCs w:val="28"/>
              </w:rPr>
              <w:t xml:space="preserve"> </w:t>
            </w:r>
            <w:r w:rsidR="00B476A7">
              <w:rPr>
                <w:b/>
                <w:bCs/>
                <w:szCs w:val="28"/>
              </w:rPr>
              <w:t>May</w:t>
            </w:r>
            <w:r w:rsidR="008623C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E011674" w:rsidR="00514D2F" w:rsidRPr="007F1CC7" w:rsidRDefault="00AD4677" w:rsidP="00282766">
            <w:pPr>
              <w:spacing w:before="0" w:after="240"/>
              <w:rPr>
                <w:szCs w:val="24"/>
              </w:rPr>
            </w:pPr>
            <w:r>
              <w:rPr>
                <w:b/>
              </w:rPr>
              <w:t>English</w:t>
            </w:r>
            <w:r w:rsidR="008623C4">
              <w:rPr>
                <w:b/>
              </w:rPr>
              <w:t xml:space="preserve"> only</w:t>
            </w:r>
          </w:p>
        </w:tc>
      </w:tr>
      <w:tr w:rsidR="00A13162" w14:paraId="31656E31" w14:textId="77777777" w:rsidTr="00107E85">
        <w:trPr>
          <w:cantSplit/>
          <w:trHeight w:val="852"/>
        </w:trPr>
        <w:tc>
          <w:tcPr>
            <w:tcW w:w="9888" w:type="dxa"/>
            <w:gridSpan w:val="2"/>
          </w:tcPr>
          <w:p w14:paraId="512FCA01" w14:textId="091DCB8C" w:rsidR="00A13162" w:rsidRPr="0030353C" w:rsidRDefault="00774148" w:rsidP="0030353C">
            <w:pPr>
              <w:pStyle w:val="Source"/>
            </w:pPr>
            <w:bookmarkStart w:id="3" w:name="Source"/>
            <w:bookmarkEnd w:id="3"/>
            <w:r w:rsidRPr="00774148">
              <w:t>Czech Republic</w:t>
            </w:r>
            <w:r>
              <w:t>,</w:t>
            </w:r>
            <w:r w:rsidRPr="00774148">
              <w:t xml:space="preserve"> Poland</w:t>
            </w:r>
          </w:p>
        </w:tc>
      </w:tr>
      <w:tr w:rsidR="00AC6F14" w:rsidRPr="002E6963" w14:paraId="2CBD3A36" w14:textId="77777777" w:rsidTr="00107E85">
        <w:trPr>
          <w:cantSplit/>
        </w:trPr>
        <w:tc>
          <w:tcPr>
            <w:tcW w:w="9888" w:type="dxa"/>
            <w:gridSpan w:val="2"/>
          </w:tcPr>
          <w:p w14:paraId="1B4121DF" w14:textId="6336C44E" w:rsidR="00AC6F14" w:rsidRPr="00642C3C" w:rsidRDefault="00F22C9C" w:rsidP="0030353C">
            <w:pPr>
              <w:pStyle w:val="Title1"/>
              <w:rPr>
                <w:rFonts w:cs="Times New Roman"/>
                <w:bCs/>
              </w:rPr>
            </w:pPr>
            <w:bookmarkStart w:id="4" w:name="Title"/>
            <w:bookmarkEnd w:id="4"/>
            <w:r w:rsidRPr="00F22C9C">
              <w:rPr>
                <w:rFonts w:cs="Times New Roman"/>
                <w:bCs/>
              </w:rPr>
              <w:t>Human-Centric Approach for Digital Transformation</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685DA0" w:rsidRPr="0025652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5D30D77" w14:textId="77777777" w:rsidR="00685DA0" w:rsidRPr="00D87037" w:rsidRDefault="00685DA0" w:rsidP="00685DA0">
            <w:pPr>
              <w:spacing w:after="120"/>
              <w:rPr>
                <w:b/>
                <w:bCs/>
              </w:rPr>
            </w:pPr>
            <w:r w:rsidRPr="00D87037">
              <w:rPr>
                <w:b/>
                <w:bCs/>
                <w:szCs w:val="24"/>
              </w:rPr>
              <w:t>Sum</w:t>
            </w:r>
            <w:r w:rsidRPr="00D87037">
              <w:rPr>
                <w:b/>
                <w:bCs/>
              </w:rPr>
              <w:t>mary:</w:t>
            </w:r>
          </w:p>
          <w:p w14:paraId="7CB86E5C" w14:textId="09754E4C" w:rsidR="00685DA0" w:rsidRDefault="00685DA0" w:rsidP="00685DA0">
            <w:pPr>
              <w:spacing w:after="120"/>
              <w:rPr>
                <w:rStyle w:val="ui-provider"/>
                <w:rFonts w:ascii="Calibri" w:hAnsi="Calibri" w:cs="Calibri"/>
                <w:szCs w:val="24"/>
              </w:rPr>
            </w:pPr>
            <w:r w:rsidRPr="00D87037">
              <w:t xml:space="preserve">This document provides an </w:t>
            </w:r>
            <w:r>
              <w:t>update on the results achieved via a special initiative focusing on Human Centric Digital Transformation, in particular</w:t>
            </w:r>
            <w:r w:rsidR="008E3FBA">
              <w:t xml:space="preserve"> the</w:t>
            </w:r>
            <w:r>
              <w:t xml:space="preserve"> Compendium and its recommendations that were developed upon a series of national experiences shared by fourteen European countries. </w:t>
            </w:r>
            <w:r w:rsidRPr="00330F82">
              <w:rPr>
                <w:rStyle w:val="ui-provider"/>
                <w:rFonts w:ascii="Calibri" w:hAnsi="Calibri" w:cs="Calibri"/>
                <w:szCs w:val="24"/>
              </w:rPr>
              <w:t>In the pursuit of the Sustainable Development Goals, societies and economies increasingly embrace digitalization. However, it is crucial to place humans at the heart of all aspects of digital development,</w:t>
            </w:r>
            <w:r>
              <w:rPr>
                <w:rStyle w:val="ui-provider"/>
                <w:rFonts w:ascii="Calibri" w:hAnsi="Calibri" w:cs="Calibri"/>
                <w:szCs w:val="24"/>
              </w:rPr>
              <w:t xml:space="preserve"> from</w:t>
            </w:r>
            <w:r w:rsidRPr="00330F82">
              <w:rPr>
                <w:rStyle w:val="ui-provider"/>
                <w:rFonts w:ascii="Calibri" w:hAnsi="Calibri" w:cs="Calibri"/>
                <w:szCs w:val="24"/>
              </w:rPr>
              <w:t xml:space="preserve"> design </w:t>
            </w:r>
            <w:r>
              <w:rPr>
                <w:rStyle w:val="ui-provider"/>
                <w:rFonts w:ascii="Calibri" w:hAnsi="Calibri" w:cs="Calibri"/>
                <w:szCs w:val="24"/>
              </w:rPr>
              <w:t>to deployment</w:t>
            </w:r>
            <w:r w:rsidRPr="00330F82">
              <w:rPr>
                <w:rStyle w:val="ui-provider"/>
                <w:rFonts w:ascii="Calibri" w:hAnsi="Calibri" w:cs="Calibri"/>
                <w:szCs w:val="24"/>
              </w:rPr>
              <w:t>.</w:t>
            </w:r>
            <w:r>
              <w:rPr>
                <w:rStyle w:val="ui-provider"/>
                <w:rFonts w:ascii="Calibri" w:hAnsi="Calibri" w:cs="Calibri"/>
                <w:szCs w:val="24"/>
              </w:rPr>
              <w:t xml:space="preserve"> Thereby, a human centric approach for digital transformation wins an important meaning and requires a special attention of all stakeholders involved in building our digital future. </w:t>
            </w:r>
          </w:p>
          <w:p w14:paraId="4A6EC159" w14:textId="77777777" w:rsidR="00685DA0" w:rsidRPr="00D87037" w:rsidRDefault="00685DA0" w:rsidP="00685DA0">
            <w:pPr>
              <w:keepNext/>
              <w:keepLines/>
              <w:spacing w:after="120"/>
              <w:rPr>
                <w:b/>
                <w:bCs/>
              </w:rPr>
            </w:pPr>
            <w:r w:rsidRPr="00D87037">
              <w:rPr>
                <w:b/>
                <w:bCs/>
              </w:rPr>
              <w:t>Action required:</w:t>
            </w:r>
          </w:p>
          <w:p w14:paraId="15FC4BFA" w14:textId="77777777" w:rsidR="00685DA0" w:rsidRPr="00D87037" w:rsidRDefault="00685DA0" w:rsidP="00685DA0">
            <w:pPr>
              <w:keepNext/>
              <w:keepLines/>
              <w:spacing w:after="120"/>
            </w:pPr>
            <w:r w:rsidRPr="00D87037">
              <w:t xml:space="preserve">TDAG is invited to note the document and </w:t>
            </w:r>
            <w:r>
              <w:t xml:space="preserve">provide the guidance as appropriate. </w:t>
            </w:r>
          </w:p>
          <w:p w14:paraId="0AFB64BB" w14:textId="77777777" w:rsidR="00685DA0" w:rsidRPr="00D87037" w:rsidRDefault="00685DA0" w:rsidP="00685DA0">
            <w:pPr>
              <w:spacing w:after="120"/>
              <w:rPr>
                <w:b/>
                <w:bCs/>
              </w:rPr>
            </w:pPr>
            <w:r w:rsidRPr="00D87037">
              <w:rPr>
                <w:b/>
                <w:bCs/>
              </w:rPr>
              <w:t>References:</w:t>
            </w:r>
          </w:p>
          <w:p w14:paraId="1ECDD20E" w14:textId="6954022B" w:rsidR="00685DA0" w:rsidRPr="00C3774C" w:rsidRDefault="00685DA0" w:rsidP="00685DA0">
            <w:pPr>
              <w:overflowPunct/>
              <w:autoSpaceDE/>
              <w:autoSpaceDN/>
              <w:adjustRightInd/>
              <w:spacing w:before="60" w:after="120"/>
              <w:textAlignment w:val="auto"/>
            </w:pPr>
            <w:r w:rsidRPr="00D87037">
              <w:t xml:space="preserve">WTDC-22 Resolution </w:t>
            </w:r>
            <w:r>
              <w:t>17</w:t>
            </w:r>
            <w:r w:rsidRPr="00D87037">
              <w:t xml:space="preserve"> (Rev. Kigali, 2022)</w:t>
            </w:r>
          </w:p>
        </w:tc>
      </w:tr>
    </w:tbl>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5C2E7ECB" w14:textId="77777777" w:rsidR="00B21FC8" w:rsidRDefault="00B21FC8" w:rsidP="00B21FC8">
      <w:pPr>
        <w:pStyle w:val="Heading1"/>
        <w:numPr>
          <w:ilvl w:val="0"/>
          <w:numId w:val="21"/>
        </w:numPr>
        <w:tabs>
          <w:tab w:val="left" w:pos="702"/>
        </w:tabs>
        <w:spacing w:before="120" w:after="120"/>
        <w:rPr>
          <w:spacing w:val="-2"/>
          <w:sz w:val="24"/>
          <w:szCs w:val="24"/>
        </w:rPr>
      </w:pPr>
      <w:bookmarkStart w:id="5" w:name="Proposal"/>
      <w:bookmarkEnd w:id="5"/>
      <w:r>
        <w:rPr>
          <w:spacing w:val="-2"/>
          <w:sz w:val="24"/>
          <w:szCs w:val="24"/>
        </w:rPr>
        <w:lastRenderedPageBreak/>
        <w:t xml:space="preserve">Background </w:t>
      </w:r>
    </w:p>
    <w:p w14:paraId="7EC30EE1" w14:textId="77777777" w:rsidR="00B21FC8" w:rsidRDefault="00B21FC8" w:rsidP="00B21FC8">
      <w:pPr>
        <w:spacing w:after="120"/>
        <w:rPr>
          <w:rStyle w:val="ui-provider"/>
          <w:rFonts w:ascii="Calibri" w:hAnsi="Calibri" w:cs="Calibri"/>
          <w:szCs w:val="24"/>
        </w:rPr>
      </w:pPr>
      <w:r w:rsidRPr="00330F82">
        <w:rPr>
          <w:rStyle w:val="ui-provider"/>
          <w:rFonts w:ascii="Calibri" w:hAnsi="Calibri" w:cs="Calibri"/>
          <w:szCs w:val="24"/>
        </w:rPr>
        <w:t>In the pursuit of the Sustainable Development Goals, societies and economies increasingly embrace digitalization. However, it is crucial to place humans at the heart of all aspects of digital development, including design processes and measures</w:t>
      </w:r>
      <w:r>
        <w:rPr>
          <w:rStyle w:val="ui-provider"/>
          <w:rFonts w:ascii="Calibri" w:hAnsi="Calibri" w:cs="Calibri"/>
          <w:szCs w:val="24"/>
        </w:rPr>
        <w:t xml:space="preserve"> as well as deployment</w:t>
      </w:r>
      <w:r w:rsidRPr="00330F82">
        <w:rPr>
          <w:rStyle w:val="ui-provider"/>
          <w:rFonts w:ascii="Calibri" w:hAnsi="Calibri" w:cs="Calibri"/>
          <w:szCs w:val="24"/>
        </w:rPr>
        <w:t xml:space="preserve">. </w:t>
      </w:r>
    </w:p>
    <w:p w14:paraId="1C1EC57A" w14:textId="49761C40" w:rsidR="00B21FC8" w:rsidRPr="00330F82" w:rsidRDefault="00B21FC8" w:rsidP="00B21FC8">
      <w:pPr>
        <w:spacing w:after="120"/>
        <w:rPr>
          <w:rStyle w:val="ui-provider"/>
          <w:rFonts w:ascii="Calibri" w:hAnsi="Calibri" w:cs="Calibri"/>
          <w:szCs w:val="24"/>
        </w:rPr>
      </w:pPr>
      <w:r w:rsidRPr="00330F82">
        <w:rPr>
          <w:rStyle w:val="ui-provider"/>
          <w:rFonts w:ascii="Calibri" w:hAnsi="Calibri" w:cs="Calibri"/>
          <w:szCs w:val="24"/>
        </w:rPr>
        <w:t>In this context, a special initiative</w:t>
      </w:r>
      <w:r>
        <w:rPr>
          <w:rStyle w:val="FootnoteReference"/>
          <w:rFonts w:cs="Calibri"/>
          <w:szCs w:val="24"/>
        </w:rPr>
        <w:footnoteReference w:id="1"/>
      </w:r>
      <w:r w:rsidRPr="00330F82">
        <w:rPr>
          <w:rStyle w:val="ui-provider"/>
          <w:rFonts w:ascii="Calibri" w:hAnsi="Calibri" w:cs="Calibri"/>
          <w:szCs w:val="24"/>
        </w:rPr>
        <w:t xml:space="preserve"> on human-centric digital transformation was proposed by </w:t>
      </w:r>
      <w:r>
        <w:rPr>
          <w:rStyle w:val="ui-provider"/>
          <w:rFonts w:ascii="Calibri" w:hAnsi="Calibri" w:cs="Calibri"/>
          <w:szCs w:val="24"/>
        </w:rPr>
        <w:t xml:space="preserve">the </w:t>
      </w:r>
      <w:r w:rsidRPr="00330F82">
        <w:rPr>
          <w:rStyle w:val="ui-provider"/>
          <w:rFonts w:ascii="Calibri" w:hAnsi="Calibri" w:cs="Calibri"/>
          <w:szCs w:val="24"/>
        </w:rPr>
        <w:t xml:space="preserve">Czech Republic </w:t>
      </w:r>
      <w:r>
        <w:rPr>
          <w:rStyle w:val="ui-provider"/>
          <w:rFonts w:ascii="Calibri" w:hAnsi="Calibri" w:cs="Calibri"/>
          <w:szCs w:val="24"/>
        </w:rPr>
        <w:t xml:space="preserve">and Republic of Poland </w:t>
      </w:r>
      <w:r w:rsidRPr="00330F82">
        <w:rPr>
          <w:rStyle w:val="ui-provider"/>
          <w:rFonts w:ascii="Calibri" w:hAnsi="Calibri" w:cs="Calibri"/>
          <w:szCs w:val="24"/>
        </w:rPr>
        <w:t>during the ITU Regional Development Forum for Europe (RDF-EUR), which served as a platform for dialogue and exchange of views between ITU officials, decision-makers of ITU Member States and Sector Members, and other stakeholders across the Europe</w:t>
      </w:r>
      <w:r>
        <w:rPr>
          <w:rStyle w:val="ui-provider"/>
          <w:rFonts w:ascii="Calibri" w:hAnsi="Calibri" w:cs="Calibri"/>
          <w:szCs w:val="24"/>
        </w:rPr>
        <w:t>an</w:t>
      </w:r>
      <w:r w:rsidRPr="00330F82">
        <w:rPr>
          <w:rStyle w:val="ui-provider"/>
          <w:rFonts w:ascii="Calibri" w:hAnsi="Calibri" w:cs="Calibri"/>
          <w:szCs w:val="24"/>
        </w:rPr>
        <w:t xml:space="preserve"> region.</w:t>
      </w:r>
    </w:p>
    <w:p w14:paraId="638A96FC" w14:textId="5374351C" w:rsidR="00B21FC8" w:rsidRPr="00330F82" w:rsidRDefault="00B21FC8" w:rsidP="00B21FC8">
      <w:pPr>
        <w:spacing w:after="120"/>
        <w:rPr>
          <w:rStyle w:val="ui-provider"/>
          <w:rFonts w:ascii="Calibri" w:hAnsi="Calibri" w:cs="Calibri"/>
          <w:szCs w:val="24"/>
        </w:rPr>
      </w:pPr>
      <w:r w:rsidRPr="00330F82">
        <w:rPr>
          <w:rStyle w:val="ui-provider"/>
          <w:rFonts w:ascii="Calibri" w:hAnsi="Calibri" w:cs="Calibri"/>
          <w:szCs w:val="24"/>
        </w:rPr>
        <w:t xml:space="preserve">This initiative aimed to enhance </w:t>
      </w:r>
      <w:r w:rsidR="00327013">
        <w:rPr>
          <w:rStyle w:val="ui-provider"/>
          <w:rFonts w:ascii="Calibri" w:hAnsi="Calibri" w:cs="Calibri"/>
          <w:szCs w:val="24"/>
        </w:rPr>
        <w:t xml:space="preserve">the </w:t>
      </w:r>
      <w:r w:rsidRPr="00330F82">
        <w:rPr>
          <w:rStyle w:val="ui-provider"/>
          <w:rFonts w:ascii="Calibri" w:hAnsi="Calibri" w:cs="Calibri"/>
          <w:szCs w:val="24"/>
        </w:rPr>
        <w:t>understanding of human by design digital features, which takes into consideration how technology impacts people's lives and aligns digital innovations with societal values and norms.</w:t>
      </w:r>
    </w:p>
    <w:p w14:paraId="56CF2E31" w14:textId="7CE63095" w:rsidR="00B21FC8" w:rsidRPr="00330F82" w:rsidRDefault="00B21FC8" w:rsidP="00B21FC8">
      <w:pPr>
        <w:spacing w:after="120"/>
        <w:rPr>
          <w:rStyle w:val="ui-provider"/>
          <w:rFonts w:ascii="Calibri" w:hAnsi="Calibri" w:cs="Calibri"/>
          <w:szCs w:val="24"/>
        </w:rPr>
      </w:pPr>
      <w:r w:rsidRPr="00330F82">
        <w:rPr>
          <w:rStyle w:val="ui-provider"/>
          <w:rFonts w:ascii="Calibri" w:hAnsi="Calibri" w:cs="Calibri"/>
          <w:szCs w:val="24"/>
        </w:rPr>
        <w:t>The Spotlight Series</w:t>
      </w:r>
      <w:r>
        <w:rPr>
          <w:rStyle w:val="FootnoteReference"/>
          <w:rFonts w:cs="Calibri"/>
          <w:szCs w:val="24"/>
        </w:rPr>
        <w:footnoteReference w:id="2"/>
      </w:r>
      <w:r w:rsidRPr="00330F82">
        <w:rPr>
          <w:rStyle w:val="ui-provider"/>
          <w:rFonts w:ascii="Calibri" w:hAnsi="Calibri" w:cs="Calibri"/>
          <w:szCs w:val="24"/>
        </w:rPr>
        <w:t>, which served as a key element of this initiative, was rolled out by the ITU Office for Europe in cooperation with all countries of the Europe</w:t>
      </w:r>
      <w:r>
        <w:rPr>
          <w:rStyle w:val="ui-provider"/>
          <w:rFonts w:ascii="Calibri" w:hAnsi="Calibri" w:cs="Calibri"/>
          <w:szCs w:val="24"/>
        </w:rPr>
        <w:t>an</w:t>
      </w:r>
      <w:r w:rsidRPr="00330F82">
        <w:rPr>
          <w:rStyle w:val="ui-provider"/>
          <w:rFonts w:ascii="Calibri" w:hAnsi="Calibri" w:cs="Calibri"/>
          <w:szCs w:val="24"/>
        </w:rPr>
        <w:t xml:space="preserve"> Region, and comprised of 3</w:t>
      </w:r>
      <w:r w:rsidR="00327013">
        <w:rPr>
          <w:rStyle w:val="ui-provider"/>
          <w:rFonts w:ascii="Calibri" w:hAnsi="Calibri" w:cs="Calibri"/>
          <w:szCs w:val="24"/>
        </w:rPr>
        <w:t> </w:t>
      </w:r>
      <w:r w:rsidRPr="00330F82">
        <w:rPr>
          <w:rStyle w:val="ui-provider"/>
          <w:rFonts w:ascii="Calibri" w:hAnsi="Calibri" w:cs="Calibri"/>
          <w:szCs w:val="24"/>
        </w:rPr>
        <w:t xml:space="preserve">workshops showcasing concrete, hands-on examples of human-centric digital transformation projects in Europe, e.g., in the areas of government services, education, or health. </w:t>
      </w:r>
    </w:p>
    <w:p w14:paraId="652BF62D" w14:textId="77777777" w:rsidR="00B21FC8" w:rsidRPr="00330F82" w:rsidRDefault="00B21FC8" w:rsidP="00B21FC8">
      <w:pPr>
        <w:spacing w:after="120"/>
        <w:rPr>
          <w:rStyle w:val="ui-provider"/>
          <w:rFonts w:ascii="Calibri" w:hAnsi="Calibri" w:cs="Calibri"/>
          <w:szCs w:val="24"/>
        </w:rPr>
      </w:pPr>
      <w:r w:rsidRPr="00330F82">
        <w:rPr>
          <w:rStyle w:val="ui-provider"/>
          <w:rFonts w:ascii="Calibri" w:hAnsi="Calibri" w:cs="Calibri"/>
          <w:szCs w:val="24"/>
        </w:rPr>
        <w:t>Insights of practitioners from Albania, Czech</w:t>
      </w:r>
      <w:r>
        <w:rPr>
          <w:rStyle w:val="ui-provider"/>
          <w:rFonts w:ascii="Calibri" w:hAnsi="Calibri" w:cs="Calibri"/>
          <w:szCs w:val="24"/>
        </w:rPr>
        <w:t>ia</w:t>
      </w:r>
      <w:r w:rsidRPr="00330F82">
        <w:rPr>
          <w:rStyle w:val="ui-provider"/>
          <w:rFonts w:ascii="Calibri" w:hAnsi="Calibri" w:cs="Calibri"/>
          <w:szCs w:val="24"/>
        </w:rPr>
        <w:t>, Estonia, France, Georgia, Hungary, Latvia, Lithuania, Moldova, Poland, Serbia, Slovenia, Spain and Ukraine informed a Human-Centric Digital Transformation Compendium</w:t>
      </w:r>
      <w:r>
        <w:rPr>
          <w:rStyle w:val="FootnoteReference"/>
          <w:rFonts w:cs="Calibri"/>
          <w:szCs w:val="24"/>
        </w:rPr>
        <w:footnoteReference w:id="3"/>
      </w:r>
      <w:r w:rsidRPr="00330F82">
        <w:rPr>
          <w:rStyle w:val="ui-provider"/>
          <w:rFonts w:ascii="Calibri" w:hAnsi="Calibri" w:cs="Calibri"/>
          <w:szCs w:val="24"/>
        </w:rPr>
        <w:t xml:space="preserve">. </w:t>
      </w:r>
    </w:p>
    <w:p w14:paraId="628FF729" w14:textId="77777777" w:rsidR="00B21FC8" w:rsidRDefault="00B21FC8" w:rsidP="00B21FC8">
      <w:pPr>
        <w:spacing w:after="120"/>
      </w:pPr>
      <w:r w:rsidRPr="00330F82">
        <w:rPr>
          <w:rStyle w:val="ui-provider"/>
          <w:rFonts w:ascii="Calibri" w:hAnsi="Calibri" w:cs="Calibri"/>
          <w:szCs w:val="24"/>
        </w:rPr>
        <w:t>While pinpointing challenges, opportunities and emerging trends in the field, the Compendium gathered best practices, recommendations and actionable, concrete guidelines for Governments and ICT Stakeholders on strengthening human-centr</w:t>
      </w:r>
      <w:r>
        <w:rPr>
          <w:rStyle w:val="ui-provider"/>
          <w:rFonts w:ascii="Calibri" w:hAnsi="Calibri" w:cs="Calibri"/>
          <w:szCs w:val="24"/>
        </w:rPr>
        <w:t>ic</w:t>
      </w:r>
      <w:r w:rsidRPr="00330F82">
        <w:rPr>
          <w:rStyle w:val="ui-provider"/>
          <w:rFonts w:ascii="Calibri" w:hAnsi="Calibri" w:cs="Calibri"/>
          <w:szCs w:val="24"/>
        </w:rPr>
        <w:t xml:space="preserve"> approaches in digital development in Europe and beyond. </w:t>
      </w:r>
      <w:r>
        <w:rPr>
          <w:rStyle w:val="ui-provider"/>
          <w:rFonts w:ascii="Calibri" w:hAnsi="Calibri" w:cs="Calibri"/>
          <w:szCs w:val="24"/>
        </w:rPr>
        <w:t xml:space="preserve">It also offers a checklist, to support </w:t>
      </w:r>
      <w:r>
        <w:t xml:space="preserve">Governments and ICT Stakeholders, regardless of which stage of human-centric digital transformation their project or programme has already achieved (see annex for the checklist). </w:t>
      </w:r>
    </w:p>
    <w:p w14:paraId="4809BF6E" w14:textId="77777777" w:rsidR="00B21FC8" w:rsidRDefault="00B21FC8" w:rsidP="00B21FC8">
      <w:pPr>
        <w:spacing w:after="120"/>
        <w:rPr>
          <w:rStyle w:val="ui-provider"/>
          <w:rFonts w:ascii="Calibri" w:hAnsi="Calibri" w:cs="Calibri"/>
          <w:szCs w:val="24"/>
        </w:rPr>
      </w:pPr>
      <w:r w:rsidRPr="00330F82">
        <w:rPr>
          <w:rStyle w:val="ui-provider"/>
          <w:rFonts w:ascii="Calibri" w:hAnsi="Calibri" w:cs="Calibri"/>
          <w:szCs w:val="24"/>
        </w:rPr>
        <w:t xml:space="preserve">This initiative culminated with the "Human Centric Approach to Digital Transformation" side event of the Regional Forum on Sustainable Development for the UNECE </w:t>
      </w:r>
      <w:r>
        <w:rPr>
          <w:rStyle w:val="ui-provider"/>
          <w:rFonts w:ascii="Calibri" w:hAnsi="Calibri" w:cs="Calibri"/>
          <w:szCs w:val="24"/>
        </w:rPr>
        <w:t>R</w:t>
      </w:r>
      <w:r w:rsidRPr="00330F82">
        <w:rPr>
          <w:rStyle w:val="ui-provider"/>
          <w:rFonts w:ascii="Calibri" w:hAnsi="Calibri" w:cs="Calibri"/>
          <w:szCs w:val="24"/>
        </w:rPr>
        <w:t>egion</w:t>
      </w:r>
      <w:r>
        <w:rPr>
          <w:rStyle w:val="ui-provider"/>
          <w:rFonts w:ascii="Calibri" w:hAnsi="Calibri" w:cs="Calibri"/>
          <w:szCs w:val="24"/>
        </w:rPr>
        <w:t xml:space="preserve"> resulting in a call by the RFSD as follows: ‘</w:t>
      </w:r>
      <w:r w:rsidRPr="00E53F35">
        <w:rPr>
          <w:rStyle w:val="ui-provider"/>
          <w:rFonts w:ascii="Calibri" w:hAnsi="Calibri" w:cs="Calibri"/>
          <w:szCs w:val="24"/>
        </w:rPr>
        <w:t>A human-centric approach should be at the core of digital development. Fostering</w:t>
      </w:r>
      <w:r>
        <w:rPr>
          <w:rStyle w:val="ui-provider"/>
          <w:rFonts w:ascii="Calibri" w:hAnsi="Calibri" w:cs="Calibri"/>
          <w:szCs w:val="24"/>
        </w:rPr>
        <w:t xml:space="preserve"> </w:t>
      </w:r>
      <w:r w:rsidRPr="00E53F35">
        <w:rPr>
          <w:rStyle w:val="ui-provider"/>
          <w:rFonts w:ascii="Calibri" w:hAnsi="Calibri" w:cs="Calibri"/>
          <w:szCs w:val="24"/>
        </w:rPr>
        <w:t>digital inclusion and providing new opportunities and easy access to services to</w:t>
      </w:r>
      <w:r>
        <w:rPr>
          <w:rStyle w:val="ui-provider"/>
          <w:rFonts w:ascii="Calibri" w:hAnsi="Calibri" w:cs="Calibri"/>
          <w:szCs w:val="24"/>
        </w:rPr>
        <w:t xml:space="preserve"> </w:t>
      </w:r>
      <w:r w:rsidRPr="00E53F35">
        <w:rPr>
          <w:rStyle w:val="ui-provider"/>
          <w:rFonts w:ascii="Calibri" w:hAnsi="Calibri" w:cs="Calibri"/>
          <w:szCs w:val="24"/>
        </w:rPr>
        <w:t>disadvantaged groups of society requires special attention. Consideration should be given to</w:t>
      </w:r>
      <w:r>
        <w:rPr>
          <w:rStyle w:val="ui-provider"/>
          <w:rFonts w:ascii="Calibri" w:hAnsi="Calibri" w:cs="Calibri"/>
          <w:szCs w:val="24"/>
        </w:rPr>
        <w:t xml:space="preserve"> </w:t>
      </w:r>
      <w:r w:rsidRPr="00E53F35">
        <w:rPr>
          <w:rStyle w:val="ui-provider"/>
          <w:rFonts w:ascii="Calibri" w:hAnsi="Calibri" w:cs="Calibri"/>
          <w:szCs w:val="24"/>
        </w:rPr>
        <w:t>the needs of people with disabilities.</w:t>
      </w:r>
      <w:r>
        <w:rPr>
          <w:rStyle w:val="ui-provider"/>
          <w:rFonts w:ascii="Calibri" w:hAnsi="Calibri" w:cs="Calibri"/>
          <w:szCs w:val="24"/>
        </w:rPr>
        <w:t>’</w:t>
      </w:r>
    </w:p>
    <w:p w14:paraId="3901A924" w14:textId="77777777" w:rsidR="00B21FC8" w:rsidRDefault="00B21FC8" w:rsidP="00B21FC8">
      <w:pPr>
        <w:spacing w:after="120"/>
        <w:rPr>
          <w:rStyle w:val="ui-provider"/>
          <w:rFonts w:ascii="Calibri" w:hAnsi="Calibri" w:cs="Calibri"/>
          <w:szCs w:val="24"/>
        </w:rPr>
      </w:pPr>
      <w:r w:rsidRPr="00330F82">
        <w:rPr>
          <w:rStyle w:val="ui-provider"/>
          <w:rFonts w:ascii="Calibri" w:hAnsi="Calibri" w:cs="Calibri"/>
          <w:szCs w:val="24"/>
        </w:rPr>
        <w:t>This initiative helped nurture more exchange on this topic and insights will aim to inform future digital development strategies both within the region and globally and help advance the various SDGs.</w:t>
      </w:r>
      <w:r>
        <w:rPr>
          <w:rStyle w:val="ui-provider"/>
          <w:rFonts w:ascii="Calibri" w:hAnsi="Calibri" w:cs="Calibri"/>
          <w:szCs w:val="24"/>
        </w:rPr>
        <w:t xml:space="preserve"> More work in this field is required to ensure fully inclusive digital future. Therefore, ITU is invited to continue its work in this field, and all stakeholders are called upon to engage, sharing </w:t>
      </w:r>
      <w:r>
        <w:rPr>
          <w:rStyle w:val="ui-provider"/>
          <w:rFonts w:ascii="Calibri" w:hAnsi="Calibri" w:cs="Calibri"/>
          <w:szCs w:val="24"/>
        </w:rPr>
        <w:lastRenderedPageBreak/>
        <w:t xml:space="preserve">their experiences through multi-stakeholder dialogues, improving common understanding of the importance of this issue. </w:t>
      </w:r>
    </w:p>
    <w:p w14:paraId="0ABE9488" w14:textId="77777777" w:rsidR="00B21FC8" w:rsidRDefault="00B21FC8" w:rsidP="00B21FC8">
      <w:pPr>
        <w:spacing w:after="120"/>
        <w:rPr>
          <w:rStyle w:val="ui-provider"/>
          <w:rFonts w:ascii="Calibri" w:hAnsi="Calibri" w:cs="Calibri"/>
          <w:szCs w:val="24"/>
        </w:rPr>
      </w:pPr>
    </w:p>
    <w:p w14:paraId="38148BAF" w14:textId="36C97ECD" w:rsidR="00B21FC8" w:rsidRPr="001873A3" w:rsidRDefault="00B21FC8" w:rsidP="00B21FC8">
      <w:pPr>
        <w:spacing w:after="120"/>
        <w:jc w:val="center"/>
        <w:rPr>
          <w:b/>
          <w:bCs/>
        </w:rPr>
      </w:pPr>
      <w:r w:rsidRPr="001873A3">
        <w:rPr>
          <w:b/>
          <w:bCs/>
        </w:rPr>
        <w:t>Annex: Human Centric Approach to Digital Transformation Checklist</w:t>
      </w:r>
    </w:p>
    <w:p w14:paraId="073F853B" w14:textId="77777777" w:rsidR="00B21FC8" w:rsidRDefault="00B21FC8" w:rsidP="00B21FC8">
      <w:r>
        <w:rPr>
          <w:noProof/>
          <w:lang w:val="en-US"/>
        </w:rPr>
        <w:drawing>
          <wp:inline distT="0" distB="0" distL="0" distR="0" wp14:anchorId="05B4C3FD" wp14:editId="02CF6C4C">
            <wp:extent cx="6120765" cy="3516630"/>
            <wp:effectExtent l="0" t="0" r="0" b="7620"/>
            <wp:docPr id="403638049" name="Picture 1" descr="A close-up of several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38049" name="Picture 1" descr="A close-up of several words&#10;&#10;Description automatically generated"/>
                    <pic:cNvPicPr/>
                  </pic:nvPicPr>
                  <pic:blipFill>
                    <a:blip r:embed="rId11"/>
                    <a:stretch>
                      <a:fillRect/>
                    </a:stretch>
                  </pic:blipFill>
                  <pic:spPr>
                    <a:xfrm>
                      <a:off x="0" y="0"/>
                      <a:ext cx="6120765" cy="3516630"/>
                    </a:xfrm>
                    <a:prstGeom prst="rect">
                      <a:avLst/>
                    </a:prstGeom>
                  </pic:spPr>
                </pic:pic>
              </a:graphicData>
            </a:graphic>
          </wp:inline>
        </w:drawing>
      </w:r>
    </w:p>
    <w:p w14:paraId="2AE6D4F1" w14:textId="77777777" w:rsidR="00B21FC8" w:rsidRDefault="00B21FC8" w:rsidP="00B21FC8">
      <w:r>
        <w:rPr>
          <w:noProof/>
          <w:lang w:val="en-US"/>
        </w:rPr>
        <w:drawing>
          <wp:inline distT="0" distB="0" distL="0" distR="0" wp14:anchorId="6A7A599A" wp14:editId="72CC596A">
            <wp:extent cx="6120765" cy="3584575"/>
            <wp:effectExtent l="0" t="0" r="0" b="0"/>
            <wp:docPr id="606803589" name="Picture 1" descr="A close-up of several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03589" name="Picture 1" descr="A close-up of several words&#10;&#10;Description automatically generated"/>
                    <pic:cNvPicPr/>
                  </pic:nvPicPr>
                  <pic:blipFill>
                    <a:blip r:embed="rId12"/>
                    <a:stretch>
                      <a:fillRect/>
                    </a:stretch>
                  </pic:blipFill>
                  <pic:spPr>
                    <a:xfrm>
                      <a:off x="0" y="0"/>
                      <a:ext cx="6120765" cy="3584575"/>
                    </a:xfrm>
                    <a:prstGeom prst="rect">
                      <a:avLst/>
                    </a:prstGeom>
                  </pic:spPr>
                </pic:pic>
              </a:graphicData>
            </a:graphic>
          </wp:inline>
        </w:drawing>
      </w:r>
    </w:p>
    <w:p w14:paraId="7759C759" w14:textId="2BDDE0A8" w:rsidR="00821996" w:rsidRDefault="003C58BF" w:rsidP="00B904E0">
      <w:pPr>
        <w:tabs>
          <w:tab w:val="clear" w:pos="794"/>
          <w:tab w:val="clear" w:pos="1191"/>
          <w:tab w:val="clear" w:pos="1588"/>
          <w:tab w:val="clear" w:pos="1985"/>
        </w:tabs>
        <w:spacing w:after="120"/>
        <w:jc w:val="center"/>
      </w:pPr>
      <w:r>
        <w:t>_____________</w:t>
      </w:r>
      <w:r w:rsidR="004122C5">
        <w:t>_</w:t>
      </w:r>
      <w:r w:rsidR="00922EC1">
        <w:t>_</w:t>
      </w:r>
    </w:p>
    <w:sectPr w:rsidR="00821996" w:rsidSect="00542935">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6F00" w14:textId="77777777" w:rsidR="00542935" w:rsidRDefault="00542935">
      <w:r>
        <w:separator/>
      </w:r>
    </w:p>
  </w:endnote>
  <w:endnote w:type="continuationSeparator" w:id="0">
    <w:p w14:paraId="663AD40F" w14:textId="77777777" w:rsidR="00542935" w:rsidRDefault="0054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3A47" w14:textId="77777777" w:rsidR="002B57D0" w:rsidRDefault="002B5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9E9C" w14:textId="77777777" w:rsidR="002B57D0" w:rsidRDefault="002B5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2B57D0" w:rsidRPr="008265CF" w14:paraId="695D1810" w14:textId="77777777" w:rsidTr="002B57D0">
      <w:tc>
        <w:tcPr>
          <w:tcW w:w="1526" w:type="dxa"/>
          <w:tcBorders>
            <w:top w:val="single" w:sz="4" w:space="0" w:color="000000"/>
          </w:tcBorders>
          <w:shd w:val="clear" w:color="auto" w:fill="auto"/>
        </w:tcPr>
        <w:p w14:paraId="746E5A61" w14:textId="77777777" w:rsidR="002B57D0" w:rsidRPr="008265CF" w:rsidRDefault="002B57D0" w:rsidP="002B57D0">
          <w:pPr>
            <w:pStyle w:val="FirstFooter"/>
            <w:tabs>
              <w:tab w:val="left" w:pos="1559"/>
              <w:tab w:val="left" w:pos="3828"/>
            </w:tabs>
            <w:rPr>
              <w:sz w:val="18"/>
              <w:szCs w:val="18"/>
            </w:rPr>
          </w:pPr>
          <w:r w:rsidRPr="008265CF">
            <w:rPr>
              <w:sz w:val="18"/>
              <w:szCs w:val="18"/>
              <w:lang w:val="en-US"/>
            </w:rPr>
            <w:t>Contact:</w:t>
          </w:r>
        </w:p>
      </w:tc>
      <w:tc>
        <w:tcPr>
          <w:tcW w:w="2410" w:type="dxa"/>
          <w:tcBorders>
            <w:top w:val="single" w:sz="4" w:space="0" w:color="000000"/>
          </w:tcBorders>
          <w:shd w:val="clear" w:color="auto" w:fill="auto"/>
        </w:tcPr>
        <w:p w14:paraId="488E41E2" w14:textId="77777777" w:rsidR="002B57D0" w:rsidRPr="008265CF" w:rsidRDefault="002B57D0" w:rsidP="002B57D0">
          <w:pPr>
            <w:pStyle w:val="FirstFooter"/>
            <w:tabs>
              <w:tab w:val="left" w:pos="2302"/>
            </w:tabs>
            <w:ind w:left="2302" w:hanging="2302"/>
            <w:rPr>
              <w:sz w:val="18"/>
              <w:szCs w:val="18"/>
              <w:lang w:val="en-US"/>
            </w:rPr>
          </w:pPr>
          <w:r w:rsidRPr="008265CF">
            <w:rPr>
              <w:sz w:val="18"/>
              <w:szCs w:val="18"/>
              <w:lang w:val="en-US"/>
            </w:rPr>
            <w:t>Name/Organization/Entity:</w:t>
          </w:r>
        </w:p>
      </w:tc>
      <w:tc>
        <w:tcPr>
          <w:tcW w:w="5987" w:type="dxa"/>
          <w:tcBorders>
            <w:top w:val="single" w:sz="4" w:space="0" w:color="000000"/>
          </w:tcBorders>
        </w:tcPr>
        <w:p w14:paraId="7EB65B29" w14:textId="18F01CCC" w:rsidR="002B57D0" w:rsidRDefault="005A6B43" w:rsidP="002B57D0">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w:t>
          </w:r>
          <w:r w:rsidR="002B57D0">
            <w:rPr>
              <w:sz w:val="18"/>
              <w:szCs w:val="18"/>
              <w:lang w:val="en-US"/>
            </w:rPr>
            <w:t>Vilem Vesely, Ministry of Industry and Trade</w:t>
          </w:r>
          <w:r>
            <w:rPr>
              <w:sz w:val="18"/>
              <w:szCs w:val="18"/>
              <w:lang w:val="en-US"/>
            </w:rPr>
            <w:t>, Czech Republic</w:t>
          </w:r>
        </w:p>
      </w:tc>
      <w:bookmarkStart w:id="6" w:name="OrgName"/>
      <w:bookmarkEnd w:id="6"/>
    </w:tr>
    <w:tr w:rsidR="002B57D0" w:rsidRPr="008265CF" w14:paraId="61167678" w14:textId="77777777" w:rsidTr="002B57D0">
      <w:tc>
        <w:tcPr>
          <w:tcW w:w="1526" w:type="dxa"/>
          <w:shd w:val="clear" w:color="auto" w:fill="auto"/>
        </w:tcPr>
        <w:p w14:paraId="33710823" w14:textId="77777777" w:rsidR="002B57D0" w:rsidRPr="008265CF" w:rsidRDefault="002B57D0" w:rsidP="002B57D0">
          <w:pPr>
            <w:pStyle w:val="FirstFooter"/>
            <w:tabs>
              <w:tab w:val="left" w:pos="1559"/>
              <w:tab w:val="left" w:pos="3828"/>
            </w:tabs>
            <w:rPr>
              <w:sz w:val="18"/>
              <w:szCs w:val="18"/>
              <w:lang w:val="en-US"/>
            </w:rPr>
          </w:pPr>
        </w:p>
      </w:tc>
      <w:tc>
        <w:tcPr>
          <w:tcW w:w="2410" w:type="dxa"/>
          <w:shd w:val="clear" w:color="auto" w:fill="auto"/>
        </w:tcPr>
        <w:p w14:paraId="1251F6E4" w14:textId="77777777" w:rsidR="002B57D0" w:rsidRPr="008265CF" w:rsidRDefault="002B57D0" w:rsidP="002B57D0">
          <w:pPr>
            <w:pStyle w:val="FirstFooter"/>
            <w:tabs>
              <w:tab w:val="left" w:pos="2302"/>
            </w:tabs>
            <w:rPr>
              <w:sz w:val="18"/>
              <w:szCs w:val="18"/>
              <w:lang w:val="en-US"/>
            </w:rPr>
          </w:pPr>
          <w:r w:rsidRPr="008265CF">
            <w:rPr>
              <w:sz w:val="18"/>
              <w:szCs w:val="18"/>
              <w:lang w:val="en-US"/>
            </w:rPr>
            <w:t>Phone number:</w:t>
          </w:r>
        </w:p>
      </w:tc>
      <w:tc>
        <w:tcPr>
          <w:tcW w:w="5987" w:type="dxa"/>
        </w:tcPr>
        <w:p w14:paraId="6FC5B542" w14:textId="7063A9F1" w:rsidR="002B57D0" w:rsidRDefault="002B57D0" w:rsidP="002B57D0">
          <w:pPr>
            <w:pStyle w:val="FirstFooter"/>
            <w:tabs>
              <w:tab w:val="left" w:pos="2302"/>
            </w:tabs>
          </w:pPr>
          <w:r>
            <w:rPr>
              <w:sz w:val="18"/>
              <w:szCs w:val="18"/>
              <w:lang w:val="en-US"/>
            </w:rPr>
            <w:t>+42</w:t>
          </w:r>
          <w:r w:rsidR="00CA5334">
            <w:rPr>
              <w:sz w:val="18"/>
              <w:szCs w:val="18"/>
              <w:lang w:val="en-US"/>
            </w:rPr>
            <w:t xml:space="preserve"> </w:t>
          </w:r>
          <w:r>
            <w:rPr>
              <w:sz w:val="18"/>
              <w:szCs w:val="18"/>
              <w:lang w:val="en-US"/>
            </w:rPr>
            <w:t>0724520367</w:t>
          </w:r>
        </w:p>
      </w:tc>
      <w:bookmarkStart w:id="7" w:name="PhoneNo"/>
      <w:bookmarkEnd w:id="7"/>
    </w:tr>
    <w:tr w:rsidR="002B57D0" w:rsidRPr="008265CF" w14:paraId="0299A231" w14:textId="77777777" w:rsidTr="002B57D0">
      <w:tc>
        <w:tcPr>
          <w:tcW w:w="1526" w:type="dxa"/>
          <w:shd w:val="clear" w:color="auto" w:fill="auto"/>
        </w:tcPr>
        <w:p w14:paraId="35CBC438" w14:textId="77777777" w:rsidR="002B57D0" w:rsidRPr="008265CF" w:rsidRDefault="002B57D0" w:rsidP="002B57D0">
          <w:pPr>
            <w:pStyle w:val="FirstFooter"/>
            <w:tabs>
              <w:tab w:val="left" w:pos="1559"/>
              <w:tab w:val="left" w:pos="3828"/>
            </w:tabs>
            <w:rPr>
              <w:sz w:val="18"/>
              <w:szCs w:val="18"/>
              <w:lang w:val="en-US"/>
            </w:rPr>
          </w:pPr>
        </w:p>
      </w:tc>
      <w:tc>
        <w:tcPr>
          <w:tcW w:w="2410" w:type="dxa"/>
          <w:shd w:val="clear" w:color="auto" w:fill="auto"/>
        </w:tcPr>
        <w:p w14:paraId="65335E06" w14:textId="77777777" w:rsidR="002B57D0" w:rsidRPr="008265CF" w:rsidRDefault="002B57D0" w:rsidP="002B57D0">
          <w:pPr>
            <w:pStyle w:val="FirstFooter"/>
            <w:tabs>
              <w:tab w:val="left" w:pos="2302"/>
            </w:tabs>
            <w:rPr>
              <w:sz w:val="18"/>
              <w:szCs w:val="18"/>
              <w:lang w:val="en-US"/>
            </w:rPr>
          </w:pPr>
          <w:r w:rsidRPr="008265CF">
            <w:rPr>
              <w:sz w:val="18"/>
              <w:szCs w:val="18"/>
              <w:lang w:val="en-US"/>
            </w:rPr>
            <w:t>E-mail:</w:t>
          </w:r>
        </w:p>
      </w:tc>
      <w:tc>
        <w:tcPr>
          <w:tcW w:w="5987" w:type="dxa"/>
        </w:tcPr>
        <w:p w14:paraId="15354704" w14:textId="3A79B91E" w:rsidR="002B57D0" w:rsidRPr="006675C7" w:rsidRDefault="002B69E8" w:rsidP="002B57D0">
          <w:pPr>
            <w:pStyle w:val="FirstFooter"/>
            <w:tabs>
              <w:tab w:val="left" w:pos="2302"/>
            </w:tabs>
            <w:rPr>
              <w:lang w:val="en-US"/>
            </w:rPr>
          </w:pPr>
          <w:hyperlink r:id="rId1" w:history="1">
            <w:r w:rsidR="002B57D0" w:rsidRPr="00A61728">
              <w:rPr>
                <w:rStyle w:val="Hyperlink"/>
                <w:sz w:val="18"/>
                <w:szCs w:val="18"/>
                <w:lang w:val="en-US"/>
              </w:rPr>
              <w:t>vilem.vesely@mpo.gov.cz</w:t>
            </w:r>
          </w:hyperlink>
          <w:r w:rsidR="002B57D0">
            <w:rPr>
              <w:sz w:val="18"/>
              <w:szCs w:val="18"/>
              <w:lang w:val="en-US"/>
            </w:rPr>
            <w:t xml:space="preserve"> </w:t>
          </w:r>
        </w:p>
      </w:tc>
      <w:bookmarkStart w:id="8" w:name="Email"/>
      <w:bookmarkEnd w:id="8"/>
    </w:tr>
  </w:tbl>
  <w:p w14:paraId="40A321D0" w14:textId="1C276101" w:rsidR="00721657" w:rsidRPr="008265CF"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A1CD" w14:textId="77777777" w:rsidR="00542935" w:rsidRDefault="00542935">
      <w:r>
        <w:t>____________________</w:t>
      </w:r>
    </w:p>
  </w:footnote>
  <w:footnote w:type="continuationSeparator" w:id="0">
    <w:p w14:paraId="1009BBFE" w14:textId="77777777" w:rsidR="00542935" w:rsidRDefault="00542935">
      <w:r>
        <w:continuationSeparator/>
      </w:r>
    </w:p>
  </w:footnote>
  <w:footnote w:id="1">
    <w:p w14:paraId="248F1AA4" w14:textId="77777777" w:rsidR="00B21FC8" w:rsidRPr="00B21FC8" w:rsidRDefault="00B21FC8" w:rsidP="00B21FC8">
      <w:pPr>
        <w:pStyle w:val="FootnoteText"/>
        <w:spacing w:before="0"/>
        <w:ind w:left="0" w:firstLine="0"/>
        <w:rPr>
          <w:sz w:val="20"/>
          <w:lang w:val="en-US"/>
        </w:rPr>
      </w:pPr>
      <w:r w:rsidRPr="00B21FC8">
        <w:rPr>
          <w:rStyle w:val="FootnoteReference"/>
          <w:sz w:val="20"/>
        </w:rPr>
        <w:footnoteRef/>
      </w:r>
      <w:r w:rsidRPr="00B21FC8">
        <w:rPr>
          <w:sz w:val="20"/>
        </w:rPr>
        <w:t xml:space="preserve"> </w:t>
      </w:r>
      <w:hyperlink r:id="rId1" w:history="1">
        <w:r w:rsidRPr="00B21FC8">
          <w:rPr>
            <w:rStyle w:val="Hyperlink"/>
            <w:sz w:val="20"/>
          </w:rPr>
          <w:t>https://www.itu.int/en/ITU-D/Regional-Presence/Europe/Documents/Events/2023/0522-23%20-%20RDF/Submissions/EUR%202/Human-centered-approach-digital-development_RDF-EUR-2023-Submission.pdf</w:t>
        </w:r>
      </w:hyperlink>
      <w:r w:rsidRPr="00B21FC8">
        <w:rPr>
          <w:sz w:val="20"/>
        </w:rPr>
        <w:t xml:space="preserve"> </w:t>
      </w:r>
    </w:p>
  </w:footnote>
  <w:footnote w:id="2">
    <w:p w14:paraId="20FDC50B" w14:textId="77777777" w:rsidR="00B21FC8" w:rsidRPr="00B21FC8" w:rsidRDefault="00B21FC8" w:rsidP="00B21FC8">
      <w:pPr>
        <w:pStyle w:val="FootnoteText"/>
        <w:spacing w:before="0"/>
        <w:ind w:left="0" w:firstLine="0"/>
        <w:rPr>
          <w:sz w:val="20"/>
          <w:lang w:val="en-US"/>
        </w:rPr>
      </w:pPr>
      <w:r w:rsidRPr="00B21FC8">
        <w:rPr>
          <w:rStyle w:val="FootnoteReference"/>
          <w:sz w:val="20"/>
        </w:rPr>
        <w:footnoteRef/>
      </w:r>
      <w:r w:rsidRPr="00B21FC8">
        <w:rPr>
          <w:sz w:val="20"/>
        </w:rPr>
        <w:t xml:space="preserve"> </w:t>
      </w:r>
      <w:hyperlink r:id="rId2" w:history="1">
        <w:r w:rsidRPr="00B21FC8">
          <w:rPr>
            <w:rStyle w:val="Hyperlink"/>
            <w:sz w:val="20"/>
          </w:rPr>
          <w:t>https://www.itu.int/en/ITU-D/Regional-Presence/Europe/Pages/Events/2023/Spotlight%20Series%20on%20Human-Centric%20Digital%20Transformation/Spotlight-Series-on-Human-Centric-Digital-Transformation.aspx</w:t>
        </w:r>
      </w:hyperlink>
      <w:r w:rsidRPr="00B21FC8">
        <w:rPr>
          <w:sz w:val="20"/>
        </w:rPr>
        <w:t xml:space="preserve"> </w:t>
      </w:r>
    </w:p>
  </w:footnote>
  <w:footnote w:id="3">
    <w:p w14:paraId="427D0B11" w14:textId="77777777" w:rsidR="00B21FC8" w:rsidRPr="00B21FC8" w:rsidRDefault="00B21FC8" w:rsidP="00B21FC8">
      <w:pPr>
        <w:pStyle w:val="FootnoteText"/>
        <w:spacing w:before="0"/>
        <w:ind w:left="0" w:firstLine="0"/>
        <w:rPr>
          <w:sz w:val="20"/>
          <w:lang w:val="en-US"/>
        </w:rPr>
      </w:pPr>
      <w:r w:rsidRPr="00B21FC8">
        <w:rPr>
          <w:rStyle w:val="FootnoteReference"/>
          <w:sz w:val="20"/>
        </w:rPr>
        <w:footnoteRef/>
      </w:r>
      <w:r w:rsidRPr="00B21FC8">
        <w:rPr>
          <w:sz w:val="20"/>
        </w:rPr>
        <w:t xml:space="preserve"> </w:t>
      </w:r>
      <w:hyperlink r:id="rId3" w:history="1">
        <w:r w:rsidRPr="00B21FC8">
          <w:rPr>
            <w:rStyle w:val="Hyperlink"/>
            <w:sz w:val="20"/>
          </w:rPr>
          <w:t>https://www.itu.int/en/ITU-D/Regional-Presence/Europe/Documents/Events/2024/03.11_Human%20Centric/Compendium_%20Human-Centric%20Digital%20Transformation.pdf</w:t>
        </w:r>
      </w:hyperlink>
      <w:r w:rsidRPr="00B21FC8">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4AD6" w14:textId="77777777" w:rsidR="002B57D0" w:rsidRDefault="002B5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BC5FF7A"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44F9">
      <w:rPr>
        <w:sz w:val="22"/>
        <w:szCs w:val="22"/>
        <w:lang w:val="de-CH"/>
      </w:rPr>
      <w:t>4</w:t>
    </w:r>
    <w:r w:rsidR="00C64813">
      <w:rPr>
        <w:sz w:val="22"/>
        <w:szCs w:val="22"/>
        <w:lang w:val="de-CH"/>
      </w:rPr>
      <w:t>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B98C" w14:textId="77777777" w:rsidR="002B57D0" w:rsidRDefault="002B5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2F3"/>
    <w:multiLevelType w:val="hybridMultilevel"/>
    <w:tmpl w:val="4A68C858"/>
    <w:lvl w:ilvl="0" w:tplc="D8AA70EE">
      <w:start w:val="1"/>
      <w:numFmt w:val="bullet"/>
      <w:lvlText w:val=""/>
      <w:lvlJc w:val="left"/>
      <w:pPr>
        <w:ind w:left="413" w:hanging="360"/>
      </w:pPr>
      <w:rPr>
        <w:rFonts w:ascii="Symbol" w:hAnsi="Symbol" w:hint="default"/>
      </w:rPr>
    </w:lvl>
    <w:lvl w:ilvl="1" w:tplc="0C090003">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1" w15:restartNumberingAfterBreak="0">
    <w:nsid w:val="1844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653615"/>
    <w:multiLevelType w:val="hybridMultilevel"/>
    <w:tmpl w:val="3ECC6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343F4"/>
    <w:multiLevelType w:val="hybridMultilevel"/>
    <w:tmpl w:val="71D8C808"/>
    <w:lvl w:ilvl="0" w:tplc="D8AA70EE">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4" w15:restartNumberingAfterBreak="0">
    <w:nsid w:val="23DC5B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953871"/>
    <w:multiLevelType w:val="hybridMultilevel"/>
    <w:tmpl w:val="F8822B8E"/>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020202"/>
    <w:multiLevelType w:val="hybridMultilevel"/>
    <w:tmpl w:val="46DE463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5D05EC"/>
    <w:multiLevelType w:val="hybridMultilevel"/>
    <w:tmpl w:val="BBD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52141"/>
    <w:multiLevelType w:val="hybridMultilevel"/>
    <w:tmpl w:val="DA60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F86D9E"/>
    <w:multiLevelType w:val="hybridMultilevel"/>
    <w:tmpl w:val="E2A69B70"/>
    <w:lvl w:ilvl="0" w:tplc="D8AA70EE">
      <w:start w:val="1"/>
      <w:numFmt w:val="bullet"/>
      <w:lvlText w:val=""/>
      <w:lvlJc w:val="left"/>
      <w:pPr>
        <w:ind w:left="360" w:hanging="360"/>
      </w:pPr>
      <w:rPr>
        <w:rFonts w:ascii="Symbol" w:hAnsi="Symbol" w:hint="default"/>
      </w:rPr>
    </w:lvl>
    <w:lvl w:ilvl="1" w:tplc="FFFFFFFF">
      <w:numFmt w:val="bullet"/>
      <w:lvlText w:val="–"/>
      <w:lvlJc w:val="left"/>
      <w:pPr>
        <w:ind w:left="1515" w:hanging="79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2CE6F84"/>
    <w:multiLevelType w:val="hybridMultilevel"/>
    <w:tmpl w:val="48042DB2"/>
    <w:lvl w:ilvl="0" w:tplc="7256EA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5F5F7F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4A4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6709A7"/>
    <w:multiLevelType w:val="hybridMultilevel"/>
    <w:tmpl w:val="BC409426"/>
    <w:lvl w:ilvl="0" w:tplc="0409000F">
      <w:start w:val="1"/>
      <w:numFmt w:val="decimal"/>
      <w:lvlText w:val="%1."/>
      <w:lvlJc w:val="left"/>
      <w:pPr>
        <w:ind w:left="720" w:hanging="360"/>
      </w:pPr>
    </w:lvl>
    <w:lvl w:ilvl="1" w:tplc="1860909C">
      <w:numFmt w:val="bullet"/>
      <w:lvlText w:val="–"/>
      <w:lvlJc w:val="left"/>
      <w:pPr>
        <w:ind w:left="1875" w:hanging="795"/>
      </w:pPr>
      <w:rPr>
        <w:rFonts w:ascii="Calibri" w:eastAsia="Times New Roman" w:hAnsi="Calibri" w:cs="Calibri" w:hint="default"/>
      </w:rPr>
    </w:lvl>
    <w:lvl w:ilvl="2" w:tplc="F49833B6">
      <w:start w:val="1"/>
      <w:numFmt w:val="decimal"/>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A37F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720D84"/>
    <w:multiLevelType w:val="hybridMultilevel"/>
    <w:tmpl w:val="25187E04"/>
    <w:lvl w:ilvl="0" w:tplc="FFFFFFFF">
      <w:start w:val="1"/>
      <w:numFmt w:val="decimal"/>
      <w:lvlText w:val="%1."/>
      <w:lvlJc w:val="left"/>
      <w:pPr>
        <w:ind w:left="705" w:hanging="357"/>
      </w:pPr>
      <w:rPr>
        <w:rFonts w:ascii="Calibri" w:eastAsia="Calibri" w:hAnsi="Calibri" w:cs="Calibri" w:hint="default"/>
        <w:b/>
        <w:bCs/>
        <w:i w:val="0"/>
        <w:iCs w:val="0"/>
        <w:spacing w:val="-1"/>
        <w:w w:val="100"/>
        <w:sz w:val="24"/>
        <w:szCs w:val="24"/>
        <w:lang w:val="en-US" w:eastAsia="en-US" w:bidi="ar-SA"/>
      </w:rPr>
    </w:lvl>
    <w:lvl w:ilvl="1" w:tplc="FFFFFFFF">
      <w:start w:val="1"/>
      <w:numFmt w:val="lowerLetter"/>
      <w:lvlText w:val="%2."/>
      <w:lvlJc w:val="left"/>
      <w:pPr>
        <w:ind w:left="1068" w:hanging="360"/>
      </w:pPr>
      <w:rPr>
        <w:rFonts w:hint="default"/>
        <w:spacing w:val="-1"/>
        <w:w w:val="100"/>
        <w:lang w:val="en-US" w:eastAsia="en-US" w:bidi="ar-SA"/>
      </w:rPr>
    </w:lvl>
    <w:lvl w:ilvl="2" w:tplc="FFFFFFFF">
      <w:numFmt w:val="bullet"/>
      <w:lvlText w:val="●"/>
      <w:lvlJc w:val="left"/>
      <w:pPr>
        <w:ind w:left="1068" w:hanging="360"/>
      </w:pPr>
      <w:rPr>
        <w:rFonts w:ascii="Calibri" w:eastAsia="Calibri" w:hAnsi="Calibri" w:cs="Calibri" w:hint="default"/>
        <w:b w:val="0"/>
        <w:bCs w:val="0"/>
        <w:i w:val="0"/>
        <w:iCs w:val="0"/>
        <w:spacing w:val="0"/>
        <w:w w:val="100"/>
        <w:sz w:val="22"/>
        <w:szCs w:val="22"/>
        <w:lang w:val="en-US" w:eastAsia="en-US" w:bidi="ar-SA"/>
      </w:rPr>
    </w:lvl>
    <w:lvl w:ilvl="3" w:tplc="FFFFFFFF">
      <w:numFmt w:val="bullet"/>
      <w:lvlText w:val="•"/>
      <w:lvlJc w:val="left"/>
      <w:pPr>
        <w:ind w:left="3070" w:hanging="360"/>
      </w:pPr>
      <w:rPr>
        <w:rFonts w:hint="default"/>
        <w:lang w:val="en-US" w:eastAsia="en-US" w:bidi="ar-SA"/>
      </w:rPr>
    </w:lvl>
    <w:lvl w:ilvl="4" w:tplc="FFFFFFFF">
      <w:numFmt w:val="bullet"/>
      <w:lvlText w:val="•"/>
      <w:lvlJc w:val="left"/>
      <w:pPr>
        <w:ind w:left="4076" w:hanging="360"/>
      </w:pPr>
      <w:rPr>
        <w:rFonts w:hint="default"/>
        <w:lang w:val="en-US" w:eastAsia="en-US" w:bidi="ar-SA"/>
      </w:rPr>
    </w:lvl>
    <w:lvl w:ilvl="5" w:tplc="FFFFFFFF">
      <w:numFmt w:val="bullet"/>
      <w:lvlText w:val="•"/>
      <w:lvlJc w:val="left"/>
      <w:pPr>
        <w:ind w:left="5081" w:hanging="360"/>
      </w:pPr>
      <w:rPr>
        <w:rFonts w:hint="default"/>
        <w:lang w:val="en-US" w:eastAsia="en-US" w:bidi="ar-SA"/>
      </w:rPr>
    </w:lvl>
    <w:lvl w:ilvl="6" w:tplc="FFFFFFFF">
      <w:numFmt w:val="bullet"/>
      <w:lvlText w:val="•"/>
      <w:lvlJc w:val="left"/>
      <w:pPr>
        <w:ind w:left="6087" w:hanging="360"/>
      </w:pPr>
      <w:rPr>
        <w:rFonts w:hint="default"/>
        <w:lang w:val="en-US" w:eastAsia="en-US" w:bidi="ar-SA"/>
      </w:rPr>
    </w:lvl>
    <w:lvl w:ilvl="7" w:tplc="FFFFFFFF">
      <w:numFmt w:val="bullet"/>
      <w:lvlText w:val="•"/>
      <w:lvlJc w:val="left"/>
      <w:pPr>
        <w:ind w:left="7092" w:hanging="360"/>
      </w:pPr>
      <w:rPr>
        <w:rFonts w:hint="default"/>
        <w:lang w:val="en-US" w:eastAsia="en-US" w:bidi="ar-SA"/>
      </w:rPr>
    </w:lvl>
    <w:lvl w:ilvl="8" w:tplc="FFFFFFFF">
      <w:numFmt w:val="bullet"/>
      <w:lvlText w:val="•"/>
      <w:lvlJc w:val="left"/>
      <w:pPr>
        <w:ind w:left="8097" w:hanging="360"/>
      </w:pPr>
      <w:rPr>
        <w:rFonts w:hint="default"/>
        <w:lang w:val="en-US" w:eastAsia="en-US" w:bidi="ar-SA"/>
      </w:rPr>
    </w:lvl>
  </w:abstractNum>
  <w:abstractNum w:abstractNumId="19"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8F3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0996252">
    <w:abstractNumId w:val="13"/>
  </w:num>
  <w:num w:numId="2" w16cid:durableId="1668902854">
    <w:abstractNumId w:val="7"/>
  </w:num>
  <w:num w:numId="3" w16cid:durableId="1054890593">
    <w:abstractNumId w:val="19"/>
  </w:num>
  <w:num w:numId="4" w16cid:durableId="1325626162">
    <w:abstractNumId w:val="10"/>
  </w:num>
  <w:num w:numId="5" w16cid:durableId="427114863">
    <w:abstractNumId w:val="20"/>
  </w:num>
  <w:num w:numId="6" w16cid:durableId="1820540741">
    <w:abstractNumId w:val="16"/>
  </w:num>
  <w:num w:numId="7" w16cid:durableId="608010236">
    <w:abstractNumId w:val="6"/>
  </w:num>
  <w:num w:numId="8" w16cid:durableId="1795101828">
    <w:abstractNumId w:val="9"/>
  </w:num>
  <w:num w:numId="9" w16cid:durableId="273825148">
    <w:abstractNumId w:val="11"/>
  </w:num>
  <w:num w:numId="10" w16cid:durableId="215699537">
    <w:abstractNumId w:val="15"/>
  </w:num>
  <w:num w:numId="11" w16cid:durableId="800226017">
    <w:abstractNumId w:val="5"/>
  </w:num>
  <w:num w:numId="12" w16cid:durableId="1104767053">
    <w:abstractNumId w:val="4"/>
  </w:num>
  <w:num w:numId="13" w16cid:durableId="1486555038">
    <w:abstractNumId w:val="14"/>
  </w:num>
  <w:num w:numId="14" w16cid:durableId="1838224483">
    <w:abstractNumId w:val="8"/>
  </w:num>
  <w:num w:numId="15" w16cid:durableId="43722872">
    <w:abstractNumId w:val="12"/>
  </w:num>
  <w:num w:numId="16" w16cid:durableId="886719564">
    <w:abstractNumId w:val="3"/>
  </w:num>
  <w:num w:numId="17" w16cid:durableId="35736656">
    <w:abstractNumId w:val="0"/>
  </w:num>
  <w:num w:numId="18" w16cid:durableId="383022193">
    <w:abstractNumId w:val="17"/>
  </w:num>
  <w:num w:numId="19" w16cid:durableId="1314260241">
    <w:abstractNumId w:val="2"/>
  </w:num>
  <w:num w:numId="20" w16cid:durableId="686910625">
    <w:abstractNumId w:val="18"/>
  </w:num>
  <w:num w:numId="21" w16cid:durableId="68282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A8B"/>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7F85"/>
    <w:rsid w:val="001F23E6"/>
    <w:rsid w:val="001F4238"/>
    <w:rsid w:val="00200A38"/>
    <w:rsid w:val="00200A46"/>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715FD"/>
    <w:rsid w:val="002770B1"/>
    <w:rsid w:val="00282766"/>
    <w:rsid w:val="00285B33"/>
    <w:rsid w:val="00287A3C"/>
    <w:rsid w:val="002A2FC6"/>
    <w:rsid w:val="002B57D0"/>
    <w:rsid w:val="002C1EC7"/>
    <w:rsid w:val="002C3015"/>
    <w:rsid w:val="002C4342"/>
    <w:rsid w:val="002C7EA3"/>
    <w:rsid w:val="002D20AE"/>
    <w:rsid w:val="002D6C61"/>
    <w:rsid w:val="002E2104"/>
    <w:rsid w:val="002E2DAC"/>
    <w:rsid w:val="002E6963"/>
    <w:rsid w:val="002E6F8F"/>
    <w:rsid w:val="002F05D8"/>
    <w:rsid w:val="002F2475"/>
    <w:rsid w:val="002F2DE0"/>
    <w:rsid w:val="002F5E25"/>
    <w:rsid w:val="0030353C"/>
    <w:rsid w:val="00307769"/>
    <w:rsid w:val="003125C3"/>
    <w:rsid w:val="00312AE6"/>
    <w:rsid w:val="00317D1A"/>
    <w:rsid w:val="003211FF"/>
    <w:rsid w:val="003242AB"/>
    <w:rsid w:val="00327013"/>
    <w:rsid w:val="00327247"/>
    <w:rsid w:val="00327A9D"/>
    <w:rsid w:val="0033130E"/>
    <w:rsid w:val="0033269C"/>
    <w:rsid w:val="00336BA3"/>
    <w:rsid w:val="00351C79"/>
    <w:rsid w:val="0035516C"/>
    <w:rsid w:val="00355A4C"/>
    <w:rsid w:val="003604FB"/>
    <w:rsid w:val="00360B73"/>
    <w:rsid w:val="003634C0"/>
    <w:rsid w:val="003720FC"/>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5457C"/>
    <w:rsid w:val="00460089"/>
    <w:rsid w:val="00466398"/>
    <w:rsid w:val="004712A4"/>
    <w:rsid w:val="0047306D"/>
    <w:rsid w:val="00473791"/>
    <w:rsid w:val="00476E48"/>
    <w:rsid w:val="00481DE9"/>
    <w:rsid w:val="0049128B"/>
    <w:rsid w:val="00491AF0"/>
    <w:rsid w:val="00493B49"/>
    <w:rsid w:val="00495501"/>
    <w:rsid w:val="004A070A"/>
    <w:rsid w:val="004A320E"/>
    <w:rsid w:val="004A4E9C"/>
    <w:rsid w:val="004A6E26"/>
    <w:rsid w:val="004B1A3C"/>
    <w:rsid w:val="004C18B1"/>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0D4C"/>
    <w:rsid w:val="00542935"/>
    <w:rsid w:val="00542D05"/>
    <w:rsid w:val="0054420E"/>
    <w:rsid w:val="00544D1B"/>
    <w:rsid w:val="00545DC0"/>
    <w:rsid w:val="00545F6C"/>
    <w:rsid w:val="005477D9"/>
    <w:rsid w:val="0055720C"/>
    <w:rsid w:val="00561796"/>
    <w:rsid w:val="005632DD"/>
    <w:rsid w:val="0056423B"/>
    <w:rsid w:val="00573424"/>
    <w:rsid w:val="0057402F"/>
    <w:rsid w:val="00574B92"/>
    <w:rsid w:val="00581653"/>
    <w:rsid w:val="005849D6"/>
    <w:rsid w:val="00585367"/>
    <w:rsid w:val="00585DA3"/>
    <w:rsid w:val="005871A1"/>
    <w:rsid w:val="0058737E"/>
    <w:rsid w:val="00592518"/>
    <w:rsid w:val="00592E87"/>
    <w:rsid w:val="0059420B"/>
    <w:rsid w:val="00594C4D"/>
    <w:rsid w:val="005A33B0"/>
    <w:rsid w:val="005A6B43"/>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1BA"/>
    <w:rsid w:val="00611EAF"/>
    <w:rsid w:val="00623F30"/>
    <w:rsid w:val="00625FB8"/>
    <w:rsid w:val="006261BD"/>
    <w:rsid w:val="00635EDB"/>
    <w:rsid w:val="00642C3C"/>
    <w:rsid w:val="0064734E"/>
    <w:rsid w:val="00650137"/>
    <w:rsid w:val="006509D7"/>
    <w:rsid w:val="00651CE8"/>
    <w:rsid w:val="0065521B"/>
    <w:rsid w:val="006675C7"/>
    <w:rsid w:val="00671EF6"/>
    <w:rsid w:val="0067205B"/>
    <w:rsid w:val="006748F8"/>
    <w:rsid w:val="00680489"/>
    <w:rsid w:val="00681F2B"/>
    <w:rsid w:val="00683C32"/>
    <w:rsid w:val="00685DA0"/>
    <w:rsid w:val="00690BB2"/>
    <w:rsid w:val="00693D09"/>
    <w:rsid w:val="006A17B0"/>
    <w:rsid w:val="006A4E53"/>
    <w:rsid w:val="006A6549"/>
    <w:rsid w:val="006A7710"/>
    <w:rsid w:val="006A7A61"/>
    <w:rsid w:val="006B1E59"/>
    <w:rsid w:val="006B2FFB"/>
    <w:rsid w:val="006C10A2"/>
    <w:rsid w:val="006C1F18"/>
    <w:rsid w:val="006D40D5"/>
    <w:rsid w:val="006F009A"/>
    <w:rsid w:val="006F24AF"/>
    <w:rsid w:val="006F3D93"/>
    <w:rsid w:val="007019B1"/>
    <w:rsid w:val="00721657"/>
    <w:rsid w:val="00725BD2"/>
    <w:rsid w:val="007279A8"/>
    <w:rsid w:val="00727B1A"/>
    <w:rsid w:val="00741337"/>
    <w:rsid w:val="00752258"/>
    <w:rsid w:val="007529E1"/>
    <w:rsid w:val="00753FAA"/>
    <w:rsid w:val="00761AE0"/>
    <w:rsid w:val="00762880"/>
    <w:rsid w:val="00762AD6"/>
    <w:rsid w:val="00762E02"/>
    <w:rsid w:val="007649CD"/>
    <w:rsid w:val="00772290"/>
    <w:rsid w:val="00774148"/>
    <w:rsid w:val="00777265"/>
    <w:rsid w:val="007805E7"/>
    <w:rsid w:val="0078222A"/>
    <w:rsid w:val="00782910"/>
    <w:rsid w:val="00787D48"/>
    <w:rsid w:val="00795294"/>
    <w:rsid w:val="007A33DB"/>
    <w:rsid w:val="007A4E50"/>
    <w:rsid w:val="007B18A7"/>
    <w:rsid w:val="007B250E"/>
    <w:rsid w:val="007B58EE"/>
    <w:rsid w:val="007C27FC"/>
    <w:rsid w:val="007C51FF"/>
    <w:rsid w:val="007D2D75"/>
    <w:rsid w:val="007D50E4"/>
    <w:rsid w:val="007E2D61"/>
    <w:rsid w:val="007E2DC5"/>
    <w:rsid w:val="007F1CC7"/>
    <w:rsid w:val="007F56AD"/>
    <w:rsid w:val="007F6321"/>
    <w:rsid w:val="007F6E79"/>
    <w:rsid w:val="008027AC"/>
    <w:rsid w:val="008028CE"/>
    <w:rsid w:val="0080332E"/>
    <w:rsid w:val="008141E0"/>
    <w:rsid w:val="00816EE1"/>
    <w:rsid w:val="00816F88"/>
    <w:rsid w:val="00821996"/>
    <w:rsid w:val="00822323"/>
    <w:rsid w:val="008265CF"/>
    <w:rsid w:val="00827BC6"/>
    <w:rsid w:val="008300AD"/>
    <w:rsid w:val="00833024"/>
    <w:rsid w:val="00833F25"/>
    <w:rsid w:val="008419B1"/>
    <w:rsid w:val="00844A56"/>
    <w:rsid w:val="00845B11"/>
    <w:rsid w:val="00852081"/>
    <w:rsid w:val="008623C4"/>
    <w:rsid w:val="0086615A"/>
    <w:rsid w:val="00872B6E"/>
    <w:rsid w:val="00874DFD"/>
    <w:rsid w:val="008802F9"/>
    <w:rsid w:val="00883086"/>
    <w:rsid w:val="008879FD"/>
    <w:rsid w:val="00894C37"/>
    <w:rsid w:val="008A00EA"/>
    <w:rsid w:val="008A3F93"/>
    <w:rsid w:val="008A6236"/>
    <w:rsid w:val="008A6E1C"/>
    <w:rsid w:val="008A72FD"/>
    <w:rsid w:val="008B2EDF"/>
    <w:rsid w:val="008B47C7"/>
    <w:rsid w:val="008B4AD3"/>
    <w:rsid w:val="008B54CB"/>
    <w:rsid w:val="008B5A3D"/>
    <w:rsid w:val="008C2840"/>
    <w:rsid w:val="008C4010"/>
    <w:rsid w:val="008C442C"/>
    <w:rsid w:val="008C4FDF"/>
    <w:rsid w:val="008C6B1F"/>
    <w:rsid w:val="008D5E4F"/>
    <w:rsid w:val="008D77E5"/>
    <w:rsid w:val="008E34F0"/>
    <w:rsid w:val="008E3FBA"/>
    <w:rsid w:val="008F14F5"/>
    <w:rsid w:val="008F4D35"/>
    <w:rsid w:val="008F71C1"/>
    <w:rsid w:val="00902D41"/>
    <w:rsid w:val="00902F49"/>
    <w:rsid w:val="00904230"/>
    <w:rsid w:val="009134A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A591D"/>
    <w:rsid w:val="009B050C"/>
    <w:rsid w:val="009B087F"/>
    <w:rsid w:val="009B2AF4"/>
    <w:rsid w:val="009C110B"/>
    <w:rsid w:val="009C5441"/>
    <w:rsid w:val="009C7982"/>
    <w:rsid w:val="009D119F"/>
    <w:rsid w:val="009D49A2"/>
    <w:rsid w:val="009F3940"/>
    <w:rsid w:val="009F3EB2"/>
    <w:rsid w:val="009F558A"/>
    <w:rsid w:val="009F6EB1"/>
    <w:rsid w:val="00A11D05"/>
    <w:rsid w:val="00A13162"/>
    <w:rsid w:val="00A20267"/>
    <w:rsid w:val="00A3158C"/>
    <w:rsid w:val="00A32DF3"/>
    <w:rsid w:val="00A33E32"/>
    <w:rsid w:val="00A35E20"/>
    <w:rsid w:val="00A36F6D"/>
    <w:rsid w:val="00A50CA0"/>
    <w:rsid w:val="00A525CC"/>
    <w:rsid w:val="00A53E7C"/>
    <w:rsid w:val="00A54E80"/>
    <w:rsid w:val="00A60087"/>
    <w:rsid w:val="00A705E8"/>
    <w:rsid w:val="00A721F4"/>
    <w:rsid w:val="00A9392C"/>
    <w:rsid w:val="00A9462B"/>
    <w:rsid w:val="00A95729"/>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21FC8"/>
    <w:rsid w:val="00B30EE8"/>
    <w:rsid w:val="00B310F9"/>
    <w:rsid w:val="00B37866"/>
    <w:rsid w:val="00B412FB"/>
    <w:rsid w:val="00B41E26"/>
    <w:rsid w:val="00B4576B"/>
    <w:rsid w:val="00B457CC"/>
    <w:rsid w:val="00B46350"/>
    <w:rsid w:val="00B46DF3"/>
    <w:rsid w:val="00B476A7"/>
    <w:rsid w:val="00B648C7"/>
    <w:rsid w:val="00B66E8F"/>
    <w:rsid w:val="00B6793B"/>
    <w:rsid w:val="00B80157"/>
    <w:rsid w:val="00B83D5E"/>
    <w:rsid w:val="00B8460A"/>
    <w:rsid w:val="00B8650D"/>
    <w:rsid w:val="00B879B4"/>
    <w:rsid w:val="00B904E0"/>
    <w:rsid w:val="00B90F07"/>
    <w:rsid w:val="00B97BB9"/>
    <w:rsid w:val="00BA0009"/>
    <w:rsid w:val="00BB02B5"/>
    <w:rsid w:val="00BB1863"/>
    <w:rsid w:val="00BB25EE"/>
    <w:rsid w:val="00BB363A"/>
    <w:rsid w:val="00BB7E71"/>
    <w:rsid w:val="00BC10A0"/>
    <w:rsid w:val="00BC7BA2"/>
    <w:rsid w:val="00BD426B"/>
    <w:rsid w:val="00BD79F0"/>
    <w:rsid w:val="00BE2B4D"/>
    <w:rsid w:val="00BF347F"/>
    <w:rsid w:val="00BF5C80"/>
    <w:rsid w:val="00C015F8"/>
    <w:rsid w:val="00C02C2A"/>
    <w:rsid w:val="00C07E26"/>
    <w:rsid w:val="00C1011C"/>
    <w:rsid w:val="00C12F94"/>
    <w:rsid w:val="00C177C5"/>
    <w:rsid w:val="00C34EC3"/>
    <w:rsid w:val="00C3774C"/>
    <w:rsid w:val="00C4038C"/>
    <w:rsid w:val="00C42BA2"/>
    <w:rsid w:val="00C44066"/>
    <w:rsid w:val="00C44E13"/>
    <w:rsid w:val="00C60A41"/>
    <w:rsid w:val="00C62DE8"/>
    <w:rsid w:val="00C62DFB"/>
    <w:rsid w:val="00C630E6"/>
    <w:rsid w:val="00C63812"/>
    <w:rsid w:val="00C64813"/>
    <w:rsid w:val="00C64AF3"/>
    <w:rsid w:val="00C66F4D"/>
    <w:rsid w:val="00C67BB5"/>
    <w:rsid w:val="00C72713"/>
    <w:rsid w:val="00C848EF"/>
    <w:rsid w:val="00C86600"/>
    <w:rsid w:val="00C87BCA"/>
    <w:rsid w:val="00C87EED"/>
    <w:rsid w:val="00C94506"/>
    <w:rsid w:val="00C954BC"/>
    <w:rsid w:val="00C9684D"/>
    <w:rsid w:val="00CA1F0B"/>
    <w:rsid w:val="00CA5334"/>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10CB"/>
    <w:rsid w:val="00D1519F"/>
    <w:rsid w:val="00D1703C"/>
    <w:rsid w:val="00D20E99"/>
    <w:rsid w:val="00D21C83"/>
    <w:rsid w:val="00D35BDD"/>
    <w:rsid w:val="00D373E3"/>
    <w:rsid w:val="00D50D27"/>
    <w:rsid w:val="00D63006"/>
    <w:rsid w:val="00D642AF"/>
    <w:rsid w:val="00D72301"/>
    <w:rsid w:val="00D911DE"/>
    <w:rsid w:val="00D91B97"/>
    <w:rsid w:val="00D93ACC"/>
    <w:rsid w:val="00D93C08"/>
    <w:rsid w:val="00D95DAC"/>
    <w:rsid w:val="00DA0B53"/>
    <w:rsid w:val="00DB1171"/>
    <w:rsid w:val="00DB1519"/>
    <w:rsid w:val="00DB2840"/>
    <w:rsid w:val="00DC0CC3"/>
    <w:rsid w:val="00DC1BD3"/>
    <w:rsid w:val="00DC2C1A"/>
    <w:rsid w:val="00DC44F9"/>
    <w:rsid w:val="00DD66B4"/>
    <w:rsid w:val="00DE1972"/>
    <w:rsid w:val="00DE27AB"/>
    <w:rsid w:val="00DE33D1"/>
    <w:rsid w:val="00DF2AB3"/>
    <w:rsid w:val="00DF7250"/>
    <w:rsid w:val="00E00CAA"/>
    <w:rsid w:val="00E03EBF"/>
    <w:rsid w:val="00E05209"/>
    <w:rsid w:val="00E05AC1"/>
    <w:rsid w:val="00E11509"/>
    <w:rsid w:val="00E11BCF"/>
    <w:rsid w:val="00E16B83"/>
    <w:rsid w:val="00E2258E"/>
    <w:rsid w:val="00E260C2"/>
    <w:rsid w:val="00E27976"/>
    <w:rsid w:val="00E32596"/>
    <w:rsid w:val="00E368F7"/>
    <w:rsid w:val="00E36EB8"/>
    <w:rsid w:val="00E37FB8"/>
    <w:rsid w:val="00E40B07"/>
    <w:rsid w:val="00E42326"/>
    <w:rsid w:val="00E43544"/>
    <w:rsid w:val="00E44D89"/>
    <w:rsid w:val="00E477EA"/>
    <w:rsid w:val="00E55391"/>
    <w:rsid w:val="00E55807"/>
    <w:rsid w:val="00E63B14"/>
    <w:rsid w:val="00E65CA0"/>
    <w:rsid w:val="00E70D9F"/>
    <w:rsid w:val="00E83810"/>
    <w:rsid w:val="00E86933"/>
    <w:rsid w:val="00E9605B"/>
    <w:rsid w:val="00E97298"/>
    <w:rsid w:val="00E97753"/>
    <w:rsid w:val="00EA0C51"/>
    <w:rsid w:val="00EA7094"/>
    <w:rsid w:val="00EA7DE7"/>
    <w:rsid w:val="00EB7A8A"/>
    <w:rsid w:val="00EC6FED"/>
    <w:rsid w:val="00EC7F3B"/>
    <w:rsid w:val="00ED5299"/>
    <w:rsid w:val="00ED7AE6"/>
    <w:rsid w:val="00EE3A64"/>
    <w:rsid w:val="00EE50E5"/>
    <w:rsid w:val="00EF01CF"/>
    <w:rsid w:val="00F03590"/>
    <w:rsid w:val="00F03622"/>
    <w:rsid w:val="00F077FD"/>
    <w:rsid w:val="00F204F3"/>
    <w:rsid w:val="00F218AB"/>
    <w:rsid w:val="00F22C9C"/>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48F9"/>
    <w:rsid w:val="00F736F9"/>
    <w:rsid w:val="00F73833"/>
    <w:rsid w:val="00F9211C"/>
    <w:rsid w:val="00FA095D"/>
    <w:rsid w:val="00FA6C8B"/>
    <w:rsid w:val="00FA6CDA"/>
    <w:rsid w:val="00FA7C89"/>
    <w:rsid w:val="00FB4139"/>
    <w:rsid w:val="00FB4697"/>
    <w:rsid w:val="00FB476E"/>
    <w:rsid w:val="00FC0D90"/>
    <w:rsid w:val="00FC7D8C"/>
    <w:rsid w:val="00FD3980"/>
    <w:rsid w:val="00FD431E"/>
    <w:rsid w:val="00FD5A2C"/>
    <w:rsid w:val="00FE0D47"/>
    <w:rsid w:val="00FE1D5C"/>
    <w:rsid w:val="00FE2F8B"/>
    <w:rsid w:val="00FE3669"/>
    <w:rsid w:val="00FE5204"/>
    <w:rsid w:val="00FF12A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1"/>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NormalWeb">
    <w:name w:val="Normal (Web)"/>
    <w:basedOn w:val="Normal"/>
    <w:uiPriority w:val="99"/>
    <w:unhideWhenUsed/>
    <w:rsid w:val="00DC44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68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vilem.vesely@mpo.gov.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Regional-Presence/Europe/Documents/Events/2024/03.11_Human%20Centric/Compendium_%20Human-Centric%20Digital%20Transformation.pdf" TargetMode="External"/><Relationship Id="rId2" Type="http://schemas.openxmlformats.org/officeDocument/2006/relationships/hyperlink" Target="https://www.itu.int/en/ITU-D/Regional-Presence/Europe/Pages/Events/2023/Spotlight%20Series%20on%20Human-Centric%20Digital%20Transformation/Spotlight-Series-on-Human-Centric-Digital-Transformation.aspx" TargetMode="External"/><Relationship Id="rId1" Type="http://schemas.openxmlformats.org/officeDocument/2006/relationships/hyperlink" Target="https://www.itu.int/en/ITU-D/Regional-Presence/Europe/Documents/Events/2023/0522-23%20-%20RDF/Submissions/EUR%202/Human-centered-approach-digital-development_RDF-EUR-2023-Submi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customXml/itemProps2.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3</cp:revision>
  <cp:lastPrinted>2014-11-04T09:22:00Z</cp:lastPrinted>
  <dcterms:created xsi:type="dcterms:W3CDTF">2024-05-08T09:45:00Z</dcterms:created>
  <dcterms:modified xsi:type="dcterms:W3CDTF">2024-05-08T09:46:00Z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