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C636" w14:textId="77777777" w:rsidR="001165CC" w:rsidRPr="00E17456" w:rsidRDefault="001165CC" w:rsidP="001165CC">
      <w:pPr>
        <w:pStyle w:val="ResNo"/>
        <w:rPr>
          <w:lang w:val="es-ES_tradnl"/>
        </w:rPr>
      </w:pPr>
      <w:bookmarkStart w:id="0" w:name="_Toc116916961"/>
      <w:bookmarkStart w:id="1" w:name="_Toc116918530"/>
      <w:bookmarkStart w:id="2" w:name="_Toc116919021"/>
      <w:bookmarkStart w:id="3" w:name="_Toc116919508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11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4C55E706" w14:textId="77777777" w:rsidR="001165CC" w:rsidRPr="00E17456" w:rsidRDefault="001165CC" w:rsidP="001165CC">
      <w:pPr>
        <w:pStyle w:val="Restitle"/>
        <w:rPr>
          <w:caps/>
          <w:lang w:val="es-ES_tradnl"/>
        </w:rPr>
      </w:pPr>
      <w:bookmarkStart w:id="4" w:name="_Toc116916962"/>
      <w:bookmarkStart w:id="5" w:name="_Toc116918531"/>
      <w:bookmarkStart w:id="6" w:name="_Toc116919022"/>
      <w:bookmarkStart w:id="7" w:name="_Toc116919509"/>
      <w:r w:rsidRPr="00E17456">
        <w:rPr>
          <w:lang w:val="es-ES_tradnl"/>
        </w:rPr>
        <w:t>Servicios de telecomunicaciones/tecnologías de la información y la comunicación en zonas rurales, aisladas e insuficientemente atendidas</w:t>
      </w:r>
      <w:bookmarkEnd w:id="4"/>
      <w:bookmarkEnd w:id="5"/>
      <w:bookmarkEnd w:id="6"/>
      <w:bookmarkEnd w:id="7"/>
    </w:p>
    <w:p w14:paraId="168CB01E" w14:textId="77777777" w:rsidR="001165CC" w:rsidRPr="00E17456" w:rsidRDefault="001165CC" w:rsidP="001165CC">
      <w:pPr>
        <w:pStyle w:val="Normalaftertitle"/>
        <w:rPr>
          <w:rFonts w:eastAsia="SimSun"/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2E4D27B2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>recordando</w:t>
      </w:r>
    </w:p>
    <w:p w14:paraId="60F8A55D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20 (Rev. Buenos Aires, 2017), Acceso no discriminatorio a los modernos medios, servicios y aplicaciones conexas de telecomunicaciones y tecnologías de la información y la comunicación (TIC), de la Conferencia Mundial de Desarrollo de las Telecomunicaciones (CMDT);</w:t>
      </w:r>
    </w:p>
    <w:p w14:paraId="3DECC87D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 46 (Rev. Kigali, 2022), Prestación de asistencia a los pueblos y comunidades indígenas a través de las TIC, de la CMDT;</w:t>
      </w:r>
    </w:p>
    <w:p w14:paraId="3FD425DF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Resolución 69 (Rev. Hammamet, 2016), Acceso y utilización no discriminatorios de los recursos de Internet y de telecomunicaciones/TIC, de la Asamblea Mundial de Normalización de las Telecomunicaciones (AMNT);</w:t>
      </w:r>
    </w:p>
    <w:p w14:paraId="48BDBA45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 xml:space="preserve">la Resolución 77 (Rev. Hammamet, 2016), Normalización de las redes definidas por </w:t>
      </w:r>
      <w:r w:rsidRPr="00E17456">
        <w:rPr>
          <w:i/>
          <w:iCs/>
          <w:lang w:val="es-ES_tradnl"/>
        </w:rPr>
        <w:t>software</w:t>
      </w:r>
      <w:r w:rsidRPr="00E17456">
        <w:rPr>
          <w:lang w:val="es-ES_tradnl"/>
        </w:rPr>
        <w:t xml:space="preserve"> en el Sector de Normalización de las Telecomunicaciones de la UIT (UIT-T), de la AMNT;</w:t>
      </w:r>
    </w:p>
    <w:p w14:paraId="319FD63D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la Resolución 90 (Hammamet, 2016), Código abierto en el UIT-T, de la AMNT;</w:t>
      </w:r>
    </w:p>
    <w:p w14:paraId="5BEAAE96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la Resolución 135 (Rev. Dubái, 2018), Función de la UIT en el desarrollo duradero y sostenible de las telecomunicaciones/TIC, en la prestación de asistencia y asesoramiento técnicos a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 xml:space="preserve"> y en la ejecución de proyectos nacionales, regionales e interregionales pertinentes, de la Conferencia de Plenipotenciarios;</w:t>
      </w:r>
    </w:p>
    <w:p w14:paraId="553894D2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lang w:val="es-ES_tradnl"/>
        </w:rPr>
        <w:tab/>
        <w:t>la Resolución 137 (Rev. Dubái, 2018), Instalación de redes futuras en los países en desarrollo, de la Conferencia de Plenipotenciarios;</w:t>
      </w:r>
    </w:p>
    <w:p w14:paraId="76B21E71" w14:textId="77777777" w:rsidR="001165CC" w:rsidRPr="00E17456" w:rsidRDefault="001165CC" w:rsidP="001165CC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2A46D34E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h)</w:t>
      </w:r>
      <w:r w:rsidRPr="00E17456">
        <w:rPr>
          <w:lang w:val="es-ES_tradnl"/>
        </w:rPr>
        <w:tab/>
        <w:t>la Recomendación UIT-D 20 (Dubái, 2014), en la cual se recomienda que los gobiernos y los reguladores del mundo adopten medidas políticas y reglamentarias para acelerar el desarrollo de telecomunicaciones/TIC/banda ancha en sus zonas rurales y remotas mediante políticas específicas e intervenciones/iniciativas reglamentarias;</w:t>
      </w:r>
    </w:p>
    <w:p w14:paraId="7A2533B8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i)</w:t>
      </w:r>
      <w:r w:rsidRPr="00E17456">
        <w:rPr>
          <w:lang w:val="es-ES_tradnl"/>
        </w:rPr>
        <w:tab/>
        <w:t xml:space="preserve">la Recomendación UIT-D 19 (Dubái, 2014), en la cual se recomienda que, en la planificación del desarrollo de infraestructuras en las zonas rurales y remotas es importante evaluar todas las tecnologías disponibles en el mercado, teniendo en cuenta el entorno reglamentario, las condiciones geográficas, el clima, los costos (gastos de capital y operativos), la capacidad de mantenimiento y explotación, la sostenibilidad, etc., basándose en los resultados de los estudios realizados </w:t>
      </w:r>
      <w:r w:rsidRPr="00E17456">
        <w:rPr>
          <w:i/>
          <w:iCs/>
          <w:lang w:val="es-ES_tradnl"/>
        </w:rPr>
        <w:t>in situ</w:t>
      </w:r>
      <w:r w:rsidRPr="00E17456">
        <w:rPr>
          <w:lang w:val="es-ES_tradnl"/>
        </w:rPr>
        <w:t xml:space="preserve"> y en las necesidades de las comunidades,</w:t>
      </w:r>
    </w:p>
    <w:p w14:paraId="003E18A0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>considerando</w:t>
      </w:r>
    </w:p>
    <w:p w14:paraId="6943727C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todas las CMDT han reafirmado la importante y urgente necesidad de proporcionar acceso a los servicios básicos de telecomunicaciones/TIC a todos, y en particular a los países en desarrollo, a fin de proporcionar cobertura a las zonas rurales y aisladas que carecen de este servicio;</w:t>
      </w:r>
    </w:p>
    <w:p w14:paraId="5B8C0060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 xml:space="preserve">los resultados de la primera y la </w:t>
      </w:r>
      <w:proofErr w:type="gramStart"/>
      <w:r w:rsidRPr="00E17456">
        <w:rPr>
          <w:lang w:val="es-ES_tradnl"/>
        </w:rPr>
        <w:t>segunda fases</w:t>
      </w:r>
      <w:proofErr w:type="gramEnd"/>
      <w:r w:rsidRPr="00E17456">
        <w:rPr>
          <w:lang w:val="es-ES_tradnl"/>
        </w:rPr>
        <w:t xml:space="preserve"> de la Cumbre Mundial sobre la Sociedad de la Información en relación con la importancia de garantizar servicios de telecomunicaciones/TIC en esas zonas y para dichas comunidades;</w:t>
      </w:r>
    </w:p>
    <w:p w14:paraId="24F7385F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las comunicaciones por satélite en banda ancha y los servicios de radiocomunicaciones terrenales ofrecen a su vez alternativas de comunicación rápidas, fiables, rentables y caracterizadas por una alta densidad de conexión, tanto en las zonas urbanas como en las rurales y aisladas,</w:t>
      </w:r>
    </w:p>
    <w:p w14:paraId="3B3A51A7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>observando</w:t>
      </w:r>
    </w:p>
    <w:p w14:paraId="475B55E6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se ha determinado claramente la estrecha correlación existente entre la disponibilidad de los servicios universales de telecomunicaciones/TIC y el desarrollo ambiental, cultural, económico y social;</w:t>
      </w:r>
    </w:p>
    <w:p w14:paraId="15FB376B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importancia de lograr el desarrollo de la infraestructura de telecomunicaciones/TIC en los países en desarrollo, ya que ello ayuda a mejorar el acceso, en especial en las zonas rurales, aisladas, sin servicio o insuficientemente atendidas,</w:t>
      </w:r>
    </w:p>
    <w:p w14:paraId="6189B5B2" w14:textId="77777777" w:rsidR="001165CC" w:rsidRPr="00E17456" w:rsidRDefault="001165CC" w:rsidP="001165CC">
      <w:pPr>
        <w:pStyle w:val="Call"/>
        <w:rPr>
          <w:rFonts w:eastAsia="SimSun"/>
          <w:lang w:val="es-ES_tradnl" w:eastAsia="zh-CN"/>
        </w:rPr>
      </w:pPr>
      <w:r w:rsidRPr="00E17456">
        <w:rPr>
          <w:rFonts w:eastAsia="SimSun"/>
          <w:lang w:val="es-ES_tradnl" w:eastAsia="zh-CN"/>
        </w:rPr>
        <w:br w:type="page"/>
      </w:r>
    </w:p>
    <w:p w14:paraId="7B0C65D9" w14:textId="77777777" w:rsidR="001165CC" w:rsidRPr="00E17456" w:rsidRDefault="001165CC" w:rsidP="001165CC">
      <w:pPr>
        <w:pStyle w:val="Call"/>
        <w:rPr>
          <w:rFonts w:eastAsia="SimSun"/>
          <w:lang w:val="es-ES_tradnl" w:eastAsia="zh-CN"/>
        </w:rPr>
      </w:pPr>
      <w:r w:rsidRPr="00E17456">
        <w:rPr>
          <w:rFonts w:eastAsia="SimSun"/>
          <w:lang w:val="es-ES_tradnl" w:eastAsia="zh-CN"/>
        </w:rPr>
        <w:lastRenderedPageBreak/>
        <w:t>teniendo en cuenta</w:t>
      </w:r>
    </w:p>
    <w:p w14:paraId="25AC1D29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el hecho de que las redes futuras son instrumentos potenciales para resolver los nuevos y complejos problemas a los que se enfrenta el sector de las telecomunicaciones, y que el despliegue de las redes futuras y las actividades de normalización son de gran importancia para los países en desarrollo, especialmente para sus regiones rurales donde vive la mayor parte de la población,</w:t>
      </w:r>
    </w:p>
    <w:p w14:paraId="56E773F4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>reconociendo</w:t>
      </w:r>
    </w:p>
    <w:p w14:paraId="08582B1D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se han hecho progresos espectaculares en muchos países en desarrollo mediante el acceso universal a los servicios de telecomunicaciones/TIC en áreas rurales, aisladas e insuficientemente atendidas de todo el territorio, lo que ha demostrado la viabilidad técnica y económica de los proyectos para proporcionar este tipo de servicio;</w:t>
      </w:r>
    </w:p>
    <w:p w14:paraId="397AB859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en muchas áreas y en algunos países en desarrollo es evidente el beneficio global aportado por los servicios de telecomunicaciones/TIC a las áreas rurales, aisladas e insuficientemente atendidas,</w:t>
      </w:r>
    </w:p>
    <w:p w14:paraId="33FF0CBE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proofErr w:type="gramStart"/>
      <w:r w:rsidRPr="00E17456">
        <w:rPr>
          <w:lang w:val="es-ES_tradnl"/>
        </w:rPr>
        <w:t>reconociendo</w:t>
      </w:r>
      <w:proofErr w:type="gramEnd"/>
      <w:r w:rsidRPr="00E17456">
        <w:rPr>
          <w:lang w:val="es-ES_tradnl"/>
        </w:rPr>
        <w:t xml:space="preserve"> además</w:t>
      </w:r>
    </w:p>
    <w:p w14:paraId="5A98A9C4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existen varias tecnologías modernas que pueden facilitar la prestación de servicios de telecomunicaciones/TIC, en particular las tecnologías de banda ancha, en áreas rurales, aisladas e insuficientemente atendidas;</w:t>
      </w:r>
    </w:p>
    <w:p w14:paraId="2DB5AEC1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el acceso a los servicios de telecomunicaciones/TIC en las áreas rurales, aisladas e insuficientemente atendidas, puede lograrse únicamente mediante la adecuada elección de opciones tecnológicas apropiadas (terrenales y por satélite) que permitan el acceso a servicios de buena calidad y económicos y el mantenimiento de los mismos;</w:t>
      </w:r>
    </w:p>
    <w:p w14:paraId="2DFDE0D4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 Comisión de Estudio 2 del Sector de Desarrollo de las Telecomunicaciones de la UIT (UIT-D), en el curso de su estudio de la Cuestión 10-3/2 en periodos anteriores, recopiló numerosos estudios de caso relativos a proyectos rurales y proyectos para la prestación de servicio en zonas aisladas, que dichos estudios de caso incluyen la preparación, la elaboración y la puesta en práctica de tales proyectos, y que representan una importante referencia a efectos de aprovechar sus enseñanzas en lo que atañe a proyectos desarrollados con éxito y que abarcan muchas situaciones;</w:t>
      </w:r>
    </w:p>
    <w:p w14:paraId="7FA70020" w14:textId="77777777" w:rsidR="001165CC" w:rsidRPr="00E17456" w:rsidRDefault="001165CC" w:rsidP="001165CC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44BCC708" w14:textId="77777777" w:rsidR="001165CC" w:rsidRPr="00E17456" w:rsidRDefault="001165CC" w:rsidP="001165CC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d)</w:t>
      </w:r>
      <w:r w:rsidRPr="00E17456">
        <w:rPr>
          <w:lang w:val="es-ES_tradnl"/>
        </w:rPr>
        <w:tab/>
        <w:t>que, en el marco de la Cuestión 5/1 (Telecomunicaciones/TIC para las zonas rurales y distantes) de la Comisión de Estudio 1 del UIT-D, se estudiaron los desafíos existentes en materia de desarrollo de telecomunicaciones/TIC en zonas rurales y remotas, entre los que se destacan los altos costos de instalación y operación, la falta de suministro de energía, la falta de personal técnico, las características geográficas y la alfabetización de las TIC, entre otros. Asimismo, se estudiaron e identificaron los distintos métodos que pueden ayudar a solventar dichos desafíos,</w:t>
      </w:r>
    </w:p>
    <w:p w14:paraId="192C5E0B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>resuelve</w:t>
      </w:r>
    </w:p>
    <w:p w14:paraId="56208132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 xml:space="preserve">invitar a la Comisión de Estudio 1 del UIT-D a continuar sus estudios de la Cuestión 5/1 (Telecomunicaciones/TIC en las zonas rurales y remotas), sobre la mejor manera de proporcionar acceso a los servicios de telecomunicaciones/TIC en las áreas rurales, aisladas e insuficientemente atendidas, tales como los de acceso universal, programa de telecomunicaciones rurales, marco reglamentario, recursos financieros y criterio comercial teniendo en cuenta los objetivos de la presente Resolución, en particular las tecnologías de red abiertas e interoperables como las tecnologías de red de código abierto definidas por </w:t>
      </w:r>
      <w:r w:rsidRPr="00E17456">
        <w:rPr>
          <w:i/>
          <w:iCs/>
          <w:lang w:val="es-ES_tradnl"/>
        </w:rPr>
        <w:t>software</w:t>
      </w:r>
      <w:r w:rsidRPr="00E17456">
        <w:rPr>
          <w:lang w:val="es-ES_tradnl"/>
        </w:rPr>
        <w:t>;</w:t>
      </w:r>
    </w:p>
    <w:p w14:paraId="380933A8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 xml:space="preserve">encargar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 (BDT) que presente informes a la Comisión de Estudio 1 del UIT-D acerca de la experiencia de la BDT en este ámbito y, especialmente, las lecciones extraídas a través de los proyectos que ha llevado a cabo y de los seminarios y programas de formación que está realizando para responder a las necesidades de las zonas rurales,</w:t>
      </w:r>
    </w:p>
    <w:p w14:paraId="540F7B5D" w14:textId="77777777" w:rsidR="001165CC" w:rsidRPr="00E17456" w:rsidRDefault="001165CC" w:rsidP="001165CC">
      <w:pPr>
        <w:pStyle w:val="Call"/>
        <w:rPr>
          <w:rFonts w:eastAsia="SimSun"/>
          <w:i w:val="0"/>
          <w:lang w:val="es-ES_tradnl" w:eastAsia="zh-CN"/>
        </w:rPr>
      </w:pPr>
      <w:r w:rsidRPr="00E17456">
        <w:rPr>
          <w:lang w:val="es-ES_tradnl"/>
        </w:rPr>
        <w:t xml:space="preserve">encarga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Telecomunicaciones,</w:t>
      </w:r>
      <w:r w:rsidRPr="00E17456">
        <w:rPr>
          <w:rFonts w:eastAsia="SimSun"/>
          <w:lang w:val="es-ES_tradnl"/>
        </w:rPr>
        <w:t xml:space="preserve"> </w:t>
      </w:r>
      <w:r w:rsidRPr="00E17456">
        <w:rPr>
          <w:lang w:val="es-ES_tradnl"/>
        </w:rPr>
        <w:t>en colaboración con el Director de la Oficina</w:t>
      </w:r>
      <w:r w:rsidRPr="00E17456">
        <w:rPr>
          <w:rFonts w:eastAsia="SimSun"/>
          <w:lang w:val="es-ES_tradnl"/>
        </w:rPr>
        <w:t xml:space="preserve"> </w:t>
      </w:r>
      <w:r w:rsidRPr="00E17456">
        <w:rPr>
          <w:lang w:val="es-ES_tradnl"/>
        </w:rPr>
        <w:t>de Radiocomunicaciones y el Director de la Oficina de Normalización de</w:t>
      </w:r>
      <w:r w:rsidRPr="00E17456">
        <w:rPr>
          <w:rFonts w:eastAsia="SimSun"/>
          <w:lang w:val="es-ES_tradnl"/>
        </w:rPr>
        <w:t xml:space="preserve"> </w:t>
      </w:r>
      <w:r w:rsidRPr="00E17456">
        <w:rPr>
          <w:lang w:val="es-ES_tradnl"/>
        </w:rPr>
        <w:t>las Telecomunicaciones</w:t>
      </w:r>
    </w:p>
    <w:p w14:paraId="70FC75A0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siga apoyando los estudios iniciados para responder a esta Resolución;</w:t>
      </w:r>
    </w:p>
    <w:p w14:paraId="203968F9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promueva aún más la utilización de todos los medios apropiados de telecomunicaciones/TIC para facilitar el desarrollo y la realización eficaces de servicios de telecomunicación/TIC en las áreas rurales, aisladas e insuficientemente atendidas del mundo a través de los programas pertinentes;</w:t>
      </w:r>
    </w:p>
    <w:p w14:paraId="557CD705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prosiga sus esfuerzos orientados a promover la utilización óptima por parte de los países en desarrollo de todos los nuevos servicios disponibles de telecomunicaciones/TIC, proporcionados por sistemas de satélites y terrenales, para prestar servicio a dichas áreas y comunidades;</w:t>
      </w:r>
    </w:p>
    <w:p w14:paraId="3151CE5B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2A665659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lastRenderedPageBreak/>
        <w:t>4</w:t>
      </w:r>
      <w:r w:rsidRPr="00E17456">
        <w:rPr>
          <w:lang w:val="es-ES_tradnl"/>
        </w:rPr>
        <w:tab/>
        <w:t>que coordine esfuerzos de apoyo a los gobiernos para el desarrollo de los servicios de telecomunicaciones/TIC en zonas rurales, aisladas e insuficientemente atendidas;</w:t>
      </w:r>
    </w:p>
    <w:p w14:paraId="330B4D47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que preste asistencia a los Estados Miembros para la determinación y desarrollo de políticas, mecanismos e iniciativas reglamentarias para reducir la brecha digital mediante la promoción del despliegue y la adopción de la banda ancha;</w:t>
      </w:r>
    </w:p>
    <w:p w14:paraId="53A0786E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6</w:t>
      </w:r>
      <w:r w:rsidRPr="00E17456">
        <w:rPr>
          <w:lang w:val="es-ES_tradnl"/>
        </w:rPr>
        <w:tab/>
        <w:t>consolidar y difundir información a través de seminarios, talleres y espacios en línea como ciberseminarios, para el intercambio de experiencias nacionales relacionadas con el despliegue y el funcionamiento de redes de banda ancha en zonas rurales, distantes, insuficientemente atendidas con especial énfasis en los países en desarrollo sin litoral y los pequeños Estados insulares en desarrollo;</w:t>
      </w:r>
    </w:p>
    <w:p w14:paraId="4E38F36B" w14:textId="77777777" w:rsidR="001165CC" w:rsidRPr="00E17456" w:rsidRDefault="001165CC" w:rsidP="001165CC">
      <w:pPr>
        <w:rPr>
          <w:lang w:val="es-ES_tradnl"/>
        </w:rPr>
      </w:pPr>
      <w:r w:rsidRPr="00E17456">
        <w:rPr>
          <w:lang w:val="es-ES_tradnl"/>
        </w:rPr>
        <w:t>7</w:t>
      </w:r>
      <w:r w:rsidRPr="00E17456">
        <w:rPr>
          <w:lang w:val="es-ES_tradnl"/>
        </w:rPr>
        <w:tab/>
        <w:t>que promueva iniciativas con miras a identificar las zonas rurales y aisladas desatendidas o insuficientemente atendidas, permitiendo así a los gobiernos elaborar políticas participativas concretas para implantar servicios de telecomunicaciones/TIC y ejecutar programas de capacitación en pro de la expansión y el mantenimiento de las redes de telecomunicaciones en esas zonas.</w:t>
      </w:r>
    </w:p>
    <w:p w14:paraId="79DF3971" w14:textId="77777777" w:rsidR="001165CC" w:rsidRPr="00E17456" w:rsidRDefault="001165CC" w:rsidP="001165CC">
      <w:pPr>
        <w:pStyle w:val="Reasons"/>
        <w:rPr>
          <w:lang w:val="es-ES_tradnl"/>
        </w:rPr>
      </w:pPr>
    </w:p>
    <w:p w14:paraId="61567880" w14:textId="77777777" w:rsidR="00201FFB" w:rsidRPr="001165CC" w:rsidRDefault="00201FFB">
      <w:pPr>
        <w:rPr>
          <w:lang w:val="es-ES_tradnl"/>
        </w:rPr>
      </w:pPr>
    </w:p>
    <w:sectPr w:rsidR="00201FFB" w:rsidRPr="001165CC" w:rsidSect="00116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4DEB" w14:textId="77777777" w:rsidR="001165CC" w:rsidRDefault="001165CC" w:rsidP="001165CC">
      <w:pPr>
        <w:spacing w:before="0"/>
      </w:pPr>
      <w:r>
        <w:separator/>
      </w:r>
    </w:p>
  </w:endnote>
  <w:endnote w:type="continuationSeparator" w:id="0">
    <w:p w14:paraId="32D2DDF5" w14:textId="77777777" w:rsidR="001165CC" w:rsidRDefault="001165CC" w:rsidP="001165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AB86" w14:textId="77777777" w:rsidR="001165CC" w:rsidRDefault="00116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F3B" w14:textId="77777777" w:rsidR="001165CC" w:rsidRDefault="00116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3139" w14:textId="77777777" w:rsidR="001165CC" w:rsidRDefault="0011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2B7A" w14:textId="77777777" w:rsidR="001165CC" w:rsidRDefault="001165CC" w:rsidP="001165CC">
      <w:pPr>
        <w:spacing w:before="0"/>
      </w:pPr>
      <w:r>
        <w:separator/>
      </w:r>
    </w:p>
  </w:footnote>
  <w:footnote w:type="continuationSeparator" w:id="0">
    <w:p w14:paraId="2C45352A" w14:textId="77777777" w:rsidR="001165CC" w:rsidRDefault="001165CC" w:rsidP="001165CC">
      <w:pPr>
        <w:spacing w:before="0"/>
      </w:pPr>
      <w:r>
        <w:continuationSeparator/>
      </w:r>
    </w:p>
  </w:footnote>
  <w:footnote w:id="1">
    <w:p w14:paraId="03ABA1A2" w14:textId="77777777" w:rsidR="001165CC" w:rsidRPr="00EF1565" w:rsidRDefault="001165CC" w:rsidP="001165CC">
      <w:pPr>
        <w:pStyle w:val="FootnoteText"/>
        <w:rPr>
          <w:lang w:val="es-ES"/>
        </w:rPr>
      </w:pPr>
      <w:r w:rsidRPr="008F1256">
        <w:rPr>
          <w:rStyle w:val="FootnoteReference"/>
          <w:lang w:val="es-ES"/>
        </w:rPr>
        <w:t>1</w:t>
      </w:r>
      <w:r w:rsidRPr="008F1256">
        <w:rPr>
          <w:lang w:val="es-ES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9B4B" w14:textId="41176201" w:rsidR="001165CC" w:rsidRPr="001165CC" w:rsidRDefault="001165CC" w:rsidP="001165CC">
    <w:pPr>
      <w:pStyle w:val="Header"/>
      <w:tabs>
        <w:tab w:val="clear" w:pos="4513"/>
        <w:tab w:val="clear" w:pos="9026"/>
        <w:tab w:val="left" w:pos="567"/>
        <w:tab w:val="right" w:pos="9072"/>
        <w:tab w:val="right" w:pos="9639"/>
      </w:tabs>
      <w:jc w:val="left"/>
      <w:rPr>
        <w:lang w:val="es-ES"/>
      </w:rPr>
    </w:pPr>
    <w:r w:rsidRPr="00713E5A">
      <w:rPr>
        <w:sz w:val="16"/>
        <w:szCs w:val="16"/>
      </w:rPr>
      <w:fldChar w:fldCharType="begin"/>
    </w:r>
    <w:r w:rsidRPr="001165CC">
      <w:rPr>
        <w:sz w:val="16"/>
        <w:szCs w:val="16"/>
        <w:lang w:val="es-ES"/>
      </w:rPr>
      <w:instrText xml:space="preserve"> PAGE   \* MERGEFORMAT </w:instrText>
    </w:r>
    <w:r w:rsidRPr="00713E5A">
      <w:rPr>
        <w:sz w:val="16"/>
        <w:szCs w:val="16"/>
      </w:rPr>
      <w:fldChar w:fldCharType="separate"/>
    </w:r>
    <w:r w:rsidRPr="001165CC">
      <w:rPr>
        <w:sz w:val="16"/>
        <w:szCs w:val="16"/>
        <w:lang w:val="es-ES"/>
      </w:rPr>
      <w:t>2</w:t>
    </w:r>
    <w:r w:rsidRPr="00713E5A">
      <w:rPr>
        <w:noProof/>
        <w:sz w:val="16"/>
        <w:szCs w:val="16"/>
      </w:rPr>
      <w:fldChar w:fldCharType="end"/>
    </w:r>
    <w:r>
      <w:rPr>
        <w:sz w:val="16"/>
        <w:szCs w:val="16"/>
        <w:lang w:val="es-ES"/>
      </w:rPr>
      <w:tab/>
    </w:r>
    <w:r w:rsidRPr="008F1256">
      <w:rPr>
        <w:sz w:val="16"/>
        <w:szCs w:val="16"/>
        <w:lang w:val="es-ES"/>
      </w:rPr>
      <w:t>Informe final de la CMDT-22 – Parte IV – Resolución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9225" w14:textId="46E53B36" w:rsidR="001165CC" w:rsidRPr="001165CC" w:rsidRDefault="001165CC" w:rsidP="001165CC">
    <w:pPr>
      <w:pStyle w:val="Header"/>
      <w:tabs>
        <w:tab w:val="clear" w:pos="4513"/>
        <w:tab w:val="clear" w:pos="9026"/>
        <w:tab w:val="left" w:pos="567"/>
        <w:tab w:val="right" w:pos="9072"/>
        <w:tab w:val="right" w:pos="9639"/>
      </w:tabs>
      <w:jc w:val="left"/>
      <w:rPr>
        <w:lang w:val="es-ES"/>
      </w:rPr>
    </w:pPr>
    <w:r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</w:r>
    <w:r w:rsidRPr="008F1256">
      <w:rPr>
        <w:sz w:val="16"/>
        <w:szCs w:val="16"/>
        <w:lang w:val="es-ES"/>
      </w:rPr>
      <w:t>Informe final de la CMDT-22 – Parte IV – Resolución 11</w:t>
    </w:r>
    <w:r w:rsidRPr="008F1256">
      <w:rPr>
        <w:sz w:val="16"/>
        <w:szCs w:val="16"/>
        <w:lang w:val="es-ES"/>
      </w:rPr>
      <w:tab/>
    </w:r>
    <w:r w:rsidRPr="00713E5A">
      <w:rPr>
        <w:sz w:val="16"/>
        <w:szCs w:val="16"/>
      </w:rPr>
      <w:fldChar w:fldCharType="begin"/>
    </w:r>
    <w:r w:rsidRPr="001165CC">
      <w:rPr>
        <w:sz w:val="16"/>
        <w:szCs w:val="16"/>
        <w:lang w:val="es-ES"/>
      </w:rPr>
      <w:instrText xml:space="preserve"> PAGE   \* MERGEFORMAT </w:instrText>
    </w:r>
    <w:r w:rsidRPr="00713E5A">
      <w:rPr>
        <w:sz w:val="16"/>
        <w:szCs w:val="16"/>
      </w:rPr>
      <w:fldChar w:fldCharType="separate"/>
    </w:r>
    <w:r w:rsidRPr="001165CC">
      <w:rPr>
        <w:sz w:val="16"/>
        <w:szCs w:val="16"/>
        <w:lang w:val="es-ES"/>
      </w:rPr>
      <w:t>1</w:t>
    </w:r>
    <w:r w:rsidRPr="00713E5A">
      <w:rPr>
        <w:noProof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453" w14:textId="77777777" w:rsidR="001165CC" w:rsidRDefault="0011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CC"/>
    <w:rsid w:val="001165CC"/>
    <w:rsid w:val="00201FFB"/>
    <w:rsid w:val="003C321F"/>
    <w:rsid w:val="003F366A"/>
    <w:rsid w:val="005809C6"/>
    <w:rsid w:val="00623374"/>
    <w:rsid w:val="008A4CA6"/>
    <w:rsid w:val="00A74923"/>
    <w:rsid w:val="00A96FB2"/>
    <w:rsid w:val="00AC35D4"/>
    <w:rsid w:val="00B0107E"/>
    <w:rsid w:val="00BF353A"/>
    <w:rsid w:val="00D27EFC"/>
    <w:rsid w:val="00DC6ABD"/>
    <w:rsid w:val="00EA2213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EABA"/>
  <w15:chartTrackingRefBased/>
  <w15:docId w15:val="{DF5B78CC-5AAF-4B7F-8195-1C7B54F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B0107E"/>
    <w:pPr>
      <w:spacing w:after="120"/>
      <w:ind w:left="0"/>
      <w:contextualSpacing w:val="0"/>
      <w:outlineLvl w:val="0"/>
    </w:pPr>
    <w:rPr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59" w:lineRule="auto"/>
      <w:jc w:val="left"/>
      <w:textAlignment w:val="auto"/>
      <w:outlineLvl w:val="1"/>
    </w:pPr>
    <w:rPr>
      <w:rFonts w:cstheme="minorBidi"/>
      <w:bCs/>
      <w:iCs/>
      <w:color w:val="2F5496" w:themeColor="accent1" w:themeShade="BF"/>
      <w:sz w:val="22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160" w:after="160" w:line="259" w:lineRule="auto"/>
      <w:jc w:val="left"/>
      <w:outlineLvl w:val="2"/>
    </w:pPr>
    <w:rPr>
      <w:rFonts w:eastAsiaTheme="minorHAnsi" w:cstheme="minorBidi"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240" w:line="259" w:lineRule="auto"/>
      <w:jc w:val="left"/>
      <w:textAlignment w:val="auto"/>
    </w:pPr>
    <w:rPr>
      <w:rFonts w:eastAsiaTheme="minorEastAsia" w:cs="Calibri"/>
      <w:color w:val="0070C0"/>
      <w:sz w:val="28"/>
      <w:szCs w:val="22"/>
      <w:lang w:val="en-US" w:eastAsia="es-ES"/>
    </w:rPr>
  </w:style>
  <w:style w:type="character" w:customStyle="1" w:styleId="Heading1Char">
    <w:name w:val="Heading 1 Char"/>
    <w:basedOn w:val="DefaultParagraphFont"/>
    <w:link w:val="Heading1"/>
    <w:rsid w:val="00B0107E"/>
    <w:rPr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contextualSpacing/>
      <w:jc w:val="left"/>
      <w:textAlignment w:val="auto"/>
    </w:pPr>
    <w:rPr>
      <w:rFonts w:eastAsiaTheme="minorEastAsia" w:cstheme="minorBidi"/>
      <w:color w:val="365F91"/>
      <w:szCs w:val="56"/>
      <w:lang w:val="en-US" w:eastAsia="zh-CN"/>
    </w:rPr>
  </w:style>
  <w:style w:type="paragraph" w:customStyle="1" w:styleId="Alternativetext">
    <w:name w:val="Alternative text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259" w:lineRule="auto"/>
      <w:jc w:val="center"/>
      <w:textAlignment w:val="auto"/>
    </w:pPr>
    <w:rPr>
      <w:rFonts w:eastAsiaTheme="minorEastAsia" w:cstheme="minorHAnsi"/>
      <w:i/>
      <w:color w:val="FFC000"/>
      <w:sz w:val="18"/>
      <w:szCs w:val="24"/>
      <w:lang w:val="en-US" w:eastAsia="zh-CN"/>
    </w:rPr>
  </w:style>
  <w:style w:type="paragraph" w:customStyle="1" w:styleId="Tabletitle">
    <w:name w:val="Tabl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color w:val="2F5496" w:themeColor="accent1" w:themeShade="BF"/>
      <w:szCs w:val="56"/>
      <w:lang w:val="en-US" w:eastAsia="zh-CN"/>
    </w:rPr>
  </w:style>
  <w:style w:type="paragraph" w:customStyle="1" w:styleId="Tabletext">
    <w:name w:val="Table tex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ind w:left="57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Tablehead">
    <w:name w:val="Table hea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paragraph" w:customStyle="1" w:styleId="Tabletextcentred">
    <w:name w:val="Table text centre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Bulletlist3">
    <w:name w:val="Bullet list 3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righ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60" w:line="259" w:lineRule="auto"/>
    </w:pPr>
    <w:rPr>
      <w:rFonts w:ascii="Times New Roman" w:hAnsi="Times New Roman" w:cstheme="minorBidi"/>
      <w:b/>
      <w:sz w:val="22"/>
      <w:lang w:val="es-ES_tradnl" w:eastAsia="zh-CN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0" w:after="480" w:line="259" w:lineRule="auto"/>
    </w:pPr>
    <w:rPr>
      <w:rFonts w:ascii="Times New Roman" w:hAnsi="Times New Roman" w:cstheme="minorBidi"/>
      <w:sz w:val="22"/>
      <w:lang w:val="es-ES_tradnl" w:eastAsia="zh-CN"/>
    </w:rPr>
  </w:style>
  <w:style w:type="paragraph" w:customStyle="1" w:styleId="Bulletlist1">
    <w:name w:val="Bullet list 1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left"/>
      <w:textAlignment w:val="auto"/>
    </w:pPr>
    <w:rPr>
      <w:rFonts w:eastAsiaTheme="minorEastAsia" w:cstheme="minorHAnsi"/>
      <w:sz w:val="22"/>
      <w:szCs w:val="24"/>
      <w:lang w:val="en-US" w:eastAsia="zh-CN"/>
    </w:rPr>
  </w:style>
  <w:style w:type="paragraph" w:customStyle="1" w:styleId="Call">
    <w:name w:val="Call"/>
    <w:basedOn w:val="Normal"/>
    <w:next w:val="Normal"/>
    <w:link w:val="CallChar"/>
    <w:rsid w:val="001165CC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1165CC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165CC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1165CC"/>
    <w:rPr>
      <w:rFonts w:eastAsia="Times New Roman" w:cs="Times New Roman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1165CC"/>
    <w:pPr>
      <w:spacing w:before="280"/>
    </w:pPr>
  </w:style>
  <w:style w:type="paragraph" w:customStyle="1" w:styleId="Reasons">
    <w:name w:val="Reasons"/>
    <w:basedOn w:val="Normal"/>
    <w:qFormat/>
    <w:rsid w:val="001165CC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1165CC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1165CC"/>
    <w:pPr>
      <w:keepNext/>
      <w:keepLines/>
      <w:spacing w:before="240"/>
      <w:jc w:val="center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165CC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1165CC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1165CC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1165CC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1165CC"/>
    <w:rPr>
      <w:rFonts w:eastAsia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1165C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165CC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5C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165CC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11 (Rev. Kigali, 2022) – Servicios de telecomunicaciones/tecnologías de la información y la comunicación en zonas rurales, aisladas e insuficientemente atendidas</dc:title>
  <dc:subject/>
  <dc:creator>Catalano Moreira, Rossana</dc:creator>
  <cp:keywords/>
  <dc:description/>
  <cp:lastModifiedBy>Catalano Moreira, Rossana</cp:lastModifiedBy>
  <cp:revision>2</cp:revision>
  <dcterms:created xsi:type="dcterms:W3CDTF">2023-10-16T14:58:00Z</dcterms:created>
  <dcterms:modified xsi:type="dcterms:W3CDTF">2023-10-16T15:03:00Z</dcterms:modified>
</cp:coreProperties>
</file>