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DA4" w14:textId="77777777" w:rsidR="00EA68DD" w:rsidRPr="00A677DE" w:rsidRDefault="00EA68DD" w:rsidP="00EA68DD">
      <w:pPr>
        <w:pStyle w:val="ResNo"/>
        <w:rPr>
          <w:rFonts w:cstheme="minorHAnsi"/>
          <w:lang w:val="ru-RU" w:eastAsia="zh-CN"/>
        </w:rPr>
      </w:pPr>
      <w:bookmarkStart w:id="0" w:name="_Toc116895603"/>
      <w:bookmarkStart w:id="1" w:name="_Toc116911732"/>
      <w:r w:rsidRPr="00A677DE">
        <w:rPr>
          <w:rFonts w:cstheme="minorHAnsi"/>
          <w:lang w:eastAsia="zh-CN"/>
        </w:rPr>
        <w:t>第</w:t>
      </w:r>
      <w:r w:rsidRPr="00A677DE">
        <w:rPr>
          <w:rStyle w:val="href"/>
          <w:lang w:val="ru-RU" w:eastAsia="zh-CN"/>
        </w:rPr>
        <w:t>25</w:t>
      </w:r>
      <w:r w:rsidRPr="00A677DE">
        <w:rPr>
          <w:rFonts w:cstheme="minorHAnsi"/>
          <w:lang w:eastAsia="zh-CN"/>
        </w:rPr>
        <w:t>号决议</w:t>
      </w:r>
      <w:r w:rsidRPr="00A677DE">
        <w:rPr>
          <w:rFonts w:cstheme="minorHAnsi"/>
          <w:lang w:val="ru-RU" w:eastAsia="zh-CN"/>
        </w:rPr>
        <w:t>（</w:t>
      </w:r>
      <w:r w:rsidRPr="00A677DE">
        <w:rPr>
          <w:rFonts w:cstheme="minorHAnsi" w:hint="eastAsia"/>
          <w:lang w:val="ru-RU" w:eastAsia="zh-CN"/>
        </w:rPr>
        <w:t>2022</w:t>
      </w:r>
      <w:r w:rsidRPr="00A677DE">
        <w:rPr>
          <w:rFonts w:cstheme="minorHAnsi" w:hint="eastAsia"/>
          <w:lang w:eastAsia="zh-CN"/>
        </w:rPr>
        <w:t>年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 w:hint="eastAsia"/>
          <w:lang w:eastAsia="zh-CN"/>
        </w:rPr>
        <w:t>基加利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 w:hint="eastAsia"/>
          <w:lang w:eastAsia="zh-CN"/>
        </w:rPr>
        <w:t>修订版</w:t>
      </w:r>
      <w:r w:rsidRPr="00A677DE">
        <w:rPr>
          <w:rFonts w:cstheme="minorHAnsi"/>
          <w:lang w:val="ru-RU" w:eastAsia="zh-CN"/>
        </w:rPr>
        <w:t>）</w:t>
      </w:r>
      <w:bookmarkEnd w:id="0"/>
      <w:bookmarkEnd w:id="1"/>
    </w:p>
    <w:p w14:paraId="313AD27D" w14:textId="77777777" w:rsidR="00EA68DD" w:rsidRPr="00A677DE" w:rsidRDefault="00EA68DD" w:rsidP="00AA7820">
      <w:pPr>
        <w:pStyle w:val="Restitle"/>
        <w:outlineLvl w:val="0"/>
        <w:rPr>
          <w:rFonts w:cstheme="minorHAnsi"/>
          <w:lang w:val="ru-RU" w:eastAsia="zh-CN"/>
        </w:rPr>
      </w:pPr>
      <w:bookmarkStart w:id="2" w:name="_Toc116895604"/>
      <w:bookmarkStart w:id="3" w:name="_Toc116911733"/>
      <w:r w:rsidRPr="00A677DE">
        <w:rPr>
          <w:rFonts w:cstheme="minorHAnsi"/>
          <w:lang w:eastAsia="zh-CN"/>
        </w:rPr>
        <w:t>援助</w:t>
      </w:r>
      <w:r w:rsidRPr="00A677DE">
        <w:rPr>
          <w:rFonts w:cstheme="minorHAnsi" w:hint="eastAsia"/>
          <w:lang w:eastAsia="zh-CN"/>
        </w:rPr>
        <w:t>有特殊需要的国家</w:t>
      </w:r>
      <w:r w:rsidRPr="00A677DE">
        <w:rPr>
          <w:rFonts w:cstheme="minorHAnsi"/>
          <w:lang w:val="ru-RU" w:eastAsia="zh-CN"/>
        </w:rPr>
        <w:t>：</w:t>
      </w:r>
      <w:r w:rsidRPr="00A677DE">
        <w:rPr>
          <w:rFonts w:cstheme="minorHAnsi"/>
          <w:lang w:eastAsia="zh-CN"/>
        </w:rPr>
        <w:t>阿富汗、布隆迪、</w:t>
      </w:r>
      <w:r w:rsidRPr="00A677DE">
        <w:rPr>
          <w:rFonts w:cstheme="minorHAnsi" w:hint="eastAsia"/>
          <w:lang w:eastAsia="zh-CN"/>
        </w:rPr>
        <w:t>中非</w:t>
      </w:r>
      <w:r w:rsidRPr="00A677DE">
        <w:rPr>
          <w:rFonts w:cstheme="minorHAnsi"/>
          <w:lang w:eastAsia="zh-CN"/>
        </w:rPr>
        <w:t>共和国</w:t>
      </w:r>
      <w:r w:rsidRPr="00A677DE">
        <w:rPr>
          <w:rFonts w:hint="eastAsia"/>
          <w:lang w:eastAsia="zh-CN"/>
        </w:rPr>
        <w:t>、</w:t>
      </w:r>
      <w:r w:rsidRPr="00A677DE">
        <w:rPr>
          <w:rFonts w:cstheme="minorHAnsi"/>
          <w:lang w:val="ru-RU" w:eastAsia="zh-CN"/>
        </w:rPr>
        <w:br/>
      </w:r>
      <w:r w:rsidRPr="00A677DE">
        <w:rPr>
          <w:rFonts w:cstheme="minorHAnsi"/>
          <w:lang w:eastAsia="zh-CN"/>
        </w:rPr>
        <w:t>刚果民主共和国、厄立特里亚、埃塞俄比亚、几内亚、</w:t>
      </w:r>
      <w:r w:rsidRPr="00A677DE">
        <w:rPr>
          <w:rFonts w:cstheme="minorHAnsi"/>
          <w:lang w:val="ru-RU" w:eastAsia="zh-CN"/>
        </w:rPr>
        <w:br/>
      </w:r>
      <w:r w:rsidRPr="00A677DE">
        <w:rPr>
          <w:rFonts w:cstheme="minorHAnsi"/>
          <w:lang w:eastAsia="zh-CN"/>
        </w:rPr>
        <w:t>几内亚比绍、海地、利比里亚、卢旺达、</w:t>
      </w:r>
      <w:r w:rsidRPr="00A677DE">
        <w:rPr>
          <w:rFonts w:cstheme="minorHAnsi"/>
          <w:lang w:val="ru-RU" w:eastAsia="zh-CN"/>
        </w:rPr>
        <w:br/>
      </w:r>
      <w:r w:rsidRPr="00A677DE">
        <w:rPr>
          <w:rFonts w:cstheme="minorHAnsi"/>
          <w:lang w:eastAsia="zh-CN"/>
        </w:rPr>
        <w:t>塞拉利昂、索马里、</w:t>
      </w:r>
      <w:r w:rsidRPr="00A677DE">
        <w:rPr>
          <w:rFonts w:cstheme="minorHAnsi" w:hint="eastAsia"/>
          <w:lang w:eastAsia="zh-CN"/>
        </w:rPr>
        <w:t>南苏丹和</w:t>
      </w:r>
      <w:r w:rsidRPr="00A677DE">
        <w:rPr>
          <w:rFonts w:cstheme="minorHAnsi"/>
          <w:lang w:eastAsia="zh-CN"/>
        </w:rPr>
        <w:t>东帝汶</w:t>
      </w:r>
      <w:bookmarkEnd w:id="2"/>
      <w:bookmarkEnd w:id="3"/>
    </w:p>
    <w:p w14:paraId="38A9CAF2" w14:textId="77777777" w:rsidR="00EA68DD" w:rsidRPr="00A677DE" w:rsidRDefault="00EA68DD" w:rsidP="00EA68DD">
      <w:pPr>
        <w:pStyle w:val="Normalnoindent"/>
        <w:rPr>
          <w:lang w:val="ru-RU"/>
        </w:rPr>
      </w:pPr>
      <w:r w:rsidRPr="00A677DE">
        <w:rPr>
          <w:rFonts w:hint="eastAsia"/>
        </w:rPr>
        <w:t>世界电信发展大会</w:t>
      </w:r>
      <w:r w:rsidRPr="00A677DE">
        <w:rPr>
          <w:rFonts w:hint="eastAsia"/>
          <w:lang w:val="ru-RU"/>
        </w:rPr>
        <w:t>（</w:t>
      </w:r>
      <w:r w:rsidRPr="00ED4D9C">
        <w:rPr>
          <w:rFonts w:hint="eastAsia"/>
          <w:lang w:val="ru-RU"/>
        </w:rPr>
        <w:t>2022</w:t>
      </w:r>
      <w:r w:rsidRPr="00A677DE">
        <w:rPr>
          <w:rFonts w:hint="eastAsia"/>
        </w:rPr>
        <w:t>年</w:t>
      </w:r>
      <w:r w:rsidRPr="00ED4D9C">
        <w:rPr>
          <w:rFonts w:hint="eastAsia"/>
          <w:lang w:val="ru-RU"/>
        </w:rPr>
        <w:t>，</w:t>
      </w:r>
      <w:r w:rsidRPr="00A677DE">
        <w:rPr>
          <w:rFonts w:hint="eastAsia"/>
        </w:rPr>
        <w:t>基加利</w:t>
      </w:r>
      <w:r w:rsidRPr="00A677DE">
        <w:rPr>
          <w:rFonts w:hint="eastAsia"/>
          <w:lang w:val="ru-RU"/>
        </w:rPr>
        <w:t>），</w:t>
      </w:r>
    </w:p>
    <w:p w14:paraId="64DB6EF8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忆及</w:t>
      </w:r>
    </w:p>
    <w:p w14:paraId="513CFDC1" w14:textId="77777777" w:rsidR="00EA68DD" w:rsidRPr="00A677DE" w:rsidRDefault="00EA68DD" w:rsidP="00EA68DD">
      <w:pPr>
        <w:ind w:firstLineChars="200" w:firstLine="480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全权代表大会的第</w:t>
      </w:r>
      <w:r w:rsidRPr="00A677DE">
        <w:rPr>
          <w:rFonts w:cstheme="minorHAnsi"/>
          <w:lang w:val="ru-RU" w:eastAsia="zh-CN"/>
        </w:rPr>
        <w:t>34</w:t>
      </w:r>
      <w:r w:rsidRPr="00A677DE">
        <w:rPr>
          <w:rFonts w:cstheme="minorHAnsi"/>
          <w:lang w:eastAsia="zh-CN"/>
        </w:rPr>
        <w:t>号决议</w:t>
      </w:r>
      <w:r w:rsidRPr="00A677DE">
        <w:rPr>
          <w:rFonts w:cstheme="minorHAnsi"/>
          <w:lang w:val="ru-RU" w:eastAsia="zh-CN"/>
        </w:rPr>
        <w:t>（</w:t>
      </w:r>
      <w:r w:rsidRPr="00A677DE">
        <w:rPr>
          <w:rFonts w:cstheme="minorHAnsi" w:hint="eastAsia"/>
          <w:lang w:val="ru-RU" w:eastAsia="zh-CN"/>
        </w:rPr>
        <w:t>2018</w:t>
      </w:r>
      <w:r w:rsidRPr="00A677DE">
        <w:rPr>
          <w:rFonts w:cstheme="minorHAnsi" w:hint="eastAsia"/>
          <w:lang w:val="ru-RU" w:eastAsia="zh-CN"/>
        </w:rPr>
        <w:t>年，迪拜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修订版</w:t>
      </w:r>
      <w:r w:rsidRPr="00A677DE">
        <w:rPr>
          <w:rFonts w:cstheme="minorHAnsi"/>
          <w:lang w:val="ru-RU" w:eastAsia="zh-CN"/>
        </w:rPr>
        <w:t>），</w:t>
      </w:r>
    </w:p>
    <w:p w14:paraId="2BDFB0E7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进一步忆及</w:t>
      </w:r>
    </w:p>
    <w:p w14:paraId="3F9254F3" w14:textId="77777777" w:rsidR="00EA68DD" w:rsidRPr="00A677DE" w:rsidRDefault="00EA68DD" w:rsidP="00EA68DD">
      <w:pPr>
        <w:ind w:firstLineChars="200" w:firstLine="480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在国际电联《组织法》第</w:t>
      </w:r>
      <w:r w:rsidRPr="00A677DE">
        <w:rPr>
          <w:rFonts w:cstheme="minorHAnsi"/>
          <w:lang w:val="ru-RU" w:eastAsia="zh-CN"/>
        </w:rPr>
        <w:t>1</w:t>
      </w:r>
      <w:r w:rsidRPr="00A677DE">
        <w:rPr>
          <w:rFonts w:cstheme="minorHAnsi"/>
          <w:lang w:eastAsia="zh-CN"/>
        </w:rPr>
        <w:t>条中规定的国际电联宗旨</w:t>
      </w:r>
      <w:r w:rsidRPr="00A677DE">
        <w:rPr>
          <w:rFonts w:cstheme="minorHAnsi"/>
          <w:lang w:val="ru-RU" w:eastAsia="zh-CN"/>
        </w:rPr>
        <w:t>，</w:t>
      </w:r>
    </w:p>
    <w:p w14:paraId="6BD1CF9B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认识到</w:t>
      </w:r>
    </w:p>
    <w:p w14:paraId="6B166BA3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i/>
          <w:iCs/>
        </w:rPr>
        <w:t>a</w:t>
      </w:r>
      <w:r w:rsidRPr="00A677DE">
        <w:rPr>
          <w:rFonts w:cstheme="minorHAnsi"/>
          <w:i/>
          <w:iCs/>
          <w:lang w:val="ru-RU"/>
        </w:rPr>
        <w:t>)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当前国际电联通过包括国际电联电信展盈余基金等方式对有</w:t>
      </w:r>
      <w:r w:rsidRPr="00A677DE">
        <w:rPr>
          <w:rFonts w:cstheme="minorHAnsi" w:hint="eastAsia"/>
        </w:rPr>
        <w:t>特殊</w:t>
      </w:r>
      <w:r w:rsidRPr="00A677DE">
        <w:rPr>
          <w:rFonts w:cstheme="minorHAnsi"/>
        </w:rPr>
        <w:t>需要的国家</w:t>
      </w:r>
      <w:r w:rsidRPr="00A677DE">
        <w:rPr>
          <w:rFonts w:cstheme="minorHAnsi"/>
          <w:lang w:val="ru-RU"/>
        </w:rPr>
        <w:t>（</w:t>
      </w:r>
      <w:r w:rsidRPr="00A677DE">
        <w:rPr>
          <w:rFonts w:cstheme="minorHAnsi" w:hint="eastAsia"/>
        </w:rPr>
        <w:t>阿富汗</w:t>
      </w:r>
      <w:r w:rsidRPr="00A677DE">
        <w:rPr>
          <w:rFonts w:cstheme="minorHAnsi"/>
        </w:rPr>
        <w:t>、布隆迪、</w:t>
      </w:r>
      <w:r w:rsidRPr="00A677DE">
        <w:rPr>
          <w:rFonts w:cstheme="minorHAnsi" w:hint="eastAsia"/>
        </w:rPr>
        <w:t>刚果</w:t>
      </w:r>
      <w:r w:rsidRPr="00A677DE">
        <w:rPr>
          <w:rFonts w:cstheme="minorHAnsi"/>
        </w:rPr>
        <w:t>民主共和国、</w:t>
      </w:r>
      <w:r w:rsidRPr="00A677DE">
        <w:t>厄立特里亚、埃塞俄比亚、几内亚、几内亚比绍、海地</w:t>
      </w:r>
      <w:r w:rsidRPr="00A677DE">
        <w:rPr>
          <w:rFonts w:hint="eastAsia"/>
        </w:rPr>
        <w:t>、</w:t>
      </w:r>
      <w:r w:rsidRPr="00A677DE">
        <w:rPr>
          <w:rFonts w:cstheme="minorHAnsi"/>
        </w:rPr>
        <w:t>利比里亚、卢旺达</w:t>
      </w:r>
      <w:r w:rsidRPr="00A677DE">
        <w:rPr>
          <w:rFonts w:cstheme="minorHAnsi" w:hint="eastAsia"/>
        </w:rPr>
        <w:t>、</w:t>
      </w:r>
      <w:r w:rsidRPr="00A677DE">
        <w:rPr>
          <w:rFonts w:cstheme="minorHAnsi"/>
        </w:rPr>
        <w:t>塞拉利昂</w:t>
      </w:r>
      <w:r w:rsidRPr="00A677DE">
        <w:rPr>
          <w:rFonts w:cstheme="minorHAnsi" w:hint="eastAsia"/>
        </w:rPr>
        <w:t>、</w:t>
      </w:r>
      <w:r w:rsidRPr="00A677DE">
        <w:rPr>
          <w:rFonts w:cstheme="minorHAnsi"/>
        </w:rPr>
        <w:t>索马里</w:t>
      </w:r>
      <w:r w:rsidRPr="00A677DE">
        <w:rPr>
          <w:rFonts w:cstheme="minorHAnsi" w:hint="eastAsia"/>
        </w:rPr>
        <w:t>、南苏丹和</w:t>
      </w:r>
      <w:r w:rsidRPr="00A677DE">
        <w:rPr>
          <w:rFonts w:cstheme="minorHAnsi"/>
        </w:rPr>
        <w:t>东帝汶</w:t>
      </w:r>
      <w:r w:rsidRPr="00A677DE">
        <w:rPr>
          <w:rFonts w:cstheme="minorHAnsi"/>
          <w:lang w:val="ru-RU"/>
        </w:rPr>
        <w:t>）</w:t>
      </w:r>
      <w:proofErr w:type="gramStart"/>
      <w:r w:rsidRPr="00A677DE">
        <w:rPr>
          <w:rFonts w:cstheme="minorHAnsi"/>
        </w:rPr>
        <w:t>提供的援助应扩展到其他与上述国家情况类似的国家</w:t>
      </w:r>
      <w:r w:rsidRPr="00A677DE">
        <w:rPr>
          <w:rFonts w:cstheme="minorHAnsi"/>
          <w:lang w:val="ru-RU"/>
        </w:rPr>
        <w:t>；</w:t>
      </w:r>
      <w:proofErr w:type="gramEnd"/>
    </w:p>
    <w:p w14:paraId="562C2FA5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i/>
          <w:iCs/>
        </w:rPr>
        <w:t>b</w:t>
      </w:r>
      <w:r w:rsidRPr="00A677DE">
        <w:rPr>
          <w:rFonts w:cstheme="minorHAnsi"/>
          <w:i/>
          <w:iCs/>
          <w:lang w:val="ru-RU"/>
        </w:rPr>
        <w:t>)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一个可靠的电信网络对于推动国家社会经济发展是不可缺少的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对那些饱受自然灾害、</w:t>
      </w:r>
      <w:proofErr w:type="gramStart"/>
      <w:r w:rsidRPr="00A677DE">
        <w:rPr>
          <w:rFonts w:cstheme="minorHAnsi"/>
        </w:rPr>
        <w:t>国内冲突或战争困扰的国家而言更是如此</w:t>
      </w:r>
      <w:r w:rsidRPr="00A677DE">
        <w:rPr>
          <w:rFonts w:cstheme="minorHAnsi"/>
          <w:lang w:val="ru-RU"/>
        </w:rPr>
        <w:t>；</w:t>
      </w:r>
      <w:proofErr w:type="gramEnd"/>
    </w:p>
    <w:p w14:paraId="782CA847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i/>
          <w:iCs/>
          <w:lang w:val="en-US"/>
        </w:rPr>
        <w:t>c</w:t>
      </w:r>
      <w:r w:rsidRPr="00A677DE">
        <w:rPr>
          <w:rFonts w:cstheme="minorHAnsi"/>
          <w:i/>
          <w:iCs/>
          <w:lang w:val="ru-RU"/>
        </w:rPr>
        <w:t>)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  <w:lang w:val="en-US"/>
        </w:rPr>
        <w:t>在目前的形势下以及在可预见的未来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  <w:lang w:val="en-US"/>
        </w:rPr>
        <w:t>如果没有来自国际大家庭通过双边或国际组织提供的帮助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  <w:lang w:val="en-US"/>
        </w:rPr>
        <w:t>这些国家将不能使其电信系统改善到一个令人可以接受的水平</w:t>
      </w:r>
      <w:r w:rsidRPr="00A677DE">
        <w:rPr>
          <w:rFonts w:cstheme="minorHAnsi"/>
          <w:lang w:val="ru-RU"/>
        </w:rPr>
        <w:t>，</w:t>
      </w:r>
    </w:p>
    <w:p w14:paraId="644095BD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注意到</w:t>
      </w:r>
    </w:p>
    <w:p w14:paraId="1CBD6DDF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i/>
          <w:iCs/>
        </w:rPr>
        <w:t>a</w:t>
      </w:r>
      <w:r w:rsidRPr="00A677DE">
        <w:rPr>
          <w:rFonts w:cstheme="minorHAnsi"/>
          <w:i/>
          <w:iCs/>
          <w:lang w:val="ru-RU"/>
        </w:rPr>
        <w:t>)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电信发展局</w:t>
      </w:r>
      <w:r w:rsidRPr="00A677DE">
        <w:rPr>
          <w:rFonts w:cstheme="minorHAnsi"/>
          <w:lang w:val="ru-RU"/>
        </w:rPr>
        <w:t>（</w:t>
      </w:r>
      <w:r w:rsidRPr="00A677DE">
        <w:rPr>
          <w:rFonts w:cstheme="minorHAnsi"/>
        </w:rPr>
        <w:t>BDT</w:t>
      </w:r>
      <w:r w:rsidRPr="00A677DE">
        <w:rPr>
          <w:rFonts w:cstheme="minorHAnsi"/>
          <w:lang w:val="ru-RU"/>
        </w:rPr>
        <w:t>）</w:t>
      </w:r>
      <w:r w:rsidRPr="00A677DE">
        <w:rPr>
          <w:rFonts w:cstheme="minorHAnsi"/>
        </w:rPr>
        <w:t>主任</w:t>
      </w:r>
      <w:r w:rsidRPr="00A677DE">
        <w:rPr>
          <w:rFonts w:ascii="STKaiti" w:eastAsia="STKaiti" w:hAnsi="STKaiti" w:cstheme="minorHAnsi" w:hint="eastAsia"/>
        </w:rPr>
        <w:t>特别</w:t>
      </w:r>
      <w:r w:rsidRPr="00A677DE">
        <w:rPr>
          <w:rFonts w:cstheme="minorHAnsi"/>
        </w:rPr>
        <w:t>关于实施第</w:t>
      </w:r>
      <w:r w:rsidRPr="00A677DE">
        <w:rPr>
          <w:rFonts w:cstheme="minorHAnsi"/>
          <w:lang w:val="ru-RU"/>
        </w:rPr>
        <w:t>34</w:t>
      </w:r>
      <w:r w:rsidRPr="00A677DE">
        <w:rPr>
          <w:rFonts w:cstheme="minorHAnsi"/>
        </w:rPr>
        <w:t>号决议</w:t>
      </w:r>
      <w:r w:rsidRPr="00A677DE">
        <w:rPr>
          <w:rFonts w:cstheme="minorHAnsi"/>
          <w:lang w:val="ru-RU"/>
        </w:rPr>
        <w:t>（</w:t>
      </w:r>
      <w:r w:rsidRPr="00A677DE">
        <w:rPr>
          <w:rFonts w:cstheme="minorHAnsi" w:hint="eastAsia"/>
          <w:lang w:val="ru-RU"/>
        </w:rPr>
        <w:t>2018</w:t>
      </w:r>
      <w:r w:rsidRPr="00A677DE">
        <w:rPr>
          <w:rFonts w:cstheme="minorHAnsi" w:hint="eastAsia"/>
          <w:lang w:val="ru-RU"/>
        </w:rPr>
        <w:t>年，迪拜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修订版</w:t>
      </w:r>
      <w:r w:rsidRPr="00A677DE">
        <w:rPr>
          <w:rFonts w:cstheme="minorHAnsi"/>
          <w:lang w:val="ru-RU"/>
        </w:rPr>
        <w:t>）</w:t>
      </w:r>
      <w:proofErr w:type="gramStart"/>
      <w:r w:rsidRPr="00A677DE">
        <w:rPr>
          <w:rFonts w:cstheme="minorHAnsi"/>
        </w:rPr>
        <w:t>的报告</w:t>
      </w:r>
      <w:r w:rsidRPr="00A677DE">
        <w:rPr>
          <w:rFonts w:cstheme="minorHAnsi"/>
          <w:lang w:val="ru-RU"/>
        </w:rPr>
        <w:t>；</w:t>
      </w:r>
      <w:proofErr w:type="gramEnd"/>
    </w:p>
    <w:p w14:paraId="2A2CC14E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i/>
          <w:iCs/>
        </w:rPr>
        <w:t>b</w:t>
      </w:r>
      <w:r w:rsidRPr="00A677DE">
        <w:rPr>
          <w:rFonts w:cstheme="minorHAnsi"/>
          <w:i/>
          <w:iCs/>
          <w:lang w:val="ru-RU"/>
        </w:rPr>
        <w:t>)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秘书长和</w:t>
      </w:r>
      <w:r w:rsidRPr="00A677DE">
        <w:rPr>
          <w:rFonts w:cstheme="minorHAnsi" w:hint="eastAsia"/>
        </w:rPr>
        <w:t>BDT</w:t>
      </w:r>
      <w:r w:rsidRPr="00A677DE">
        <w:rPr>
          <w:rFonts w:cstheme="minorHAnsi"/>
        </w:rPr>
        <w:t>主任为实施第</w:t>
      </w:r>
      <w:r w:rsidRPr="00A677DE">
        <w:rPr>
          <w:rFonts w:cstheme="minorHAnsi"/>
          <w:lang w:val="ru-RU"/>
        </w:rPr>
        <w:t>34</w:t>
      </w:r>
      <w:r w:rsidRPr="00A677DE">
        <w:rPr>
          <w:rFonts w:cstheme="minorHAnsi"/>
        </w:rPr>
        <w:t>号决议</w:t>
      </w:r>
      <w:r w:rsidRPr="00A677DE">
        <w:rPr>
          <w:rFonts w:cstheme="minorHAnsi"/>
          <w:lang w:val="ru-RU"/>
        </w:rPr>
        <w:t>（</w:t>
      </w:r>
      <w:r w:rsidRPr="00A677DE">
        <w:rPr>
          <w:rFonts w:cstheme="minorHAnsi" w:hint="eastAsia"/>
          <w:lang w:val="ru-RU"/>
        </w:rPr>
        <w:t>2018</w:t>
      </w:r>
      <w:r w:rsidRPr="00A677DE">
        <w:rPr>
          <w:rFonts w:cstheme="minorHAnsi" w:hint="eastAsia"/>
          <w:lang w:val="ru-RU"/>
        </w:rPr>
        <w:t>年，迪拜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修订版</w:t>
      </w:r>
      <w:r w:rsidRPr="00A677DE">
        <w:rPr>
          <w:rFonts w:cstheme="minorHAnsi"/>
          <w:lang w:val="ru-RU"/>
        </w:rPr>
        <w:t>）</w:t>
      </w:r>
      <w:r w:rsidRPr="00A677DE">
        <w:rPr>
          <w:rFonts w:cstheme="minorHAnsi"/>
        </w:rPr>
        <w:t>所付出的努力</w:t>
      </w:r>
      <w:r w:rsidRPr="00A677DE">
        <w:rPr>
          <w:rFonts w:cstheme="minorHAnsi"/>
          <w:lang w:val="ru-RU"/>
        </w:rPr>
        <w:t>，</w:t>
      </w:r>
    </w:p>
    <w:p w14:paraId="12009725" w14:textId="77777777" w:rsidR="00EA68DD" w:rsidRPr="00ED4D9C" w:rsidRDefault="00EA68DD" w:rsidP="00EA68DD">
      <w:pPr>
        <w:rPr>
          <w:rFonts w:ascii="STKaiti" w:eastAsia="STKaiti" w:hAnsi="STKaiti" w:cstheme="minorHAnsi"/>
          <w:lang w:val="ru-RU" w:eastAsia="zh-CN"/>
        </w:rPr>
      </w:pPr>
      <w:r w:rsidRPr="00ED4D9C">
        <w:rPr>
          <w:rFonts w:cstheme="minorHAnsi"/>
          <w:lang w:val="ru-RU" w:eastAsia="zh-CN"/>
        </w:rPr>
        <w:br w:type="page"/>
      </w:r>
    </w:p>
    <w:p w14:paraId="3BB316B2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lastRenderedPageBreak/>
        <w:t>进一步注意到</w:t>
      </w:r>
    </w:p>
    <w:p w14:paraId="607A839A" w14:textId="77777777" w:rsidR="00EA68DD" w:rsidRPr="00A677DE" w:rsidRDefault="00EA68DD" w:rsidP="00EA68DD">
      <w:pPr>
        <w:ind w:firstLineChars="200" w:firstLine="480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联合国决议力求达成的秩序和安全条件只得到了部分的实现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同时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由于没有为实施第</w:t>
      </w:r>
      <w:r w:rsidRPr="00A677DE">
        <w:rPr>
          <w:rFonts w:cstheme="minorHAnsi"/>
          <w:lang w:val="ru-RU" w:eastAsia="zh-CN"/>
        </w:rPr>
        <w:t>34</w:t>
      </w:r>
      <w:r w:rsidRPr="00A677DE">
        <w:rPr>
          <w:rFonts w:cstheme="minorHAnsi"/>
          <w:lang w:eastAsia="zh-CN"/>
        </w:rPr>
        <w:t>号决议</w:t>
      </w:r>
      <w:r w:rsidRPr="00A677DE">
        <w:rPr>
          <w:rFonts w:cstheme="minorHAnsi"/>
          <w:lang w:val="ru-RU" w:eastAsia="zh-CN"/>
        </w:rPr>
        <w:t>（</w:t>
      </w:r>
      <w:r w:rsidRPr="00A677DE">
        <w:rPr>
          <w:rFonts w:cstheme="minorHAnsi" w:hint="eastAsia"/>
          <w:lang w:val="ru-RU" w:eastAsia="zh-CN"/>
        </w:rPr>
        <w:t>2018</w:t>
      </w:r>
      <w:r w:rsidRPr="00A677DE">
        <w:rPr>
          <w:rFonts w:cstheme="minorHAnsi" w:hint="eastAsia"/>
          <w:lang w:val="ru-RU" w:eastAsia="zh-CN"/>
        </w:rPr>
        <w:t>年，迪拜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修订版</w:t>
      </w:r>
      <w:r w:rsidRPr="00A677DE">
        <w:rPr>
          <w:rFonts w:cstheme="minorHAnsi"/>
          <w:lang w:val="ru-RU" w:eastAsia="zh-CN"/>
        </w:rPr>
        <w:t>）</w:t>
      </w:r>
      <w:r w:rsidRPr="00A677DE">
        <w:rPr>
          <w:rFonts w:cstheme="minorHAnsi"/>
          <w:lang w:eastAsia="zh-CN"/>
        </w:rPr>
        <w:t>划拨资源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使得决议的实施不够充分</w:t>
      </w:r>
      <w:r w:rsidRPr="00A677DE">
        <w:rPr>
          <w:rFonts w:cstheme="minorHAnsi"/>
          <w:lang w:val="ru-RU" w:eastAsia="zh-CN"/>
        </w:rPr>
        <w:t>，</w:t>
      </w:r>
    </w:p>
    <w:p w14:paraId="57179C16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做出决议</w:t>
      </w:r>
    </w:p>
    <w:p w14:paraId="3FCBDC79" w14:textId="77777777" w:rsidR="00EA68DD" w:rsidRPr="00A677DE" w:rsidRDefault="00EA68DD" w:rsidP="00EA68DD">
      <w:pPr>
        <w:ind w:firstLineChars="200" w:firstLine="480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秘书长和</w:t>
      </w:r>
      <w:r w:rsidRPr="00A677DE">
        <w:rPr>
          <w:rFonts w:cstheme="minorHAnsi" w:hint="eastAsia"/>
          <w:lang w:eastAsia="zh-CN"/>
        </w:rPr>
        <w:t>BDT</w:t>
      </w:r>
      <w:r w:rsidRPr="00A677DE">
        <w:rPr>
          <w:rFonts w:cstheme="minorHAnsi"/>
          <w:lang w:eastAsia="zh-CN"/>
        </w:rPr>
        <w:t>主任倡议的特别行动应在国际电联无线电通信部门和</w:t>
      </w:r>
      <w:r w:rsidRPr="00A677DE">
        <w:rPr>
          <w:rFonts w:cstheme="minorHAnsi" w:hint="eastAsia"/>
          <w:lang w:eastAsia="zh-CN"/>
        </w:rPr>
        <w:t>国际电</w:t>
      </w:r>
      <w:proofErr w:type="gramStart"/>
      <w:r w:rsidRPr="00A677DE">
        <w:rPr>
          <w:rFonts w:cstheme="minorHAnsi" w:hint="eastAsia"/>
          <w:lang w:eastAsia="zh-CN"/>
        </w:rPr>
        <w:t>联</w:t>
      </w:r>
      <w:r w:rsidRPr="00A677DE">
        <w:rPr>
          <w:rFonts w:cstheme="minorHAnsi"/>
          <w:lang w:eastAsia="zh-CN"/>
        </w:rPr>
        <w:t>电信</w:t>
      </w:r>
      <w:proofErr w:type="gramEnd"/>
      <w:r w:rsidRPr="00A677DE">
        <w:rPr>
          <w:rFonts w:cstheme="minorHAnsi"/>
          <w:lang w:eastAsia="zh-CN"/>
        </w:rPr>
        <w:t>标准化部门提供的特别帮助下继续下去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以</w:t>
      </w:r>
      <w:r w:rsidRPr="00A677DE">
        <w:rPr>
          <w:rFonts w:cstheme="minorHAnsi" w:hint="eastAsia"/>
          <w:lang w:eastAsia="zh-CN"/>
        </w:rPr>
        <w:t>便</w:t>
      </w:r>
      <w:r w:rsidRPr="00A677DE">
        <w:rPr>
          <w:rFonts w:cstheme="minorHAnsi"/>
          <w:lang w:eastAsia="zh-CN"/>
        </w:rPr>
        <w:t>在联合国决议寻求的秩序与安全条件得到满足时为遭受自然灾害、内乱或战争的国家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即阿富汗、布隆迪、</w:t>
      </w:r>
      <w:r w:rsidRPr="00A677DE">
        <w:rPr>
          <w:rFonts w:cstheme="minorHAnsi" w:hint="eastAsia"/>
          <w:lang w:eastAsia="zh-CN"/>
        </w:rPr>
        <w:t>中非</w:t>
      </w:r>
      <w:r w:rsidRPr="00A677DE">
        <w:rPr>
          <w:rFonts w:cstheme="minorHAnsi"/>
          <w:lang w:eastAsia="zh-CN"/>
        </w:rPr>
        <w:t>共和国</w:t>
      </w:r>
      <w:r w:rsidRPr="00A677DE">
        <w:rPr>
          <w:rFonts w:hint="eastAsia"/>
          <w:lang w:eastAsia="zh-CN"/>
        </w:rPr>
        <w:t>、</w:t>
      </w:r>
      <w:r w:rsidRPr="00A677DE">
        <w:rPr>
          <w:rFonts w:cstheme="minorHAnsi"/>
          <w:lang w:eastAsia="zh-CN"/>
        </w:rPr>
        <w:t>刚果民主共和国、厄立特里亚、埃塞俄比亚、几内亚、几内亚比绍、海地、利比里亚、卢旺达、塞拉利昂、索马里</w:t>
      </w:r>
      <w:r w:rsidRPr="00A677DE">
        <w:rPr>
          <w:rFonts w:cstheme="minorHAnsi" w:hint="eastAsia"/>
          <w:lang w:eastAsia="zh-CN"/>
        </w:rPr>
        <w:t>、南苏丹</w:t>
      </w:r>
      <w:r w:rsidRPr="00A677DE">
        <w:rPr>
          <w:rFonts w:cstheme="minorHAnsi"/>
          <w:lang w:eastAsia="zh-CN"/>
        </w:rPr>
        <w:t>和东帝汶等国重建其电信网络提供适当的援助与支持</w:t>
      </w:r>
      <w:r w:rsidRPr="00A677DE">
        <w:rPr>
          <w:rFonts w:cstheme="minorHAnsi"/>
          <w:lang w:val="ru-RU" w:eastAsia="zh-CN"/>
        </w:rPr>
        <w:t>，</w:t>
      </w:r>
    </w:p>
    <w:p w14:paraId="0AD5D7B1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呼吁成员国</w:t>
      </w:r>
    </w:p>
    <w:p w14:paraId="48C04A96" w14:textId="77777777" w:rsidR="00EA68DD" w:rsidRPr="00A677DE" w:rsidRDefault="00EA68DD" w:rsidP="00EA68DD">
      <w:pPr>
        <w:ind w:firstLineChars="200" w:firstLine="480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通过双边方式或国际电</w:t>
      </w:r>
      <w:proofErr w:type="gramStart"/>
      <w:r w:rsidRPr="00A677DE">
        <w:rPr>
          <w:rFonts w:cstheme="minorHAnsi"/>
          <w:lang w:eastAsia="zh-CN"/>
        </w:rPr>
        <w:t>联上述</w:t>
      </w:r>
      <w:proofErr w:type="gramEnd"/>
      <w:r w:rsidRPr="00A677DE">
        <w:rPr>
          <w:rFonts w:cstheme="minorHAnsi"/>
          <w:lang w:eastAsia="zh-CN"/>
        </w:rPr>
        <w:t>特别行动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为有</w:t>
      </w:r>
      <w:r w:rsidRPr="00A677DE">
        <w:rPr>
          <w:rFonts w:cstheme="minorHAnsi" w:hint="eastAsia"/>
          <w:lang w:eastAsia="zh-CN"/>
        </w:rPr>
        <w:t>特殊</w:t>
      </w:r>
      <w:r w:rsidRPr="00A677DE">
        <w:rPr>
          <w:rFonts w:cstheme="minorHAnsi"/>
          <w:lang w:eastAsia="zh-CN"/>
        </w:rPr>
        <w:t>需要国家的政府提供</w:t>
      </w:r>
      <w:r w:rsidRPr="00A677DE">
        <w:rPr>
          <w:rFonts w:cstheme="minorHAnsi" w:hint="eastAsia"/>
          <w:lang w:eastAsia="zh-CN"/>
        </w:rPr>
        <w:t>所有</w:t>
      </w:r>
      <w:r w:rsidRPr="00A677DE">
        <w:rPr>
          <w:rFonts w:cstheme="minorHAnsi"/>
          <w:lang w:eastAsia="zh-CN"/>
        </w:rPr>
        <w:t>可能的援助与支持</w:t>
      </w:r>
      <w:r w:rsidRPr="00A677DE">
        <w:rPr>
          <w:rFonts w:cstheme="minorHAnsi"/>
          <w:lang w:val="ru-RU" w:eastAsia="zh-CN"/>
        </w:rPr>
        <w:t>，</w:t>
      </w:r>
    </w:p>
    <w:p w14:paraId="13FA398E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请</w:t>
      </w:r>
      <w:r w:rsidRPr="00A677DE">
        <w:rPr>
          <w:rFonts w:cstheme="minorHAnsi" w:hint="eastAsia"/>
          <w:lang w:eastAsia="zh-CN"/>
        </w:rPr>
        <w:t>国际电联</w:t>
      </w:r>
      <w:r w:rsidRPr="00A677DE">
        <w:rPr>
          <w:rFonts w:cstheme="minorHAnsi"/>
          <w:lang w:eastAsia="zh-CN"/>
        </w:rPr>
        <w:t>理事会</w:t>
      </w:r>
    </w:p>
    <w:p w14:paraId="017EC6FE" w14:textId="77777777" w:rsidR="00EA68DD" w:rsidRPr="00A677DE" w:rsidRDefault="00EA68DD" w:rsidP="00EA68DD">
      <w:pPr>
        <w:ind w:firstLineChars="200" w:firstLine="480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在可用资源的范围内</w:t>
      </w:r>
      <w:r w:rsidRPr="00A677DE">
        <w:rPr>
          <w:rFonts w:cstheme="minorHAnsi"/>
          <w:lang w:val="ru-RU" w:eastAsia="zh-CN"/>
        </w:rPr>
        <w:t>，</w:t>
      </w:r>
      <w:r w:rsidRPr="00A677DE">
        <w:rPr>
          <w:rFonts w:cstheme="minorHAnsi"/>
          <w:lang w:eastAsia="zh-CN"/>
        </w:rPr>
        <w:t>为实施本决议划拨必要的资金</w:t>
      </w:r>
      <w:r w:rsidRPr="00A677DE">
        <w:rPr>
          <w:rFonts w:cstheme="minorHAnsi"/>
          <w:lang w:val="ru-RU" w:eastAsia="zh-CN"/>
        </w:rPr>
        <w:t>，</w:t>
      </w:r>
    </w:p>
    <w:p w14:paraId="77A4BFE8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/>
          <w:lang w:eastAsia="zh-CN"/>
        </w:rPr>
        <w:t>责成电信发展局主任</w:t>
      </w:r>
    </w:p>
    <w:p w14:paraId="06632BFC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lang w:val="ru-RU"/>
        </w:rPr>
        <w:t>1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利用可用资源范围内的必要资金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落实有利于上述国家的行动</w:t>
      </w:r>
      <w:r w:rsidRPr="00A677DE">
        <w:rPr>
          <w:rFonts w:cstheme="minorHAnsi"/>
          <w:lang w:val="ru-RU"/>
        </w:rPr>
        <w:t>；</w:t>
      </w:r>
    </w:p>
    <w:p w14:paraId="259B1593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lang w:val="ru-RU"/>
        </w:rPr>
        <w:t>2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筹措预算外资源援助这些国家</w:t>
      </w:r>
      <w:r w:rsidRPr="00A677DE">
        <w:rPr>
          <w:rFonts w:cstheme="minorHAnsi"/>
          <w:lang w:val="ru-RU"/>
        </w:rPr>
        <w:t>，</w:t>
      </w:r>
    </w:p>
    <w:p w14:paraId="499776A1" w14:textId="77777777" w:rsidR="00EA68DD" w:rsidRPr="00A677DE" w:rsidRDefault="00EA68DD" w:rsidP="00EA68DD">
      <w:pPr>
        <w:pStyle w:val="Call"/>
        <w:rPr>
          <w:rFonts w:cstheme="minorHAnsi"/>
          <w:lang w:val="ru-RU" w:eastAsia="zh-CN"/>
        </w:rPr>
      </w:pPr>
      <w:r w:rsidRPr="00A677DE">
        <w:rPr>
          <w:rFonts w:cstheme="minorHAnsi" w:hint="eastAsia"/>
          <w:lang w:eastAsia="zh-CN"/>
        </w:rPr>
        <w:t>请</w:t>
      </w:r>
      <w:r w:rsidRPr="00A677DE">
        <w:rPr>
          <w:rFonts w:cstheme="minorHAnsi"/>
          <w:lang w:eastAsia="zh-CN"/>
        </w:rPr>
        <w:t>秘书长</w:t>
      </w:r>
    </w:p>
    <w:p w14:paraId="52AECA3D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lang w:val="ru-RU"/>
        </w:rPr>
        <w:t>1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确保有利于这些国家的国际电联行动产生最大效益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并向理事会报告</w:t>
      </w:r>
      <w:r w:rsidRPr="00A677DE">
        <w:rPr>
          <w:rFonts w:cstheme="minorHAnsi" w:hint="eastAsia"/>
        </w:rPr>
        <w:t>此项事宜</w:t>
      </w:r>
      <w:r w:rsidRPr="00A677DE">
        <w:rPr>
          <w:rFonts w:cstheme="minorHAnsi"/>
          <w:lang w:val="ru-RU"/>
        </w:rPr>
        <w:t>；</w:t>
      </w:r>
    </w:p>
    <w:p w14:paraId="16917881" w14:textId="77777777" w:rsidR="00EA68DD" w:rsidRPr="00A677DE" w:rsidRDefault="00EA68DD" w:rsidP="00EA68DD">
      <w:pPr>
        <w:rPr>
          <w:rFonts w:ascii="Calibri" w:hAnsi="Calibri" w:cstheme="minorHAnsi"/>
          <w:szCs w:val="28"/>
          <w:lang w:val="ru-RU" w:eastAsia="zh-CN"/>
        </w:rPr>
      </w:pPr>
      <w:r w:rsidRPr="00A677DE">
        <w:rPr>
          <w:rFonts w:cstheme="minorHAnsi"/>
          <w:lang w:val="ru-RU" w:eastAsia="zh-CN"/>
        </w:rPr>
        <w:br w:type="page"/>
      </w:r>
    </w:p>
    <w:p w14:paraId="65C8A761" w14:textId="77777777" w:rsidR="00EA68DD" w:rsidRPr="00A677DE" w:rsidRDefault="00EA68DD" w:rsidP="00EA68DD">
      <w:pPr>
        <w:pStyle w:val="Normalnoindent"/>
        <w:rPr>
          <w:rFonts w:cstheme="minorHAnsi"/>
          <w:lang w:val="ru-RU"/>
        </w:rPr>
      </w:pPr>
      <w:r w:rsidRPr="00A677DE">
        <w:rPr>
          <w:rFonts w:cstheme="minorHAnsi"/>
          <w:lang w:val="ru-RU"/>
        </w:rPr>
        <w:lastRenderedPageBreak/>
        <w:t>2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根据上述</w:t>
      </w:r>
      <w:r w:rsidRPr="009136FB">
        <w:rPr>
          <w:rFonts w:ascii="STKaiti" w:eastAsia="STKaiti" w:hAnsi="STKaiti" w:cstheme="minorHAnsi" w:hint="eastAsia"/>
          <w:kern w:val="2"/>
        </w:rPr>
        <w:t>做出决议</w:t>
      </w:r>
      <w:r w:rsidRPr="00A677DE">
        <w:rPr>
          <w:rFonts w:cstheme="minorHAnsi"/>
        </w:rPr>
        <w:t>的要求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协调国际电联三大部门所开展的活动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确保国际电联对有</w:t>
      </w:r>
      <w:r w:rsidRPr="00A677DE">
        <w:rPr>
          <w:rFonts w:cstheme="minorHAnsi" w:hint="eastAsia"/>
        </w:rPr>
        <w:t>特殊</w:t>
      </w:r>
      <w:r w:rsidRPr="00A677DE">
        <w:rPr>
          <w:rFonts w:cstheme="minorHAnsi"/>
        </w:rPr>
        <w:t>需要的国家采取的援助行动尽可能有效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并向理事会汇报</w:t>
      </w:r>
      <w:r w:rsidRPr="00A677DE">
        <w:rPr>
          <w:rFonts w:cstheme="minorHAnsi" w:hint="eastAsia"/>
        </w:rPr>
        <w:t>此项事宜</w:t>
      </w:r>
      <w:r w:rsidRPr="00A677DE">
        <w:rPr>
          <w:rFonts w:cstheme="minorHAnsi"/>
          <w:lang w:val="ru-RU"/>
        </w:rPr>
        <w:t>；</w:t>
      </w:r>
    </w:p>
    <w:p w14:paraId="5DCA2F1F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  <w:r w:rsidRPr="00A677DE">
        <w:rPr>
          <w:rFonts w:cstheme="minorHAnsi"/>
          <w:lang w:val="ru-RU"/>
        </w:rPr>
        <w:t>3</w:t>
      </w:r>
      <w:r w:rsidRPr="00A677DE">
        <w:rPr>
          <w:rFonts w:cstheme="minorHAnsi"/>
          <w:lang w:val="ru-RU"/>
        </w:rPr>
        <w:tab/>
      </w:r>
      <w:r w:rsidRPr="00A677DE">
        <w:rPr>
          <w:rFonts w:cstheme="minorHAnsi"/>
        </w:rPr>
        <w:t>根据需要并经理事会批准</w:t>
      </w:r>
      <w:r w:rsidRPr="00A677DE">
        <w:rPr>
          <w:rFonts w:cstheme="minorHAnsi"/>
          <w:lang w:val="ru-RU"/>
        </w:rPr>
        <w:t>，</w:t>
      </w:r>
      <w:r w:rsidRPr="00A677DE">
        <w:rPr>
          <w:rFonts w:cstheme="minorHAnsi"/>
        </w:rPr>
        <w:t>不时对该清单上的国家进行更新。</w:t>
      </w:r>
    </w:p>
    <w:p w14:paraId="307E8DE8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</w:p>
    <w:p w14:paraId="0216C85D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</w:p>
    <w:p w14:paraId="3F114B69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</w:p>
    <w:p w14:paraId="1586DAC2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</w:p>
    <w:p w14:paraId="71830643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</w:p>
    <w:p w14:paraId="4A94249C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</w:p>
    <w:p w14:paraId="304D60A5" w14:textId="77777777" w:rsidR="00EA68DD" w:rsidRPr="00ED4D9C" w:rsidRDefault="00EA68DD" w:rsidP="00EA68DD">
      <w:pPr>
        <w:pStyle w:val="Normalnoindent"/>
        <w:spacing w:after="360"/>
        <w:rPr>
          <w:rFonts w:cstheme="minorHAnsi"/>
          <w:lang w:val="ru-RU"/>
        </w:rPr>
      </w:pPr>
    </w:p>
    <w:p w14:paraId="238169F8" w14:textId="77777777" w:rsidR="00CE6C6B" w:rsidRDefault="00CE6C6B">
      <w:pPr>
        <w:rPr>
          <w:lang w:eastAsia="zh-CN"/>
        </w:rPr>
      </w:pPr>
    </w:p>
    <w:sectPr w:rsidR="00CE6C6B" w:rsidSect="00370784">
      <w:headerReference w:type="even" r:id="rId6"/>
      <w:headerReference w:type="default" r:id="rId7"/>
      <w:headerReference w:type="first" r:id="rId8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C86B" w14:textId="77777777" w:rsidR="0060393D" w:rsidRDefault="0060393D">
      <w:pPr>
        <w:spacing w:after="0" w:line="240" w:lineRule="auto"/>
      </w:pPr>
      <w:r>
        <w:separator/>
      </w:r>
    </w:p>
  </w:endnote>
  <w:endnote w:type="continuationSeparator" w:id="0">
    <w:p w14:paraId="3946C7C2" w14:textId="77777777" w:rsidR="0060393D" w:rsidRDefault="0060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0245" w14:textId="77777777" w:rsidR="0060393D" w:rsidRDefault="0060393D">
      <w:pPr>
        <w:spacing w:after="0" w:line="240" w:lineRule="auto"/>
      </w:pPr>
      <w:r>
        <w:separator/>
      </w:r>
    </w:p>
  </w:footnote>
  <w:footnote w:type="continuationSeparator" w:id="0">
    <w:p w14:paraId="47F3B3F2" w14:textId="77777777" w:rsidR="0060393D" w:rsidRDefault="0060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536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7D4B41" w14:textId="7ECB58B0" w:rsidR="0060393D" w:rsidRDefault="00EA68DD" w:rsidP="00B770C3">
        <w:pPr>
          <w:pStyle w:val="Header"/>
          <w:tabs>
            <w:tab w:val="clear" w:pos="1134"/>
            <w:tab w:val="clear" w:pos="1871"/>
            <w:tab w:val="clear" w:pos="2268"/>
            <w:tab w:val="left" w:pos="567"/>
            <w:tab w:val="right" w:pos="9072"/>
            <w:tab w:val="right" w:pos="9639"/>
          </w:tabs>
          <w:jc w:val="left"/>
          <w:rPr>
            <w:lang w:eastAsia="zh-CN"/>
          </w:rPr>
        </w:pP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noProof/>
            <w:lang w:eastAsia="zh-CN"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ab/>
        </w:r>
        <w:r w:rsidRPr="00B770C3">
          <w:rPr>
            <w:rFonts w:cstheme="minorHAnsi"/>
            <w:noProof/>
            <w:lang w:eastAsia="zh-CN"/>
          </w:rPr>
          <w:t>WTDC-22</w:t>
        </w:r>
        <w:r w:rsidRPr="00B770C3">
          <w:rPr>
            <w:rFonts w:cstheme="minorHAnsi"/>
            <w:noProof/>
            <w:lang w:eastAsia="zh-CN"/>
          </w:rPr>
          <w:t>最后报告</w:t>
        </w:r>
        <w:r w:rsidRPr="00B770C3">
          <w:rPr>
            <w:rFonts w:cstheme="minorHAnsi"/>
            <w:noProof/>
            <w:lang w:eastAsia="zh-CN"/>
          </w:rPr>
          <w:t xml:space="preserve"> –</w:t>
        </w:r>
        <w:r w:rsidRPr="00680121">
          <w:rPr>
            <w:rFonts w:cstheme="minorHAnsi"/>
            <w:lang w:eastAsia="zh-CN"/>
          </w:rPr>
          <w:t>第四部分</w:t>
        </w:r>
        <w:r w:rsidR="004F1F2D"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>
          <w:rPr>
            <w:rFonts w:cstheme="minorHAnsi"/>
            <w:lang w:eastAsia="zh-CN"/>
          </w:rPr>
          <w:fldChar w:fldCharType="begin"/>
        </w:r>
        <w:r>
          <w:rPr>
            <w:rFonts w:cstheme="minorHAnsi"/>
            <w:lang w:eastAsia="zh-CN"/>
          </w:rPr>
          <w:instrText xml:space="preserve"> </w:instrText>
        </w:r>
        <w:r>
          <w:rPr>
            <w:rFonts w:cstheme="minorHAnsi" w:hint="eastAsia"/>
            <w:lang w:eastAsia="zh-CN"/>
          </w:rPr>
          <w:instrText>STYLEREF  href  \* MERGEFORMAT</w:instrText>
        </w:r>
        <w:r>
          <w:rPr>
            <w:rFonts w:cstheme="minorHAnsi"/>
            <w:lang w:eastAsia="zh-CN"/>
          </w:rPr>
          <w:instrText xml:space="preserve"> </w:instrText>
        </w:r>
        <w:r>
          <w:rPr>
            <w:rFonts w:cstheme="minorHAnsi"/>
            <w:lang w:eastAsia="zh-CN"/>
          </w:rPr>
          <w:fldChar w:fldCharType="separate"/>
        </w:r>
        <w:r w:rsidR="00AA7820">
          <w:rPr>
            <w:rFonts w:cstheme="minorHAnsi"/>
            <w:noProof/>
            <w:lang w:eastAsia="zh-CN"/>
          </w:rPr>
          <w:t>25</w:t>
        </w:r>
        <w:r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noProof/>
            <w:lang w:eastAsia="zh-CN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5968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A0CD9B" w14:textId="1CFDCA24" w:rsidR="0060393D" w:rsidRDefault="00EA68DD" w:rsidP="00B770C3">
        <w:pPr>
          <w:pStyle w:val="Header"/>
          <w:tabs>
            <w:tab w:val="clear" w:pos="1134"/>
            <w:tab w:val="clear" w:pos="1871"/>
            <w:tab w:val="clear" w:pos="2268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>
          <w:rPr>
            <w:rFonts w:cstheme="minorHAnsi"/>
            <w:lang w:eastAsia="zh-CN"/>
          </w:rPr>
          <w:fldChar w:fldCharType="begin"/>
        </w:r>
        <w:r>
          <w:rPr>
            <w:rFonts w:cstheme="minorHAnsi"/>
            <w:lang w:eastAsia="zh-CN"/>
          </w:rPr>
          <w:instrText xml:space="preserve"> </w:instrText>
        </w:r>
        <w:r>
          <w:rPr>
            <w:rFonts w:cstheme="minorHAnsi" w:hint="eastAsia"/>
            <w:lang w:eastAsia="zh-CN"/>
          </w:rPr>
          <w:instrText>STYLEREF  href  \* MERGEFORMAT</w:instrText>
        </w:r>
        <w:r>
          <w:rPr>
            <w:rFonts w:cstheme="minorHAnsi"/>
            <w:lang w:eastAsia="zh-CN"/>
          </w:rPr>
          <w:instrText xml:space="preserve"> </w:instrText>
        </w:r>
        <w:r>
          <w:rPr>
            <w:rFonts w:cstheme="minorHAnsi"/>
            <w:lang w:eastAsia="zh-CN"/>
          </w:rPr>
          <w:fldChar w:fldCharType="separate"/>
        </w:r>
        <w:r w:rsidR="00AA7820">
          <w:rPr>
            <w:rFonts w:cstheme="minorHAnsi"/>
            <w:noProof/>
            <w:lang w:eastAsia="zh-CN"/>
          </w:rPr>
          <w:t>25</w:t>
        </w:r>
        <w:r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lang w:eastAsia="zh-CN"/>
          </w:rPr>
          <w:tab/>
        </w: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lang w:eastAsia="zh-CN"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8500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818462" w14:textId="23C4EB7C" w:rsidR="0060393D" w:rsidRDefault="00EA68DD" w:rsidP="00C724D3">
        <w:pPr>
          <w:pStyle w:val="Header"/>
          <w:tabs>
            <w:tab w:val="clear" w:pos="1134"/>
            <w:tab w:val="clear" w:pos="1871"/>
            <w:tab w:val="clear" w:pos="2268"/>
            <w:tab w:val="right" w:pos="9072"/>
            <w:tab w:val="right" w:pos="9639"/>
          </w:tabs>
          <w:jc w:val="left"/>
          <w:rPr>
            <w:lang w:eastAsia="zh-CN"/>
          </w:rPr>
        </w:pPr>
        <w:r>
          <w:rPr>
            <w:lang w:eastAsia="zh-CN"/>
          </w:rPr>
          <w:tab/>
          <w:t>WTDC-22</w:t>
        </w:r>
        <w:r>
          <w:rPr>
            <w:rFonts w:hint="eastAsia"/>
            <w:lang w:eastAsia="zh-CN"/>
          </w:rPr>
          <w:t>最后报告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– </w:t>
        </w:r>
        <w:r w:rsidRPr="00680121">
          <w:rPr>
            <w:rFonts w:cstheme="minorHAnsi"/>
            <w:lang w:eastAsia="zh-CN"/>
          </w:rPr>
          <w:t>第四部分</w:t>
        </w:r>
        <w:r w:rsidR="004F1F2D">
          <w:rPr>
            <w:rFonts w:cstheme="minorHAnsi" w:hint="eastAsia"/>
            <w:lang w:eastAsia="zh-CN"/>
          </w:rPr>
          <w:t xml:space="preserve"> </w:t>
        </w:r>
        <w:r w:rsidRPr="00680121">
          <w:rPr>
            <w:rFonts w:cstheme="minorHAnsi"/>
            <w:lang w:eastAsia="zh-CN"/>
          </w:rPr>
          <w:t xml:space="preserve">– </w:t>
        </w:r>
        <w:r>
          <w:rPr>
            <w:rFonts w:cstheme="minorHAnsi" w:hint="eastAsia"/>
            <w:lang w:eastAsia="zh-CN"/>
          </w:rPr>
          <w:t>第</w:t>
        </w:r>
        <w:r>
          <w:rPr>
            <w:rFonts w:cstheme="minorHAnsi"/>
            <w:lang w:eastAsia="zh-CN"/>
          </w:rPr>
          <w:fldChar w:fldCharType="begin"/>
        </w:r>
        <w:r>
          <w:rPr>
            <w:rFonts w:cstheme="minorHAnsi"/>
            <w:lang w:eastAsia="zh-CN"/>
          </w:rPr>
          <w:instrText xml:space="preserve"> </w:instrText>
        </w:r>
        <w:r>
          <w:rPr>
            <w:rFonts w:cstheme="minorHAnsi" w:hint="eastAsia"/>
            <w:lang w:eastAsia="zh-CN"/>
          </w:rPr>
          <w:instrText>STYLEREF  href  \* MERGEFORMAT</w:instrText>
        </w:r>
        <w:r>
          <w:rPr>
            <w:rFonts w:cstheme="minorHAnsi"/>
            <w:lang w:eastAsia="zh-CN"/>
          </w:rPr>
          <w:instrText xml:space="preserve"> </w:instrText>
        </w:r>
        <w:r>
          <w:rPr>
            <w:rFonts w:cstheme="minorHAnsi"/>
            <w:lang w:eastAsia="zh-CN"/>
          </w:rPr>
          <w:fldChar w:fldCharType="separate"/>
        </w:r>
        <w:r w:rsidR="00AA7820">
          <w:rPr>
            <w:rFonts w:cstheme="minorHAnsi"/>
            <w:noProof/>
            <w:lang w:eastAsia="zh-CN"/>
          </w:rPr>
          <w:t>25</w:t>
        </w:r>
        <w:r>
          <w:rPr>
            <w:rFonts w:cstheme="minorHAnsi"/>
            <w:lang w:eastAsia="zh-CN"/>
          </w:rPr>
          <w:fldChar w:fldCharType="end"/>
        </w:r>
        <w:r>
          <w:rPr>
            <w:rFonts w:cstheme="minorHAnsi" w:hint="eastAsia"/>
            <w:lang w:eastAsia="zh-CN"/>
          </w:rPr>
          <w:t>号决议</w:t>
        </w:r>
        <w:r>
          <w:rPr>
            <w:lang w:eastAsia="zh-CN"/>
          </w:rPr>
          <w:tab/>
        </w:r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>
          <w:rPr>
            <w:lang w:eastAsia="zh-CN"/>
          </w:rPr>
          <w:t>241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DD"/>
    <w:rsid w:val="000C7E7E"/>
    <w:rsid w:val="0012086A"/>
    <w:rsid w:val="00145459"/>
    <w:rsid w:val="001C1912"/>
    <w:rsid w:val="00312F86"/>
    <w:rsid w:val="00370784"/>
    <w:rsid w:val="004F1F2D"/>
    <w:rsid w:val="00503CDC"/>
    <w:rsid w:val="0060393D"/>
    <w:rsid w:val="0066087E"/>
    <w:rsid w:val="006E326C"/>
    <w:rsid w:val="007C6F7A"/>
    <w:rsid w:val="00844E50"/>
    <w:rsid w:val="00A641FA"/>
    <w:rsid w:val="00AA7820"/>
    <w:rsid w:val="00C01150"/>
    <w:rsid w:val="00CE6C6B"/>
    <w:rsid w:val="00D54A42"/>
    <w:rsid w:val="00EA68DD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D3934"/>
  <w14:defaultImageDpi w14:val="32767"/>
  <w15:chartTrackingRefBased/>
  <w15:docId w15:val="{0FA70DE7-1903-4BDD-87D6-E2753DB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2D"/>
    <w:rPr>
      <w:rFonts w:eastAsia="SimSu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A68D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STKaiti" w:eastAsia="STKaiti" w:hAnsi="STKaiti" w:cs="Times New Roman"/>
      <w:szCs w:val="20"/>
    </w:rPr>
  </w:style>
  <w:style w:type="paragraph" w:styleId="Header">
    <w:name w:val="header"/>
    <w:basedOn w:val="Normal"/>
    <w:link w:val="HeaderChar"/>
    <w:uiPriority w:val="99"/>
    <w:rsid w:val="004F1F2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cs="Times New Roman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1F2D"/>
    <w:rPr>
      <w:rFonts w:eastAsia="SimSun" w:cs="Times New Roman"/>
      <w:sz w:val="18"/>
      <w:szCs w:val="20"/>
    </w:rPr>
  </w:style>
  <w:style w:type="paragraph" w:customStyle="1" w:styleId="ResNo">
    <w:name w:val="Res_No"/>
    <w:basedOn w:val="Normal"/>
    <w:next w:val="Normal"/>
    <w:link w:val="ResNoChar"/>
    <w:rsid w:val="004F1F2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  <w:outlineLvl w:val="0"/>
    </w:pPr>
    <w:rPr>
      <w:rFonts w:cs="Times New Roman"/>
      <w:caps/>
      <w:sz w:val="28"/>
      <w:szCs w:val="20"/>
    </w:rPr>
  </w:style>
  <w:style w:type="paragraph" w:customStyle="1" w:styleId="Restitle">
    <w:name w:val="Res_title"/>
    <w:basedOn w:val="Normal"/>
    <w:next w:val="Normal"/>
    <w:link w:val="RestitleChar"/>
    <w:rsid w:val="004F1F2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cs="Times New Roman"/>
      <w:b/>
      <w:sz w:val="28"/>
      <w:szCs w:val="20"/>
    </w:rPr>
  </w:style>
  <w:style w:type="character" w:customStyle="1" w:styleId="CallChar">
    <w:name w:val="Call Char"/>
    <w:basedOn w:val="DefaultParagraphFont"/>
    <w:link w:val="Call"/>
    <w:locked/>
    <w:rsid w:val="00EA68DD"/>
    <w:rPr>
      <w:rFonts w:ascii="STKaiti" w:eastAsia="STKaiti" w:hAnsi="STKaiti" w:cs="Times New Roman"/>
      <w:sz w:val="24"/>
      <w:szCs w:val="20"/>
    </w:rPr>
  </w:style>
  <w:style w:type="character" w:customStyle="1" w:styleId="href">
    <w:name w:val="href"/>
    <w:basedOn w:val="DefaultParagraphFont"/>
    <w:qFormat/>
    <w:rsid w:val="00EA68DD"/>
    <w:rPr>
      <w:color w:val="auto"/>
    </w:rPr>
  </w:style>
  <w:style w:type="character" w:customStyle="1" w:styleId="RestitleChar">
    <w:name w:val="Res_title Char"/>
    <w:basedOn w:val="DefaultParagraphFont"/>
    <w:link w:val="Restitle"/>
    <w:locked/>
    <w:rsid w:val="004F1F2D"/>
    <w:rPr>
      <w:rFonts w:eastAsia="SimSun" w:cs="Times New Roman"/>
      <w:b/>
      <w:sz w:val="28"/>
      <w:szCs w:val="20"/>
    </w:rPr>
  </w:style>
  <w:style w:type="character" w:customStyle="1" w:styleId="ResNoChar">
    <w:name w:val="Res_No Char"/>
    <w:basedOn w:val="DefaultParagraphFont"/>
    <w:link w:val="ResNo"/>
    <w:locked/>
    <w:rsid w:val="004F1F2D"/>
    <w:rPr>
      <w:rFonts w:eastAsia="SimSun" w:cs="Times New Roman"/>
      <w:caps/>
      <w:sz w:val="28"/>
      <w:szCs w:val="20"/>
    </w:rPr>
  </w:style>
  <w:style w:type="paragraph" w:customStyle="1" w:styleId="Normalnoindent">
    <w:name w:val="Normal no indent"/>
    <w:basedOn w:val="Normal"/>
    <w:rsid w:val="00EA68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hAnsi="Calibri" w:cs="Times New Roman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F1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Liu, Sanping</cp:lastModifiedBy>
  <cp:revision>5</cp:revision>
  <cp:lastPrinted>2023-10-16T10:01:00Z</cp:lastPrinted>
  <dcterms:created xsi:type="dcterms:W3CDTF">2023-10-16T07:03:00Z</dcterms:created>
  <dcterms:modified xsi:type="dcterms:W3CDTF">2023-10-17T07:06:00Z</dcterms:modified>
</cp:coreProperties>
</file>